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6520"/>
        <w:gridCol w:w="283"/>
      </w:tblGrid>
      <w:tr w:rsidR="0086106E" w:rsidRPr="0086106E" w14:paraId="02962E17" w14:textId="77777777" w:rsidTr="0086106E">
        <w:trPr>
          <w:trHeight w:val="850"/>
        </w:trPr>
        <w:tc>
          <w:tcPr>
            <w:tcW w:w="2693" w:type="dxa"/>
          </w:tcPr>
          <w:p w14:paraId="3F058F4A" w14:textId="65AE4C7F" w:rsidR="0086106E" w:rsidRPr="0086106E" w:rsidRDefault="0086106E" w:rsidP="0086106E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t xml:space="preserve">ОРГАНИЗАЦИЯ </w:t>
            </w:r>
            <w:r w:rsidRPr="0086106E">
              <w:br/>
              <w:t xml:space="preserve">ОБЪЕДИНЕННЫХ </w:t>
            </w:r>
            <w:r w:rsidRPr="0086106E">
              <w:br/>
              <w:t>НАЦИЙ</w:t>
            </w:r>
          </w:p>
        </w:tc>
        <w:tc>
          <w:tcPr>
            <w:tcW w:w="6520" w:type="dxa"/>
          </w:tcPr>
          <w:p w14:paraId="5356F016" w14:textId="6611FB22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5ADC3066" wp14:editId="6CC2164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-4445</wp:posOffset>
                  </wp:positionV>
                  <wp:extent cx="1269153" cy="573559"/>
                  <wp:effectExtent l="0" t="0" r="7620" b="0"/>
                  <wp:wrapNone/>
                  <wp:docPr id="17392021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20211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</w:tcPr>
          <w:p w14:paraId="49454C8A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60EC347B" w14:textId="16A1048E" w:rsidR="0076134B" w:rsidRPr="0086106E" w:rsidRDefault="0076134B" w:rsidP="0086106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86106E" w:rsidRPr="0086106E" w14:paraId="4B016EBB" w14:textId="77777777" w:rsidTr="0086106E">
        <w:trPr>
          <w:trHeight w:val="340"/>
        </w:trPr>
        <w:tc>
          <w:tcPr>
            <w:tcW w:w="3358" w:type="pct"/>
            <w:vAlign w:val="bottom"/>
          </w:tcPr>
          <w:p w14:paraId="1D626354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noWrap/>
            <w:vAlign w:val="bottom"/>
          </w:tcPr>
          <w:p w14:paraId="62895EA9" w14:textId="67156FC6" w:rsidR="0086106E" w:rsidRPr="0086106E" w:rsidRDefault="0086106E" w:rsidP="0086106E">
            <w:pPr>
              <w:pStyle w:val="ASymbol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rPr>
                <w:b/>
                <w:sz w:val="28"/>
              </w:rPr>
              <w:t>UNEP</w:t>
            </w:r>
            <w:r w:rsidRPr="0086106E">
              <w:t>/MC/COP.</w:t>
            </w:r>
            <w:bookmarkStart w:id="0" w:name="Symbol1A"/>
            <w:r w:rsidRPr="0086106E">
              <w:t>6</w:t>
            </w:r>
            <w:bookmarkStart w:id="1" w:name="Symbol1B"/>
            <w:bookmarkEnd w:id="0"/>
            <w:r w:rsidR="007E2F6F">
              <w:t>/20</w:t>
            </w:r>
            <w:bookmarkEnd w:id="1"/>
          </w:p>
        </w:tc>
      </w:tr>
    </w:tbl>
    <w:p w14:paraId="25D36868" w14:textId="77777777" w:rsidR="0086106E" w:rsidRPr="0086106E" w:rsidRDefault="0086106E" w:rsidP="0086106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86106E" w:rsidRPr="00FA121A" w14:paraId="691F6A2F" w14:textId="77777777" w:rsidTr="0086106E">
        <w:trPr>
          <w:trHeight w:val="2098"/>
        </w:trPr>
        <w:tc>
          <w:tcPr>
            <w:tcW w:w="3685" w:type="dxa"/>
          </w:tcPr>
          <w:p w14:paraId="30E5F033" w14:textId="32702407" w:rsidR="0086106E" w:rsidRPr="0086106E" w:rsidRDefault="0086106E" w:rsidP="0086106E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rPr>
                <w:noProof/>
                <w14:ligatures w14:val="standardContextual"/>
              </w:rPr>
              <w:drawing>
                <wp:inline distT="0" distB="0" distL="0" distR="0" wp14:anchorId="1322FFEE" wp14:editId="02877397">
                  <wp:extent cx="2202815" cy="1028700"/>
                  <wp:effectExtent l="0" t="0" r="6985" b="0"/>
                  <wp:docPr id="208628775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287757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106E">
              <w:t xml:space="preserve"> </w:t>
            </w:r>
          </w:p>
          <w:p w14:paraId="13862189" w14:textId="2CEA3AFE" w:rsidR="0086106E" w:rsidRPr="0086106E" w:rsidRDefault="0086106E" w:rsidP="0086106E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2693" w:type="dxa"/>
          </w:tcPr>
          <w:p w14:paraId="1BC13FE4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</w:tcPr>
          <w:p w14:paraId="324EEB9C" w14:textId="62465401" w:rsidR="0086106E" w:rsidRPr="007E2F6F" w:rsidRDefault="0086106E" w:rsidP="0086106E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r w:rsidRPr="007E2F6F">
              <w:rPr>
                <w:lang w:val="en-GB"/>
              </w:rPr>
              <w:t xml:space="preserve">Distr.: </w:t>
            </w:r>
            <w:bookmarkStart w:id="2" w:name="Distribution"/>
            <w:r w:rsidR="007E2F6F" w:rsidRPr="007E2F6F">
              <w:rPr>
                <w:lang w:val="en-GB"/>
              </w:rPr>
              <w:t>General</w:t>
            </w:r>
            <w:bookmarkEnd w:id="2"/>
            <w:r w:rsidRPr="007E2F6F">
              <w:rPr>
                <w:lang w:val="en-GB"/>
              </w:rPr>
              <w:t xml:space="preserve"> </w:t>
            </w:r>
          </w:p>
          <w:p w14:paraId="543BDE68" w14:textId="6E631F58" w:rsidR="0086106E" w:rsidRPr="007E2F6F" w:rsidRDefault="007E2F6F" w:rsidP="0086106E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bookmarkStart w:id="3" w:name="DistributionDate"/>
            <w:r w:rsidRPr="007E2F6F">
              <w:rPr>
                <w:lang w:val="en-GB"/>
              </w:rPr>
              <w:t>29 July 2025</w:t>
            </w:r>
            <w:bookmarkEnd w:id="3"/>
            <w:r w:rsidR="0086106E" w:rsidRPr="007E2F6F">
              <w:rPr>
                <w:lang w:val="en-GB"/>
              </w:rPr>
              <w:t xml:space="preserve"> </w:t>
            </w:r>
          </w:p>
          <w:p w14:paraId="5FBCCD5E" w14:textId="2292DC51" w:rsidR="0086106E" w:rsidRPr="007E2F6F" w:rsidRDefault="007E2F6F" w:rsidP="0086106E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bookmarkStart w:id="4" w:name="DistributionLang"/>
            <w:r w:rsidRPr="007E2F6F">
              <w:rPr>
                <w:lang w:val="en-GB"/>
              </w:rPr>
              <w:t xml:space="preserve">Russian </w:t>
            </w:r>
            <w:r w:rsidRPr="007E2F6F">
              <w:rPr>
                <w:lang w:val="en-GB"/>
              </w:rPr>
              <w:br/>
              <w:t>Original: English</w:t>
            </w:r>
            <w:bookmarkEnd w:id="4"/>
          </w:p>
        </w:tc>
      </w:tr>
    </w:tbl>
    <w:p w14:paraId="700C0C6E" w14:textId="77777777" w:rsidR="0086106E" w:rsidRPr="007E2F6F" w:rsidRDefault="0086106E" w:rsidP="0086106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lang w:val="en-GB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86106E" w:rsidRPr="0086106E" w14:paraId="6605834C" w14:textId="77777777" w:rsidTr="0086106E">
        <w:trPr>
          <w:trHeight w:val="57"/>
        </w:trPr>
        <w:tc>
          <w:tcPr>
            <w:tcW w:w="5301" w:type="dxa"/>
          </w:tcPr>
          <w:p w14:paraId="53E82053" w14:textId="77777777" w:rsidR="0086106E" w:rsidRPr="0086106E" w:rsidRDefault="0086106E" w:rsidP="0086106E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5" w:name="CorNot1Text"/>
            <w:r w:rsidRPr="0086106E">
              <w:t xml:space="preserve">Конференция Сторон Минаматской </w:t>
            </w:r>
            <w:r w:rsidRPr="0086106E">
              <w:br/>
              <w:t>конвенции о ртути</w:t>
            </w:r>
          </w:p>
          <w:p w14:paraId="14096546" w14:textId="6A76AD60" w:rsidR="0086106E" w:rsidRPr="0086106E" w:rsidRDefault="0086106E" w:rsidP="0086106E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t>Шестое совещание</w:t>
            </w:r>
            <w:bookmarkEnd w:id="5"/>
            <w:r w:rsidRPr="0086106E">
              <w:t xml:space="preserve"> </w:t>
            </w:r>
          </w:p>
          <w:p w14:paraId="42091996" w14:textId="523872A4" w:rsidR="0086106E" w:rsidRPr="005C4F10" w:rsidRDefault="0086106E" w:rsidP="0086106E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6" w:name="CorNot1VenueDate"/>
            <w:r w:rsidRPr="0086106E">
              <w:t>Женева, 3–7 ноября 2025 года</w:t>
            </w:r>
            <w:bookmarkEnd w:id="6"/>
          </w:p>
          <w:p w14:paraId="33BDC007" w14:textId="6B2CC5D3" w:rsidR="00AE020A" w:rsidRPr="00AE4283" w:rsidRDefault="00AE020A" w:rsidP="00AE020A">
            <w:pPr>
              <w:pStyle w:val="AATitle1"/>
              <w:rPr>
                <w:rFonts w:eastAsiaTheme="minorEastAsia"/>
              </w:rPr>
            </w:pPr>
            <w:bookmarkStart w:id="7" w:name="CorNot1AgItem"/>
            <w:r>
              <w:rPr>
                <w:color w:val="000000"/>
              </w:rPr>
              <w:t>Пункт 4 l) предварительной повестки дня</w:t>
            </w:r>
            <w:r w:rsidRPr="00AE020A">
              <w:rPr>
                <w:rStyle w:val="FootnoteReference"/>
                <w:rFonts w:eastAsiaTheme="majorEastAsia"/>
                <w:bCs/>
                <w:color w:val="000000"/>
                <w:vertAlign w:val="baseline"/>
              </w:rPr>
              <w:footnoteReference w:customMarkFollows="1" w:id="1"/>
              <w:t>*</w:t>
            </w:r>
            <w:bookmarkEnd w:id="7"/>
          </w:p>
          <w:p w14:paraId="4E2A8B9F" w14:textId="41380C3F" w:rsidR="0086106E" w:rsidRPr="00213119" w:rsidRDefault="00213119" w:rsidP="0086106E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8" w:name="CorNot1AgTitle"/>
            <w:r>
              <w:rPr>
                <w:bCs/>
                <w:color w:val="000000"/>
              </w:rPr>
              <w:t>Вопросы для рассмотрения или принятия мер Конференцией Сторон: ртуть и Куньминско</w:t>
            </w:r>
            <w:r w:rsidRPr="00213119">
              <w:rPr>
                <w:bCs/>
                <w:color w:val="000000"/>
              </w:rPr>
              <w:noBreakHyphen/>
            </w:r>
            <w:r>
              <w:rPr>
                <w:bCs/>
                <w:color w:val="000000"/>
              </w:rPr>
              <w:t>Монреальская глобальная рамочная программа в области биоразнообразия</w:t>
            </w:r>
            <w:bookmarkEnd w:id="8"/>
          </w:p>
        </w:tc>
        <w:tc>
          <w:tcPr>
            <w:tcW w:w="4195" w:type="dxa"/>
          </w:tcPr>
          <w:p w14:paraId="513B2BA0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0628DECE" w14:textId="77777777" w:rsidR="004A3632" w:rsidRPr="00FC43D3" w:rsidRDefault="004A3632" w:rsidP="00F012A3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>«Дорожная карта» для расширения сопутствующих выгод в ходе осуществления Минаматской конвенции и Куньминско-Монреальской глобальной рамочной программы в области биоразнообразия</w:t>
      </w:r>
    </w:p>
    <w:p w14:paraId="68F84A98" w14:textId="606AE3C0" w:rsidR="004A3632" w:rsidRPr="00BE30BF" w:rsidRDefault="004A3632" w:rsidP="00F012A3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left="2494"/>
      </w:pPr>
      <w:r>
        <w:rPr>
          <w:bCs/>
        </w:rPr>
        <w:t>Записка секретариата</w:t>
      </w:r>
    </w:p>
    <w:p w14:paraId="1852872E" w14:textId="70882C8F" w:rsidR="004A3632" w:rsidRPr="00BE30BF" w:rsidRDefault="00F012A3" w:rsidP="00F012A3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bookmarkStart w:id="9" w:name="_Hlk192252242"/>
      <w:r w:rsidRPr="005C4F10">
        <w:rPr>
          <w:bCs/>
        </w:rPr>
        <w:tab/>
      </w:r>
      <w:r w:rsidR="004A3632">
        <w:rPr>
          <w:bCs/>
        </w:rPr>
        <w:t>I.</w:t>
      </w:r>
      <w:r w:rsidR="004A3632">
        <w:tab/>
      </w:r>
      <w:r w:rsidR="004A3632">
        <w:rPr>
          <w:bCs/>
        </w:rPr>
        <w:t>Введение</w:t>
      </w:r>
    </w:p>
    <w:bookmarkEnd w:id="9"/>
    <w:p w14:paraId="3118C102" w14:textId="77777777" w:rsidR="004A3632" w:rsidRPr="00BE30BF" w:rsidRDefault="004A3632" w:rsidP="003176A4">
      <w:pPr>
        <w:pStyle w:val="Normalnumber"/>
        <w:numPr>
          <w:ilvl w:val="0"/>
          <w:numId w:val="0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  <w:ind w:left="1247"/>
        <w:rPr>
          <w:rFonts w:asciiTheme="majorBidi" w:hAnsiTheme="majorBidi" w:cstheme="majorBidi"/>
          <w:b/>
          <w:bCs/>
        </w:rPr>
      </w:pPr>
      <w:r>
        <w:rPr>
          <w:b/>
          <w:bCs/>
        </w:rPr>
        <w:t>Справочная информация</w:t>
      </w:r>
    </w:p>
    <w:p w14:paraId="1DB146A4" w14:textId="77777777" w:rsidR="004A3632" w:rsidRPr="00FC43D3" w:rsidRDefault="004A3632" w:rsidP="003176A4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rFonts w:asciiTheme="majorBidi" w:hAnsiTheme="majorBidi" w:cstheme="majorBidi"/>
        </w:rPr>
      </w:pPr>
      <w:r>
        <w:t xml:space="preserve">На своем пятом совещании Конференция Сторон Минаматской конвенции о ртути приняла решение МК-5/17 о ртути и Куньминско-Монреальской глобальной рамочной программе в области биоразнообразия. </w:t>
      </w:r>
      <w:hyperlink r:id="rId13" w:history="1"/>
    </w:p>
    <w:p w14:paraId="34EFBE0C" w14:textId="3770F096" w:rsidR="004A3632" w:rsidRPr="00BE30BF" w:rsidRDefault="004A3632" w:rsidP="003176A4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>Решение было разработано на основе подготовленного секретариатом доклада, в котором описано, каким образом Конвенция и Рамочная программа могут осуществляться на взаимодополняющей основе и представлено картирование взаимосвязей между Конвенцией и Рамочной программой; его краткое изложение имеется в документе UNEP/MC/COP.5/20</w:t>
      </w:r>
      <w:r w:rsidR="0037630F" w:rsidRPr="008C57BA">
        <w:t xml:space="preserve">, </w:t>
      </w:r>
      <w:r w:rsidR="0037630F">
        <w:t>а</w:t>
      </w:r>
      <w:r w:rsidR="008C57BA">
        <w:t xml:space="preserve"> </w:t>
      </w:r>
      <w:r>
        <w:t xml:space="preserve">полное описание – в документе UNEP/MC/COP.5/INF/27. Доклад продемонстрировал, что работа в рамках Минаматской конвенции способствует решению почти всех задач Рамочной программы. </w:t>
      </w:r>
    </w:p>
    <w:p w14:paraId="6C5A9C3C" w14:textId="77777777" w:rsidR="004A3632" w:rsidRPr="00BE30BF" w:rsidRDefault="004A3632" w:rsidP="003176A4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 xml:space="preserve">В решении МК-5/17 секретариату было поручено, при условии наличия ресурсов, подготовить проект «дорожной карты», включая возможные мероприятия и показатели, для поддержки Сторон в демонстрации и максимально эффективном использовании сопутствующих выгод, возникающих в результате осуществления Минаматской конвенции и Куньминско-Монреальской глобальной рамочной программы в области биоразнообразия, для рассмотрения Конференцией Сторон на ее шестом совещании. </w:t>
      </w:r>
    </w:p>
    <w:p w14:paraId="6B28ADBE" w14:textId="77777777" w:rsidR="004A3632" w:rsidRPr="00BE30BF" w:rsidRDefault="004A3632" w:rsidP="003176A4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 xml:space="preserve">В настоящей записке обобщается информация о мероприятиях, проведенных секретариатом во исполнение решения МК-5/17, и представлен проект «дорожной карты» для </w:t>
      </w:r>
      <w:r>
        <w:lastRenderedPageBreak/>
        <w:t xml:space="preserve">расширения сопутствующих выгод в ходе осуществления Минаматской конвенции и Куньминско-Монреальской глобальной рамочной программы в области биоразнообразия до 2030 года. В приложении I к записке изложено предлагаемое решение по этому вопросу. </w:t>
      </w:r>
    </w:p>
    <w:p w14:paraId="129E4D49" w14:textId="50BBE027" w:rsidR="004A3632" w:rsidRPr="00BE30BF" w:rsidRDefault="004A3632" w:rsidP="003176A4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 xml:space="preserve">При подготовке проекта «дорожной карты» секретариат учел итоги шестнадцатого совещания Конференции </w:t>
      </w:r>
      <w:r w:rsidR="003176A4">
        <w:t>Сторон</w:t>
      </w:r>
      <w:r>
        <w:t xml:space="preserve"> Конвенции о биологическом разнообразии, которое проходило в два этапа: в Кали (Колумбия) с 21 октября по 1 ноября 2024 года и в Риме с 25 по 27 февраля 2025 года. В приложении II к настоящей записке приводится обзор принятых в результате решений, имеющих непосредственное отношение к Минаматской конвенции. Для удобства пользования в документе UNEP/MC/COP.6/INF/41 приводится перечень основных решений пятнадцатого и шестнадцатого совещаний Конференции </w:t>
      </w:r>
      <w:r w:rsidR="003176A4">
        <w:t>Сторон</w:t>
      </w:r>
      <w:r>
        <w:t xml:space="preserve"> Конвенции о биологическом разнообразии.</w:t>
      </w:r>
    </w:p>
    <w:p w14:paraId="5E07955A" w14:textId="3F66A091" w:rsidR="004A3632" w:rsidRPr="00BE30BF" w:rsidRDefault="003176A4" w:rsidP="00F012A3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 w:rsidRPr="005C4F10">
        <w:rPr>
          <w:bCs/>
        </w:rPr>
        <w:tab/>
      </w:r>
      <w:r w:rsidR="004A3632">
        <w:rPr>
          <w:bCs/>
        </w:rPr>
        <w:t>II.</w:t>
      </w:r>
      <w:r w:rsidR="004A3632">
        <w:tab/>
      </w:r>
      <w:r w:rsidR="004A3632">
        <w:rPr>
          <w:bCs/>
        </w:rPr>
        <w:t>Мероприятия, проведенные во исполнение решения MК-5/17</w:t>
      </w:r>
    </w:p>
    <w:p w14:paraId="63F9817F" w14:textId="17906C69" w:rsidR="004A3632" w:rsidRPr="00BE30BF" w:rsidRDefault="004A3632" w:rsidP="003176A4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>Секретариат провел мероприятия по информированию Конференции Сторон Конвенции о биологическом разнообразии, ее вспомогательных органов и секретариата Конвенции о биологическом разнообразии об итогах пятого совещания Конференции Сторон Минаматской конвенции, касающихся Рамочной программы. В письме, направленном 31 января 2024 года</w:t>
      </w:r>
      <w:r w:rsidRPr="004C0EF8">
        <w:rPr>
          <w:rStyle w:val="FootnoteReference"/>
          <w:rFonts w:eastAsiaTheme="majorEastAsia"/>
          <w:shd w:val="clear" w:color="auto" w:fill="FFFFFF"/>
        </w:rPr>
        <w:footnoteReference w:id="2"/>
      </w:r>
      <w:r>
        <w:t>, Исполнительный секретарь Минаматской конвенции передала соответствующие решения Исполнительному секретарю Конвенции о биологическом разнообразии, включая предложение разработать индикаторы для мониторинга, относящиеся к особо опасным химическим веществам и ртути, в рамках задачи 7 Рамочной программы</w:t>
      </w:r>
      <w:r w:rsidRPr="009C1A48">
        <w:rPr>
          <w:rStyle w:val="FootnoteReference"/>
          <w:rFonts w:eastAsiaTheme="majorEastAsia"/>
          <w:shd w:val="clear" w:color="auto" w:fill="FFFFFF"/>
        </w:rPr>
        <w:footnoteReference w:id="3"/>
      </w:r>
      <w:r>
        <w:t xml:space="preserve">. Секретариат также представил Конференции Сторон Конвенции о биологическом разнообразии на ее шестнадцатом совещании доклад с кратким изложением соответствующих решений пятого совещания Конференции Сторон Минаматской конвенции, а также с описанием работы по снижению воздействия ртутного загрязнения на биоразнообразие, проведенной в последнее время в рамках </w:t>
      </w:r>
      <w:r w:rsidR="0037630F">
        <w:t>К</w:t>
      </w:r>
      <w:r>
        <w:t>онвенции</w:t>
      </w:r>
      <w:r w:rsidRPr="00870138">
        <w:rPr>
          <w:rStyle w:val="FootnoteReference"/>
          <w:rFonts w:eastAsiaTheme="majorEastAsia"/>
        </w:rPr>
        <w:footnoteReference w:id="4"/>
      </w:r>
      <w:r>
        <w:t>. Наконец, секретариат принял участие в двадцать шестом совещании Вспомогательного органа по научным, техническим и технологическим консультациям, состоявшемся в Найроби с 13 по 18 мая 2024 года и в шестнадцатом совещании Конференции Сторон Конвенции о биологическом разнообразии в Кали, включая несколько сопутствующих мероприятий и сессий, на которых была продемонстрирована работа над тем, как согласованное осуществление Минаматской конвенции и Рамочной программы может принести многочисленные выгоды для окружающей среды и общества в целом.</w:t>
      </w:r>
    </w:p>
    <w:p w14:paraId="75E9E33D" w14:textId="67EFB287" w:rsidR="004A3632" w:rsidRPr="00BE30BF" w:rsidRDefault="004A3632" w:rsidP="003176A4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 xml:space="preserve">Кроме того, секретариат разработал новые ресурсы для поддержки работы по повышению согласованности повесток дня в области химических веществ и биоразнообразия на национальном уровне. При финансовой поддержке Королевства Нидерландов секретариат разработал технический документ по вопросу интеграции задач и мероприятий, касающихся ртути, в национальные стратегии и планы действий по сохранению биоразнообразия (НСПДСБ) в процессе их пересмотра или обновления для приведения в соответствие с Куньминско-Монреальской глобальной рамочной программой в области биоразнообразия. Он был разработан в партнерстве с организацией «Охрана природы» и </w:t>
      </w:r>
      <w:r w:rsidR="0037630F">
        <w:t>приводится</w:t>
      </w:r>
      <w:r>
        <w:t xml:space="preserve"> в документе UNEP/MC/COP.6/INF/27. Кроме того, используя доклад, подготовленный для пятого совещания Конференции Сторон, секретариат разработал публикацию под названием </w:t>
      </w:r>
      <w:r w:rsidRPr="00CF6CC8">
        <w:rPr>
          <w:lang w:val="en-US"/>
        </w:rPr>
        <w:t>Mercury</w:t>
      </w:r>
      <w:r w:rsidRPr="00CF6CC8">
        <w:t xml:space="preserve"> </w:t>
      </w:r>
      <w:r w:rsidRPr="00CF6CC8">
        <w:rPr>
          <w:lang w:val="en-US"/>
        </w:rPr>
        <w:t>and</w:t>
      </w:r>
      <w:r w:rsidRPr="00CF6CC8">
        <w:t xml:space="preserve"> </w:t>
      </w:r>
      <w:r w:rsidRPr="00CF6CC8">
        <w:rPr>
          <w:lang w:val="en-US"/>
        </w:rPr>
        <w:t>Biodiversity</w:t>
      </w:r>
      <w:r w:rsidRPr="00CF6CC8">
        <w:t xml:space="preserve"> – </w:t>
      </w:r>
      <w:r w:rsidRPr="00CF6CC8">
        <w:rPr>
          <w:lang w:val="en-US"/>
        </w:rPr>
        <w:t>Opportunities</w:t>
      </w:r>
      <w:r w:rsidRPr="00CF6CC8">
        <w:t xml:space="preserve"> </w:t>
      </w:r>
      <w:r w:rsidRPr="00CF6CC8">
        <w:rPr>
          <w:lang w:val="en-US"/>
        </w:rPr>
        <w:t>for</w:t>
      </w:r>
      <w:r w:rsidRPr="00CF6CC8">
        <w:t xml:space="preserve"> </w:t>
      </w:r>
      <w:r w:rsidRPr="00CF6CC8">
        <w:rPr>
          <w:lang w:val="en-US"/>
        </w:rPr>
        <w:t>Generating</w:t>
      </w:r>
      <w:r w:rsidRPr="00CF6CC8">
        <w:t xml:space="preserve"> </w:t>
      </w:r>
      <w:r w:rsidRPr="00CF6CC8">
        <w:rPr>
          <w:lang w:val="en-US"/>
        </w:rPr>
        <w:t>Co</w:t>
      </w:r>
      <w:r w:rsidRPr="00CF6CC8">
        <w:t>-</w:t>
      </w:r>
      <w:r w:rsidRPr="00CF6CC8">
        <w:rPr>
          <w:lang w:val="en-US"/>
        </w:rPr>
        <w:t>Benefits</w:t>
      </w:r>
      <w:r w:rsidRPr="00CF6CC8">
        <w:t xml:space="preserve"> </w:t>
      </w:r>
      <w:r w:rsidRPr="00CF6CC8">
        <w:rPr>
          <w:lang w:val="en-US"/>
        </w:rPr>
        <w:t>through</w:t>
      </w:r>
      <w:r w:rsidRPr="00CF6CC8">
        <w:t xml:space="preserve"> </w:t>
      </w:r>
      <w:r w:rsidRPr="00CF6CC8">
        <w:rPr>
          <w:lang w:val="en-US"/>
        </w:rPr>
        <w:t>Coherent</w:t>
      </w:r>
      <w:r w:rsidRPr="00CF6CC8">
        <w:t xml:space="preserve"> </w:t>
      </w:r>
      <w:r w:rsidRPr="00CF6CC8">
        <w:rPr>
          <w:lang w:val="en-US"/>
        </w:rPr>
        <w:t>Implementation</w:t>
      </w:r>
      <w:r w:rsidRPr="00CF6CC8">
        <w:t xml:space="preserve"> </w:t>
      </w:r>
      <w:r w:rsidRPr="00CF6CC8">
        <w:rPr>
          <w:lang w:val="en-US"/>
        </w:rPr>
        <w:t>of</w:t>
      </w:r>
      <w:r w:rsidRPr="00CF6CC8">
        <w:t xml:space="preserve"> </w:t>
      </w:r>
      <w:r w:rsidRPr="00CF6CC8">
        <w:rPr>
          <w:lang w:val="en-US"/>
        </w:rPr>
        <w:t>the</w:t>
      </w:r>
      <w:r w:rsidRPr="00CF6CC8">
        <w:t xml:space="preserve"> </w:t>
      </w:r>
      <w:r w:rsidRPr="00CF6CC8">
        <w:rPr>
          <w:lang w:val="en-US"/>
        </w:rPr>
        <w:t>Minamata</w:t>
      </w:r>
      <w:r w:rsidRPr="00CF6CC8">
        <w:t xml:space="preserve"> </w:t>
      </w:r>
      <w:r w:rsidRPr="00CF6CC8">
        <w:rPr>
          <w:lang w:val="en-US"/>
        </w:rPr>
        <w:t>Convention</w:t>
      </w:r>
      <w:r w:rsidRPr="00CF6CC8">
        <w:t xml:space="preserve"> </w:t>
      </w:r>
      <w:r w:rsidRPr="00CF6CC8">
        <w:rPr>
          <w:lang w:val="en-US"/>
        </w:rPr>
        <w:t>on</w:t>
      </w:r>
      <w:r w:rsidRPr="00CF6CC8">
        <w:t xml:space="preserve"> </w:t>
      </w:r>
      <w:r w:rsidRPr="00CF6CC8">
        <w:rPr>
          <w:lang w:val="en-US"/>
        </w:rPr>
        <w:t>Mercury</w:t>
      </w:r>
      <w:r w:rsidRPr="00CF6CC8">
        <w:t xml:space="preserve"> </w:t>
      </w:r>
      <w:r w:rsidRPr="00CF6CC8">
        <w:rPr>
          <w:lang w:val="en-US"/>
        </w:rPr>
        <w:t>and</w:t>
      </w:r>
      <w:r w:rsidRPr="00CF6CC8">
        <w:t xml:space="preserve"> </w:t>
      </w:r>
      <w:r w:rsidRPr="00CF6CC8">
        <w:rPr>
          <w:lang w:val="en-US"/>
        </w:rPr>
        <w:t>the</w:t>
      </w:r>
      <w:r w:rsidRPr="00CF6CC8">
        <w:t xml:space="preserve"> </w:t>
      </w:r>
      <w:r w:rsidRPr="00CF6CC8">
        <w:rPr>
          <w:lang w:val="en-US"/>
        </w:rPr>
        <w:t>Kunming</w:t>
      </w:r>
      <w:r w:rsidRPr="00CF6CC8">
        <w:t>-</w:t>
      </w:r>
      <w:r w:rsidRPr="00CF6CC8">
        <w:rPr>
          <w:lang w:val="en-US"/>
        </w:rPr>
        <w:t>Montreal</w:t>
      </w:r>
      <w:r w:rsidRPr="00CF6CC8">
        <w:t xml:space="preserve"> </w:t>
      </w:r>
      <w:r w:rsidRPr="00CF6CC8">
        <w:rPr>
          <w:lang w:val="en-US"/>
        </w:rPr>
        <w:t>Global</w:t>
      </w:r>
      <w:r w:rsidRPr="00CF6CC8">
        <w:t xml:space="preserve"> </w:t>
      </w:r>
      <w:r w:rsidRPr="00CF6CC8">
        <w:rPr>
          <w:lang w:val="en-US"/>
        </w:rPr>
        <w:t>Biodiversity</w:t>
      </w:r>
      <w:r w:rsidRPr="00CF6CC8">
        <w:t xml:space="preserve"> </w:t>
      </w:r>
      <w:r w:rsidRPr="00CF6CC8">
        <w:rPr>
          <w:lang w:val="en-US"/>
        </w:rPr>
        <w:t>Framework</w:t>
      </w:r>
      <w:r>
        <w:t xml:space="preserve"> («Ртуть и биоразнообразие – возможности для получения сопутствующих выгод путем согласованного осуществления Минаматской конвенции о ртути и Куньмин</w:t>
      </w:r>
      <w:r w:rsidR="0037630F">
        <w:t>ско</w:t>
      </w:r>
      <w:r>
        <w:t>-Монреальской глобальной рамочной программы в области биоразнообразия») и разместил ее на веб-сайте Конвенции</w:t>
      </w:r>
      <w:r>
        <w:rPr>
          <w:rStyle w:val="FootnoteReference"/>
          <w:rFonts w:eastAsiaTheme="majorEastAsia"/>
        </w:rPr>
        <w:footnoteReference w:id="5"/>
      </w:r>
      <w:r>
        <w:t xml:space="preserve">. </w:t>
      </w:r>
    </w:p>
    <w:p w14:paraId="28BF8FE6" w14:textId="77777777" w:rsidR="004A3632" w:rsidRPr="00BE30BF" w:rsidRDefault="004A3632" w:rsidP="003176A4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 xml:space="preserve">Помимо этого, секретариат совместно с секретариатом Базельской, Роттердамской и Стокгольмской конвенций и секретариатом Конвенции о биологическом разнообразии </w:t>
      </w:r>
      <w:r>
        <w:lastRenderedPageBreak/>
        <w:t>организовал ряд информационных сессий, две из которых состоялись 18 апреля и 12 сентября 2024 года, а еще одна должна пройти перед шестым совещанием Конференции Сторон, для содействия обмену мнениями между национальными координационными центрами кластеров многосторонних природоохранных соглашений по биоразнообразию и химическим веществам и отходам. Секретариат Межправительственной платформы по биоразнообразию и экосистемным услугам (МПБЭУ) также организовал вебинар по Минаматской конвенции для Многодисциплинарной группы экспертов МПБЭУ</w:t>
      </w:r>
      <w:r>
        <w:rPr>
          <w:rStyle w:val="FootnoteReference"/>
          <w:rFonts w:eastAsiaTheme="majorEastAsia"/>
        </w:rPr>
        <w:footnoteReference w:id="6"/>
      </w:r>
      <w:r>
        <w:t xml:space="preserve">, который состоялся 4 октября 2024 года. </w:t>
      </w:r>
    </w:p>
    <w:p w14:paraId="58004464" w14:textId="3351E93B" w:rsidR="004A3632" w:rsidRPr="00BE30BF" w:rsidRDefault="004A3632" w:rsidP="003176A4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 xml:space="preserve">Секретариат представлял Минаматскую конвенцию </w:t>
      </w:r>
      <w:r w:rsidR="0037630F">
        <w:t xml:space="preserve">на </w:t>
      </w:r>
      <w:r>
        <w:t>Конференции Берн-III по вопросам сотрудничества между конвенциями, связанными с биоразнообразием, в целях осуществления Куньминско-Монреальской глобальной рамочной программы в области биоразнообразия, которая проходила с 23 по 25 января 2024 года в Берне. Конференция была организована правительством Швейцарии и Программой Организации Объединенных Наций по окружающей среде (ЮНЕП), а представители нескольких Сторон Минаматской конвенции были приглашены принять в ней участие. Секретариат также принял участие в семинаре</w:t>
      </w:r>
      <w:r w:rsidR="008C57BA">
        <w:rPr>
          <w:vertAlign w:val="subscript"/>
        </w:rPr>
        <w:noBreakHyphen/>
      </w:r>
      <w:r>
        <w:t>практикуме</w:t>
      </w:r>
      <w:r w:rsidR="009436B1">
        <w:t xml:space="preserve"> в Божи-Боссе</w:t>
      </w:r>
      <w:r>
        <w:t xml:space="preserve"> для специалистов, посвященном Бернскому процессу и вкладу многосторонних природоохранных соглашений в осуществление Куньминско</w:t>
      </w:r>
      <w:r w:rsidR="008C57BA">
        <w:noBreakHyphen/>
      </w:r>
      <w:r>
        <w:t xml:space="preserve">Монреальской глобальной рамочной программы в области </w:t>
      </w:r>
      <w:r w:rsidR="009436B1">
        <w:t>биоразнообразия</w:t>
      </w:r>
      <w:r>
        <w:t>, который состоялся в Божи-Боссе (Швейцария) 27 и 28 августа 2025 года.</w:t>
      </w:r>
    </w:p>
    <w:p w14:paraId="1D4CA85E" w14:textId="0B334176" w:rsidR="004A3632" w:rsidRPr="00BE30BF" w:rsidRDefault="004A3632" w:rsidP="003176A4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>Секретариат сотрудничал с координационными центра</w:t>
      </w:r>
      <w:r w:rsidR="009436B1">
        <w:t>ми</w:t>
      </w:r>
      <w:r>
        <w:t xml:space="preserve"> Глобального экологического фонда (ГЭФ), Минаматской конвенции и других многосторонних природоохранных соглашений в целях поддержки разработки проектов в рамках основных направлений деятельности и комплексных программ, а также содействовал интеграции на совещаниях Технической консультативной группы ГЭФ, заседаниях Совета ГЭФ и совещаниях по вопросу пополнения целевого фонда ГЭФ. Дополнительная информация по вопросам, касающимся ГЭФ, имеется в документе UNEP/MC/COP.6/10.</w:t>
      </w:r>
    </w:p>
    <w:p w14:paraId="20E3D12D" w14:textId="550C8B78" w:rsidR="004A3632" w:rsidRPr="00BE30BF" w:rsidRDefault="007E6C4B" w:rsidP="00F012A3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 w:rsidRPr="005C4F10">
        <w:rPr>
          <w:bCs/>
        </w:rPr>
        <w:tab/>
      </w:r>
      <w:r w:rsidR="004A3632">
        <w:rPr>
          <w:bCs/>
        </w:rPr>
        <w:t>III.</w:t>
      </w:r>
      <w:r w:rsidR="004A3632">
        <w:tab/>
      </w:r>
      <w:r w:rsidR="004A3632">
        <w:rPr>
          <w:bCs/>
        </w:rPr>
        <w:t>Проект «дорожной карты» для расширения сопутствующих выгод в ходе осуществления Минаматской конвенции и Куньминско-Монреальской глобальной рамочной программы в области биоразнообразия</w:t>
      </w:r>
      <w:r w:rsidR="004A3632">
        <w:t xml:space="preserve"> </w:t>
      </w:r>
    </w:p>
    <w:p w14:paraId="5EDC7992" w14:textId="5D4F5315" w:rsidR="004A3632" w:rsidRPr="00BE30BF" w:rsidRDefault="007E6C4B" w:rsidP="007E6C4B">
      <w:pPr>
        <w:pStyle w:val="CH2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 w:rsidRPr="005C4F10">
        <w:rPr>
          <w:bCs/>
        </w:rPr>
        <w:tab/>
      </w:r>
      <w:r w:rsidR="004A3632">
        <w:rPr>
          <w:bCs/>
        </w:rPr>
        <w:t>A.</w:t>
      </w:r>
      <w:r w:rsidR="004A3632">
        <w:tab/>
      </w:r>
      <w:r w:rsidR="004A3632">
        <w:rPr>
          <w:bCs/>
        </w:rPr>
        <w:t>Справочная информация о вкладе Минаматской конвенции в механизм мониторинга Куньминско-Монреальской глобальной рамочной программы в области биоразнообразия</w:t>
      </w:r>
    </w:p>
    <w:p w14:paraId="4B30C828" w14:textId="4B0F965D" w:rsidR="004A3632" w:rsidRPr="00BE30BF" w:rsidRDefault="004A3632" w:rsidP="007E6C4B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 xml:space="preserve">В своем решении MК-5/17 Конференция </w:t>
      </w:r>
      <w:r w:rsidR="009436B1">
        <w:t>С</w:t>
      </w:r>
      <w:r>
        <w:t>торон Минаматской конвенции отметила отсутствие в механизме мониторинга Куньминско-Монреальской глобальной рамочной программы в области биоразнообразия индикаторов, касающихся общего риска, связанного с особо опасными химическими веществами, и предложила Конференции Сторон Конвенции о биологическом разнообразии рассмотреть вопрос о дополнительных индикаторах в рамках задачи 7, чтобы охватить особо опасные химические вещества и ртуть.</w:t>
      </w:r>
    </w:p>
    <w:p w14:paraId="297B7283" w14:textId="1DA86776" w:rsidR="004A3632" w:rsidRPr="00BE30BF" w:rsidRDefault="004A3632" w:rsidP="007E6C4B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 xml:space="preserve">Кроме того, Конференция Сторон в своем решении MК-5/14 приняла показатели в поддержку оценки эффективности Минаматской конвенции, включая показатель 1 «Уровни и тенденции содержания ртути и ртутных соединений в окружающей среде и в организме человека, обусловленные антропогенными выбросами и высвобождениями» и показатель 29 «Уровни ртути среди уязвимых групп населения». </w:t>
      </w:r>
    </w:p>
    <w:p w14:paraId="7FE4C61B" w14:textId="318BB910" w:rsidR="004A3632" w:rsidRPr="00FC43D3" w:rsidRDefault="004A3632" w:rsidP="007E6C4B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>Научная группа открытого состава, созданная в соответствии с решением MК-4/11, отвечает за анализ показателей 1 и 29 и подготовку научного доклада, обобщающего имеющиеся данные о мониторинге ртути, выбросах и высвобождениях, для решения научных вопросов, касающихся уровней содержания ртути в окружающей среде и организме человека, тенденций во времени и пространственных моделей, негативного воздействия и причинно</w:t>
      </w:r>
      <w:r w:rsidR="00337E21" w:rsidRPr="00337E21">
        <w:noBreakHyphen/>
      </w:r>
      <w:r>
        <w:t xml:space="preserve">следственных связей. Конференция Сторон должна рассмотреть научный доклад при первой оценке эффективности Конвенции на своем седьмом совещании, а также при последующих периодических оценках эффективности Конвенции с учетом имеющихся данных мониторинга. </w:t>
      </w:r>
    </w:p>
    <w:p w14:paraId="0690F4B2" w14:textId="77777777" w:rsidR="004A3632" w:rsidRPr="00BE30BF" w:rsidRDefault="004A3632" w:rsidP="007E6C4B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lastRenderedPageBreak/>
        <w:t xml:space="preserve">Показатели оценки эффективности 1 и 29 могут также служить дополнительными индикаторами в рамках задачи 7 Куньминско-Монреальской глобальной рамочной программы в области биоразнообразия. </w:t>
      </w:r>
    </w:p>
    <w:p w14:paraId="0207FFF3" w14:textId="77777777" w:rsidR="004A3632" w:rsidRPr="00BE30BF" w:rsidRDefault="004A3632" w:rsidP="007E6C4B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 xml:space="preserve">На своем шестнадцатом совещании Конференция Сторон Конвенции о биологическом разнообразии внедрила процесс рассмотрения новых индикаторов, поручив Исполнительному секретарю собрать материалы, представленные, в частности, секретариатами многосторонних природоохранных соглашений, для включения новых основных, компонентных и дополнительных индикаторов, отвечающих критериям включения в механизм мониторинга, с тем чтобы помочь устранить имеющиеся в нем пробелы. </w:t>
      </w:r>
    </w:p>
    <w:p w14:paraId="07F2B1FF" w14:textId="66CDFB7A" w:rsidR="004A3632" w:rsidRPr="00BE30BF" w:rsidRDefault="004A3632" w:rsidP="007E6C4B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>В ответ на призыв о предоставлении информации, опубликованный Исполнительным секретарем Конвенции о биологическом разнообразии 3 апреля 2025 года</w:t>
      </w:r>
      <w:r w:rsidR="009A6254">
        <w:rPr>
          <w:rStyle w:val="FootnoteReference"/>
          <w:rFonts w:eastAsiaTheme="majorEastAsia"/>
        </w:rPr>
        <w:footnoteReference w:id="7"/>
      </w:r>
      <w:r>
        <w:t xml:space="preserve">, секретариат направил информацию, в которой указал на пробел в имеющихся индикаторах загрязнения химическими веществами и предложил включить в качестве нового индикатора «уровни и тенденции содержания ртути и ртутных соединений в окружающей среде и в организме человека, обусловленные антропогенными выбросами и высвобождениями». </w:t>
      </w:r>
    </w:p>
    <w:p w14:paraId="04A33745" w14:textId="797A22F4" w:rsidR="004A3632" w:rsidRPr="00BE30BF" w:rsidRDefault="004A3632" w:rsidP="007E6C4B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sz w:val="18"/>
          <w:szCs w:val="18"/>
          <w:shd w:val="clear" w:color="auto" w:fill="FFFFFF"/>
        </w:rPr>
      </w:pPr>
      <w:r>
        <w:t xml:space="preserve">Секретариат также представил материалы в ответ на другой призыв о предоставлении информации, </w:t>
      </w:r>
      <w:r w:rsidR="009436B1">
        <w:t xml:space="preserve">касающейся </w:t>
      </w:r>
      <w:r>
        <w:t>биоразнообразия и здоровья</w:t>
      </w:r>
      <w:r>
        <w:rPr>
          <w:rStyle w:val="FootnoteReference"/>
          <w:rFonts w:eastAsiaTheme="majorEastAsia"/>
        </w:rPr>
        <w:footnoteReference w:id="8"/>
      </w:r>
      <w:r>
        <w:t xml:space="preserve">. Исполнительный секретарь Конвенции о биологическом разнообразии 7 февраля 2025 года направила приглашение представить информацию для разработки индикаторов, параметров и инструментов, предназначенных для оценки хода работы в области биоразнообразия и здоровья, включая примеры индикаторов в области биоразнообразия и здоровья, источники данных и сведения о деятельности других организаций и инициатив. Секретариат направил информацию о работе Научной группы открытого состава, и в том числе сравнение наблюдаемого уровня содержания ртути в окружающей среде и организме человека с установленными национальными и международными контрольными уровнями для здоровья человека и окружающей среды. </w:t>
      </w:r>
    </w:p>
    <w:p w14:paraId="048BFBF2" w14:textId="63869C16" w:rsidR="004A3632" w:rsidRPr="00BE30BF" w:rsidRDefault="000C47FC" w:rsidP="000C47FC">
      <w:pPr>
        <w:pStyle w:val="CH2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 w:rsidRPr="005C4F10">
        <w:rPr>
          <w:bCs/>
        </w:rPr>
        <w:tab/>
      </w:r>
      <w:r w:rsidR="004A3632">
        <w:rPr>
          <w:bCs/>
        </w:rPr>
        <w:t>B.</w:t>
      </w:r>
      <w:r w:rsidR="004A3632">
        <w:tab/>
      </w:r>
      <w:r w:rsidR="004A3632">
        <w:rPr>
          <w:bCs/>
        </w:rPr>
        <w:t>График решения задач Куньминско-Монреальской глобальной рамочной программы в области биоразнообразия до 2030 года</w:t>
      </w:r>
    </w:p>
    <w:p w14:paraId="094D2BBE" w14:textId="77777777" w:rsidR="004A3632" w:rsidRPr="009C1A48" w:rsidRDefault="004A3632" w:rsidP="000C47FC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 xml:space="preserve">НСПДСБ – это национальные стратегии, планы или программы, разработанные Сторонами Конвенции о биологическом разнообразии для сохранения и устойчивого использования биоразнообразия. Ожидается, что каждая Сторона Конвенции имеет НСПДСБ, соответствующие ее конкретным условиям и возможностям. Они являются основным инструментом осуществления Конвенции на национальном уровне. </w:t>
      </w:r>
    </w:p>
    <w:p w14:paraId="7093C6C4" w14:textId="77777777" w:rsidR="004A3632" w:rsidRPr="00BE30BF" w:rsidRDefault="004A3632" w:rsidP="000C47FC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>В решении 15/6 Конференция Сторон Конвенции о биологическом разнообразии предложила Сторонам пересмотреть и обновить их НСПДСБ в соответствии со статьей 6 Конвенции, следуя указаниям, содержащимся в приложении I к решению, привести их в соответствие с Куньминско-Монреальской глобальной рамочной программой в области биоразнообразия и ее целями и задачами, в том числе касающимися средств осуществления, и представить их через информационно-координационный механизм к шестнадцатому совещанию Конференции Сторон. Она также предложила Сторонам, не имеющим возможности направить их пересмотренные НСПДСБ к указанному сроку, сообщить о национальных задачах, отражающих, где это применимо, все цели и задачи Рамочной программы, в том числе связанные со всеми средствами осуществления, в виде отдельного материала, оформленного в соответствии с шаблоном для представления информации, приведенным в приложении I к решению, до шестнадцатого совещания Конференции Сторон и в преддверии представления НСПДСБ в полном объеме.</w:t>
      </w:r>
    </w:p>
    <w:p w14:paraId="703D4B55" w14:textId="485B93E8" w:rsidR="004A3632" w:rsidRPr="00FC43D3" w:rsidRDefault="004A3632" w:rsidP="000C47FC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>К шестнадцатому совещанию Конференции Сторон 44 Стороны представили свои НСПДСБ, а 119 Сторон сообщили о национальных задачах. По состоянию на 25 июля 2025</w:t>
      </w:r>
      <w:r w:rsidR="000C47FC">
        <w:rPr>
          <w:lang w:val="en-US"/>
        </w:rPr>
        <w:t> </w:t>
      </w:r>
      <w:r>
        <w:t>года 55 Сторон представили 57 НСПДСБ, а 137 Сторон сообщили о 3231 национальной задаче</w:t>
      </w:r>
      <w:r w:rsidRPr="009C1A48">
        <w:rPr>
          <w:vertAlign w:val="superscript"/>
        </w:rPr>
        <w:footnoteReference w:id="9"/>
      </w:r>
      <w:r>
        <w:t>.</w:t>
      </w:r>
    </w:p>
    <w:p w14:paraId="7A7FF808" w14:textId="0F9B070F" w:rsidR="004A3632" w:rsidRPr="00BE30BF" w:rsidRDefault="004A3632" w:rsidP="000C47FC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lastRenderedPageBreak/>
        <w:t>В решении 15/6 Сторонам также было предложено представить национальные доклады в 2026 и 2029 годах и использовать основные индикаторы, принятые в решении 15/5</w:t>
      </w:r>
      <w:r w:rsidR="009436B1" w:rsidRPr="008C57BA">
        <w:t xml:space="preserve">, </w:t>
      </w:r>
      <w:r w:rsidR="009436B1">
        <w:t>наряду с</w:t>
      </w:r>
      <w:r w:rsidR="008C57BA">
        <w:t xml:space="preserve"> </w:t>
      </w:r>
      <w:r>
        <w:t xml:space="preserve">факультативными компонентными и дополнительными индикаторами и другими национальными индикаторами. На своем шестнадцатом совещании Конференция Сторон в решении 16/32 одобрила шаблон представления информации для седьмого и восьмого национальных докладов, содержащийся в приложении I к </w:t>
      </w:r>
      <w:r w:rsidR="008C57BA">
        <w:t>этому решению</w:t>
      </w:r>
      <w:r>
        <w:t>.</w:t>
      </w:r>
    </w:p>
    <w:p w14:paraId="1A5B4A5D" w14:textId="544C433D" w:rsidR="004A3632" w:rsidRPr="00FC43D3" w:rsidRDefault="004A3632" w:rsidP="000C47FC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>На рис</w:t>
      </w:r>
      <w:r w:rsidR="00594A9F">
        <w:t>.</w:t>
      </w:r>
      <w:r>
        <w:t xml:space="preserve"> 1 (на стр. 5) представлен график проведения мониторинга, отчетности и обзора хода осуществления Куньминско-Монреальской глобальной рамочной программы в области биоразнообразия до 2030 года, когда будет осуществлен заключительный глобальный обзор хода осуществления Рамочной программы. На рис</w:t>
      </w:r>
      <w:r w:rsidR="005E5C39">
        <w:t>.</w:t>
      </w:r>
      <w:r>
        <w:t xml:space="preserve"> 2 (на стр. 6) показан график проведения </w:t>
      </w:r>
      <w:r w:rsidR="005E5C39">
        <w:t>совещаний</w:t>
      </w:r>
      <w:r>
        <w:t xml:space="preserve"> конференций Сторон Конвенции о биологическом разнообразии и Минаматской конвенции с указанием решений о процессах сотрудничества и других возможностей для взаимодействия.</w:t>
      </w:r>
    </w:p>
    <w:p w14:paraId="3B408436" w14:textId="4F4F39E6" w:rsidR="004A3632" w:rsidRDefault="004A3632" w:rsidP="00B32EF4">
      <w:pPr>
        <w:pStyle w:val="Titlefigur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bCs/>
        </w:rPr>
      </w:pPr>
      <w:r w:rsidRPr="00B32EF4">
        <w:rPr>
          <w:b w:val="0"/>
        </w:rPr>
        <w:t>Рис</w:t>
      </w:r>
      <w:r w:rsidR="00B32EF4" w:rsidRPr="00B32EF4">
        <w:rPr>
          <w:b w:val="0"/>
        </w:rPr>
        <w:t>.</w:t>
      </w:r>
      <w:r w:rsidRPr="00B32EF4">
        <w:rPr>
          <w:b w:val="0"/>
        </w:rPr>
        <w:t xml:space="preserve"> 1</w:t>
      </w:r>
      <w:r>
        <w:rPr>
          <w:bCs/>
        </w:rPr>
        <w:t xml:space="preserve"> </w:t>
      </w:r>
      <w:r w:rsidR="00B32EF4" w:rsidRPr="00B32EF4">
        <w:rPr>
          <w:bCs/>
        </w:rPr>
        <w:br/>
      </w:r>
      <w:r>
        <w:rPr>
          <w:bCs/>
        </w:rPr>
        <w:t>График проведения мониторинга, отчетности и обзора хода осуществления Куньминско</w:t>
      </w:r>
      <w:r w:rsidR="00B32EF4" w:rsidRPr="00B32EF4">
        <w:rPr>
          <w:bCs/>
        </w:rPr>
        <w:noBreakHyphen/>
      </w:r>
      <w:r>
        <w:rPr>
          <w:bCs/>
        </w:rPr>
        <w:t>Монреальской глобальной рамочной программы в области биоразнообразия</w:t>
      </w:r>
    </w:p>
    <w:p w14:paraId="351CEED3" w14:textId="4ED49AA9" w:rsidR="004A3632" w:rsidRPr="00BE30BF" w:rsidRDefault="00141EDE" w:rsidP="004A3632">
      <w:pPr>
        <w:pStyle w:val="NormalNonumber"/>
      </w:pPr>
      <w:r w:rsidRPr="00141EDE">
        <w:rPr>
          <w:noProof/>
        </w:rPr>
        <w:drawing>
          <wp:inline distT="0" distB="0" distL="0" distR="0" wp14:anchorId="4D3E1A10" wp14:editId="3A91440D">
            <wp:extent cx="5256000" cy="3329835"/>
            <wp:effectExtent l="0" t="0" r="1905" b="4445"/>
            <wp:docPr id="926009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0913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6000" cy="332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8CB12" w14:textId="16FC9534" w:rsidR="004A3632" w:rsidRPr="008276BB" w:rsidRDefault="004A3632" w:rsidP="008276BB">
      <w:pPr>
        <w:pStyle w:val="Normalnumber"/>
        <w:numPr>
          <w:ilvl w:val="0"/>
          <w:numId w:val="0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  <w:ind w:left="1247" w:firstLine="624"/>
        <w:rPr>
          <w:sz w:val="18"/>
          <w:szCs w:val="18"/>
        </w:rPr>
      </w:pPr>
      <w:r w:rsidRPr="008276BB">
        <w:rPr>
          <w:i/>
          <w:iCs/>
          <w:sz w:val="18"/>
          <w:szCs w:val="18"/>
        </w:rPr>
        <w:t>Сокращения:</w:t>
      </w:r>
      <w:r w:rsidRPr="008276BB">
        <w:rPr>
          <w:sz w:val="18"/>
          <w:szCs w:val="18"/>
        </w:rPr>
        <w:t xml:space="preserve"> КС-15 – пятнадцатое совещание Конференции Сторон; КС-16.1 – часть I шестнадцатого совещания Конференции Сторон; КС-16.2 – часть II шестнадцатого совещания Конференции Сторон; КС-17 – семнадцатое совещание Конференции Сторон; КС-18 – восемнадцатое совещание Конференции Сторон; КС-19 – девятнадцатое совещание Конференции Сторон; ГПБ</w:t>
      </w:r>
      <w:r w:rsidR="008276BB">
        <w:rPr>
          <w:sz w:val="18"/>
          <w:szCs w:val="18"/>
          <w:lang w:val="en-US"/>
        </w:rPr>
        <w:t> </w:t>
      </w:r>
      <w:r w:rsidRPr="008276BB">
        <w:rPr>
          <w:sz w:val="18"/>
          <w:szCs w:val="18"/>
        </w:rPr>
        <w:t>–</w:t>
      </w:r>
      <w:r w:rsidR="008276BB">
        <w:rPr>
          <w:sz w:val="18"/>
          <w:szCs w:val="18"/>
          <w:lang w:val="en-US"/>
        </w:rPr>
        <w:t> </w:t>
      </w:r>
      <w:r w:rsidRPr="008276BB">
        <w:rPr>
          <w:sz w:val="18"/>
          <w:szCs w:val="18"/>
        </w:rPr>
        <w:t xml:space="preserve">Куньминско-Монреальская глобальная рамочная программа в области биоразнообразия. </w:t>
      </w:r>
    </w:p>
    <w:p w14:paraId="2AB3483C" w14:textId="01185279" w:rsidR="004A3632" w:rsidRPr="00450B6E" w:rsidRDefault="004A3632" w:rsidP="00450B6E">
      <w:pPr>
        <w:pStyle w:val="Normalnumber"/>
        <w:keepNext/>
        <w:numPr>
          <w:ilvl w:val="0"/>
          <w:numId w:val="0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  <w:ind w:left="1247"/>
        <w:rPr>
          <w:rFonts w:asciiTheme="majorBidi" w:hAnsiTheme="majorBidi" w:cstheme="majorBidi"/>
          <w:b/>
          <w:bCs/>
          <w:sz w:val="18"/>
          <w:szCs w:val="18"/>
          <w:shd w:val="clear" w:color="auto" w:fill="FFFFFF"/>
        </w:rPr>
      </w:pPr>
      <w:r>
        <w:lastRenderedPageBreak/>
        <w:t>Рис</w:t>
      </w:r>
      <w:r w:rsidR="00450B6E" w:rsidRPr="00450B6E">
        <w:t>.</w:t>
      </w:r>
      <w:r>
        <w:t xml:space="preserve"> 2 </w:t>
      </w:r>
      <w:r w:rsidR="00450B6E" w:rsidRPr="005C4F10">
        <w:br/>
      </w:r>
      <w:r w:rsidRPr="00450B6E">
        <w:rPr>
          <w:b/>
          <w:bCs/>
        </w:rPr>
        <w:t xml:space="preserve">График проведения </w:t>
      </w:r>
      <w:r w:rsidR="00450B6E" w:rsidRPr="00450B6E">
        <w:rPr>
          <w:b/>
          <w:bCs/>
        </w:rPr>
        <w:t>совещаний</w:t>
      </w:r>
      <w:r w:rsidRPr="00450B6E">
        <w:rPr>
          <w:b/>
          <w:bCs/>
        </w:rPr>
        <w:t xml:space="preserve"> конференций Сторон Конвенции о биологическом разнообразии и Минаматской конвенции о ртути и возможности для сотрудничества</w:t>
      </w:r>
    </w:p>
    <w:p w14:paraId="3AE6DF58" w14:textId="3FE4A5A8" w:rsidR="004A3632" w:rsidRPr="009C1A48" w:rsidRDefault="00B22FDF" w:rsidP="006704B2">
      <w:pPr>
        <w:pStyle w:val="Normalnumber"/>
        <w:numPr>
          <w:ilvl w:val="0"/>
          <w:numId w:val="0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  <w:spacing w:after="0"/>
        <w:ind w:left="1247"/>
        <w:rPr>
          <w:rFonts w:asciiTheme="majorBidi" w:hAnsiTheme="majorBidi" w:cstheme="majorBidi"/>
          <w:b/>
          <w:bCs/>
          <w:sz w:val="18"/>
          <w:szCs w:val="18"/>
          <w:shd w:val="clear" w:color="auto" w:fill="FFFFFF"/>
        </w:rPr>
      </w:pPr>
      <w:r w:rsidRPr="00B22FDF">
        <w:rPr>
          <w:rFonts w:asciiTheme="majorBidi" w:hAnsiTheme="majorBidi" w:cstheme="majorBidi"/>
          <w:b/>
          <w:bCs/>
          <w:noProof/>
          <w:sz w:val="18"/>
          <w:szCs w:val="18"/>
          <w:shd w:val="clear" w:color="auto" w:fill="FFFFFF"/>
        </w:rPr>
        <w:drawing>
          <wp:inline distT="0" distB="0" distL="0" distR="0" wp14:anchorId="41B3EDFB" wp14:editId="08CA5E5C">
            <wp:extent cx="5580000" cy="3048552"/>
            <wp:effectExtent l="0" t="0" r="1905" b="0"/>
            <wp:docPr id="18112883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288343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304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F53FA" w14:textId="384CB42A" w:rsidR="004A3632" w:rsidRPr="00362E7A" w:rsidRDefault="004A3632" w:rsidP="00362E7A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60"/>
        <w:ind w:firstLine="624"/>
        <w:rPr>
          <w:sz w:val="18"/>
          <w:szCs w:val="18"/>
        </w:rPr>
      </w:pPr>
      <w:r>
        <w:tab/>
      </w:r>
      <w:r w:rsidRPr="00362E7A">
        <w:rPr>
          <w:i/>
          <w:iCs/>
          <w:sz w:val="18"/>
          <w:szCs w:val="18"/>
        </w:rPr>
        <w:t>Сокращения:</w:t>
      </w:r>
      <w:r w:rsidRPr="00362E7A">
        <w:rPr>
          <w:sz w:val="18"/>
          <w:szCs w:val="18"/>
        </w:rPr>
        <w:t xml:space="preserve"> КС – Конференция сторон; КБР – Конвенции о биологическом разнообразии; КС</w:t>
      </w:r>
      <w:r w:rsidR="00362E7A" w:rsidRPr="00362E7A">
        <w:rPr>
          <w:sz w:val="18"/>
          <w:szCs w:val="18"/>
        </w:rPr>
        <w:noBreakHyphen/>
      </w:r>
      <w:r w:rsidRPr="00362E7A">
        <w:rPr>
          <w:sz w:val="18"/>
          <w:szCs w:val="18"/>
        </w:rPr>
        <w:t>6</w:t>
      </w:r>
      <w:r w:rsidR="00362E7A">
        <w:rPr>
          <w:sz w:val="18"/>
          <w:szCs w:val="18"/>
          <w:lang w:val="en-US"/>
        </w:rPr>
        <w:t> </w:t>
      </w:r>
      <w:r w:rsidRPr="00362E7A">
        <w:rPr>
          <w:sz w:val="18"/>
          <w:szCs w:val="18"/>
        </w:rPr>
        <w:t>–</w:t>
      </w:r>
      <w:r w:rsidR="00362E7A">
        <w:rPr>
          <w:sz w:val="18"/>
          <w:szCs w:val="18"/>
          <w:lang w:val="en-US"/>
        </w:rPr>
        <w:t> </w:t>
      </w:r>
      <w:r w:rsidRPr="00362E7A">
        <w:rPr>
          <w:sz w:val="18"/>
          <w:szCs w:val="18"/>
        </w:rPr>
        <w:t>шестое совещание Конференции Сторон; КС-7 – седьмое совещание Конференции Сторон; КС</w:t>
      </w:r>
      <w:r w:rsidR="00362E7A" w:rsidRPr="00362E7A">
        <w:rPr>
          <w:sz w:val="18"/>
          <w:szCs w:val="18"/>
        </w:rPr>
        <w:noBreakHyphen/>
      </w:r>
      <w:r w:rsidRPr="00362E7A">
        <w:rPr>
          <w:sz w:val="18"/>
          <w:szCs w:val="18"/>
        </w:rPr>
        <w:t>8</w:t>
      </w:r>
      <w:r w:rsidR="00362E7A">
        <w:rPr>
          <w:sz w:val="18"/>
          <w:szCs w:val="18"/>
          <w:lang w:val="en-US"/>
        </w:rPr>
        <w:t> </w:t>
      </w:r>
      <w:r w:rsidRPr="00362E7A">
        <w:rPr>
          <w:sz w:val="18"/>
          <w:szCs w:val="18"/>
        </w:rPr>
        <w:t>–</w:t>
      </w:r>
      <w:r w:rsidR="00362E7A">
        <w:rPr>
          <w:sz w:val="18"/>
          <w:szCs w:val="18"/>
          <w:lang w:val="en-US"/>
        </w:rPr>
        <w:t> </w:t>
      </w:r>
      <w:r w:rsidRPr="00362E7A">
        <w:rPr>
          <w:sz w:val="18"/>
          <w:szCs w:val="18"/>
        </w:rPr>
        <w:t xml:space="preserve">восьмое совещание Конференции Сторон; КС-15 – пятнадцатое совещание Конференции Сторон; КС-16 – шестнадцатое совещание Конференции Сторон; КС-17 – семнадцатое совещание Конференции Сторон; КС-18 – восемнадцатое совещание Конференции Сторон; ГПБ – Куньминско-Монреальская глобальная рамочная программа в области биоразнообразия. </w:t>
      </w:r>
    </w:p>
    <w:p w14:paraId="3E458A64" w14:textId="71A8893E" w:rsidR="004A3632" w:rsidRPr="00BE30BF" w:rsidRDefault="00362E7A" w:rsidP="00362E7A">
      <w:pPr>
        <w:pStyle w:val="CH2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 w:rsidRPr="005C4F10">
        <w:rPr>
          <w:bCs/>
        </w:rPr>
        <w:tab/>
      </w:r>
      <w:r w:rsidR="004A3632">
        <w:rPr>
          <w:bCs/>
        </w:rPr>
        <w:t>C.</w:t>
      </w:r>
      <w:r w:rsidR="004A3632">
        <w:tab/>
      </w:r>
      <w:r w:rsidR="004A3632">
        <w:rPr>
          <w:bCs/>
        </w:rPr>
        <w:t>Основные направления «дорожной карты»</w:t>
      </w:r>
    </w:p>
    <w:p w14:paraId="0CDAFFBD" w14:textId="4D0C44BB" w:rsidR="004A3632" w:rsidRPr="00BE30BF" w:rsidRDefault="004A3632" w:rsidP="00B65C8C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>Ниже описаны три основных направления «дорожной карты» для расширения совместных выгод в ходе осуществления Минаматской конвенции и Куньминско</w:t>
      </w:r>
      <w:r w:rsidR="00362E7A" w:rsidRPr="00362E7A">
        <w:noBreakHyphen/>
      </w:r>
      <w:r>
        <w:t xml:space="preserve">Монреальской глобальной рамочной программы в области биоразнообразия, а также для повышения общей согласованности повесток дня, касающихся ртути и биоразнообразия. Хотя основное внимание в настоящем документе уделяется связям между осуществлением Минаматской конвенции и Рамочной программы, эти направления также будут способствовать согласованности и синергии в ходе осуществления Минаматской конвенции и Конвенции о биологическом разнообразии в целом. </w:t>
      </w:r>
    </w:p>
    <w:p w14:paraId="4891AE3B" w14:textId="6E7A259E" w:rsidR="004A3632" w:rsidRPr="00BE30BF" w:rsidRDefault="004A3632" w:rsidP="00B65C8C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>Тремя основными направлениями являются: i) вклад в механизм мониторинга Куньминско-Монреальской глобальной рамочной программы в области биоразнообразия, ii)</w:t>
      </w:r>
      <w:r w:rsidR="00CC7250">
        <w:rPr>
          <w:lang w:val="en-US"/>
        </w:rPr>
        <w:t> </w:t>
      </w:r>
      <w:r>
        <w:t xml:space="preserve">включение мероприятий и задач, касающихся сокращения оборота ртути, в НСПДСБ и национальные задачи в области биоразнообразия; и iii) создание благоприятных условий для расширения сопутствующих выгод, включая мобилизацию ресурсов, создание потенциала и сотрудничество. </w:t>
      </w:r>
    </w:p>
    <w:p w14:paraId="17D5EC98" w14:textId="3DE2E6E6" w:rsidR="004A3632" w:rsidRPr="00BE30BF" w:rsidRDefault="00B65C8C" w:rsidP="00F012A3">
      <w:pPr>
        <w:pStyle w:val="CH3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082"/>
          <w:tab w:val="clear" w:pos="4366"/>
        </w:tabs>
      </w:pPr>
      <w:r w:rsidRPr="005C4F10">
        <w:rPr>
          <w:bCs/>
        </w:rPr>
        <w:tab/>
      </w:r>
      <w:r w:rsidR="004A3632">
        <w:rPr>
          <w:bCs/>
        </w:rPr>
        <w:t>1.</w:t>
      </w:r>
      <w:r w:rsidR="004A3632">
        <w:tab/>
      </w:r>
      <w:r w:rsidR="004A3632">
        <w:rPr>
          <w:bCs/>
        </w:rPr>
        <w:t>Вклад в механизм мониторинга Куньминско-Монреальской глобальной рамочной программы в области биоразнообразия</w:t>
      </w:r>
    </w:p>
    <w:p w14:paraId="04E250EC" w14:textId="77777777" w:rsidR="004A3632" w:rsidRPr="00BE30BF" w:rsidRDefault="004A3632" w:rsidP="00B65C8C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 xml:space="preserve">Цель этого элемента «дорожной карты» – сотрудничество и дальнейший обмен информацией для восполнения пробела в рамках задачи 7 Рамочной программы, касающейся особо опасных химических веществ и ртути. </w:t>
      </w:r>
    </w:p>
    <w:p w14:paraId="79472F12" w14:textId="305EAA98" w:rsidR="004A3632" w:rsidRPr="00BE30BF" w:rsidRDefault="004A3632" w:rsidP="00B65C8C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 xml:space="preserve">Ниже перечислены возможные </w:t>
      </w:r>
      <w:r w:rsidR="00B65C8C">
        <w:t>действия</w:t>
      </w:r>
      <w:r>
        <w:t xml:space="preserve"> в рамках этого направления «дорожной карты»:</w:t>
      </w:r>
    </w:p>
    <w:p w14:paraId="3AE5AE5D" w14:textId="63149E9C" w:rsidR="004A3632" w:rsidRPr="00FC43D3" w:rsidRDefault="004A3632" w:rsidP="00B65C8C">
      <w:pPr>
        <w:pStyle w:val="Normalnumber"/>
        <w:numPr>
          <w:ilvl w:val="1"/>
          <w:numId w:val="3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 xml:space="preserve">национальные координационные центры Минаматской конвенции устанавливают контакт с национальными </w:t>
      </w:r>
      <w:r w:rsidR="0037630F">
        <w:t xml:space="preserve">координационными центрами </w:t>
      </w:r>
      <w:r>
        <w:t xml:space="preserve">Конвенции о биологическом разнообразии (включая Вспомогательный орган по научным, техническим и технологическим консультациям) для обмена информацией, касающейся мониторинга ртути и задачи 7 Рамочной программы; </w:t>
      </w:r>
    </w:p>
    <w:p w14:paraId="185F041F" w14:textId="77777777" w:rsidR="004A3632" w:rsidRPr="00FC43D3" w:rsidRDefault="004A3632" w:rsidP="00B65C8C">
      <w:pPr>
        <w:pStyle w:val="Normalnumber"/>
        <w:numPr>
          <w:ilvl w:val="1"/>
          <w:numId w:val="3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 xml:space="preserve">национальные координационные центры и эксперты Минаматской конвенции участвуют, по мере необходимости, в работе Вспомогательного органа по научным, </w:t>
      </w:r>
      <w:r>
        <w:lastRenderedPageBreak/>
        <w:t>техническим и технологическим консультациям, касающейся индикаторов Рамочной программы, с использованием знаний и информации, полученных в ходе исследований и разработок, связанных с ртутью, и мониторинга ртути;</w:t>
      </w:r>
    </w:p>
    <w:p w14:paraId="102DE70A" w14:textId="77777777" w:rsidR="004A3632" w:rsidRPr="00BE30BF" w:rsidRDefault="004A3632" w:rsidP="00B65C8C">
      <w:pPr>
        <w:pStyle w:val="Normalnumber"/>
        <w:numPr>
          <w:ilvl w:val="1"/>
          <w:numId w:val="3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 xml:space="preserve">секретариат обменивается информацией о соответствующих инициативах по мониторингу в рамках Минаматской конвенции с Исполнительным секретарем Конвенции о биологическом разнообразии, как указано в решении 16/31 Конференции Сторон Конвенции о биологическом разнообразии о механизме мониторинга Куньминско-Монреальской глобальной рамочной программы в области биоразнообразия; </w:t>
      </w:r>
    </w:p>
    <w:p w14:paraId="4C0532F0" w14:textId="1CE1EFDC" w:rsidR="004A3632" w:rsidRPr="00FC43D3" w:rsidRDefault="004A3632" w:rsidP="00B65C8C">
      <w:pPr>
        <w:pStyle w:val="Normalnumber"/>
        <w:numPr>
          <w:ilvl w:val="1"/>
          <w:numId w:val="3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  <w:rPr>
          <w:rFonts w:asciiTheme="majorBidi" w:hAnsiTheme="majorBidi" w:cstheme="majorBidi"/>
          <w:shd w:val="clear" w:color="auto" w:fill="FFFFFF"/>
        </w:rPr>
      </w:pPr>
      <w:r>
        <w:t>секретариат вносит вклад в дальнейшую разработку и мониторинг индикаторов Рамочной программы, а также индикаторов Глобального плана действий в области биоразнообразия и здоровья, используя информацию, полученную в ходе оценки эффективности Минаматской конвенции, включая научный доклад Научной группы открытого состава</w:t>
      </w:r>
      <w:r w:rsidR="00B65C8C" w:rsidRPr="00B65C8C">
        <w:t>.</w:t>
      </w:r>
    </w:p>
    <w:p w14:paraId="7E8005E3" w14:textId="22BB9926" w:rsidR="004A3632" w:rsidRPr="00BE30BF" w:rsidRDefault="00B65C8C" w:rsidP="00F012A3">
      <w:pPr>
        <w:pStyle w:val="CH3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082"/>
          <w:tab w:val="clear" w:pos="4366"/>
        </w:tabs>
      </w:pPr>
      <w:r w:rsidRPr="005C4F10">
        <w:rPr>
          <w:bCs/>
        </w:rPr>
        <w:tab/>
      </w:r>
      <w:r w:rsidR="004A3632">
        <w:rPr>
          <w:bCs/>
        </w:rPr>
        <w:t>2.</w:t>
      </w:r>
      <w:r w:rsidR="004A3632">
        <w:tab/>
      </w:r>
      <w:r w:rsidR="004A3632">
        <w:rPr>
          <w:bCs/>
        </w:rPr>
        <w:t>Включение мероприятий и задач по сокращению выбросов ртути в национальные стратегии и планы действий по биоразнообразию и национальные задачи в области биоразнообразия</w:t>
      </w:r>
      <w:bookmarkStart w:id="10" w:name="_Hlk180262430"/>
      <w:bookmarkEnd w:id="10"/>
    </w:p>
    <w:p w14:paraId="106EDA77" w14:textId="62E1C184" w:rsidR="004A3632" w:rsidRPr="00BE30BF" w:rsidRDefault="004A3632" w:rsidP="00B65C8C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 xml:space="preserve">Этот компонент «дорожной карты» призван содействовать интеграции Сторонами задач по сокращению оборота ртути в процесс пересмотра или обновления их НСПДСБ для приведения их в соответствие с Куньминско-Монреальской глобальной рамочной программой в области биоразнообразия </w:t>
      </w:r>
      <w:r w:rsidR="009436B1">
        <w:t>и другими документами</w:t>
      </w:r>
      <w:r>
        <w:t>.</w:t>
      </w:r>
    </w:p>
    <w:p w14:paraId="07BFCA98" w14:textId="55688606" w:rsidR="004A3632" w:rsidRPr="00BE30BF" w:rsidRDefault="004A3632" w:rsidP="00B65C8C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 xml:space="preserve">Ниже перечислены возможные мероприятия на национальном уровне, которые могли бы проводить Стороны и другие правительства, а также коренные народы, местные общины и другие соответствующие заинтересованные </w:t>
      </w:r>
      <w:r w:rsidR="009436B1">
        <w:t>субъекты</w:t>
      </w:r>
      <w:r>
        <w:t>, включая частный сектор, высшие учебные заведения, женщин, детей и молодежь; они взаимосвязаны и могут выполняться последовательно или постепенно:</w:t>
      </w:r>
    </w:p>
    <w:p w14:paraId="63CBE802" w14:textId="77777777" w:rsidR="004A3632" w:rsidRPr="00FC43D3" w:rsidRDefault="004A3632" w:rsidP="00B65C8C">
      <w:pPr>
        <w:pStyle w:val="Normalnumber"/>
        <w:numPr>
          <w:ilvl w:val="1"/>
          <w:numId w:val="21"/>
        </w:numPr>
        <w:tabs>
          <w:tab w:val="clear" w:pos="567"/>
          <w:tab w:val="clear" w:pos="624"/>
          <w:tab w:val="clear" w:pos="1247"/>
          <w:tab w:val="clear" w:pos="3119"/>
          <w:tab w:val="clear" w:pos="3742"/>
          <w:tab w:val="clear" w:pos="4366"/>
        </w:tabs>
        <w:ind w:firstLine="624"/>
        <w:rPr>
          <w:rFonts w:asciiTheme="majorBidi" w:hAnsiTheme="majorBidi" w:cstheme="majorBidi"/>
          <w:shd w:val="clear" w:color="auto" w:fill="FFFFFF"/>
        </w:rPr>
      </w:pPr>
      <w:r>
        <w:t xml:space="preserve">налаживание контактов с оперативными координационными центрами Конвенции о биологическом разнообразии (включая Вспомогательный орган по научным, техническим и технологическим консультациям) и оперативными координационными центрами Глобального экологического фонда, по мере необходимости, для согласования дальнейших шагов; </w:t>
      </w:r>
    </w:p>
    <w:p w14:paraId="209076CF" w14:textId="517DB91E" w:rsidR="004A3632" w:rsidRPr="00FC43D3" w:rsidRDefault="004A3632" w:rsidP="00B65C8C">
      <w:pPr>
        <w:pStyle w:val="Normalnumber"/>
        <w:numPr>
          <w:ilvl w:val="1"/>
          <w:numId w:val="21"/>
        </w:numPr>
        <w:tabs>
          <w:tab w:val="clear" w:pos="567"/>
          <w:tab w:val="clear" w:pos="624"/>
          <w:tab w:val="clear" w:pos="1247"/>
          <w:tab w:val="clear" w:pos="3119"/>
          <w:tab w:val="clear" w:pos="3742"/>
          <w:tab w:val="clear" w:pos="4366"/>
        </w:tabs>
        <w:ind w:firstLine="624"/>
        <w:rPr>
          <w:rFonts w:asciiTheme="majorBidi" w:hAnsiTheme="majorBidi" w:cstheme="majorBidi"/>
          <w:shd w:val="clear" w:color="auto" w:fill="FFFFFF"/>
        </w:rPr>
      </w:pPr>
      <w:r>
        <w:t xml:space="preserve">проведение консультаций с экспертами, коренными народами, местными общинами и другими заинтересованными </w:t>
      </w:r>
      <w:r w:rsidR="009436B1">
        <w:t>субъектами</w:t>
      </w:r>
      <w:r>
        <w:t>, включая женщин и молодежь, о различных аспектах осуществления Минаматской конвенции с целью определить приоритетные направления деятельности и средства осуществления на национальном уровне;</w:t>
      </w:r>
    </w:p>
    <w:p w14:paraId="612AB41F" w14:textId="77777777" w:rsidR="004A3632" w:rsidRPr="00FC43D3" w:rsidRDefault="004A3632" w:rsidP="00B65C8C">
      <w:pPr>
        <w:pStyle w:val="Normalnumber"/>
        <w:numPr>
          <w:ilvl w:val="1"/>
          <w:numId w:val="21"/>
        </w:numPr>
        <w:tabs>
          <w:tab w:val="clear" w:pos="567"/>
          <w:tab w:val="clear" w:pos="624"/>
          <w:tab w:val="clear" w:pos="1247"/>
          <w:tab w:val="clear" w:pos="3119"/>
          <w:tab w:val="clear" w:pos="3742"/>
          <w:tab w:val="clear" w:pos="4366"/>
        </w:tabs>
        <w:ind w:firstLine="624"/>
        <w:rPr>
          <w:rFonts w:asciiTheme="majorBidi" w:hAnsiTheme="majorBidi" w:cstheme="majorBidi"/>
          <w:shd w:val="clear" w:color="auto" w:fill="FFFFFF"/>
        </w:rPr>
      </w:pPr>
      <w:r>
        <w:t>подготовка, по мере необходимости, анализа и свода информации о текущей ситуации на национальном и субнациональном уровнях в отношении установленных приоритетов с использованием первоначальных оценок в рамках Минаматской конвенции, существующих национальных планов действий в отношении кустарной и мелкомасштабной золотодобычи и других документов для выявления источников ртути и планируемых мероприятий по сокращению оборота ртути;</w:t>
      </w:r>
    </w:p>
    <w:p w14:paraId="3E4CE9B2" w14:textId="16C565FE" w:rsidR="004A3632" w:rsidRPr="00BE30BF" w:rsidRDefault="004A3632" w:rsidP="00B65C8C">
      <w:pPr>
        <w:pStyle w:val="Normalnumber"/>
        <w:numPr>
          <w:ilvl w:val="1"/>
          <w:numId w:val="21"/>
        </w:numPr>
        <w:tabs>
          <w:tab w:val="clear" w:pos="567"/>
          <w:tab w:val="clear" w:pos="624"/>
          <w:tab w:val="clear" w:pos="1247"/>
          <w:tab w:val="clear" w:pos="3119"/>
          <w:tab w:val="clear" w:pos="3742"/>
          <w:tab w:val="clear" w:pos="4366"/>
        </w:tabs>
        <w:ind w:firstLine="624"/>
        <w:rPr>
          <w:rFonts w:asciiTheme="majorBidi" w:hAnsiTheme="majorBidi" w:cstheme="majorBidi"/>
        </w:rPr>
      </w:pPr>
      <w:r>
        <w:t xml:space="preserve">внедрение национального процесса планирования для синергического осуществления Минаматской конвенции и Конвенции о биологическом разнообразии, включая Куньминско-Монреальскую глобальную рамочную программу в области </w:t>
      </w:r>
      <w:r w:rsidR="009436B1">
        <w:t>биоразнообразия</w:t>
      </w:r>
      <w:r>
        <w:t xml:space="preserve">, c целью определения приоритетов в сокращении использования, выбросов и </w:t>
      </w:r>
      <w:r w:rsidR="009436B1">
        <w:t xml:space="preserve">высвобождений </w:t>
      </w:r>
      <w:r>
        <w:t>ртути, а также деконтаминации и восстановления, по мере необходимости</w:t>
      </w:r>
      <w:r>
        <w:rPr>
          <w:rStyle w:val="FootnoteReference"/>
          <w:rFonts w:eastAsiaTheme="majorEastAsia"/>
        </w:rPr>
        <w:footnoteReference w:id="10"/>
      </w:r>
      <w:r>
        <w:t>, и включения их в процесс НСПДСБ, а также предложение дополнительных показателей, связанных с этими приоритетами.</w:t>
      </w:r>
    </w:p>
    <w:p w14:paraId="27AE22BD" w14:textId="0C7A3B16" w:rsidR="004A3632" w:rsidRPr="00BE30BF" w:rsidRDefault="00B65C8C" w:rsidP="00F012A3">
      <w:pPr>
        <w:pStyle w:val="CH3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082"/>
          <w:tab w:val="clear" w:pos="4366"/>
        </w:tabs>
      </w:pPr>
      <w:r w:rsidRPr="005C4F10">
        <w:rPr>
          <w:bCs/>
        </w:rPr>
        <w:tab/>
      </w:r>
      <w:r w:rsidR="004A3632">
        <w:rPr>
          <w:bCs/>
        </w:rPr>
        <w:t>3.</w:t>
      </w:r>
      <w:r w:rsidR="004A3632">
        <w:tab/>
      </w:r>
      <w:r w:rsidR="004A3632">
        <w:rPr>
          <w:bCs/>
        </w:rPr>
        <w:t>Создание благоприятных условий для расширения сопутствующих выгод</w:t>
      </w:r>
    </w:p>
    <w:p w14:paraId="5E7774AA" w14:textId="77777777" w:rsidR="004A3632" w:rsidRPr="00BE30BF" w:rsidRDefault="004A3632" w:rsidP="00E061EC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 xml:space="preserve">Третье направление «дорожной карты» предусматривает создание благоприятных условий для расширения сопутствующих выгод в ходе осуществления Минаматской конвенции и Куньминско-Монреальской глобальной рамочной программы в области биоразнообразия. </w:t>
      </w:r>
    </w:p>
    <w:p w14:paraId="27C38CF4" w14:textId="4E02902F" w:rsidR="004A3632" w:rsidRPr="009C1A48" w:rsidRDefault="004A3632" w:rsidP="00E061EC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lastRenderedPageBreak/>
        <w:t xml:space="preserve">Мероприятия в рамках этого направления связаны с мобилизацией ресурсов, исследованиями, созданием потенциала и сотрудничеством и могут осуществляться Сторонами, другими правительствами, местными и субнациональными органами власти, секретариатом, высшими учебными заведениями и другими заинтересованными </w:t>
      </w:r>
      <w:r w:rsidR="00AD597C">
        <w:t>субъектами</w:t>
      </w:r>
      <w:r>
        <w:t xml:space="preserve">, в зависимости от обстоятельств. Возможные мероприятия в рамках этого направления включают: </w:t>
      </w:r>
    </w:p>
    <w:p w14:paraId="14033566" w14:textId="77777777" w:rsidR="004A3632" w:rsidRPr="00BE30BF" w:rsidRDefault="004A3632" w:rsidP="00E061EC">
      <w:pPr>
        <w:pStyle w:val="Normalnumber"/>
        <w:numPr>
          <w:ilvl w:val="1"/>
          <w:numId w:val="3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>содействие синергии между основными направлениями деятельности ГЭФ «Химические вещества и отходы» и «Биоразнообразие» посредством проектов, финансируемых за счет восьмого и девятого пополнений целевого фонда ГЭФ, а также интеграции мероприятий по вопросу ртути в проекты, разрабатываемые посредством Фонда Глобальной рамочной программы в области биоразнообразия, в соответствии с пунктами 3 и 4 a) решения МК-5/11 и пунктом 4 решения MК-5/17, а также пунктом 8 решения 16/33 Конференции Сторон Конвенции о биологическом разнообразии;</w:t>
      </w:r>
    </w:p>
    <w:p w14:paraId="5A244BD7" w14:textId="5F4D3A00" w:rsidR="004A3632" w:rsidRPr="00BE30BF" w:rsidRDefault="004A3632" w:rsidP="00E061EC">
      <w:pPr>
        <w:pStyle w:val="Normalnumber"/>
        <w:numPr>
          <w:ilvl w:val="1"/>
          <w:numId w:val="3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 xml:space="preserve">сотрудничество с тремя Рио-де-Жанейрскими конвенциями c целью решения задачи 7 Рамочной программы, касающейся сокращения загрязнения до уровней, не наносящих вреда биоразнообразию, в консультации со </w:t>
      </w:r>
      <w:r w:rsidR="00AD597C">
        <w:t>С</w:t>
      </w:r>
      <w:r>
        <w:t xml:space="preserve">торонами Конвенции о биологическом </w:t>
      </w:r>
      <w:r w:rsidR="00E061EC">
        <w:t>разнообразии</w:t>
      </w:r>
      <w:r>
        <w:t xml:space="preserve">, а также с правительствами, коренными народами, местными общинами и другими соответствующими заинтересованными </w:t>
      </w:r>
      <w:r w:rsidR="00AD597C">
        <w:t>субъектами</w:t>
      </w:r>
      <w:r>
        <w:t xml:space="preserve">, в ответ на приглашение, направленное руководящим органам Минаматской конвенции, Базельской конвенции о контроле за трансграничной перевозкой опасных отходов и их удалением,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торговле, Стокгольмской конвенции о стойких органических загрязнителях, Продовольственной и сельскохозяйственной организации Объединенных Наций и других соответствующих конвенций и организаций, включая Глобальную рамочную программу по химическим веществам «Ради планеты, свободной от вредного воздействия химических веществ и отходов», содержащееся в пункте 19 решения 16/35 Конференции </w:t>
      </w:r>
      <w:r w:rsidR="00AD597C">
        <w:t>С</w:t>
      </w:r>
      <w:r>
        <w:t>торон Конвенции о биологическом разнообразии о сотрудничестве с другими конвенциями и международными организациями;</w:t>
      </w:r>
    </w:p>
    <w:p w14:paraId="3D7E6361" w14:textId="77777777" w:rsidR="004A3632" w:rsidRPr="00FC43D3" w:rsidRDefault="004A3632" w:rsidP="00E061EC">
      <w:pPr>
        <w:pStyle w:val="Normalnumber"/>
        <w:numPr>
          <w:ilvl w:val="1"/>
          <w:numId w:val="3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>содействие проведению экологических и социально-экономических исследований и оценок – например, в рамках сотрудничества с Международной конференцией «Ртуть как глобальный загрязнитель» – в отношении воздействия ртути на биоразнообразие и экосистемные функции и услуги, а также на средства к существованию, культуру и здоровье коренных народов и местных общин;</w:t>
      </w:r>
    </w:p>
    <w:p w14:paraId="34B745C6" w14:textId="4688A510" w:rsidR="004A3632" w:rsidRPr="00BE30BF" w:rsidRDefault="004A3632" w:rsidP="00E061EC">
      <w:pPr>
        <w:pStyle w:val="Normalnumber"/>
        <w:numPr>
          <w:ilvl w:val="1"/>
          <w:numId w:val="3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 xml:space="preserve">представление материалов для глобального доклада о коллективном прогрессе в реализации Куньминско-Монреальской глобальной рамочной программы в области биоразнообразия в соответствии с решением 16/32 Конференции </w:t>
      </w:r>
      <w:r w:rsidR="00AD597C">
        <w:t>С</w:t>
      </w:r>
      <w:r>
        <w:t>торон Конвенции о биологическом разнообразии о механизмах планирования, мониторинга, отчетности и обзора, включая глобальный обзор коллективного прогресса в реализации Куньмин</w:t>
      </w:r>
      <w:r w:rsidR="003B25DC">
        <w:t>ско</w:t>
      </w:r>
      <w:r>
        <w:t>-Монреальской глобальной рамочной программы в области биоразнообразия, который должен быть проведен на семнадцатом и девятнадцатом совещаниях Конференции Сторон Конвенции о биологическом разнообразии;</w:t>
      </w:r>
    </w:p>
    <w:p w14:paraId="75FC85FB" w14:textId="77777777" w:rsidR="004A3632" w:rsidRPr="00FC43D3" w:rsidRDefault="004A3632" w:rsidP="00E061EC">
      <w:pPr>
        <w:pStyle w:val="Normalnumber"/>
        <w:numPr>
          <w:ilvl w:val="1"/>
          <w:numId w:val="3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 xml:space="preserve">создание потенциала для мониторинга уровня ртути в окружающей среде и среди уязвимых групп населения; </w:t>
      </w:r>
    </w:p>
    <w:p w14:paraId="73ACF234" w14:textId="77777777" w:rsidR="004A3632" w:rsidRPr="00FC43D3" w:rsidRDefault="004A3632" w:rsidP="00E061EC">
      <w:pPr>
        <w:pStyle w:val="Normalnumber"/>
        <w:numPr>
          <w:ilvl w:val="1"/>
          <w:numId w:val="3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>повышение качества существующих программ общественного здравоохранения и экологического мониторинга в отношении ртути и расширение охвата связанных с ртутью проблем в таких программах, а также содействие предоставлению соответствующих услуг по профилактике и уходу для представителей коренных народов и местных общин, пострадавших от воздействия ртути в результате кустарной и мелкомасштабной золотодобычи;</w:t>
      </w:r>
    </w:p>
    <w:p w14:paraId="4CD4B731" w14:textId="77777777" w:rsidR="004A3632" w:rsidRPr="009C1A48" w:rsidRDefault="004A3632" w:rsidP="00E061EC">
      <w:pPr>
        <w:pStyle w:val="Normalnumber"/>
        <w:numPr>
          <w:ilvl w:val="1"/>
          <w:numId w:val="3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>расширение обмена информацией и содействие пониманию взаимосвязей между ртутью и отходами и воздействием на здоровье человека, содействующее осуществлению Глобального плана действий в области биоразнообразия и здоровья;</w:t>
      </w:r>
    </w:p>
    <w:p w14:paraId="1784A7D9" w14:textId="77777777" w:rsidR="004A3632" w:rsidRPr="00FC43D3" w:rsidRDefault="004A3632" w:rsidP="00E061EC">
      <w:pPr>
        <w:pStyle w:val="Normalnumber"/>
        <w:numPr>
          <w:ilvl w:val="1"/>
          <w:numId w:val="3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>продолжение организации вебинаров и других мероприятий для информирования участников Минаматской конвенции и Конвенции о биологическом разнообразии о соответствующих итогах совещаний конференций Сторон и связанных с ними изменениях;</w:t>
      </w:r>
    </w:p>
    <w:p w14:paraId="5727E987" w14:textId="50822EEF" w:rsidR="004A3632" w:rsidRPr="00FC43D3" w:rsidRDefault="004A3632" w:rsidP="00E061EC">
      <w:pPr>
        <w:pStyle w:val="Normalnumber"/>
        <w:numPr>
          <w:ilvl w:val="1"/>
          <w:numId w:val="3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>освещение темы ртути в рамках соответствующих информационно</w:t>
      </w:r>
      <w:r w:rsidR="003B25DC">
        <w:noBreakHyphen/>
      </w:r>
      <w:r>
        <w:t xml:space="preserve">пропагандистских, коммуникационных и просветительских мероприятиях, касающихся биоразнообразия, а также темы биоразнообразия </w:t>
      </w:r>
      <w:r w:rsidR="003B25DC">
        <w:t>–</w:t>
      </w:r>
      <w:r>
        <w:t xml:space="preserve"> в рамках </w:t>
      </w:r>
      <w:r>
        <w:lastRenderedPageBreak/>
        <w:t>информационно</w:t>
      </w:r>
      <w:r w:rsidR="003B25DC">
        <w:noBreakHyphen/>
      </w:r>
      <w:r>
        <w:t>пропагандистских, коммуникационных и просветительские мероприятия, касающихся ртути;</w:t>
      </w:r>
    </w:p>
    <w:p w14:paraId="3136B4A3" w14:textId="77777777" w:rsidR="004A3632" w:rsidRPr="00BE30BF" w:rsidRDefault="004A3632" w:rsidP="00E061EC">
      <w:pPr>
        <w:pStyle w:val="Normalnumber"/>
        <w:numPr>
          <w:ilvl w:val="1"/>
          <w:numId w:val="3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>распространение информации о мероприятиях, которые могут принести сопутствующие выгоды для Минаматской конвенции и Куньминско-Монреальской глобальной рамочной программы в области биоразнообразия.</w:t>
      </w:r>
    </w:p>
    <w:p w14:paraId="1ABCADD4" w14:textId="2D4F6F5A" w:rsidR="004A3632" w:rsidRPr="00BE30BF" w:rsidRDefault="003B25DC" w:rsidP="00F012A3">
      <w:pPr>
        <w:pStyle w:val="CH3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082"/>
          <w:tab w:val="clear" w:pos="4366"/>
        </w:tabs>
      </w:pPr>
      <w:r>
        <w:rPr>
          <w:bCs/>
        </w:rPr>
        <w:tab/>
      </w:r>
      <w:r w:rsidR="004A3632">
        <w:rPr>
          <w:bCs/>
        </w:rPr>
        <w:t>4.</w:t>
      </w:r>
      <w:r w:rsidR="004A3632">
        <w:tab/>
      </w:r>
      <w:r w:rsidR="004A3632">
        <w:rPr>
          <w:bCs/>
        </w:rPr>
        <w:t>Показатели для оценки прогресса в осуществлении «дорожной карты»</w:t>
      </w:r>
      <w:r w:rsidR="004A3632">
        <w:t xml:space="preserve"> </w:t>
      </w:r>
    </w:p>
    <w:p w14:paraId="536564F9" w14:textId="77777777" w:rsidR="004A3632" w:rsidRPr="00BE30BF" w:rsidRDefault="004A3632" w:rsidP="003B25DC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>Ниже приведены показатели, с помощью которых можно оценить прогресс в осуществлении «дорожной карты»; важно, что они основаны на существующих механизмах, которые могут быть использованы для поддержки сокращения оборота ртути, а также сохранения и устойчивого использования биоразнообразия:</w:t>
      </w:r>
    </w:p>
    <w:p w14:paraId="73DF7ED1" w14:textId="77777777" w:rsidR="004A3632" w:rsidRPr="00FC43D3" w:rsidRDefault="004A3632" w:rsidP="003B25DC">
      <w:pPr>
        <w:pStyle w:val="Normalnumber"/>
        <w:numPr>
          <w:ilvl w:val="1"/>
          <w:numId w:val="3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>показатель оценки эффективности Минаматской конвенции 1 «Уровни и тенденции содержания ртути и ртутных соединений в окружающей среде и в организме человека, обусловленные антропогенными выбросами и высвобождениями» и показатель 29 «Уровни ртути среди уязвимых групп населения;</w:t>
      </w:r>
    </w:p>
    <w:p w14:paraId="60111A60" w14:textId="728383A3" w:rsidR="004A3632" w:rsidRPr="00FC43D3" w:rsidRDefault="004A3632" w:rsidP="003B25DC">
      <w:pPr>
        <w:pStyle w:val="Normalnumber"/>
        <w:numPr>
          <w:ilvl w:val="1"/>
          <w:numId w:val="3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>число пересмотренных или обновленных НСПДСБ, содержащих мероприятия, связанные с сокращением использования, выбросов и высвобождений ртути, деконтаминацией или восстановлением загрязненных участков, в увязке с конкретными целями Куньминско</w:t>
      </w:r>
      <w:r w:rsidR="003B25DC">
        <w:noBreakHyphen/>
      </w:r>
      <w:r>
        <w:t>Монреальской глобальной рамочной программы в области биоразнообразия;</w:t>
      </w:r>
    </w:p>
    <w:p w14:paraId="0B2DB7DC" w14:textId="77777777" w:rsidR="004A3632" w:rsidRPr="00FC43D3" w:rsidRDefault="004A3632" w:rsidP="003B25DC">
      <w:pPr>
        <w:pStyle w:val="Normalnumber"/>
        <w:numPr>
          <w:ilvl w:val="1"/>
          <w:numId w:val="3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>число стран, которые рассмотрели вопрос ртути в представлениях, касающихся национальных задач в области биоразнообразия;</w:t>
      </w:r>
    </w:p>
    <w:p w14:paraId="73F3245F" w14:textId="55BB38E5" w:rsidR="004A3632" w:rsidRPr="00FC43D3" w:rsidRDefault="004A3632" w:rsidP="003B25DC">
      <w:pPr>
        <w:pStyle w:val="Normalnumber"/>
        <w:numPr>
          <w:ilvl w:val="1"/>
          <w:numId w:val="3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 xml:space="preserve">число новых национальных планов действий в отношении кустарной и мелкомасштабной </w:t>
      </w:r>
      <w:r w:rsidR="00AD597C">
        <w:t>золотодобычи</w:t>
      </w:r>
      <w:r>
        <w:t>, а также обзоров выполнения статьи 7, проведенных с участием коренных народов;</w:t>
      </w:r>
    </w:p>
    <w:p w14:paraId="51C74C38" w14:textId="77777777" w:rsidR="004A3632" w:rsidRPr="00BE30BF" w:rsidRDefault="004A3632" w:rsidP="003B25DC">
      <w:pPr>
        <w:pStyle w:val="Normalnumber"/>
        <w:numPr>
          <w:ilvl w:val="1"/>
          <w:numId w:val="3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>число стран, предложивших дополнительные индикаторы, имеющие отношение к ртути.</w:t>
      </w:r>
    </w:p>
    <w:p w14:paraId="65C3D5FC" w14:textId="3A5DF4FC" w:rsidR="004A3632" w:rsidRPr="00BE30BF" w:rsidRDefault="003B25DC" w:rsidP="00F012A3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ab/>
      </w:r>
      <w:r w:rsidR="004A3632">
        <w:rPr>
          <w:bCs/>
        </w:rPr>
        <w:t>IV.</w:t>
      </w:r>
      <w:r w:rsidR="004A3632">
        <w:tab/>
      </w:r>
      <w:r w:rsidR="004A3632">
        <w:rPr>
          <w:bCs/>
        </w:rPr>
        <w:t>Предлагаемые меры для принятия Конференцией Сторон</w:t>
      </w:r>
    </w:p>
    <w:p w14:paraId="3214D61E" w14:textId="77777777" w:rsidR="000203A9" w:rsidRDefault="004A3632" w:rsidP="003B25DC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ectPr w:rsidR="000203A9" w:rsidSect="000203A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type w:val="continuous"/>
          <w:pgSz w:w="11906" w:h="16838" w:code="9"/>
          <w:pgMar w:top="907" w:right="992" w:bottom="1418" w:left="1418" w:header="539" w:footer="975" w:gutter="0"/>
          <w:cols w:space="539"/>
          <w:titlePg/>
          <w:docGrid w:linePitch="360"/>
        </w:sectPr>
      </w:pPr>
      <w:r>
        <w:t>Конференция Сторон может пожелать рассмотреть вопрос о принятии решения в соответствии с текстом, изложенным в приложении I к настоящему документу.</w:t>
      </w:r>
    </w:p>
    <w:p w14:paraId="54333B67" w14:textId="77777777" w:rsidR="004A3632" w:rsidRPr="009C1A48" w:rsidRDefault="004A3632" w:rsidP="00FD2B08">
      <w:pPr>
        <w:pStyle w:val="ZZAnxhead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240"/>
      </w:pPr>
      <w:r>
        <w:lastRenderedPageBreak/>
        <w:t>Приложение I</w:t>
      </w:r>
    </w:p>
    <w:p w14:paraId="4C7AD3C1" w14:textId="7401ADB9" w:rsidR="004A3632" w:rsidRPr="00FC43D3" w:rsidRDefault="004A3632" w:rsidP="00FD2B08">
      <w:pPr>
        <w:pStyle w:val="ZZAnx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>
        <w:t>Проект решения MC-6/[--]: «Дорожная карта» для расширения сопутствующих выгод в ходе осуществления Минаматской конвенции и Куньминско-Монреальской глобальной рамочной программы в области биоразнообразия</w:t>
      </w:r>
    </w:p>
    <w:p w14:paraId="1F1A7E30" w14:textId="77777777" w:rsidR="004A3632" w:rsidRPr="00BE30BF" w:rsidRDefault="004A3632" w:rsidP="00FD2B08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  <w:rPr>
          <w:i/>
          <w:iCs/>
          <w:shd w:val="clear" w:color="auto" w:fill="FFFFFF"/>
        </w:rPr>
      </w:pPr>
      <w:r>
        <w:rPr>
          <w:i/>
          <w:iCs/>
        </w:rPr>
        <w:t>Конференция Сторон,</w:t>
      </w:r>
    </w:p>
    <w:p w14:paraId="5667C091" w14:textId="6048B386" w:rsidR="004A3632" w:rsidRPr="004A3632" w:rsidRDefault="004A3632" w:rsidP="00FD2B08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  <w:rPr>
          <w:rStyle w:val="normaltextrun"/>
          <w:lang w:val="ru-RU"/>
        </w:rPr>
      </w:pPr>
      <w:r>
        <w:rPr>
          <w:i/>
          <w:iCs/>
        </w:rPr>
        <w:t>с удовлетворением отмечая</w:t>
      </w:r>
      <w:r>
        <w:t xml:space="preserve"> работу секретариата во исполнение решения MК-5/17 о ртути и Куньминско-</w:t>
      </w:r>
      <w:r w:rsidR="0037630F">
        <w:t xml:space="preserve">Монреальской </w:t>
      </w:r>
      <w:r>
        <w:t>глобальной рамочной программе в области биоразнообразия, включая материалы, подготовленные в ответ на призывы Исполнительного секретаря Конвенции о биологическом разнообразии предоставить информацию об индикаторах, о чем сообщалось Конференции Сторон Минаматской конвенции на ее шестом совещании,</w:t>
      </w:r>
    </w:p>
    <w:p w14:paraId="65535F4D" w14:textId="77777777" w:rsidR="004A3632" w:rsidRPr="00BE30BF" w:rsidRDefault="004A3632" w:rsidP="00FD2B08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  <w:rPr>
          <w:rFonts w:asciiTheme="majorBidi" w:hAnsiTheme="majorBidi" w:cstheme="majorBidi"/>
          <w:shd w:val="clear" w:color="auto" w:fill="FFFFFF"/>
        </w:rPr>
      </w:pPr>
      <w:r>
        <w:rPr>
          <w:i/>
          <w:iCs/>
        </w:rPr>
        <w:t>принимая во внимание</w:t>
      </w:r>
      <w:r>
        <w:t xml:space="preserve"> предложение Конференции Сторон Конвенции о биологическом разнообразии в ее решении 16/35, обращенное к Конференции Сторон Минаматской конвенции, а также к руководящим органам других конвенций по химическим веществам и отходам, Продовольственной и сельскохозяйственной организации Объединенных Наций и другим соответствующим конвенциям и организациям, включая Глобальную рамочную программу по химическим веществам «Ради планеты, свободной от вредного воздействия химических веществ и отходов», сотрудничать с тремя Рио-де-Жанейрскими конвенциями с целью решения задачи 7 Рамочной программы, касающейся сокращения загрязнения до уровней, не наносящих вреда биоразнообразию, </w:t>
      </w:r>
    </w:p>
    <w:p w14:paraId="4A7C0B00" w14:textId="77777777" w:rsidR="004A3632" w:rsidRPr="004A3632" w:rsidRDefault="004A3632" w:rsidP="00FD2B08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  <w:rPr>
          <w:rStyle w:val="normaltextrun"/>
          <w:lang w:val="ru-RU"/>
        </w:rPr>
      </w:pPr>
      <w:r>
        <w:rPr>
          <w:i/>
          <w:iCs/>
        </w:rPr>
        <w:t>с признательностью отмечая</w:t>
      </w:r>
      <w:r>
        <w:t xml:space="preserve"> работу, проводимую при содействии Программы Организации Объединенных Наций по окружающей среде в рамках Бернского процесса</w:t>
      </w:r>
      <w:r w:rsidRPr="00124180">
        <w:rPr>
          <w:rStyle w:val="FootnoteReference"/>
          <w:rFonts w:eastAsiaTheme="majorEastAsia"/>
        </w:rPr>
        <w:footnoteReference w:id="11"/>
      </w:r>
      <w:r>
        <w:t>, включая итоги третьей конференции в рамках этого процесса,</w:t>
      </w:r>
    </w:p>
    <w:p w14:paraId="13BEECC6" w14:textId="7BCC7D81" w:rsidR="004A3632" w:rsidRPr="00FC43D3" w:rsidRDefault="004A3632" w:rsidP="00FD2B08">
      <w:pPr>
        <w:pStyle w:val="NormalNonumber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  <w:rPr>
          <w:rFonts w:asciiTheme="majorBidi" w:hAnsiTheme="majorBidi" w:cstheme="majorBidi"/>
          <w:shd w:val="clear" w:color="auto" w:fill="FFFFFF"/>
        </w:rPr>
      </w:pPr>
      <w:r>
        <w:rPr>
          <w:i/>
          <w:iCs/>
        </w:rPr>
        <w:t>приветствует</w:t>
      </w:r>
      <w:r>
        <w:t xml:space="preserve"> «дорожную карту</w:t>
      </w:r>
      <w:r w:rsidR="0037630F">
        <w:t>»</w:t>
      </w:r>
      <w:r>
        <w:t xml:space="preserve"> для расширения сопутствующих выгод в ходе осуществления Минаматской конвенции и Куньминско-Монреальской глобальной рамочной программы в области биоразнообразия до 2030 года</w:t>
      </w:r>
      <w:r w:rsidRPr="00B606F4">
        <w:rPr>
          <w:rStyle w:val="FootnoteReference"/>
          <w:rFonts w:eastAsiaTheme="majorEastAsia"/>
          <w:shd w:val="clear" w:color="auto" w:fill="FFFFFF"/>
        </w:rPr>
        <w:footnoteReference w:id="12"/>
      </w:r>
      <w:r>
        <w:t>, подготовленную секретариатом в соответствии с решением 5/17;</w:t>
      </w:r>
    </w:p>
    <w:p w14:paraId="1E8E1F61" w14:textId="7EE0269F" w:rsidR="004A3632" w:rsidRPr="00FC43D3" w:rsidRDefault="004A3632" w:rsidP="00FD2B08">
      <w:pPr>
        <w:pStyle w:val="NormalNonumber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  <w:rPr>
          <w:rFonts w:asciiTheme="majorBidi" w:hAnsiTheme="majorBidi" w:cstheme="majorBidi"/>
          <w:shd w:val="clear" w:color="auto" w:fill="FFFFFF"/>
        </w:rPr>
      </w:pPr>
      <w:r>
        <w:rPr>
          <w:i/>
          <w:iCs/>
        </w:rPr>
        <w:t>призывает</w:t>
      </w:r>
      <w:r>
        <w:t xml:space="preserve"> Стороны и предлагает другим правительствам, органам местного самоуправления и субнациональным правительствам, а также коренным народам, местным общинам и другим соответствующим заинтересованным </w:t>
      </w:r>
      <w:r w:rsidR="0037630F">
        <w:t>субъектам</w:t>
      </w:r>
      <w:r>
        <w:t>, включая частный сектор и высшие учебные заведения, женщин, детей и молодежь, по мере необходимости проводить мероприятия, предложенные в «дорожной карте»;</w:t>
      </w:r>
    </w:p>
    <w:p w14:paraId="4D568F99" w14:textId="77777777" w:rsidR="004A3632" w:rsidRPr="00BE30BF" w:rsidRDefault="004A3632" w:rsidP="00FD2B08">
      <w:pPr>
        <w:pStyle w:val="NormalNonumber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  <w:rPr>
          <w:rFonts w:asciiTheme="majorBidi" w:hAnsiTheme="majorBidi" w:cstheme="majorBidi"/>
          <w:shd w:val="clear" w:color="auto" w:fill="FFFFFF"/>
        </w:rPr>
      </w:pPr>
      <w:r>
        <w:rPr>
          <w:i/>
          <w:iCs/>
        </w:rPr>
        <w:t>призывает</w:t>
      </w:r>
      <w:r>
        <w:t xml:space="preserve"> Стороны и предлагает другим правительствам, представившим уведомления в соответствии с пунктом 3 статьи 7 о кустарной и мелкомасштабной золотодобыче, использовать документ, подготовленный секретариатом для технической поддержки в интеграции мер по сокращению загрязнения ртутью в результате кустарной и мелкомасштабной золотодобычи в национальные стратегии и планы действий в области биоразнообразия, согласованные с Куньминско-Монреальской глобальной рамочной программой в области биоразнообразия (UNEP/MC/COP.6/INF/27);</w:t>
      </w:r>
    </w:p>
    <w:p w14:paraId="0CCFC5BD" w14:textId="134E1620" w:rsidR="004A3632" w:rsidRPr="009C1A48" w:rsidRDefault="004A3632" w:rsidP="00FD2B08">
      <w:pPr>
        <w:pStyle w:val="NormalNonumber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  <w:rPr>
          <w:rFonts w:asciiTheme="majorBidi" w:hAnsiTheme="majorBidi" w:cstheme="majorBidi"/>
          <w:shd w:val="clear" w:color="auto" w:fill="FFFFFF"/>
        </w:rPr>
      </w:pPr>
      <w:r>
        <w:rPr>
          <w:i/>
          <w:iCs/>
        </w:rPr>
        <w:t>приветствует</w:t>
      </w:r>
      <w:r>
        <w:t xml:space="preserve"> решение Конференции </w:t>
      </w:r>
      <w:r w:rsidR="0037630F">
        <w:t>С</w:t>
      </w:r>
      <w:r>
        <w:t>торон Конвенции о биологическом разнообразии предложить Межправительственной научно-политической платформе по биоразнообразию и экосистемным услугам рассмотреть вопрос о включении оценки загрязнения и биоразнообразия в ее скользящую программу работы</w:t>
      </w:r>
      <w:r w:rsidRPr="00481AE0">
        <w:rPr>
          <w:rStyle w:val="FootnoteReference"/>
          <w:rFonts w:eastAsiaTheme="majorEastAsia"/>
          <w:shd w:val="clear" w:color="auto" w:fill="FFFFFF"/>
        </w:rPr>
        <w:footnoteReference w:id="13"/>
      </w:r>
      <w:r>
        <w:t>, а также просит секретариат начать сотрудничество с секретариатом Платформы с целью изучения возможных способов, с помощью которых работа Платформы могла бы способствовать осуществлению Минаматской конвенции;</w:t>
      </w:r>
    </w:p>
    <w:p w14:paraId="19E19F61" w14:textId="29D3908E" w:rsidR="004A3632" w:rsidRPr="004A3632" w:rsidRDefault="004A3632" w:rsidP="00FD2B08">
      <w:pPr>
        <w:pStyle w:val="NormalNonumber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  <w:rPr>
          <w:rStyle w:val="normaltextrun"/>
          <w:lang w:val="ru-RU"/>
        </w:rPr>
      </w:pPr>
      <w:r>
        <w:rPr>
          <w:i/>
          <w:iCs/>
        </w:rPr>
        <w:t xml:space="preserve">призывает </w:t>
      </w:r>
      <w:r w:rsidR="00FD2B08" w:rsidRPr="00FD2B08">
        <w:t>Стороны</w:t>
      </w:r>
      <w:r>
        <w:t xml:space="preserve"> участвовать в Бернском процессе и активно содействовать сотрудничеству и согласованности мер политики многосторонних природоохранных соглашений на национальном уровне, принимая во внимание национальные условия, </w:t>
      </w:r>
      <w:r>
        <w:lastRenderedPageBreak/>
        <w:t>потребности и приоритеты и используя по мере необходимости общегосударственный и общесоциальный подходы;</w:t>
      </w:r>
    </w:p>
    <w:p w14:paraId="20713CBE" w14:textId="772F6AF7" w:rsidR="00FD2B08" w:rsidRDefault="004A3632" w:rsidP="00FD2B08">
      <w:pPr>
        <w:pStyle w:val="NormalNonumber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  <w:sectPr w:rsidR="00FD2B08" w:rsidSect="001307E0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footnotePr>
            <w:numRestart w:val="eachSect"/>
          </w:footnotePr>
          <w:pgSz w:w="11907" w:h="16839"/>
          <w:pgMar w:top="907" w:right="992" w:bottom="1418" w:left="1418" w:header="539" w:footer="975" w:gutter="0"/>
          <w:cols w:space="708"/>
          <w:docGrid w:linePitch="360"/>
        </w:sectPr>
      </w:pPr>
      <w:r>
        <w:rPr>
          <w:i/>
          <w:iCs/>
        </w:rPr>
        <w:t>поручает</w:t>
      </w:r>
      <w:r>
        <w:t xml:space="preserve"> секретариату, при условии наличия ресурсов, внести вклад в осуществление «дорожной карты» и продолжать участие в Бернском процессе в сотрудничестве с Программой Организации Объединенных Наций по окружающей среде и другими многосторонними природоохранными соглашениями</w:t>
      </w:r>
      <w:r w:rsidR="00F23412">
        <w:t>.</w:t>
      </w:r>
    </w:p>
    <w:p w14:paraId="364BFDAA" w14:textId="77777777" w:rsidR="004A3632" w:rsidRPr="00BE30BF" w:rsidRDefault="004A3632" w:rsidP="005A0EB2">
      <w:pPr>
        <w:pStyle w:val="ZZAnxhead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240"/>
      </w:pPr>
      <w:r>
        <w:lastRenderedPageBreak/>
        <w:t>Приложение II</w:t>
      </w:r>
    </w:p>
    <w:p w14:paraId="1C4F31BC" w14:textId="6A9EE85C" w:rsidR="004A3632" w:rsidRPr="00BE30BF" w:rsidRDefault="004A3632" w:rsidP="005A0EB2">
      <w:pPr>
        <w:pStyle w:val="ZZAnx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right="284"/>
      </w:pPr>
      <w:r>
        <w:t xml:space="preserve">Обзор решений, принятых Конференцией </w:t>
      </w:r>
      <w:r w:rsidR="0098033D">
        <w:t>Сторон</w:t>
      </w:r>
      <w:r>
        <w:t xml:space="preserve"> Конвенции о биологическом разнообразии на ее шестнадцатом совещании, которые имеют непосредственное отношение к Минаматской конвенции</w:t>
      </w:r>
    </w:p>
    <w:p w14:paraId="2533BE02" w14:textId="4FF66A3B" w:rsidR="004A3632" w:rsidRPr="00BE30BF" w:rsidRDefault="004A3632" w:rsidP="005A0EB2">
      <w:pPr>
        <w:pStyle w:val="NormalNonumber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0"/>
      </w:pPr>
      <w:r>
        <w:t xml:space="preserve">Шестнадцатое совещание Конференции </w:t>
      </w:r>
      <w:r w:rsidR="0098033D">
        <w:t xml:space="preserve">Сторон </w:t>
      </w:r>
      <w:r>
        <w:t xml:space="preserve">Конвенции о биологическом разнообразии, которое проходило в два этапа – в Кали (Колумбия) с 21 октября по 1 ноября 2024 года и в Риме с 25 по 27 февраля 2025 года – </w:t>
      </w:r>
      <w:r w:rsidR="0037630F">
        <w:t xml:space="preserve">подтвердило </w:t>
      </w:r>
      <w:r>
        <w:t xml:space="preserve">обязательства правительств обратить вспять процесс утраты биоразнообразия и снижения качества экосистемных услуг. Ниже приводится обзор решений, принятых на этом совещании, которые имеют непосредственное отношение к Минаматской конвенции. Для удобства пользования в документе UNEP/MC/COP.6/INF/41 приводится перечень основных решений пятнадцатого и шестнадцатого совещаний Конференции </w:t>
      </w:r>
      <w:r w:rsidR="0037630F">
        <w:t>С</w:t>
      </w:r>
      <w:r>
        <w:t>торон Конвенции о биологическом разнообразии.</w:t>
      </w:r>
    </w:p>
    <w:p w14:paraId="4D0D1BDB" w14:textId="1ACB9051" w:rsidR="004A3632" w:rsidRPr="00FC43D3" w:rsidRDefault="004A3632" w:rsidP="005A0EB2">
      <w:pPr>
        <w:pStyle w:val="NormalNonumber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0"/>
        <w:rPr>
          <w:shd w:val="clear" w:color="auto" w:fill="FFFFFF"/>
        </w:rPr>
      </w:pPr>
      <w:r>
        <w:t xml:space="preserve">В своем решении 16/31 о механизме мониторинга для </w:t>
      </w:r>
      <w:r w:rsidR="00113DD8">
        <w:t>Куньминско</w:t>
      </w:r>
      <w:r>
        <w:t xml:space="preserve">-Монреальской глобальной рамочной программы в области биоразнообразия Конференция </w:t>
      </w:r>
      <w:r w:rsidR="0037630F">
        <w:t>С</w:t>
      </w:r>
      <w:r>
        <w:t xml:space="preserve">торон Конвенции о биологическом разнообразии одобрила технические обновления основных и бинарных индикаторов в механизме мониторинга для Куньминско-Монреальской глобальной рамочной программы в области биоразнообразия, которые содержатся в приложении I к этому решению. В приложении II к тому же решению содержится перечень добровольных компонентных и дополнительных индикаторов. Кроме того, Конференция Сторон внедрила процесс рассмотрения новых индикаторов, поручив Исполнительному секретарю собрать материалы, представленные, в частности, секретариатами многосторонних природоохранных соглашений, для включения новых основных, компонентных и дополнительных индикаторов, отвечающих критериям для включения в механизм мониторинга, с тем чтобы помочь устранить пробелы в механизме мониторинга. Собранная информация должна быть предоставлена Вспомогательному органу по научным, техническим и технологическим консультациям для рассмотрения на совещании перед семнадцатым </w:t>
      </w:r>
      <w:r w:rsidR="0098033D">
        <w:t>совещанием</w:t>
      </w:r>
      <w:r w:rsidR="0098033D">
        <w:rPr>
          <w:rStyle w:val="CommentReference"/>
        </w:rPr>
        <w:t xml:space="preserve"> </w:t>
      </w:r>
      <w:r w:rsidR="0098033D">
        <w:t>Конференции</w:t>
      </w:r>
      <w:r>
        <w:t xml:space="preserve"> Сторон Конвенции о биологическом разнообразии, которая пройдет в Армении в 2026 году. </w:t>
      </w:r>
    </w:p>
    <w:p w14:paraId="0AF28531" w14:textId="77777777" w:rsidR="004A3632" w:rsidRPr="00BE30BF" w:rsidRDefault="004A3632" w:rsidP="005A0EB2">
      <w:pPr>
        <w:pStyle w:val="NormalNonumber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0"/>
      </w:pPr>
      <w:r>
        <w:t xml:space="preserve">Кроме того, в решении 16/31 Конференция Сторон Конвенции о биологическом разнообразии приветствовала текущую работу по мониторингу, проводимую в рамках многосторонних природоохранных соглашений и соответствующих инициатив, и предложила секретариатам таких соглашений и инициатив обмениваться информацией о соответствующих инициативах по мониторингу с Исполнительным секретарем этой конвенции. Такая информация должна предоставляться Сторонам через механизм обмена информацией, предусмотренный Конвенцией. </w:t>
      </w:r>
    </w:p>
    <w:p w14:paraId="14EC5A1B" w14:textId="77777777" w:rsidR="004A3632" w:rsidRPr="00BE30BF" w:rsidRDefault="004A3632" w:rsidP="005A0EB2">
      <w:pPr>
        <w:pStyle w:val="NormalNonumber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0"/>
      </w:pPr>
      <w:r>
        <w:t xml:space="preserve">В решении 16/11 по вопросам, связанным с программой работы Межправительственной научно-политической платформы по биоразнообразию и экосистемным услугам, Конференция Сторон Конвенции о биологическом разнообразии предложила Платформе рассмотреть вопрос о подготовке возможных дополнительных оценок, включая оценку загрязнения и биоразнообразия. </w:t>
      </w:r>
    </w:p>
    <w:p w14:paraId="4A498537" w14:textId="31FBD88C" w:rsidR="004A3632" w:rsidRPr="00BE30BF" w:rsidRDefault="004A3632" w:rsidP="005A0EB2">
      <w:pPr>
        <w:pStyle w:val="NormalNonumber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0"/>
      </w:pPr>
      <w:r>
        <w:t xml:space="preserve">В решении 16/35 о сотрудничестве с другими конвенциями и международными организациями Конференция </w:t>
      </w:r>
      <w:r w:rsidR="000C4C99">
        <w:t>Сторон</w:t>
      </w:r>
      <w:r>
        <w:t xml:space="preserve"> Конвенции о биологическом разнообразии предложила руководящим органам конвенций по химическим веществам и отходам (включая Минаматскую конвенцию и Базельскую, Роттердамскую и Стокгольмскую конвенции), Продовольственной и сельскохозяйственной организации Объединенных Наций и других соответствующих конвенций и организаций, включая Глобальную рамочную программу по химическим веществам «Ради планеты, свободной от вредного воздействия химических веществ и отходов», сотрудничать с тремя Рио-де-Жанейрскими конвенциями с целью решения задачи 7 Рамочной программы, касающейся сокращения загрязнения до уровней, не наносящих вреда биоразнообразию, в консультации со Сторонами, другими правительствами, коренными народами и местными общинами и соответствующими заинтересованными </w:t>
      </w:r>
      <w:r w:rsidR="0037630F">
        <w:t>субъектами</w:t>
      </w:r>
      <w:r>
        <w:t>.</w:t>
      </w:r>
    </w:p>
    <w:p w14:paraId="01886CCB" w14:textId="4226447F" w:rsidR="004A3632" w:rsidRPr="00BE30BF" w:rsidRDefault="004A3632" w:rsidP="005A0EB2">
      <w:pPr>
        <w:pStyle w:val="NormalNonumber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0"/>
      </w:pPr>
      <w:r>
        <w:t xml:space="preserve">В решении 16/19 «Биоразнообразие и здоровье» Конференция </w:t>
      </w:r>
      <w:r w:rsidR="0037630F">
        <w:t>С</w:t>
      </w:r>
      <w:r>
        <w:t xml:space="preserve">торон Конвенции о биологическом разнообразии приняла Глобальный план действий в области биоразнообразия и здоровья, содержащийся в приложении к этому решению, в качестве добровольного плана, поддерживающего осуществление Куньминско-Монреальской глобальной рамочной программы в области биоразнообразия. Цель плана действий </w:t>
      </w:r>
      <w:r w:rsidR="00C94AF9">
        <w:t>–</w:t>
      </w:r>
      <w:r>
        <w:t xml:space="preserve"> интегрировать взаимосвязи </w:t>
      </w:r>
      <w:r>
        <w:lastRenderedPageBreak/>
        <w:t xml:space="preserve">между биоразнообразием и здоровьем в осуществление Рамочной программы и ее мероприятий. Эти мероприятия включают повышение осведомленности о негативном воздействии загрязнения из всех источников, включая тяжелые металлы, особо опасные химические вещества и пластмассы, а также подготовку данных мониторинга </w:t>
      </w:r>
      <w:r w:rsidR="0037630F">
        <w:t xml:space="preserve">и </w:t>
      </w:r>
      <w:r>
        <w:t xml:space="preserve">(или) наблюдения, расширение обмена информацией и содействие пониманию взаимосвязей между химическими веществами и отходами и последствиями для здоровья человека для получения максимальных сопутствующих выгод для биоразнообразия и здоровья человека, в том числе в рамках подхода «Единое здоровье». </w:t>
      </w:r>
      <w:bookmarkStart w:id="12" w:name="_Hlk203473682"/>
      <w:bookmarkEnd w:id="12"/>
    </w:p>
    <w:p w14:paraId="69C26B1B" w14:textId="77777777" w:rsidR="004A3632" w:rsidRPr="00BE30BF" w:rsidRDefault="004A3632" w:rsidP="0090331F">
      <w:pPr>
        <w:pStyle w:val="NormalNonumber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0"/>
        <w:rPr>
          <w:shd w:val="clear" w:color="auto" w:fill="FFFFFF"/>
        </w:rPr>
      </w:pPr>
      <w:r>
        <w:t xml:space="preserve">Также в решении 16/19 Конференция Сторон отметила значение, которое придают связям между биоразнообразием и здоровьем другие организации и инициативы, включая Глобальную рамочную программу по химическим веществам, и предложила секретариатам соответствующих многосторонних соглашений, связанных с охраной природы и здоровья, помимо прочего, повышать осведомленность о Глобальном плане действий в области биоразнообразия и здоровья, способствовать приоритизации связей между биоразнообразием и здоровьем в различных секторах с учетом самостоятельно определяемых национальных приоритетов, а также оказывать дальнейшую поддержку в разработке и применении мер, руководств и инструментов для содействия и поддержки приоритизации связей между биоразнообразием и здоровьем. </w:t>
      </w:r>
    </w:p>
    <w:p w14:paraId="6293CFF6" w14:textId="6FE65B87" w:rsidR="004A3632" w:rsidRPr="00BE30BF" w:rsidRDefault="004A3632" w:rsidP="005A0EB2">
      <w:pPr>
        <w:pStyle w:val="NormalNonumber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0"/>
      </w:pPr>
      <w:r>
        <w:t>В решении 16/32 Конференция Сторон Конвенции о биологическом разнообразии вновь подтвердила решение 15/6 о проведении глобального обзора коллективного прогресса в осуществлении Рамочной программы на своих семнадцатом и девятнадцатом совещаниях. Глобальный обзор направлен на оценку коллективного прогресса и основывается в первую очередь на национальных докладах и глобальном докладе о коллективном прогрессе в осуществлении Рамочной программы, а также на глобальном анализе информации, содержащейся в национальных стратегиях и планах действий по сохранению биоразнообразия. В решении представлены структурные элементы глобального доклада, которые включают краткий свод примеров вклада соответствующих многосторонних природоохранных соглашений в реализацию Рамочной программы, согласно их соответствующим мандатам. В нем также указаны основные источники информации, на которые должен опираться глобальный доклад, и одним из таких источников является соответствующая информация от секретариатов конвенций по биоразнообразию и других соответствующих многосторонних природоохранных соглашений, международных организаций и процессов, включая доклады, представленные в рамках соответствующих конвенций и в отношении целей в области устойчивого развития.</w:t>
      </w:r>
    </w:p>
    <w:p w14:paraId="5B9DFDE9" w14:textId="30FD14F6" w:rsidR="004A3632" w:rsidRPr="00BE30BF" w:rsidRDefault="004A3632" w:rsidP="005A0EB2">
      <w:pPr>
        <w:pStyle w:val="NormalNonumber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0"/>
        <w:rPr>
          <w:shd w:val="clear" w:color="auto" w:fill="FFFFFF"/>
        </w:rPr>
      </w:pPr>
      <w:r>
        <w:t xml:space="preserve">В решении 16/33 Конференция </w:t>
      </w:r>
      <w:r w:rsidR="0037630F">
        <w:t>С</w:t>
      </w:r>
      <w:r>
        <w:t>торон Конвенции о биологическом разнообразии призвала Глобальный экологический фонд и соответствующие Стороны, поддерживать вклад основного направления деятельности «Международные воды» в осуществление Куньминско</w:t>
      </w:r>
      <w:r w:rsidR="0090331F">
        <w:noBreakHyphen/>
      </w:r>
      <w:r>
        <w:t xml:space="preserve">Монреальской глобальной рамочной программы в области биоразнообразия и распространить этот подход на другие основные направления деятельности, включая «Изменение климата», «Деградацию земель», а также «Химические вещества и отходы», в соответствии с национальными обстоятельствами и приоритетами. Кроме того, в приложении I к решению содержатся четырехлетняя ориентированная на результаты структура программных приоритетов в области биоразнообразия Конвенции о биологическом разнообразии и протоколы к ней для девятого пополнения целевого фонда Глобального экологического фонда (2026–2030 годы), в которой также упоминается важность синергии в контексте девятого пополнения. </w:t>
      </w:r>
    </w:p>
    <w:p w14:paraId="5722C2E9" w14:textId="77777777" w:rsidR="004A3632" w:rsidRPr="00BE30BF" w:rsidRDefault="004A3632" w:rsidP="0090331F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rFonts w:eastAsiaTheme="minorEastAs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4A3632" w:rsidRPr="00BE30BF" w14:paraId="5111B5BB" w14:textId="77777777" w:rsidTr="00E825CE">
        <w:tc>
          <w:tcPr>
            <w:tcW w:w="1897" w:type="dxa"/>
          </w:tcPr>
          <w:p w14:paraId="6B9C5ABB" w14:textId="77777777" w:rsidR="004A3632" w:rsidRPr="00BE30BF" w:rsidRDefault="004A3632" w:rsidP="0090331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</w:tcPr>
          <w:p w14:paraId="68519BF6" w14:textId="77777777" w:rsidR="004A3632" w:rsidRPr="00BE30BF" w:rsidRDefault="004A3632" w:rsidP="0090331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1DD91917" w14:textId="77777777" w:rsidR="004A3632" w:rsidRPr="00BE30BF" w:rsidRDefault="004A3632" w:rsidP="0090331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2CA45056" w14:textId="77777777" w:rsidR="004A3632" w:rsidRPr="00BE30BF" w:rsidRDefault="004A3632" w:rsidP="0090331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36AAC9EF" w14:textId="77777777" w:rsidR="004A3632" w:rsidRPr="00BE30BF" w:rsidRDefault="004A3632" w:rsidP="0090331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</w:tr>
    </w:tbl>
    <w:p w14:paraId="57F47CCD" w14:textId="75398183" w:rsidR="0086106E" w:rsidRPr="0086106E" w:rsidRDefault="0086106E" w:rsidP="0090331F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sectPr w:rsidR="0086106E" w:rsidRPr="0086106E" w:rsidSect="005A0EB2">
      <w:footnotePr>
        <w:numRestart w:val="eachSect"/>
      </w:footnotePr>
      <w:pgSz w:w="11907" w:h="16839"/>
      <w:pgMar w:top="907" w:right="992" w:bottom="1418" w:left="1418" w:header="539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59DF9" w14:textId="77777777" w:rsidR="00987155" w:rsidRPr="0086106E" w:rsidRDefault="00987155" w:rsidP="00660A66">
      <w:r w:rsidRPr="0086106E">
        <w:separator/>
      </w:r>
    </w:p>
  </w:endnote>
  <w:endnote w:type="continuationSeparator" w:id="0">
    <w:p w14:paraId="2DC3A279" w14:textId="77777777" w:rsidR="00987155" w:rsidRPr="0086106E" w:rsidRDefault="00987155" w:rsidP="00660A66">
      <w:r w:rsidRPr="008610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370610"/>
      <w:docPartObj>
        <w:docPartGallery w:val="Page Numbers (Bottom of Page)"/>
        <w:docPartUnique/>
      </w:docPartObj>
    </w:sdtPr>
    <w:sdtEndPr>
      <w:rPr>
        <w:b/>
        <w:bCs/>
        <w:noProof/>
        <w:sz w:val="18"/>
        <w:szCs w:val="18"/>
      </w:rPr>
    </w:sdtEndPr>
    <w:sdtContent>
      <w:p w14:paraId="18ED6A1D" w14:textId="3F200FAD" w:rsidR="000203A9" w:rsidRPr="000203A9" w:rsidRDefault="000203A9" w:rsidP="00DC6DEF">
        <w:pPr>
          <w:pStyle w:val="Footer"/>
          <w:tabs>
            <w:tab w:val="clear" w:pos="4513"/>
            <w:tab w:val="clear" w:pos="9026"/>
          </w:tabs>
          <w:rPr>
            <w:b/>
            <w:bCs/>
            <w:sz w:val="18"/>
            <w:szCs w:val="18"/>
          </w:rPr>
        </w:pPr>
        <w:r w:rsidRPr="000203A9">
          <w:rPr>
            <w:b/>
            <w:bCs/>
            <w:sz w:val="18"/>
            <w:szCs w:val="18"/>
          </w:rPr>
          <w:fldChar w:fldCharType="begin"/>
        </w:r>
        <w:r w:rsidRPr="000203A9">
          <w:rPr>
            <w:b/>
            <w:bCs/>
            <w:sz w:val="18"/>
            <w:szCs w:val="18"/>
          </w:rPr>
          <w:instrText xml:space="preserve"> PAGE   \* MERGEFORMAT </w:instrText>
        </w:r>
        <w:r w:rsidRPr="000203A9">
          <w:rPr>
            <w:b/>
            <w:bCs/>
            <w:sz w:val="18"/>
            <w:szCs w:val="18"/>
          </w:rPr>
          <w:fldChar w:fldCharType="separate"/>
        </w:r>
        <w:r w:rsidRPr="000203A9">
          <w:rPr>
            <w:b/>
            <w:bCs/>
            <w:noProof/>
            <w:sz w:val="18"/>
            <w:szCs w:val="18"/>
          </w:rPr>
          <w:t>2</w:t>
        </w:r>
        <w:r w:rsidRPr="000203A9">
          <w:rPr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193451"/>
      <w:docPartObj>
        <w:docPartGallery w:val="Page Numbers (Bottom of Page)"/>
        <w:docPartUnique/>
      </w:docPartObj>
    </w:sdtPr>
    <w:sdtEndPr>
      <w:rPr>
        <w:b/>
        <w:bCs/>
        <w:noProof/>
        <w:sz w:val="18"/>
        <w:szCs w:val="18"/>
      </w:rPr>
    </w:sdtEndPr>
    <w:sdtContent>
      <w:p w14:paraId="69B9235A" w14:textId="4FD6ABB3" w:rsidR="000203A9" w:rsidRPr="000203A9" w:rsidRDefault="000203A9" w:rsidP="00DC6DEF">
        <w:pPr>
          <w:pStyle w:val="Footer"/>
          <w:tabs>
            <w:tab w:val="clear" w:pos="4513"/>
            <w:tab w:val="clear" w:pos="9026"/>
          </w:tabs>
          <w:jc w:val="right"/>
          <w:rPr>
            <w:b/>
            <w:bCs/>
            <w:sz w:val="18"/>
            <w:szCs w:val="18"/>
          </w:rPr>
        </w:pPr>
        <w:r w:rsidRPr="000203A9">
          <w:rPr>
            <w:b/>
            <w:bCs/>
            <w:sz w:val="18"/>
            <w:szCs w:val="18"/>
          </w:rPr>
          <w:fldChar w:fldCharType="begin"/>
        </w:r>
        <w:r w:rsidRPr="000203A9">
          <w:rPr>
            <w:b/>
            <w:bCs/>
            <w:sz w:val="18"/>
            <w:szCs w:val="18"/>
          </w:rPr>
          <w:instrText xml:space="preserve"> PAGE   \* MERGEFORMAT </w:instrText>
        </w:r>
        <w:r w:rsidRPr="000203A9">
          <w:rPr>
            <w:b/>
            <w:bCs/>
            <w:sz w:val="18"/>
            <w:szCs w:val="18"/>
          </w:rPr>
          <w:fldChar w:fldCharType="separate"/>
        </w:r>
        <w:r w:rsidRPr="000203A9">
          <w:rPr>
            <w:b/>
            <w:bCs/>
            <w:noProof/>
            <w:sz w:val="18"/>
            <w:szCs w:val="18"/>
          </w:rPr>
          <w:t>2</w:t>
        </w:r>
        <w:r w:rsidRPr="000203A9">
          <w:rPr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CB7F" w14:textId="6D0CFC09" w:rsidR="0062322B" w:rsidRDefault="0062322B" w:rsidP="0062322B">
    <w:pPr>
      <w:pStyle w:val="Footer-jobnumber"/>
    </w:pPr>
    <w:r>
      <w:t>K2512353[</w:t>
    </w:r>
    <w:r>
      <w:rPr>
        <w:lang w:val="en-US"/>
      </w:rPr>
      <w:t>R</w:t>
    </w:r>
    <w:r>
      <w:t>]</w:t>
    </w:r>
    <w:r>
      <w:tab/>
    </w:r>
    <w:r w:rsidR="00E62DC4">
      <w:rPr>
        <w:lang w:val="fr-CH"/>
      </w:rPr>
      <w:t>22</w:t>
    </w:r>
    <w:r>
      <w:rPr>
        <w:lang w:val="en-US"/>
      </w:rPr>
      <w:t>09</w:t>
    </w:r>
    <w:r>
      <w:t>25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1343" w14:textId="106ED729" w:rsidR="0076134B" w:rsidRPr="0086106E" w:rsidRDefault="0086106E" w:rsidP="005A0EB2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</w:pPr>
    <w:r w:rsidRPr="0086106E">
      <w:fldChar w:fldCharType="begin"/>
    </w:r>
    <w:r w:rsidRPr="0086106E">
      <w:instrText xml:space="preserve"> PAGE </w:instrText>
    </w:r>
    <w:r w:rsidRPr="0086106E">
      <w:fldChar w:fldCharType="separate"/>
    </w:r>
    <w:r w:rsidRPr="0086106E">
      <w:rPr>
        <w:noProof/>
      </w:rPr>
      <w:t>1</w:t>
    </w:r>
    <w:r w:rsidRPr="0086106E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41BB" w14:textId="1915FD86" w:rsidR="0076134B" w:rsidRPr="0086106E" w:rsidRDefault="0086106E" w:rsidP="005A0EB2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  <w:jc w:val="right"/>
    </w:pPr>
    <w:r w:rsidRPr="0086106E">
      <w:fldChar w:fldCharType="begin"/>
    </w:r>
    <w:r w:rsidRPr="0086106E">
      <w:instrText xml:space="preserve"> PAGE \* MERGEFORMAT </w:instrText>
    </w:r>
    <w:r w:rsidRPr="0086106E">
      <w:fldChar w:fldCharType="separate"/>
    </w:r>
    <w:r w:rsidRPr="0086106E">
      <w:rPr>
        <w:noProof/>
      </w:rPr>
      <w:t>1</w:t>
    </w:r>
    <w:r w:rsidRPr="0086106E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068E" w14:textId="5C180288" w:rsidR="0076134B" w:rsidRPr="0086106E" w:rsidRDefault="007E2F6F" w:rsidP="0086106E">
    <w:pPr>
      <w:pStyle w:val="Footer-jobnumber"/>
    </w:pPr>
    <w:bookmarkStart w:id="11" w:name="FooterJobDate"/>
    <w:r>
      <w:t>K2512353[R]</w:t>
    </w:r>
    <w:r>
      <w:tab/>
      <w:t>170925</w:t>
    </w:r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49BD" w14:textId="77777777" w:rsidR="00987155" w:rsidRPr="0086106E" w:rsidRDefault="00987155" w:rsidP="003176A4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624"/>
      </w:pPr>
      <w:r w:rsidRPr="0086106E">
        <w:separator/>
      </w:r>
    </w:p>
  </w:footnote>
  <w:footnote w:type="continuationSeparator" w:id="0">
    <w:p w14:paraId="774ED7EB" w14:textId="77777777" w:rsidR="00987155" w:rsidRPr="0086106E" w:rsidRDefault="00987155" w:rsidP="00660A66">
      <w:r w:rsidRPr="0086106E">
        <w:continuationSeparator/>
      </w:r>
    </w:p>
  </w:footnote>
  <w:footnote w:id="1">
    <w:p w14:paraId="117C9A2C" w14:textId="14357DB7" w:rsidR="00AE020A" w:rsidRPr="003176A4" w:rsidRDefault="00AE020A" w:rsidP="003176A4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szCs w:val="18"/>
        </w:rPr>
      </w:pPr>
      <w:r w:rsidRPr="003176A4">
        <w:rPr>
          <w:szCs w:val="18"/>
        </w:rPr>
        <w:t xml:space="preserve">* </w:t>
      </w:r>
      <w:r w:rsidR="003176A4" w:rsidRPr="005344D1">
        <w:rPr>
          <w:szCs w:val="18"/>
        </w:rPr>
        <w:tab/>
      </w:r>
      <w:r w:rsidRPr="003176A4">
        <w:rPr>
          <w:szCs w:val="18"/>
        </w:rPr>
        <w:t>UNEP/MC/COP.6/1</w:t>
      </w:r>
      <w:r w:rsidR="00E62DC4">
        <w:rPr>
          <w:szCs w:val="18"/>
          <w:lang w:val="fr-CH"/>
        </w:rPr>
        <w:t>/Rev.1</w:t>
      </w:r>
      <w:r w:rsidRPr="003176A4">
        <w:rPr>
          <w:szCs w:val="18"/>
        </w:rPr>
        <w:t>.</w:t>
      </w:r>
    </w:p>
  </w:footnote>
  <w:footnote w:id="2">
    <w:p w14:paraId="2E672F9F" w14:textId="7F33965B" w:rsidR="004A3632" w:rsidRPr="003176A4" w:rsidRDefault="004A3632" w:rsidP="003176A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3176A4">
        <w:rPr>
          <w:rStyle w:val="FootnoteReference"/>
          <w:rFonts w:eastAsiaTheme="majorEastAsia"/>
          <w:sz w:val="18"/>
        </w:rPr>
        <w:footnoteRef/>
      </w:r>
      <w:r w:rsidRPr="003176A4">
        <w:rPr>
          <w:szCs w:val="18"/>
        </w:rPr>
        <w:t xml:space="preserve"> </w:t>
      </w:r>
      <w:r w:rsidR="003176A4" w:rsidRPr="005C4F10">
        <w:rPr>
          <w:szCs w:val="18"/>
        </w:rPr>
        <w:tab/>
      </w:r>
      <w:r w:rsidRPr="003176A4">
        <w:rPr>
          <w:szCs w:val="18"/>
        </w:rPr>
        <w:t>Имеется на веб-сайте Минаматской конвенции (</w:t>
      </w:r>
      <w:hyperlink r:id="rId1" w:history="1">
        <w:r w:rsidRPr="005344D1">
          <w:rPr>
            <w:rStyle w:val="Hyperlink"/>
            <w:color w:val="0000FF"/>
            <w:szCs w:val="18"/>
          </w:rPr>
          <w:t>https://minamataconvention.org/en/news/decision-mercury-and-kunming-montreal-global-biodiversity-framework-adopted-conference-parties</w:t>
        </w:r>
      </w:hyperlink>
      <w:r w:rsidRPr="003176A4">
        <w:rPr>
          <w:szCs w:val="18"/>
        </w:rPr>
        <w:t>).</w:t>
      </w:r>
      <w:hyperlink r:id="rId2" w:history="1"/>
    </w:p>
  </w:footnote>
  <w:footnote w:id="3">
    <w:p w14:paraId="479AB330" w14:textId="1DEAD165" w:rsidR="004A3632" w:rsidRPr="003176A4" w:rsidRDefault="004A3632" w:rsidP="003176A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3176A4">
        <w:rPr>
          <w:rStyle w:val="FootnoteReference"/>
          <w:rFonts w:eastAsiaTheme="majorEastAsia"/>
          <w:sz w:val="18"/>
        </w:rPr>
        <w:footnoteRef/>
      </w:r>
      <w:r w:rsidRPr="003176A4">
        <w:rPr>
          <w:szCs w:val="18"/>
        </w:rPr>
        <w:t xml:space="preserve"> </w:t>
      </w:r>
      <w:r w:rsidR="003176A4" w:rsidRPr="005C4F10">
        <w:rPr>
          <w:szCs w:val="18"/>
        </w:rPr>
        <w:tab/>
      </w:r>
      <w:r w:rsidRPr="003176A4">
        <w:rPr>
          <w:szCs w:val="18"/>
        </w:rPr>
        <w:t>Задача 7: сократить загрязнение до уровней, не наносящих вреда биоразнообразию (см.</w:t>
      </w:r>
      <w:r w:rsidR="00A255E7">
        <w:rPr>
          <w:szCs w:val="18"/>
        </w:rPr>
        <w:t> </w:t>
      </w:r>
      <w:hyperlink r:id="rId3" w:history="1">
        <w:r w:rsidRPr="00A255E7">
          <w:rPr>
            <w:rStyle w:val="Hyperlink"/>
            <w:color w:val="0000FF"/>
            <w:szCs w:val="18"/>
          </w:rPr>
          <w:t>https://www.cbd.int/gbf/targets/7</w:t>
        </w:r>
      </w:hyperlink>
      <w:r w:rsidRPr="003176A4">
        <w:rPr>
          <w:szCs w:val="18"/>
        </w:rPr>
        <w:t>).</w:t>
      </w:r>
      <w:hyperlink r:id="rId4" w:history="1"/>
    </w:p>
  </w:footnote>
  <w:footnote w:id="4">
    <w:p w14:paraId="14D91CC5" w14:textId="219DC7D1" w:rsidR="004A3632" w:rsidRPr="003176A4" w:rsidRDefault="004A3632" w:rsidP="003176A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3176A4">
        <w:rPr>
          <w:rStyle w:val="FootnoteReference"/>
          <w:rFonts w:eastAsiaTheme="majorEastAsia"/>
          <w:sz w:val="18"/>
        </w:rPr>
        <w:footnoteRef/>
      </w:r>
      <w:r w:rsidRPr="003176A4">
        <w:rPr>
          <w:szCs w:val="18"/>
        </w:rPr>
        <w:t xml:space="preserve"> </w:t>
      </w:r>
      <w:r w:rsidR="003176A4" w:rsidRPr="005C4F10">
        <w:rPr>
          <w:szCs w:val="18"/>
        </w:rPr>
        <w:tab/>
      </w:r>
      <w:r w:rsidRPr="003176A4">
        <w:rPr>
          <w:szCs w:val="18"/>
        </w:rPr>
        <w:t xml:space="preserve">Документ CBD/COP/16/INF/21 имеется по адресу: </w:t>
      </w:r>
      <w:hyperlink r:id="rId5" w:history="1">
        <w:r w:rsidRPr="002817AF">
          <w:rPr>
            <w:rStyle w:val="Hyperlink"/>
            <w:color w:val="0000FF"/>
            <w:szCs w:val="18"/>
          </w:rPr>
          <w:t>https://www.cbd.int/meetings/COP-16</w:t>
        </w:r>
      </w:hyperlink>
      <w:r w:rsidRPr="003176A4">
        <w:rPr>
          <w:szCs w:val="18"/>
        </w:rPr>
        <w:t>.</w:t>
      </w:r>
      <w:hyperlink r:id="rId6" w:history="1"/>
    </w:p>
  </w:footnote>
  <w:footnote w:id="5">
    <w:p w14:paraId="68316D5B" w14:textId="5A8783B3" w:rsidR="004A3632" w:rsidRPr="003176A4" w:rsidRDefault="004A3632" w:rsidP="003176A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  <w:lang w:val="en-GB"/>
        </w:rPr>
      </w:pPr>
      <w:r w:rsidRPr="003176A4">
        <w:rPr>
          <w:rStyle w:val="FootnoteReference"/>
          <w:rFonts w:eastAsiaTheme="majorEastAsia"/>
          <w:sz w:val="18"/>
        </w:rPr>
        <w:footnoteRef/>
      </w:r>
      <w:r w:rsidRPr="003176A4">
        <w:rPr>
          <w:szCs w:val="18"/>
          <w:lang w:val="en-US"/>
        </w:rPr>
        <w:t xml:space="preserve"> </w:t>
      </w:r>
      <w:r w:rsidR="003176A4">
        <w:rPr>
          <w:szCs w:val="18"/>
          <w:lang w:val="en-US"/>
        </w:rPr>
        <w:tab/>
      </w:r>
      <w:r w:rsidRPr="003176A4">
        <w:rPr>
          <w:i/>
          <w:iCs/>
          <w:szCs w:val="18"/>
          <w:lang w:val="en-US"/>
        </w:rPr>
        <w:t xml:space="preserve">UNEP, Mercury and Biodiversity – Opportunities for Generating Co-Benefits through Coherent Implementation of the Minamata Convention on Mercury and the Kunming-Montreal Global Biodiversity Framework </w:t>
      </w:r>
      <w:r w:rsidRPr="000A755C">
        <w:rPr>
          <w:szCs w:val="18"/>
          <w:lang w:val="en-US"/>
        </w:rPr>
        <w:t>(Geneva, 2024),</w:t>
      </w:r>
      <w:r w:rsidRPr="003176A4">
        <w:rPr>
          <w:szCs w:val="18"/>
          <w:lang w:val="en-US"/>
        </w:rPr>
        <w:t xml:space="preserve"> </w:t>
      </w:r>
      <w:r w:rsidRPr="003176A4">
        <w:rPr>
          <w:szCs w:val="18"/>
        </w:rPr>
        <w:t>имеется</w:t>
      </w:r>
      <w:r w:rsidRPr="003176A4">
        <w:rPr>
          <w:szCs w:val="18"/>
          <w:lang w:val="en-US"/>
        </w:rPr>
        <w:t xml:space="preserve"> </w:t>
      </w:r>
      <w:r w:rsidRPr="003176A4">
        <w:rPr>
          <w:szCs w:val="18"/>
        </w:rPr>
        <w:t>по</w:t>
      </w:r>
      <w:r w:rsidRPr="003176A4">
        <w:rPr>
          <w:szCs w:val="18"/>
          <w:lang w:val="en-US"/>
        </w:rPr>
        <w:t xml:space="preserve"> </w:t>
      </w:r>
      <w:r w:rsidRPr="003176A4">
        <w:rPr>
          <w:szCs w:val="18"/>
        </w:rPr>
        <w:t>адресу</w:t>
      </w:r>
      <w:r w:rsidRPr="003176A4">
        <w:rPr>
          <w:szCs w:val="18"/>
          <w:lang w:val="en-US"/>
        </w:rPr>
        <w:t xml:space="preserve">: </w:t>
      </w:r>
      <w:hyperlink r:id="rId7" w:history="1">
        <w:r w:rsidRPr="002D7EEF">
          <w:rPr>
            <w:rStyle w:val="Hyperlink"/>
            <w:color w:val="0000FF"/>
            <w:szCs w:val="18"/>
            <w:lang w:val="en-US"/>
          </w:rPr>
          <w:t>https://minamataconvention.org/en/resources/mercury-and-biodiversity</w:t>
        </w:r>
      </w:hyperlink>
      <w:r w:rsidRPr="003176A4">
        <w:rPr>
          <w:szCs w:val="18"/>
          <w:lang w:val="en-US"/>
        </w:rPr>
        <w:t>.</w:t>
      </w:r>
      <w:hyperlink r:id="rId8" w:history="1"/>
    </w:p>
  </w:footnote>
  <w:footnote w:id="6">
    <w:p w14:paraId="4B3D3A50" w14:textId="07E1F336" w:rsidR="004A3632" w:rsidRPr="003176A4" w:rsidRDefault="004A3632" w:rsidP="003176A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3176A4">
        <w:rPr>
          <w:rStyle w:val="FootnoteReference"/>
          <w:rFonts w:eastAsiaTheme="majorEastAsia"/>
          <w:sz w:val="18"/>
        </w:rPr>
        <w:footnoteRef/>
      </w:r>
      <w:r w:rsidRPr="003176A4">
        <w:rPr>
          <w:szCs w:val="18"/>
        </w:rPr>
        <w:t xml:space="preserve"> </w:t>
      </w:r>
      <w:r w:rsidR="003176A4" w:rsidRPr="005C4F10">
        <w:rPr>
          <w:szCs w:val="18"/>
        </w:rPr>
        <w:tab/>
      </w:r>
      <w:r w:rsidRPr="003176A4">
        <w:rPr>
          <w:szCs w:val="18"/>
        </w:rPr>
        <w:t>Основная задача Многодисциплинарной группы экспертов заключается в надзоре за научным уровнем оценок МПБЭУ, а также за соблюдением процедур МПБЭУ и применением системы понятий МПБЭУ.</w:t>
      </w:r>
    </w:p>
  </w:footnote>
  <w:footnote w:id="7">
    <w:p w14:paraId="07355822" w14:textId="77777777" w:rsidR="009A6254" w:rsidRPr="003176A4" w:rsidRDefault="009A6254" w:rsidP="009A6254">
      <w:pPr>
        <w:pStyle w:val="Normalnumber"/>
        <w:numPr>
          <w:ilvl w:val="0"/>
          <w:numId w:val="0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  <w:snapToGrid w:val="0"/>
        <w:spacing w:before="20" w:after="40"/>
        <w:ind w:left="1247"/>
        <w:rPr>
          <w:sz w:val="18"/>
          <w:szCs w:val="18"/>
        </w:rPr>
      </w:pPr>
      <w:r w:rsidRPr="003176A4">
        <w:rPr>
          <w:rStyle w:val="FootnoteReference"/>
          <w:rFonts w:eastAsiaTheme="majorEastAsia"/>
          <w:sz w:val="18"/>
        </w:rPr>
        <w:footnoteRef/>
      </w:r>
      <w:r w:rsidRPr="003176A4">
        <w:rPr>
          <w:sz w:val="18"/>
          <w:szCs w:val="18"/>
        </w:rPr>
        <w:t xml:space="preserve"> </w:t>
      </w:r>
      <w:r w:rsidRPr="005C4F10">
        <w:rPr>
          <w:sz w:val="18"/>
          <w:szCs w:val="18"/>
        </w:rPr>
        <w:tab/>
      </w:r>
      <w:r w:rsidRPr="003176A4">
        <w:rPr>
          <w:sz w:val="18"/>
          <w:szCs w:val="18"/>
        </w:rPr>
        <w:t xml:space="preserve">Уведомление Конвенции о биологическом разнообразии 2025-044. Срок был продлен в уведомлении 2025-077. Представление секретариата имеется на веб-сайте Конвенции по адресу: </w:t>
      </w:r>
      <w:hyperlink r:id="rId9" w:history="1">
        <w:r w:rsidRPr="00B27D8C">
          <w:rPr>
            <w:rStyle w:val="Hyperlink"/>
            <w:color w:val="0000FF"/>
            <w:sz w:val="18"/>
            <w:szCs w:val="18"/>
          </w:rPr>
          <w:t>https://minamataconvention.org/en/news/information-inclusion-additional-headline-component-and-complementary-indicators-monitoring</w:t>
        </w:r>
      </w:hyperlink>
      <w:r w:rsidRPr="003176A4">
        <w:rPr>
          <w:sz w:val="18"/>
          <w:szCs w:val="18"/>
        </w:rPr>
        <w:t>.</w:t>
      </w:r>
      <w:hyperlink r:id="rId10" w:tgtFrame="_blank" w:tooltip="https://minamataconvention.org/en/news/information-inclusion-additional-headline-component-and-complementary-indicators-monitoring" w:history="1"/>
    </w:p>
  </w:footnote>
  <w:footnote w:id="8">
    <w:p w14:paraId="303C9353" w14:textId="7E9BA645" w:rsidR="004A3632" w:rsidRPr="003176A4" w:rsidRDefault="004A3632" w:rsidP="003176A4">
      <w:pPr>
        <w:pStyle w:val="Normalnumber"/>
        <w:numPr>
          <w:ilvl w:val="0"/>
          <w:numId w:val="0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  <w:snapToGrid w:val="0"/>
        <w:spacing w:before="20" w:after="40"/>
        <w:ind w:left="1247"/>
        <w:rPr>
          <w:sz w:val="18"/>
          <w:szCs w:val="18"/>
        </w:rPr>
      </w:pPr>
      <w:r w:rsidRPr="003176A4">
        <w:rPr>
          <w:rStyle w:val="FootnoteReference"/>
          <w:rFonts w:eastAsiaTheme="majorEastAsia"/>
          <w:sz w:val="18"/>
        </w:rPr>
        <w:footnoteRef/>
      </w:r>
      <w:r w:rsidRPr="003176A4">
        <w:rPr>
          <w:sz w:val="18"/>
          <w:szCs w:val="18"/>
        </w:rPr>
        <w:t xml:space="preserve"> </w:t>
      </w:r>
      <w:r w:rsidR="003176A4" w:rsidRPr="005C4F10">
        <w:rPr>
          <w:sz w:val="18"/>
          <w:szCs w:val="18"/>
        </w:rPr>
        <w:tab/>
      </w:r>
      <w:r w:rsidRPr="003176A4">
        <w:rPr>
          <w:sz w:val="18"/>
          <w:szCs w:val="18"/>
        </w:rPr>
        <w:t xml:space="preserve">Уведомление Конвенции о биологическом разнообразии 2025-012. Материал имеется по адресу: </w:t>
      </w:r>
      <w:hyperlink r:id="rId11" w:history="1">
        <w:r w:rsidRPr="00B27D8C">
          <w:rPr>
            <w:rStyle w:val="Hyperlink"/>
            <w:color w:val="0000FF"/>
            <w:sz w:val="18"/>
            <w:szCs w:val="18"/>
          </w:rPr>
          <w:t>https://minamataconvention.org/en/news/information-development-indicators-metrics-and-progress-measurement-tools-biodiversity-and</w:t>
        </w:r>
      </w:hyperlink>
      <w:r w:rsidRPr="003176A4">
        <w:rPr>
          <w:sz w:val="18"/>
          <w:szCs w:val="18"/>
        </w:rPr>
        <w:t>.</w:t>
      </w:r>
      <w:hyperlink r:id="rId12" w:history="1"/>
    </w:p>
  </w:footnote>
  <w:footnote w:id="9">
    <w:p w14:paraId="1EEC9BA4" w14:textId="74229BCA" w:rsidR="004A3632" w:rsidRPr="003176A4" w:rsidRDefault="004A3632" w:rsidP="003176A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3176A4">
        <w:rPr>
          <w:rStyle w:val="FootnoteReference"/>
          <w:rFonts w:eastAsiaTheme="majorEastAsia"/>
          <w:sz w:val="18"/>
        </w:rPr>
        <w:footnoteRef/>
      </w:r>
      <w:r w:rsidRPr="003176A4">
        <w:rPr>
          <w:szCs w:val="18"/>
        </w:rPr>
        <w:t xml:space="preserve"> </w:t>
      </w:r>
      <w:r w:rsidR="003176A4" w:rsidRPr="00B27D8C">
        <w:rPr>
          <w:szCs w:val="18"/>
        </w:rPr>
        <w:tab/>
      </w:r>
      <w:r w:rsidRPr="003176A4">
        <w:rPr>
          <w:szCs w:val="18"/>
        </w:rPr>
        <w:t>Представленные НСПДСБ и национальные задачи имеются на веб</w:t>
      </w:r>
      <w:r w:rsidR="00A10625">
        <w:rPr>
          <w:szCs w:val="18"/>
        </w:rPr>
        <w:t>-</w:t>
      </w:r>
      <w:r w:rsidRPr="003176A4">
        <w:rPr>
          <w:szCs w:val="18"/>
        </w:rPr>
        <w:t xml:space="preserve">сайте </w:t>
      </w:r>
      <w:hyperlink r:id="rId13" w:history="1">
        <w:r w:rsidRPr="00B27D8C">
          <w:rPr>
            <w:rStyle w:val="Hyperlink"/>
            <w:color w:val="0000FF"/>
            <w:szCs w:val="18"/>
          </w:rPr>
          <w:t>https://ort.cbd.int/</w:t>
        </w:r>
      </w:hyperlink>
      <w:r w:rsidRPr="003176A4">
        <w:rPr>
          <w:szCs w:val="18"/>
        </w:rPr>
        <w:t>.</w:t>
      </w:r>
      <w:hyperlink r:id="rId14" w:history="1"/>
    </w:p>
  </w:footnote>
  <w:footnote w:id="10">
    <w:p w14:paraId="761B96CD" w14:textId="516B5CDA" w:rsidR="004A3632" w:rsidRPr="003176A4" w:rsidRDefault="004A3632" w:rsidP="003176A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3176A4">
        <w:rPr>
          <w:rStyle w:val="FootnoteReference"/>
          <w:rFonts w:eastAsiaTheme="majorEastAsia"/>
          <w:sz w:val="18"/>
        </w:rPr>
        <w:footnoteRef/>
      </w:r>
      <w:r w:rsidRPr="003176A4">
        <w:rPr>
          <w:szCs w:val="18"/>
        </w:rPr>
        <w:t xml:space="preserve"> </w:t>
      </w:r>
      <w:r w:rsidR="003176A4" w:rsidRPr="005C4F10">
        <w:rPr>
          <w:szCs w:val="18"/>
        </w:rPr>
        <w:tab/>
      </w:r>
      <w:r w:rsidRPr="003176A4">
        <w:rPr>
          <w:szCs w:val="18"/>
        </w:rPr>
        <w:t>В документе UNEP/MC/COP.6/INF/27, посвященном включению мер по сокращению загрязнения ртутью в результате кустарной и мелкомасштабной золотодобычи в национальные стратегии и планы действий по биоразнообразию в рамках Куньминско-Монреальской глобальной рамочной программы, определены мероприятия и задачи, касающиеся ртути, для возможного использования странами.</w:t>
      </w:r>
    </w:p>
  </w:footnote>
  <w:footnote w:id="11">
    <w:p w14:paraId="1B752778" w14:textId="4331CEE8" w:rsidR="004A3632" w:rsidRPr="003176A4" w:rsidRDefault="004A3632" w:rsidP="003176A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3176A4">
        <w:rPr>
          <w:rStyle w:val="FootnoteReference"/>
          <w:rFonts w:eastAsiaTheme="majorEastAsia"/>
          <w:sz w:val="18"/>
        </w:rPr>
        <w:footnoteRef/>
      </w:r>
      <w:r w:rsidRPr="003176A4">
        <w:rPr>
          <w:szCs w:val="18"/>
        </w:rPr>
        <w:t xml:space="preserve"> </w:t>
      </w:r>
      <w:r w:rsidR="003176A4" w:rsidRPr="003B25DC">
        <w:rPr>
          <w:szCs w:val="18"/>
        </w:rPr>
        <w:tab/>
      </w:r>
      <w:r w:rsidRPr="003176A4">
        <w:rPr>
          <w:szCs w:val="18"/>
        </w:rPr>
        <w:t>См</w:t>
      </w:r>
      <w:r w:rsidRPr="005A0EB2">
        <w:rPr>
          <w:color w:val="0000FF"/>
          <w:szCs w:val="18"/>
        </w:rPr>
        <w:t xml:space="preserve">. </w:t>
      </w:r>
      <w:hyperlink r:id="rId15" w:history="1">
        <w:r w:rsidRPr="005A0EB2">
          <w:rPr>
            <w:rStyle w:val="Hyperlink"/>
            <w:color w:val="0000FF"/>
            <w:szCs w:val="18"/>
          </w:rPr>
          <w:t>https://www.unep.org/events/conference/bern-iii-conference-cooperation-among-biodiversity-related-conventions</w:t>
        </w:r>
      </w:hyperlink>
      <w:r w:rsidRPr="003176A4">
        <w:rPr>
          <w:szCs w:val="18"/>
        </w:rPr>
        <w:t xml:space="preserve">. </w:t>
      </w:r>
      <w:hyperlink r:id="rId16" w:history="1"/>
    </w:p>
  </w:footnote>
  <w:footnote w:id="12">
    <w:p w14:paraId="7877D6C5" w14:textId="0F114904" w:rsidR="004A3632" w:rsidRPr="003176A4" w:rsidRDefault="004A3632" w:rsidP="003176A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3176A4">
        <w:rPr>
          <w:rStyle w:val="FootnoteReference"/>
          <w:rFonts w:eastAsiaTheme="majorEastAsia"/>
          <w:sz w:val="18"/>
        </w:rPr>
        <w:footnoteRef/>
      </w:r>
      <w:r w:rsidRPr="003176A4">
        <w:rPr>
          <w:szCs w:val="18"/>
        </w:rPr>
        <w:t xml:space="preserve"> </w:t>
      </w:r>
      <w:r w:rsidR="003176A4" w:rsidRPr="005C4F10">
        <w:rPr>
          <w:szCs w:val="18"/>
        </w:rPr>
        <w:tab/>
      </w:r>
      <w:r w:rsidRPr="003176A4">
        <w:rPr>
          <w:szCs w:val="18"/>
        </w:rPr>
        <w:t>Представлена в разделе III документа UNEP/MC/COP.6/20.</w:t>
      </w:r>
    </w:p>
  </w:footnote>
  <w:footnote w:id="13">
    <w:p w14:paraId="28773BE7" w14:textId="2FF6ED0E" w:rsidR="004A3632" w:rsidRPr="003176A4" w:rsidRDefault="004A3632" w:rsidP="003176A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ind w:firstLine="1"/>
        <w:rPr>
          <w:szCs w:val="18"/>
        </w:rPr>
      </w:pPr>
      <w:r w:rsidRPr="003176A4">
        <w:rPr>
          <w:rStyle w:val="FootnoteReference"/>
          <w:rFonts w:eastAsiaTheme="majorEastAsia"/>
          <w:sz w:val="18"/>
        </w:rPr>
        <w:footnoteRef/>
      </w:r>
      <w:r w:rsidRPr="003176A4">
        <w:rPr>
          <w:szCs w:val="18"/>
        </w:rPr>
        <w:t xml:space="preserve"> </w:t>
      </w:r>
      <w:r w:rsidR="003176A4" w:rsidRPr="005C4F10">
        <w:rPr>
          <w:szCs w:val="18"/>
        </w:rPr>
        <w:tab/>
      </w:r>
      <w:r w:rsidRPr="003176A4">
        <w:rPr>
          <w:szCs w:val="18"/>
        </w:rPr>
        <w:t>Решение 16/11 Конвенции о биологическом разнообразии, п</w:t>
      </w:r>
      <w:r w:rsidR="00E20FBB">
        <w:rPr>
          <w:szCs w:val="18"/>
        </w:rPr>
        <w:t>ункт</w:t>
      </w:r>
      <w:r w:rsidRPr="003176A4">
        <w:rPr>
          <w:szCs w:val="18"/>
        </w:rPr>
        <w:t xml:space="preserve">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59F4" w14:textId="3B71073A" w:rsidR="000203A9" w:rsidRDefault="000203A9" w:rsidP="00DC6DEF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</w:pPr>
    <w:r w:rsidRPr="00F96910">
      <w:t>UNEP/MC</w:t>
    </w:r>
    <w:r>
      <w:t>/</w:t>
    </w:r>
    <w:r w:rsidRPr="00F96910">
      <w:t>COP.</w:t>
    </w:r>
    <w:r>
      <w:t>6</w:t>
    </w:r>
    <w:r w:rsidRPr="00F96910">
      <w:t>/</w:t>
    </w:r>
    <w: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E7C2" w14:textId="6208E0A1" w:rsidR="000203A9" w:rsidRDefault="000203A9" w:rsidP="00DC6DEF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  <w:jc w:val="right"/>
    </w:pPr>
    <w:r w:rsidRPr="00F96910">
      <w:t>UNEP/MC</w:t>
    </w:r>
    <w:r>
      <w:t>/</w:t>
    </w:r>
    <w:r w:rsidRPr="00F96910">
      <w:t>COP.</w:t>
    </w:r>
    <w:r>
      <w:t>6</w:t>
    </w:r>
    <w:r w:rsidRPr="00F96910">
      <w:t>/</w:t>
    </w:r>
    <w: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5EC1" w14:textId="143DF0D4" w:rsidR="004A3632" w:rsidRPr="000203A9" w:rsidRDefault="004A3632" w:rsidP="000203A9">
    <w:pPr>
      <w:pStyle w:val="Header"/>
      <w:tabs>
        <w:tab w:val="clear" w:pos="4513"/>
        <w:tab w:val="clear" w:pos="902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79D5" w14:textId="1A7059B8" w:rsidR="0076134B" w:rsidRPr="0086106E" w:rsidRDefault="0086106E" w:rsidP="005A0EB2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</w:pPr>
    <w:r w:rsidRPr="0086106E">
      <w:fldChar w:fldCharType="begin"/>
    </w:r>
    <w:r w:rsidRPr="0086106E">
      <w:instrText xml:space="preserve"> StyleRef A_Symbol </w:instrText>
    </w:r>
    <w:r w:rsidRPr="0086106E">
      <w:fldChar w:fldCharType="separate"/>
    </w:r>
    <w:r w:rsidR="00E62DC4">
      <w:rPr>
        <w:noProof/>
      </w:rPr>
      <w:t>UNEP/MC/COP.6/20</w:t>
    </w:r>
    <w:r w:rsidRPr="0086106E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7820" w14:textId="1181A281" w:rsidR="0076134B" w:rsidRPr="0086106E" w:rsidRDefault="0086106E" w:rsidP="005A0EB2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  <w:jc w:val="right"/>
    </w:pPr>
    <w:r w:rsidRPr="0086106E">
      <w:fldChar w:fldCharType="begin"/>
    </w:r>
    <w:r w:rsidRPr="0086106E">
      <w:instrText xml:space="preserve"> StyleRef A_Symbol </w:instrText>
    </w:r>
    <w:r w:rsidRPr="0086106E">
      <w:fldChar w:fldCharType="separate"/>
    </w:r>
    <w:r w:rsidR="00E62DC4">
      <w:rPr>
        <w:noProof/>
      </w:rPr>
      <w:t>UNEP/MC/COP.6/20</w:t>
    </w:r>
    <w:r w:rsidRPr="0086106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4255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495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8618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D87D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2EA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B635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4AADA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881F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C57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D208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E196BDA2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E0E98"/>
    <w:multiLevelType w:val="hybridMultilevel"/>
    <w:tmpl w:val="36B2B6FC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B776CA36">
      <w:start w:val="1"/>
      <w:numFmt w:val="lowerLetter"/>
      <w:lvlText w:val="%2)"/>
      <w:lvlJc w:val="left"/>
      <w:pPr>
        <w:ind w:left="3311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2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1B571867"/>
    <w:multiLevelType w:val="singleLevel"/>
    <w:tmpl w:val="11D6BE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71603"/>
    <w:multiLevelType w:val="singleLevel"/>
    <w:tmpl w:val="2FD0B1B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2A66A9D"/>
    <w:multiLevelType w:val="multilevel"/>
    <w:tmpl w:val="AD6EEF8E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7" w15:restartNumberingAfterBreak="0">
    <w:nsid w:val="5F83712D"/>
    <w:multiLevelType w:val="hybridMultilevel"/>
    <w:tmpl w:val="50CE7ED0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8" w15:restartNumberingAfterBreak="0">
    <w:nsid w:val="62291BF8"/>
    <w:multiLevelType w:val="multilevel"/>
    <w:tmpl w:val="AD6EEF8E"/>
    <w:numStyleLink w:val="Normallist"/>
  </w:abstractNum>
  <w:abstractNum w:abstractNumId="19" w15:restartNumberingAfterBreak="0">
    <w:nsid w:val="628E1CFD"/>
    <w:multiLevelType w:val="hybridMultilevel"/>
    <w:tmpl w:val="4C8062F8"/>
    <w:lvl w:ilvl="0" w:tplc="FEB627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83481528">
    <w:abstractNumId w:val="13"/>
  </w:num>
  <w:num w:numId="2" w16cid:durableId="1446729671">
    <w:abstractNumId w:val="15"/>
  </w:num>
  <w:num w:numId="3" w16cid:durableId="1950089787">
    <w:abstractNumId w:val="16"/>
  </w:num>
  <w:num w:numId="4" w16cid:durableId="1378815003">
    <w:abstractNumId w:val="18"/>
  </w:num>
  <w:num w:numId="5" w16cid:durableId="1336691477">
    <w:abstractNumId w:val="19"/>
  </w:num>
  <w:num w:numId="6" w16cid:durableId="367265008">
    <w:abstractNumId w:val="20"/>
  </w:num>
  <w:num w:numId="7" w16cid:durableId="916942792">
    <w:abstractNumId w:val="14"/>
  </w:num>
  <w:num w:numId="8" w16cid:durableId="161510126">
    <w:abstractNumId w:val="10"/>
  </w:num>
  <w:num w:numId="9" w16cid:durableId="1669286604">
    <w:abstractNumId w:val="12"/>
  </w:num>
  <w:num w:numId="10" w16cid:durableId="2011828336">
    <w:abstractNumId w:val="21"/>
  </w:num>
  <w:num w:numId="11" w16cid:durableId="1086807278">
    <w:abstractNumId w:val="9"/>
  </w:num>
  <w:num w:numId="12" w16cid:durableId="905455779">
    <w:abstractNumId w:val="7"/>
  </w:num>
  <w:num w:numId="13" w16cid:durableId="92408770">
    <w:abstractNumId w:val="6"/>
  </w:num>
  <w:num w:numId="14" w16cid:durableId="1647315089">
    <w:abstractNumId w:val="5"/>
  </w:num>
  <w:num w:numId="15" w16cid:durableId="535461300">
    <w:abstractNumId w:val="4"/>
  </w:num>
  <w:num w:numId="16" w16cid:durableId="195235954">
    <w:abstractNumId w:val="8"/>
  </w:num>
  <w:num w:numId="17" w16cid:durableId="1729919098">
    <w:abstractNumId w:val="3"/>
  </w:num>
  <w:num w:numId="18" w16cid:durableId="2019234975">
    <w:abstractNumId w:val="2"/>
  </w:num>
  <w:num w:numId="19" w16cid:durableId="1682973632">
    <w:abstractNumId w:val="1"/>
  </w:num>
  <w:num w:numId="20" w16cid:durableId="2116319932">
    <w:abstractNumId w:val="0"/>
  </w:num>
  <w:num w:numId="21" w16cid:durableId="1672561967">
    <w:abstractNumId w:val="16"/>
    <w:lvlOverride w:ilvl="0">
      <w:lvl w:ilvl="0">
        <w:start w:val="1"/>
        <w:numFmt w:val="decimal"/>
        <w:pStyle w:val="Normalnumber"/>
        <w:lvlText w:val="%1."/>
        <w:lvlJc w:val="left"/>
        <w:pPr>
          <w:tabs>
            <w:tab w:val="num" w:pos="567"/>
          </w:tabs>
          <w:ind w:left="1247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567"/>
          </w:tabs>
          <w:ind w:left="1247" w:firstLine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567"/>
          </w:tabs>
          <w:ind w:left="2948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567"/>
          </w:tabs>
          <w:ind w:left="3515" w:hanging="567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567"/>
          </w:tabs>
          <w:ind w:left="4082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7835"/>
          </w:tabs>
          <w:ind w:left="783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8555"/>
          </w:tabs>
          <w:ind w:left="855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275"/>
          </w:tabs>
          <w:ind w:left="927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9995"/>
          </w:tabs>
          <w:ind w:left="9995" w:hanging="180"/>
        </w:pPr>
        <w:rPr>
          <w:rFonts w:hint="default"/>
        </w:rPr>
      </w:lvl>
    </w:lvlOverride>
  </w:num>
  <w:num w:numId="22" w16cid:durableId="1838037566">
    <w:abstractNumId w:val="11"/>
  </w:num>
  <w:num w:numId="23" w16cid:durableId="19130756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624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4B"/>
    <w:rsid w:val="000029C5"/>
    <w:rsid w:val="000203A9"/>
    <w:rsid w:val="00045E74"/>
    <w:rsid w:val="000936EF"/>
    <w:rsid w:val="000A755C"/>
    <w:rsid w:val="000C47FC"/>
    <w:rsid w:val="000C4C99"/>
    <w:rsid w:val="000F155B"/>
    <w:rsid w:val="000F4B7D"/>
    <w:rsid w:val="00113DD8"/>
    <w:rsid w:val="001307E0"/>
    <w:rsid w:val="00134C37"/>
    <w:rsid w:val="00141EDE"/>
    <w:rsid w:val="001B653D"/>
    <w:rsid w:val="001C2D65"/>
    <w:rsid w:val="001D415C"/>
    <w:rsid w:val="001D6853"/>
    <w:rsid w:val="00213119"/>
    <w:rsid w:val="00224AC5"/>
    <w:rsid w:val="00246C66"/>
    <w:rsid w:val="002561F2"/>
    <w:rsid w:val="0027055F"/>
    <w:rsid w:val="002817AF"/>
    <w:rsid w:val="002877DF"/>
    <w:rsid w:val="00296425"/>
    <w:rsid w:val="002D7EEF"/>
    <w:rsid w:val="003176A4"/>
    <w:rsid w:val="00337E21"/>
    <w:rsid w:val="00362E7A"/>
    <w:rsid w:val="0037630F"/>
    <w:rsid w:val="00380369"/>
    <w:rsid w:val="003B25DC"/>
    <w:rsid w:val="003E58D2"/>
    <w:rsid w:val="00450B6E"/>
    <w:rsid w:val="004632B3"/>
    <w:rsid w:val="00467B52"/>
    <w:rsid w:val="004746FA"/>
    <w:rsid w:val="00477D75"/>
    <w:rsid w:val="00490F95"/>
    <w:rsid w:val="004973C2"/>
    <w:rsid w:val="004A3632"/>
    <w:rsid w:val="004A67D7"/>
    <w:rsid w:val="005058BB"/>
    <w:rsid w:val="00532F26"/>
    <w:rsid w:val="005344D1"/>
    <w:rsid w:val="0056184D"/>
    <w:rsid w:val="005932BB"/>
    <w:rsid w:val="00594A9F"/>
    <w:rsid w:val="005A0EB2"/>
    <w:rsid w:val="005C0148"/>
    <w:rsid w:val="005C4F10"/>
    <w:rsid w:val="005E5C39"/>
    <w:rsid w:val="005F08DB"/>
    <w:rsid w:val="0062322B"/>
    <w:rsid w:val="00641950"/>
    <w:rsid w:val="00647997"/>
    <w:rsid w:val="00660A66"/>
    <w:rsid w:val="0067023B"/>
    <w:rsid w:val="006704B2"/>
    <w:rsid w:val="00671F48"/>
    <w:rsid w:val="00673D67"/>
    <w:rsid w:val="006D680A"/>
    <w:rsid w:val="0076134B"/>
    <w:rsid w:val="00780D20"/>
    <w:rsid w:val="007853BD"/>
    <w:rsid w:val="007E2F6F"/>
    <w:rsid w:val="007E457C"/>
    <w:rsid w:val="007E6C4B"/>
    <w:rsid w:val="007E78A1"/>
    <w:rsid w:val="008076BE"/>
    <w:rsid w:val="008276BB"/>
    <w:rsid w:val="00830ECF"/>
    <w:rsid w:val="0086106E"/>
    <w:rsid w:val="00892147"/>
    <w:rsid w:val="008C57BA"/>
    <w:rsid w:val="008C7DF4"/>
    <w:rsid w:val="008D06B6"/>
    <w:rsid w:val="008E1902"/>
    <w:rsid w:val="008F4F7D"/>
    <w:rsid w:val="0090331F"/>
    <w:rsid w:val="009143CB"/>
    <w:rsid w:val="009436B1"/>
    <w:rsid w:val="00943D6F"/>
    <w:rsid w:val="009443D7"/>
    <w:rsid w:val="00966F62"/>
    <w:rsid w:val="0098033D"/>
    <w:rsid w:val="00987155"/>
    <w:rsid w:val="00991490"/>
    <w:rsid w:val="009A6254"/>
    <w:rsid w:val="009C246F"/>
    <w:rsid w:val="009D4D26"/>
    <w:rsid w:val="009E3110"/>
    <w:rsid w:val="00A0108F"/>
    <w:rsid w:val="00A01821"/>
    <w:rsid w:val="00A10625"/>
    <w:rsid w:val="00A255E7"/>
    <w:rsid w:val="00A536A8"/>
    <w:rsid w:val="00A72202"/>
    <w:rsid w:val="00A72350"/>
    <w:rsid w:val="00AA5EB2"/>
    <w:rsid w:val="00AD597C"/>
    <w:rsid w:val="00AE020A"/>
    <w:rsid w:val="00AE4283"/>
    <w:rsid w:val="00B20345"/>
    <w:rsid w:val="00B22FDF"/>
    <w:rsid w:val="00B27D8C"/>
    <w:rsid w:val="00B32EF4"/>
    <w:rsid w:val="00B65C8C"/>
    <w:rsid w:val="00BB1E69"/>
    <w:rsid w:val="00BD122A"/>
    <w:rsid w:val="00BF56B6"/>
    <w:rsid w:val="00C8019C"/>
    <w:rsid w:val="00C80E8E"/>
    <w:rsid w:val="00C94AF9"/>
    <w:rsid w:val="00CC7250"/>
    <w:rsid w:val="00CD38C0"/>
    <w:rsid w:val="00CF6CC8"/>
    <w:rsid w:val="00D00184"/>
    <w:rsid w:val="00D04628"/>
    <w:rsid w:val="00D2195F"/>
    <w:rsid w:val="00DA1517"/>
    <w:rsid w:val="00DB2273"/>
    <w:rsid w:val="00DB6BC2"/>
    <w:rsid w:val="00DC6DEF"/>
    <w:rsid w:val="00DD1DCD"/>
    <w:rsid w:val="00DF09FC"/>
    <w:rsid w:val="00E061EC"/>
    <w:rsid w:val="00E20FBB"/>
    <w:rsid w:val="00E62DC4"/>
    <w:rsid w:val="00E738A8"/>
    <w:rsid w:val="00EB5B0D"/>
    <w:rsid w:val="00F012A3"/>
    <w:rsid w:val="00F23412"/>
    <w:rsid w:val="00F62343"/>
    <w:rsid w:val="00F7048E"/>
    <w:rsid w:val="00FA121A"/>
    <w:rsid w:val="00FD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9B2A7"/>
  <w15:chartTrackingRefBased/>
  <w15:docId w15:val="{A79047E5-A4EB-478D-83C1-F65D2C63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6E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5F08DB"/>
    <w:pPr>
      <w:numPr>
        <w:numId w:val="6"/>
      </w:numPr>
      <w:tabs>
        <w:tab w:val="clear" w:pos="851"/>
        <w:tab w:val="clear" w:pos="1247"/>
      </w:tabs>
      <w:ind w:right="624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5F08DB"/>
    <w:pPr>
      <w:numPr>
        <w:numId w:val="7"/>
      </w:numPr>
      <w:tabs>
        <w:tab w:val="clear" w:pos="851"/>
        <w:tab w:val="clear" w:pos="1247"/>
      </w:tabs>
      <w:ind w:right="624"/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5F08DB"/>
    <w:pPr>
      <w:numPr>
        <w:numId w:val="8"/>
      </w:numPr>
      <w:tabs>
        <w:tab w:val="clear" w:pos="851"/>
        <w:tab w:val="clear" w:pos="1247"/>
        <w:tab w:val="clear" w:pos="4082"/>
      </w:tabs>
      <w:spacing w:before="240"/>
      <w:ind w:right="624"/>
      <w:outlineLvl w:val="2"/>
    </w:pPr>
  </w:style>
  <w:style w:type="paragraph" w:styleId="Heading4">
    <w:name w:val="heading 4"/>
    <w:basedOn w:val="CH4"/>
    <w:next w:val="Normalnumber"/>
    <w:link w:val="Heading4Char"/>
    <w:rsid w:val="005F08DB"/>
    <w:pPr>
      <w:numPr>
        <w:numId w:val="10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3"/>
    </w:pPr>
  </w:style>
  <w:style w:type="paragraph" w:styleId="Heading5">
    <w:name w:val="heading 5"/>
    <w:basedOn w:val="CH5"/>
    <w:next w:val="Normalnumber"/>
    <w:link w:val="Heading5Char"/>
    <w:rsid w:val="005F08DB"/>
    <w:pPr>
      <w:numPr>
        <w:numId w:val="9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4"/>
    </w:pPr>
    <w:rPr>
      <w:lang w:eastAsia="zh-CN"/>
    </w:rPr>
  </w:style>
  <w:style w:type="paragraph" w:styleId="Heading6">
    <w:name w:val="heading 6"/>
    <w:basedOn w:val="CH5"/>
    <w:next w:val="Normalnumber"/>
    <w:link w:val="Heading6Char"/>
    <w:semiHidden/>
    <w:rsid w:val="005F08DB"/>
    <w:pPr>
      <w:numPr>
        <w:ilvl w:val="5"/>
        <w:numId w:val="6"/>
      </w:numPr>
      <w:tabs>
        <w:tab w:val="clear" w:pos="1247"/>
      </w:tabs>
      <w:ind w:right="624"/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5F08DB"/>
    <w:pPr>
      <w:widowControl w:val="0"/>
      <w:numPr>
        <w:ilvl w:val="6"/>
        <w:numId w:val="6"/>
      </w:numPr>
      <w:tabs>
        <w:tab w:val="clear" w:pos="1247"/>
      </w:tabs>
      <w:ind w:right="624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5F08DB"/>
    <w:pPr>
      <w:widowControl w:val="0"/>
      <w:numPr>
        <w:ilvl w:val="7"/>
        <w:numId w:val="6"/>
      </w:numPr>
      <w:tabs>
        <w:tab w:val="clear" w:pos="1247"/>
        <w:tab w:val="left" w:pos="-1440"/>
        <w:tab w:val="left" w:pos="-720"/>
      </w:tabs>
      <w:ind w:right="624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5F08DB"/>
    <w:pPr>
      <w:keepNext/>
      <w:widowControl w:val="0"/>
      <w:numPr>
        <w:ilvl w:val="8"/>
        <w:numId w:val="6"/>
      </w:numPr>
      <w:tabs>
        <w:tab w:val="clear" w:pos="1247"/>
        <w:tab w:val="left" w:pos="624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106E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06E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Footer">
    <w:name w:val="footer"/>
    <w:basedOn w:val="Normal"/>
    <w:link w:val="FooterChar"/>
    <w:uiPriority w:val="99"/>
    <w:rsid w:val="0086106E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6E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Hyperlink">
    <w:name w:val="Hyperlink"/>
    <w:basedOn w:val="DefaultParagraphFont"/>
    <w:uiPriority w:val="99"/>
    <w:rsid w:val="005F08DB"/>
    <w:rPr>
      <w:color w:val="467886" w:themeColor="hyperlink"/>
      <w:u w:val="none"/>
      <w:lang w:val="ru-RU"/>
    </w:rPr>
  </w:style>
  <w:style w:type="character" w:styleId="FollowedHyperlink">
    <w:name w:val="FollowedHyperlink"/>
    <w:uiPriority w:val="99"/>
    <w:semiHidden/>
    <w:rsid w:val="005F08DB"/>
    <w:rPr>
      <w:color w:val="0000FF"/>
      <w:u w:val="none"/>
      <w:lang w:val="ru-RU"/>
    </w:rPr>
  </w:style>
  <w:style w:type="character" w:customStyle="1" w:styleId="Heading1Char">
    <w:name w:val="Heading 1 Char"/>
    <w:basedOn w:val="DefaultParagraphFont"/>
    <w:link w:val="Heading1"/>
    <w:rsid w:val="005F08DB"/>
    <w:rPr>
      <w:rFonts w:ascii="Times New Roman" w:eastAsia="Times New Roman" w:hAnsi="Times New Roman" w:cs="Times New Roman"/>
      <w:b/>
      <w:kern w:val="0"/>
      <w:sz w:val="28"/>
      <w:szCs w:val="28"/>
      <w:lang w:val="ru-RU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5F08DB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5F08D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5F08D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5F08DB"/>
    <w:rPr>
      <w:rFonts w:ascii="Times New Roman" w:eastAsia="Times New Roman" w:hAnsi="Times New Roman" w:cs="Times New Roman"/>
      <w:b/>
      <w:kern w:val="0"/>
      <w:sz w:val="20"/>
      <w:szCs w:val="20"/>
      <w:lang w:val="ru-RU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5F08DB"/>
    <w:rPr>
      <w:rFonts w:ascii="Times New Roman" w:eastAsia="Times New Roman" w:hAnsi="Times New Roman" w:cs="Times New Roman"/>
      <w:bCs/>
      <w:kern w:val="0"/>
      <w:szCs w:val="20"/>
      <w:lang w:val="ru-RU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5F08D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5F08D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5F08DB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ru-RU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61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34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34B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6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34B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ru-RU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761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34B"/>
    <w:rPr>
      <w:i/>
      <w:iCs/>
      <w:color w:val="0F4761" w:themeColor="accent1" w:themeShade="BF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34B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ru-RU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6134B"/>
    <w:rPr>
      <w:b/>
      <w:bCs/>
      <w:smallCaps/>
      <w:color w:val="0F4761" w:themeColor="accent1" w:themeShade="BF"/>
      <w:spacing w:val="5"/>
      <w:lang w:val="ru-RU"/>
    </w:rPr>
  </w:style>
  <w:style w:type="character" w:styleId="PageNumber">
    <w:name w:val="page number"/>
    <w:semiHidden/>
    <w:rsid w:val="005F08DB"/>
    <w:rPr>
      <w:rFonts w:ascii="Times New Roman" w:hAnsi="Times New Roman"/>
      <w:b/>
      <w:sz w:val="18"/>
      <w:lang w:val="ru-RU"/>
    </w:rPr>
  </w:style>
  <w:style w:type="paragraph" w:customStyle="1" w:styleId="AConvName">
    <w:name w:val="A_ConvName"/>
    <w:basedOn w:val="Normal-pool"/>
    <w:next w:val="Normal-pool"/>
    <w:rsid w:val="005F08DB"/>
    <w:pPr>
      <w:tabs>
        <w:tab w:val="clear" w:pos="1247"/>
      </w:tabs>
      <w:spacing w:before="120" w:after="240"/>
    </w:pPr>
    <w:rPr>
      <w:rFonts w:ascii="Arial" w:eastAsia="SimSun" w:hAnsi="Arial"/>
      <w:b/>
      <w:sz w:val="28"/>
    </w:rPr>
  </w:style>
  <w:style w:type="paragraph" w:styleId="TOC6">
    <w:name w:val="toc 6"/>
    <w:basedOn w:val="Normal"/>
    <w:next w:val="Normal"/>
    <w:autoRedefine/>
    <w:semiHidden/>
    <w:rsid w:val="005F08DB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5F08DB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5F08DB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5F08DB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qFormat/>
    <w:rsid w:val="005F08DB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5F08DB"/>
    <w:pPr>
      <w:ind w:left="1814" w:hanging="567"/>
    </w:pPr>
  </w:style>
  <w:style w:type="paragraph" w:customStyle="1" w:styleId="CH1">
    <w:name w:val="CH1"/>
    <w:basedOn w:val="Normal-pool"/>
    <w:next w:val="CH2"/>
    <w:qFormat/>
    <w:rsid w:val="005F08DB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5F08DB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5F08DB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5F08DB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Symbol">
    <w:name w:val="A_Symbol"/>
    <w:basedOn w:val="Normal-pool"/>
    <w:rsid w:val="005F08DB"/>
    <w:pPr>
      <w:tabs>
        <w:tab w:val="clear" w:pos="1247"/>
      </w:tabs>
    </w:pPr>
    <w:rPr>
      <w:rFonts w:eastAsia="SimSun"/>
    </w:rPr>
  </w:style>
  <w:style w:type="paragraph" w:customStyle="1" w:styleId="CH5">
    <w:name w:val="CH5"/>
    <w:basedOn w:val="Normal-pool"/>
    <w:next w:val="Normalnumber"/>
    <w:rsid w:val="005F08DB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Text">
    <w:name w:val="A_Text"/>
    <w:basedOn w:val="Normal-pool"/>
    <w:rsid w:val="005F08DB"/>
    <w:pPr>
      <w:spacing w:before="120"/>
    </w:pPr>
    <w:rPr>
      <w:rFonts w:eastAsia="SimSun"/>
    </w:rPr>
  </w:style>
  <w:style w:type="paragraph" w:customStyle="1" w:styleId="ATwoLetters">
    <w:name w:val="A_TwoLetters"/>
    <w:basedOn w:val="Normal-pool"/>
    <w:next w:val="Normal-pool"/>
    <w:rsid w:val="005F08DB"/>
    <w:pPr>
      <w:tabs>
        <w:tab w:val="clear" w:pos="1247"/>
      </w:tabs>
      <w:jc w:val="right"/>
    </w:pPr>
    <w:rPr>
      <w:rFonts w:ascii="Arial" w:eastAsia="SimSun" w:hAnsi="Arial" w:cs="Arial"/>
      <w:b/>
      <w:caps/>
      <w:sz w:val="64"/>
      <w:szCs w:val="64"/>
    </w:rPr>
  </w:style>
  <w:style w:type="paragraph" w:customStyle="1" w:styleId="Footer-pool">
    <w:name w:val="Footer-pool"/>
    <w:basedOn w:val="Normal-pool"/>
    <w:next w:val="Normal-pool"/>
    <w:rsid w:val="005F08DB"/>
    <w:pPr>
      <w:tabs>
        <w:tab w:val="left" w:pos="4321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5F08DB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link w:val="Normal-poolChar"/>
    <w:qFormat/>
    <w:rsid w:val="005F08DB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FootnoteReference">
    <w:name w:val="footnote reference"/>
    <w:aliases w:val="16 Point,Superscript 6 Point,ftref,(Ref. de nota al pie),number,SUPERS,Footnote Reference Superscript,Footnote Reference1,Ref,de nota al pie,註腳內容,de nota al pie + (Asian) MS Mincho,11 pt,Ref. de nota de rodapé1,stylish,Footnote symbol"/>
    <w:link w:val="CharCharCharCharCarChar"/>
    <w:qFormat/>
    <w:rsid w:val="005F08DB"/>
    <w:rPr>
      <w:rFonts w:ascii="Times New Roman" w:hAnsi="Times New Roman"/>
      <w:color w:val="auto"/>
      <w:sz w:val="20"/>
      <w:szCs w:val="18"/>
      <w:vertAlign w:val="superscript"/>
      <w:lang w:val="ru-RU"/>
    </w:rPr>
  </w:style>
  <w:style w:type="paragraph" w:styleId="FootnoteText">
    <w:name w:val="footnote text"/>
    <w:basedOn w:val="Normal"/>
    <w:link w:val="FootnoteTextChar"/>
    <w:rsid w:val="005F08DB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76134B"/>
    <w:rPr>
      <w:rFonts w:ascii="Times New Roman" w:eastAsia="Times New Roman" w:hAnsi="Times New Roman" w:cs="Times New Roman"/>
      <w:kern w:val="0"/>
      <w:sz w:val="18"/>
      <w:szCs w:val="20"/>
      <w:lang w:val="ru-RU" w:eastAsia="en-US"/>
      <w14:ligatures w14:val="none"/>
    </w:rPr>
  </w:style>
  <w:style w:type="table" w:customStyle="1" w:styleId="AATable">
    <w:name w:val="AA_Table"/>
    <w:basedOn w:val="TableNormal"/>
    <w:semiHidden/>
    <w:rsid w:val="005F08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5F08DB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5F08DB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5F08DB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numbering" w:customStyle="1" w:styleId="Normallist">
    <w:name w:val="Normal_list"/>
    <w:basedOn w:val="NoList"/>
    <w:rsid w:val="005F08DB"/>
    <w:pPr>
      <w:numPr>
        <w:numId w:val="3"/>
      </w:numPr>
    </w:pPr>
  </w:style>
  <w:style w:type="paragraph" w:customStyle="1" w:styleId="NormalNonumber">
    <w:name w:val="Normal_No_number"/>
    <w:basedOn w:val="Normal-pool"/>
    <w:qFormat/>
    <w:rsid w:val="005F08DB"/>
    <w:pPr>
      <w:spacing w:after="120"/>
      <w:ind w:left="1247"/>
    </w:pPr>
  </w:style>
  <w:style w:type="paragraph" w:customStyle="1" w:styleId="Normalnumber">
    <w:name w:val="Normal_number"/>
    <w:basedOn w:val="Normal-pool"/>
    <w:link w:val="NormalnumberChar"/>
    <w:qFormat/>
    <w:rsid w:val="005F08DB"/>
    <w:pPr>
      <w:numPr>
        <w:numId w:val="3"/>
      </w:numPr>
      <w:spacing w:after="120"/>
    </w:pPr>
  </w:style>
  <w:style w:type="paragraph" w:customStyle="1" w:styleId="Titletable">
    <w:name w:val="Title_table"/>
    <w:basedOn w:val="Normal-pool"/>
    <w:qFormat/>
    <w:rsid w:val="005F08DB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5F08DB"/>
    <w:pPr>
      <w:tabs>
        <w:tab w:val="left" w:pos="624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5F08DB"/>
    <w:pPr>
      <w:tabs>
        <w:tab w:val="left" w:pos="624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5F08DB"/>
    <w:pPr>
      <w:tabs>
        <w:tab w:val="left" w:pos="624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5F08DB"/>
    <w:pPr>
      <w:tabs>
        <w:tab w:val="left" w:pos="624"/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5F08DB"/>
    <w:pPr>
      <w:tabs>
        <w:tab w:val="left" w:pos="624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link w:val="ZZAnxheaderChar"/>
    <w:qFormat/>
    <w:rsid w:val="005F08DB"/>
    <w:rPr>
      <w:b/>
      <w:bCs/>
      <w:sz w:val="28"/>
      <w:szCs w:val="22"/>
    </w:rPr>
  </w:style>
  <w:style w:type="paragraph" w:customStyle="1" w:styleId="ZZAnxtitle">
    <w:name w:val="ZZ_Anx_title"/>
    <w:basedOn w:val="Normal-pool"/>
    <w:link w:val="ZZAnxtitleChar"/>
    <w:qFormat/>
    <w:rsid w:val="005F08DB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UnitedNations">
    <w:name w:val="A_United_Nations"/>
    <w:basedOn w:val="Normal-pool"/>
    <w:next w:val="Normal-pool"/>
    <w:rsid w:val="005F08DB"/>
    <w:pPr>
      <w:tabs>
        <w:tab w:val="clear" w:pos="1247"/>
      </w:tabs>
      <w:spacing w:before="20" w:after="20"/>
    </w:pPr>
    <w:rPr>
      <w:rFonts w:ascii="Arial" w:eastAsia="SimSun" w:hAnsi="Arial" w:cs="Times New Roman Bold"/>
      <w:b/>
      <w:caps/>
      <w:color w:val="000000" w:themeColor="text1"/>
      <w:sz w:val="27"/>
    </w:rPr>
  </w:style>
  <w:style w:type="paragraph" w:customStyle="1" w:styleId="Footnote-Text">
    <w:name w:val="Footnote-Text"/>
    <w:basedOn w:val="Normal-pool"/>
    <w:rsid w:val="005F08DB"/>
    <w:pPr>
      <w:spacing w:before="20" w:after="40"/>
      <w:ind w:left="1247"/>
    </w:pPr>
    <w:rPr>
      <w:rFonts w:eastAsia="SimSun"/>
      <w:sz w:val="18"/>
    </w:rPr>
  </w:style>
  <w:style w:type="paragraph" w:customStyle="1" w:styleId="Normal-pool-Table">
    <w:name w:val="Normal-pool-Table"/>
    <w:basedOn w:val="Normal-pool"/>
    <w:rsid w:val="005F08DB"/>
    <w:pPr>
      <w:spacing w:before="40" w:after="40"/>
    </w:pPr>
    <w:rPr>
      <w:rFonts w:eastAsia="SimSun"/>
      <w:sz w:val="18"/>
    </w:rPr>
  </w:style>
  <w:style w:type="paragraph" w:customStyle="1" w:styleId="ALogo">
    <w:name w:val="A_Logo"/>
    <w:basedOn w:val="Normal-pool"/>
    <w:link w:val="ALogoChar"/>
    <w:qFormat/>
    <w:rsid w:val="005F08DB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5F08D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customStyle="1" w:styleId="ASpacer">
    <w:name w:val="A_Spacer"/>
    <w:basedOn w:val="Normal-pool"/>
    <w:link w:val="ASpacerChar"/>
    <w:qFormat/>
    <w:rsid w:val="005F08DB"/>
    <w:rPr>
      <w:sz w:val="2"/>
    </w:rPr>
  </w:style>
  <w:style w:type="character" w:customStyle="1" w:styleId="ASpacerChar">
    <w:name w:val="A_Spacer Char"/>
    <w:basedOn w:val="DefaultParagraphFont"/>
    <w:link w:val="ASpacer"/>
    <w:rsid w:val="005F08DB"/>
    <w:rPr>
      <w:rFonts w:ascii="Times New Roman" w:eastAsia="Times New Roman" w:hAnsi="Times New Roman" w:cs="Times New Roman"/>
      <w:kern w:val="0"/>
      <w:sz w:val="2"/>
      <w:szCs w:val="20"/>
      <w:lang w:val="ru-RU" w:eastAsia="en-US"/>
      <w14:ligatures w14:val="none"/>
    </w:rPr>
  </w:style>
  <w:style w:type="paragraph" w:customStyle="1" w:styleId="AATitle1">
    <w:name w:val="AA_Title1"/>
    <w:basedOn w:val="Normal-pool"/>
    <w:qFormat/>
    <w:rsid w:val="005F08DB"/>
  </w:style>
  <w:style w:type="paragraph" w:customStyle="1" w:styleId="ANormal">
    <w:name w:val="A_Normal"/>
    <w:basedOn w:val="Normal-pool"/>
    <w:qFormat/>
    <w:rsid w:val="005F08DB"/>
  </w:style>
  <w:style w:type="paragraph" w:customStyle="1" w:styleId="AText0">
    <w:name w:val="A_Text0"/>
    <w:basedOn w:val="AText"/>
    <w:next w:val="Normal-pool"/>
    <w:qFormat/>
    <w:rsid w:val="005F08DB"/>
    <w:pPr>
      <w:spacing w:before="0" w:after="120"/>
    </w:pPr>
  </w:style>
  <w:style w:type="character" w:styleId="CommentReference">
    <w:name w:val="annotation reference"/>
    <w:basedOn w:val="DefaultParagraphFont"/>
    <w:uiPriority w:val="99"/>
    <w:unhideWhenUsed/>
    <w:rsid w:val="005F08DB"/>
    <w:rPr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unhideWhenUsed/>
    <w:rsid w:val="005F08DB"/>
    <w:pPr>
      <w:tabs>
        <w:tab w:val="left" w:pos="624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rsid w:val="005F08D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0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08DB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  <w14:ligatures w14:val="none"/>
    </w:rPr>
  </w:style>
  <w:style w:type="paragraph" w:customStyle="1" w:styleId="Footer-jobnumber">
    <w:name w:val="Footer-jobnumber"/>
    <w:basedOn w:val="Normal-pool"/>
    <w:qFormat/>
    <w:rsid w:val="005F08DB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</w:style>
  <w:style w:type="paragraph" w:customStyle="1" w:styleId="Footnote-Separator">
    <w:name w:val="Footnote-Separator"/>
    <w:basedOn w:val="Normal-pool"/>
    <w:next w:val="Footnote-Text"/>
    <w:unhideWhenUsed/>
    <w:qFormat/>
    <w:rsid w:val="005F08DB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4B"/>
    <w:rPr>
      <w:rFonts w:ascii="Segoe UI" w:eastAsia="Times New Roman" w:hAnsi="Segoe UI" w:cs="Segoe UI"/>
      <w:kern w:val="0"/>
      <w:sz w:val="18"/>
      <w:szCs w:val="18"/>
      <w:lang w:val="ru-RU" w:eastAsia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134B"/>
  </w:style>
  <w:style w:type="paragraph" w:styleId="BlockText">
    <w:name w:val="Block Text"/>
    <w:basedOn w:val="Normal"/>
    <w:uiPriority w:val="99"/>
    <w:semiHidden/>
    <w:unhideWhenUsed/>
    <w:rsid w:val="0076134B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613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13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13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134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13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134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13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13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76134B"/>
    <w:rPr>
      <w:b/>
      <w:bCs/>
      <w:i/>
      <w:iCs/>
      <w:spacing w:val="5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134B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6134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6134B"/>
  </w:style>
  <w:style w:type="character" w:customStyle="1" w:styleId="DateChar">
    <w:name w:val="Date Char"/>
    <w:basedOn w:val="DefaultParagraphFont"/>
    <w:link w:val="Dat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134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34B"/>
    <w:rPr>
      <w:rFonts w:ascii="Segoe UI" w:eastAsia="Times New Roman" w:hAnsi="Segoe UI" w:cs="Segoe UI"/>
      <w:kern w:val="0"/>
      <w:sz w:val="16"/>
      <w:szCs w:val="16"/>
      <w:lang w:val="ru-RU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6134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76134B"/>
    <w:rPr>
      <w:i/>
      <w:iCs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76134B"/>
    <w:rPr>
      <w:vertAlign w:val="superscript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134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76134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6134B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character" w:styleId="HTMLAcronym">
    <w:name w:val="HTML Acronym"/>
    <w:basedOn w:val="DefaultParagraphFont"/>
    <w:uiPriority w:val="99"/>
    <w:semiHidden/>
    <w:unhideWhenUsed/>
    <w:rsid w:val="0076134B"/>
    <w:rPr>
      <w:lang w:val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134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134B"/>
    <w:rPr>
      <w:rFonts w:ascii="Times New Roman" w:eastAsia="Times New Roman" w:hAnsi="Times New Roman" w:cs="Times New Roman"/>
      <w:i/>
      <w:iCs/>
      <w:kern w:val="0"/>
      <w:sz w:val="20"/>
      <w:szCs w:val="20"/>
      <w:lang w:val="ru-RU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Code">
    <w:name w:val="HTML Code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Definition">
    <w:name w:val="HTML Definition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Keyboard">
    <w:name w:val="HTML Keyboard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34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76134B"/>
    <w:rPr>
      <w:rFonts w:ascii="Consolas" w:hAnsi="Consolas"/>
      <w:sz w:val="24"/>
      <w:szCs w:val="24"/>
      <w:lang w:val="ru-RU"/>
    </w:rPr>
  </w:style>
  <w:style w:type="character" w:styleId="HTMLTypewriter">
    <w:name w:val="HTML Typewriter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Variable">
    <w:name w:val="HTML Variable"/>
    <w:basedOn w:val="DefaultParagraphFont"/>
    <w:uiPriority w:val="99"/>
    <w:semiHidden/>
    <w:unhideWhenUsed/>
    <w:rsid w:val="0076134B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6134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613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134B"/>
    <w:rPr>
      <w:lang w:val="ru-RU"/>
    </w:rPr>
  </w:style>
  <w:style w:type="paragraph" w:styleId="List">
    <w:name w:val="List"/>
    <w:basedOn w:val="Normal"/>
    <w:uiPriority w:val="99"/>
    <w:semiHidden/>
    <w:unhideWhenUsed/>
    <w:rsid w:val="007613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613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613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613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613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6134B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6134B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6134B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6134B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6134B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613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613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613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613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613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6134B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6134B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6134B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6134B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6134B"/>
    <w:pPr>
      <w:numPr>
        <w:numId w:val="20"/>
      </w:numPr>
      <w:contextualSpacing/>
    </w:pPr>
  </w:style>
  <w:style w:type="table" w:styleId="ListTable1Light">
    <w:name w:val="List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613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13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134B"/>
    <w:rPr>
      <w:rFonts w:asciiTheme="majorHAnsi" w:eastAsiaTheme="majorEastAsia" w:hAnsiTheme="majorHAnsi" w:cstheme="majorBidi"/>
      <w:kern w:val="0"/>
      <w:shd w:val="pct20" w:color="auto" w:fill="auto"/>
      <w:lang w:val="ru-RU" w:eastAsia="en-US"/>
      <w14:ligatures w14:val="none"/>
    </w:rPr>
  </w:style>
  <w:style w:type="paragraph" w:styleId="NoSpacing">
    <w:name w:val="No Spacing"/>
    <w:uiPriority w:val="1"/>
    <w:qFormat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6134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613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134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6134B"/>
    <w:rPr>
      <w:color w:val="666666"/>
      <w:lang w:val="ru-RU"/>
    </w:rPr>
  </w:style>
  <w:style w:type="table" w:styleId="PlainTable1">
    <w:name w:val="Plain Table 1"/>
    <w:basedOn w:val="TableNormal"/>
    <w:uiPriority w:val="41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6134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134B"/>
    <w:rPr>
      <w:rFonts w:ascii="Consolas" w:eastAsia="Times New Roman" w:hAnsi="Consolas" w:cs="Times New Roman"/>
      <w:kern w:val="0"/>
      <w:sz w:val="21"/>
      <w:szCs w:val="21"/>
      <w:lang w:val="ru-RU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13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134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76134B"/>
    <w:rPr>
      <w:u w:val="dotted"/>
      <w:lang w:val="ru-RU"/>
    </w:rPr>
  </w:style>
  <w:style w:type="character" w:styleId="SmartLink">
    <w:name w:val="Smart Link"/>
    <w:basedOn w:val="DefaultParagraphFont"/>
    <w:uiPriority w:val="99"/>
    <w:semiHidden/>
    <w:unhideWhenUsed/>
    <w:rsid w:val="0076134B"/>
    <w:rPr>
      <w:color w:val="0000FF"/>
      <w:u w:val="single"/>
      <w:shd w:val="clear" w:color="auto" w:fill="F3F2F1"/>
      <w:lang w:val="ru-RU"/>
    </w:rPr>
  </w:style>
  <w:style w:type="character" w:styleId="Strong">
    <w:name w:val="Strong"/>
    <w:basedOn w:val="DefaultParagraphFont"/>
    <w:uiPriority w:val="22"/>
    <w:qFormat/>
    <w:rsid w:val="0076134B"/>
    <w:rPr>
      <w:b/>
      <w:bCs/>
      <w:lang w:val="ru-RU"/>
    </w:rPr>
  </w:style>
  <w:style w:type="character" w:styleId="SubtleEmphasis">
    <w:name w:val="Subtle Emphasis"/>
    <w:basedOn w:val="DefaultParagraphFont"/>
    <w:uiPriority w:val="19"/>
    <w:qFormat/>
    <w:rsid w:val="0076134B"/>
    <w:rPr>
      <w:i/>
      <w:iCs/>
      <w:color w:val="404040" w:themeColor="text1" w:themeTint="BF"/>
      <w:lang w:val="ru-RU"/>
    </w:rPr>
  </w:style>
  <w:style w:type="character" w:styleId="SubtleReference">
    <w:name w:val="Subtle Reference"/>
    <w:basedOn w:val="DefaultParagraphFont"/>
    <w:uiPriority w:val="31"/>
    <w:qFormat/>
    <w:rsid w:val="0076134B"/>
    <w:rPr>
      <w:smallCaps/>
      <w:color w:val="5A5A5A" w:themeColor="text1" w:themeTint="A5"/>
      <w:lang w:val="ru-RU"/>
    </w:rPr>
  </w:style>
  <w:style w:type="table" w:styleId="Table3Deffects1">
    <w:name w:val="Table 3D effect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6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13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613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134B"/>
    <w:pPr>
      <w:numPr>
        <w:numId w:val="0"/>
      </w:numPr>
      <w:tabs>
        <w:tab w:val="left" w:pos="1247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6134B"/>
    <w:rPr>
      <w:color w:val="605E5C"/>
      <w:shd w:val="clear" w:color="auto" w:fill="E1DFDD"/>
      <w:lang w:val="ru-RU"/>
    </w:r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semiHidden/>
    <w:rsid w:val="00AE020A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40" w:lineRule="exact"/>
      <w:jc w:val="both"/>
    </w:pPr>
    <w:rPr>
      <w:rFonts w:eastAsiaTheme="minorEastAsia" w:cstheme="minorBidi"/>
      <w:kern w:val="2"/>
      <w:szCs w:val="18"/>
      <w:vertAlign w:val="superscript"/>
      <w:lang w:eastAsia="zh-CN"/>
      <w14:ligatures w14:val="standardContextual"/>
    </w:rPr>
  </w:style>
  <w:style w:type="character" w:customStyle="1" w:styleId="NormalnumberChar">
    <w:name w:val="Normal_number Char"/>
    <w:link w:val="Normalnumber"/>
    <w:rsid w:val="004A3632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customStyle="1" w:styleId="ZZAnxheaderChar">
    <w:name w:val="ZZ_Anx_header Char"/>
    <w:link w:val="ZZAnxheader"/>
    <w:locked/>
    <w:rsid w:val="004A3632"/>
    <w:rPr>
      <w:rFonts w:ascii="Times New Roman" w:eastAsia="Times New Roman" w:hAnsi="Times New Roman" w:cs="Times New Roman"/>
      <w:b/>
      <w:bCs/>
      <w:kern w:val="0"/>
      <w:sz w:val="28"/>
      <w:szCs w:val="22"/>
      <w:lang w:val="ru-RU" w:eastAsia="en-US"/>
      <w14:ligatures w14:val="none"/>
    </w:rPr>
  </w:style>
  <w:style w:type="character" w:customStyle="1" w:styleId="ZZAnxtitleChar">
    <w:name w:val="ZZ_Anx_title Char"/>
    <w:link w:val="ZZAnxtitle"/>
    <w:rsid w:val="004A3632"/>
    <w:rPr>
      <w:rFonts w:ascii="Times New Roman" w:eastAsia="Times New Roman" w:hAnsi="Times New Roman" w:cs="Times New Roman"/>
      <w:b/>
      <w:bCs/>
      <w:kern w:val="0"/>
      <w:sz w:val="28"/>
      <w:szCs w:val="26"/>
      <w:lang w:val="ru-RU" w:eastAsia="en-US"/>
      <w14:ligatures w14:val="none"/>
    </w:rPr>
  </w:style>
  <w:style w:type="character" w:customStyle="1" w:styleId="Normal-poolChar">
    <w:name w:val="Normal-pool Char"/>
    <w:link w:val="Normal-pool"/>
    <w:locked/>
    <w:rsid w:val="004A3632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customStyle="1" w:styleId="CH2Char">
    <w:name w:val="CH2 Char"/>
    <w:link w:val="CH2"/>
    <w:rsid w:val="004A3632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character" w:customStyle="1" w:styleId="normaltextrun">
    <w:name w:val="normaltextrun"/>
    <w:basedOn w:val="DefaultParagraphFont"/>
    <w:rsid w:val="004A3632"/>
    <w:rPr>
      <w:lang w:val="en-GB"/>
    </w:rPr>
  </w:style>
  <w:style w:type="paragraph" w:styleId="Revision">
    <w:name w:val="Revision"/>
    <w:hidden/>
    <w:uiPriority w:val="99"/>
    <w:semiHidden/>
    <w:rsid w:val="003763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inamataconvention.org/sites/default/files/documents/decision/UNEP-MC-COP.5-Dec.17_KM-Biodiversity_Framework_English.pdf" TargetMode="External"/><Relationship Id="rId18" Type="http://schemas.openxmlformats.org/officeDocument/2006/relationships/footer" Target="footer1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4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minamataconvention.org/en/node/10688/" TargetMode="External"/><Relationship Id="rId13" Type="http://schemas.openxmlformats.org/officeDocument/2006/relationships/hyperlink" Target="https://ort.cbd.int/" TargetMode="External"/><Relationship Id="rId3" Type="http://schemas.openxmlformats.org/officeDocument/2006/relationships/hyperlink" Target="https://www.cbd.int/gbf/targets/7" TargetMode="External"/><Relationship Id="rId7" Type="http://schemas.openxmlformats.org/officeDocument/2006/relationships/hyperlink" Target="https://minamataconvention.org/en/resources/mercury-and-biodiversity" TargetMode="External"/><Relationship Id="rId12" Type="http://schemas.openxmlformats.org/officeDocument/2006/relationships/hyperlink" Target="https://minamataconvention.org/en/news/information-development-indicators-metrics-and-progress-measurement-tools-biodiversity-and" TargetMode="External"/><Relationship Id="rId2" Type="http://schemas.openxmlformats.org/officeDocument/2006/relationships/hyperlink" Target="https://minamataconvention.org/en/news/decision-mercury-and-kunming-montreal-global-biodiversity-framework-adopted-conference-parties" TargetMode="External"/><Relationship Id="rId16" Type="http://schemas.openxmlformats.org/officeDocument/2006/relationships/hyperlink" Target="https://www.unep.org/events/conference/bern-iii-conference-cooperation-among-biodiversity-related-conventions" TargetMode="External"/><Relationship Id="rId1" Type="http://schemas.openxmlformats.org/officeDocument/2006/relationships/hyperlink" Target="https://minamataconvention.org/en/news/decision-mercury-and-kunming-montreal-global-biodiversity-framework-adopted-conference-parties" TargetMode="External"/><Relationship Id="rId6" Type="http://schemas.openxmlformats.org/officeDocument/2006/relationships/hyperlink" Target="https://www.cbd.int/meetings/COP-16" TargetMode="External"/><Relationship Id="rId11" Type="http://schemas.openxmlformats.org/officeDocument/2006/relationships/hyperlink" Target="https://minamataconvention.org/en/news/information-development-indicators-metrics-and-progress-measurement-tools-biodiversity-and" TargetMode="External"/><Relationship Id="rId5" Type="http://schemas.openxmlformats.org/officeDocument/2006/relationships/hyperlink" Target="https://www.cbd.int/meetings/COP-16" TargetMode="External"/><Relationship Id="rId15" Type="http://schemas.openxmlformats.org/officeDocument/2006/relationships/hyperlink" Target="https://www.unep.org/events/conference/bern-iii-conference-cooperation-among-biodiversity-related-conventions" TargetMode="External"/><Relationship Id="rId10" Type="http://schemas.openxmlformats.org/officeDocument/2006/relationships/hyperlink" Target="https://minamataconvention.org/en/news/information-inclusion-additional-headline-component-and-complementary-indicators-monitoring" TargetMode="External"/><Relationship Id="rId4" Type="http://schemas.openxmlformats.org/officeDocument/2006/relationships/hyperlink" Target="https://www.cbd.int/gbf/targets/7" TargetMode="External"/><Relationship Id="rId9" Type="http://schemas.openxmlformats.org/officeDocument/2006/relationships/hyperlink" Target="https://minamataconvention.org/en/news/information-inclusion-additional-headline-component-and-complementary-indicators-monitoring" TargetMode="External"/><Relationship Id="rId14" Type="http://schemas.openxmlformats.org/officeDocument/2006/relationships/hyperlink" Target="https://ort.cbd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Props1.xml><?xml version="1.0" encoding="utf-8"?>
<ds:datastoreItem xmlns:ds="http://schemas.openxmlformats.org/officeDocument/2006/customXml" ds:itemID="{48FE9B68-D8D7-408B-A36D-C09BAE79F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4DD00-F6EE-4C62-A0C3-92C94C2A1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0ADDF-4B62-44CD-8F43-87768982B3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7D75B2-F4FE-416F-A102-CC5CED4C16F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556797a-c4c6-4bb5-9ceb-f1ec1ae6dd82"/>
    <ds:schemaRef ds:uri="822da31b-d518-49e2-88cd-1351ccd720a8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5822</Words>
  <Characters>33186</Characters>
  <Application>Microsoft Office Word</Application>
  <DocSecurity>0</DocSecurity>
  <PresentationFormat/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Tcomaia</dc:creator>
  <cp:keywords/>
  <dc:description/>
  <cp:lastModifiedBy>My Linh Doan</cp:lastModifiedBy>
  <cp:revision>5</cp:revision>
  <dcterms:created xsi:type="dcterms:W3CDTF">2025-09-18T09:40:00Z</dcterms:created>
  <dcterms:modified xsi:type="dcterms:W3CDTF">2025-09-22T08:05:00Z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RU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EN_RU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MediaServiceImageTags">
    <vt:lpwstr/>
  </property>
  <property fmtid="{D5CDD505-2E9C-101B-9397-08002B2CF9AE}" pid="11" name="ContentTypeId">
    <vt:lpwstr>0x010100D4A186B34AAF4047A570F9DFA6808567</vt:lpwstr>
  </property>
</Properties>
</file>