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D62C28" w:rsidRPr="009C1A48" w14:paraId="24E250A8" w14:textId="77777777" w:rsidTr="00D62C28">
        <w:trPr>
          <w:trHeight w:val="850"/>
        </w:trPr>
        <w:tc>
          <w:tcPr>
            <w:tcW w:w="1559" w:type="dxa"/>
          </w:tcPr>
          <w:p w14:paraId="537802EB" w14:textId="630DAE36" w:rsidR="00D62C28" w:rsidRPr="009C1A48" w:rsidRDefault="00D62C28" w:rsidP="00D62C28">
            <w:pPr>
              <w:pStyle w:val="AUnitedNations"/>
              <w:rPr>
                <w:rFonts w:eastAsiaTheme="minorEastAsia"/>
              </w:rPr>
            </w:pPr>
            <w:r w:rsidRPr="009C1A48">
              <w:rPr>
                <w:rFonts w:eastAsiaTheme="minorEastAsia"/>
              </w:rPr>
              <w:t xml:space="preserve">UNITED </w:t>
            </w:r>
            <w:r w:rsidRPr="009C1A48">
              <w:rPr>
                <w:rFonts w:eastAsiaTheme="minorEastAsia"/>
              </w:rPr>
              <w:br/>
              <w:t>NATIONS</w:t>
            </w:r>
          </w:p>
        </w:tc>
        <w:tc>
          <w:tcPr>
            <w:tcW w:w="6520" w:type="dxa"/>
          </w:tcPr>
          <w:p w14:paraId="3E14DB65" w14:textId="4698AD83" w:rsidR="00D62C28" w:rsidRPr="009C1A48" w:rsidRDefault="00D62C28" w:rsidP="00D62C28">
            <w:pPr>
              <w:pStyle w:val="Normal-pool"/>
              <w:rPr>
                <w:rFonts w:eastAsiaTheme="minorEastAsia"/>
              </w:rPr>
            </w:pPr>
            <w:r w:rsidRPr="009C1A48">
              <w:rPr>
                <w:rFonts w:eastAsiaTheme="minorEastAsia"/>
                <w:noProof/>
              </w:rPr>
              <w:drawing>
                <wp:anchor distT="0" distB="0" distL="114300" distR="114300" simplePos="0" relativeHeight="251658240" behindDoc="0" locked="0" layoutInCell="1" allowOverlap="1" wp14:anchorId="6A4560A4" wp14:editId="5B8A3A9A">
                  <wp:simplePos x="0" y="0"/>
                  <wp:positionH relativeFrom="column">
                    <wp:posOffset>454</wp:posOffset>
                  </wp:positionH>
                  <wp:positionV relativeFrom="paragraph">
                    <wp:posOffset>998</wp:posOffset>
                  </wp:positionV>
                  <wp:extent cx="1269153" cy="573559"/>
                  <wp:effectExtent l="0" t="0" r="7620" b="0"/>
                  <wp:wrapNone/>
                  <wp:docPr id="723809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809971"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41318C5B" w14:textId="77777777" w:rsidR="00D62C28" w:rsidRPr="009C1A48" w:rsidRDefault="00D62C28" w:rsidP="00D62C28">
            <w:pPr>
              <w:pStyle w:val="Normal-pool"/>
              <w:rPr>
                <w:rFonts w:eastAsiaTheme="minorEastAsia"/>
              </w:rPr>
            </w:pPr>
          </w:p>
        </w:tc>
      </w:tr>
    </w:tbl>
    <w:p w14:paraId="3DF70798" w14:textId="77777777" w:rsidR="006533B3" w:rsidRPr="009C1A48" w:rsidRDefault="006533B3" w:rsidP="00D62C28">
      <w:pPr>
        <w:pStyle w:val="ASpacer"/>
        <w:rPr>
          <w:rFonts w:eastAsiaTheme="minorEastAsia"/>
        </w:rPr>
      </w:pPr>
    </w:p>
    <w:tbl>
      <w:tblPr>
        <w:tblW w:w="9496" w:type="dxa"/>
        <w:tblLook w:val="0000" w:firstRow="0" w:lastRow="0" w:firstColumn="0" w:lastColumn="0" w:noHBand="0" w:noVBand="0"/>
      </w:tblPr>
      <w:tblGrid>
        <w:gridCol w:w="6378"/>
        <w:gridCol w:w="3118"/>
      </w:tblGrid>
      <w:tr w:rsidR="00D62C28" w:rsidRPr="009C1A48" w14:paraId="423424CF" w14:textId="77777777" w:rsidTr="00D62C28">
        <w:trPr>
          <w:trHeight w:val="340"/>
        </w:trPr>
        <w:tc>
          <w:tcPr>
            <w:tcW w:w="3358" w:type="pct"/>
            <w:vAlign w:val="bottom"/>
          </w:tcPr>
          <w:p w14:paraId="72946A39" w14:textId="77777777" w:rsidR="00D62C28" w:rsidRPr="009C1A48" w:rsidRDefault="00D62C28" w:rsidP="00D62C28">
            <w:pPr>
              <w:pStyle w:val="Normal-pool"/>
              <w:rPr>
                <w:rFonts w:eastAsiaTheme="minorEastAsia"/>
              </w:rPr>
            </w:pPr>
          </w:p>
        </w:tc>
        <w:tc>
          <w:tcPr>
            <w:tcW w:w="1642" w:type="pct"/>
            <w:noWrap/>
            <w:vAlign w:val="bottom"/>
          </w:tcPr>
          <w:p w14:paraId="42BC05B7" w14:textId="4F7657BE" w:rsidR="00D62C28" w:rsidRPr="009C1A48" w:rsidRDefault="00D62C28" w:rsidP="00D62C28">
            <w:pPr>
              <w:pStyle w:val="ASymbol"/>
            </w:pPr>
            <w:r w:rsidRPr="009C1A48">
              <w:rPr>
                <w:b/>
                <w:sz w:val="28"/>
              </w:rPr>
              <w:t>UNEP</w:t>
            </w:r>
            <w:r w:rsidRPr="009C1A48">
              <w:t>/MC/COP.</w:t>
            </w:r>
            <w:bookmarkStart w:id="0" w:name="Symbol1A"/>
            <w:r w:rsidRPr="009C1A48">
              <w:t>6</w:t>
            </w:r>
            <w:bookmarkStart w:id="1" w:name="Symbol1B"/>
            <w:bookmarkEnd w:id="0"/>
            <w:r w:rsidR="00B1215E" w:rsidRPr="009C1A48">
              <w:t>/20</w:t>
            </w:r>
            <w:bookmarkEnd w:id="1"/>
          </w:p>
        </w:tc>
      </w:tr>
    </w:tbl>
    <w:p w14:paraId="06CD4C7E" w14:textId="77777777" w:rsidR="00D62C28" w:rsidRPr="009C1A48" w:rsidRDefault="00D62C28" w:rsidP="00D62C28">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D62C28" w:rsidRPr="009C1A48" w14:paraId="54417720" w14:textId="77777777" w:rsidTr="00D62C28">
        <w:trPr>
          <w:trHeight w:val="2098"/>
        </w:trPr>
        <w:tc>
          <w:tcPr>
            <w:tcW w:w="3685" w:type="dxa"/>
          </w:tcPr>
          <w:p w14:paraId="229746ED" w14:textId="35338ADA" w:rsidR="00D62C28" w:rsidRPr="009C1A48" w:rsidRDefault="00D62C28" w:rsidP="00D62C28">
            <w:pPr>
              <w:pStyle w:val="ALogo"/>
              <w:rPr>
                <w:rFonts w:eastAsiaTheme="minorEastAsia"/>
              </w:rPr>
            </w:pPr>
            <w:r w:rsidRPr="009C1A48">
              <w:rPr>
                <w:rFonts w:eastAsiaTheme="minorEastAsia"/>
                <w:noProof/>
              </w:rPr>
              <w:drawing>
                <wp:inline distT="0" distB="0" distL="0" distR="0" wp14:anchorId="156298F3" wp14:editId="28D99255">
                  <wp:extent cx="2202815" cy="1028700"/>
                  <wp:effectExtent l="0" t="0" r="6985" b="0"/>
                  <wp:docPr id="1935433538" name="Picture 2"/>
                  <wp:cNvGraphicFramePr/>
                  <a:graphic xmlns:a="http://schemas.openxmlformats.org/drawingml/2006/main">
                    <a:graphicData uri="http://schemas.openxmlformats.org/drawingml/2006/picture">
                      <pic:pic xmlns:pic="http://schemas.openxmlformats.org/drawingml/2006/picture">
                        <pic:nvPicPr>
                          <pic:cNvPr id="1935433538"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9C1A48">
              <w:rPr>
                <w:rFonts w:eastAsiaTheme="minorEastAsia"/>
              </w:rPr>
              <w:t xml:space="preserve"> </w:t>
            </w:r>
          </w:p>
          <w:p w14:paraId="760D0B0D" w14:textId="0BFA7641" w:rsidR="00D62C28" w:rsidRPr="009C1A48" w:rsidRDefault="00D62C28" w:rsidP="00D62C28">
            <w:pPr>
              <w:pStyle w:val="ALogo"/>
              <w:rPr>
                <w:rFonts w:eastAsiaTheme="minorEastAsia"/>
              </w:rPr>
            </w:pPr>
          </w:p>
        </w:tc>
        <w:tc>
          <w:tcPr>
            <w:tcW w:w="2693" w:type="dxa"/>
          </w:tcPr>
          <w:p w14:paraId="6D6DFB5D" w14:textId="77777777" w:rsidR="00D62C28" w:rsidRPr="009C1A48" w:rsidRDefault="00D62C28" w:rsidP="00D62C28">
            <w:pPr>
              <w:pStyle w:val="Normal-pool"/>
              <w:rPr>
                <w:rFonts w:eastAsiaTheme="minorEastAsia"/>
              </w:rPr>
            </w:pPr>
          </w:p>
        </w:tc>
        <w:tc>
          <w:tcPr>
            <w:tcW w:w="3118" w:type="dxa"/>
          </w:tcPr>
          <w:p w14:paraId="15BBCC1B" w14:textId="6BBABEC9" w:rsidR="00D62C28" w:rsidRPr="009C1A48" w:rsidRDefault="00D62C28" w:rsidP="00D62C28">
            <w:pPr>
              <w:pStyle w:val="AText"/>
              <w:rPr>
                <w:rFonts w:eastAsiaTheme="minorEastAsia"/>
              </w:rPr>
            </w:pPr>
            <w:r w:rsidRPr="009C1A48">
              <w:rPr>
                <w:rFonts w:eastAsiaTheme="minorEastAsia"/>
              </w:rPr>
              <w:t xml:space="preserve">Distr.: </w:t>
            </w:r>
            <w:bookmarkStart w:id="2" w:name="Distribution"/>
            <w:r w:rsidR="00B1215E" w:rsidRPr="009C1A48">
              <w:rPr>
                <w:rFonts w:eastAsiaTheme="minorEastAsia"/>
              </w:rPr>
              <w:t>General</w:t>
            </w:r>
            <w:bookmarkEnd w:id="2"/>
            <w:r w:rsidRPr="009C1A48">
              <w:rPr>
                <w:rFonts w:eastAsiaTheme="minorEastAsia"/>
              </w:rPr>
              <w:t xml:space="preserve"> </w:t>
            </w:r>
          </w:p>
          <w:p w14:paraId="790AC48D" w14:textId="13A10BAA" w:rsidR="00D62C28" w:rsidRPr="009C1A48" w:rsidRDefault="00B1215E" w:rsidP="00D62C28">
            <w:pPr>
              <w:pStyle w:val="AText0"/>
              <w:rPr>
                <w:rFonts w:eastAsiaTheme="minorEastAsia"/>
              </w:rPr>
            </w:pPr>
            <w:bookmarkStart w:id="3" w:name="DistributionDate"/>
            <w:r w:rsidRPr="009C1A48">
              <w:rPr>
                <w:rFonts w:eastAsiaTheme="minorEastAsia"/>
              </w:rPr>
              <w:t>29 July 2025</w:t>
            </w:r>
            <w:bookmarkEnd w:id="3"/>
            <w:r w:rsidR="00D62C28" w:rsidRPr="009C1A48">
              <w:rPr>
                <w:rFonts w:eastAsiaTheme="minorEastAsia"/>
              </w:rPr>
              <w:t xml:space="preserve"> </w:t>
            </w:r>
          </w:p>
          <w:p w14:paraId="2F51128D" w14:textId="00288C0F" w:rsidR="00D62C28" w:rsidRPr="009C1A48" w:rsidRDefault="00D62C28" w:rsidP="00D62C28">
            <w:pPr>
              <w:pStyle w:val="AText"/>
              <w:rPr>
                <w:rFonts w:eastAsiaTheme="minorEastAsia"/>
              </w:rPr>
            </w:pPr>
            <w:bookmarkStart w:id="4" w:name="DistributionLang"/>
            <w:r w:rsidRPr="009C1A48">
              <w:rPr>
                <w:rFonts w:eastAsiaTheme="minorEastAsia"/>
              </w:rPr>
              <w:t>Original: English</w:t>
            </w:r>
            <w:bookmarkEnd w:id="4"/>
          </w:p>
        </w:tc>
      </w:tr>
    </w:tbl>
    <w:p w14:paraId="3128201B" w14:textId="77777777" w:rsidR="00D62C28" w:rsidRPr="009C1A48" w:rsidRDefault="00D62C28" w:rsidP="00D62C28">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D62C28" w:rsidRPr="00B77333" w14:paraId="109D3B65" w14:textId="77777777" w:rsidTr="00D62C28">
        <w:trPr>
          <w:trHeight w:val="57"/>
        </w:trPr>
        <w:tc>
          <w:tcPr>
            <w:tcW w:w="5301" w:type="dxa"/>
          </w:tcPr>
          <w:p w14:paraId="2C6F5A4E" w14:textId="77777777" w:rsidR="00D62C28" w:rsidRPr="00B77333" w:rsidRDefault="00D62C28" w:rsidP="00D62C28">
            <w:pPr>
              <w:pStyle w:val="AATitle"/>
              <w:rPr>
                <w:rFonts w:eastAsiaTheme="minorEastAsia"/>
              </w:rPr>
            </w:pPr>
            <w:bookmarkStart w:id="5" w:name="CorNot1Text"/>
            <w:r w:rsidRPr="00B77333">
              <w:rPr>
                <w:rFonts w:eastAsiaTheme="minorEastAsia"/>
              </w:rPr>
              <w:t xml:space="preserve">Conference of the Parties to the </w:t>
            </w:r>
            <w:r w:rsidRPr="00B77333">
              <w:rPr>
                <w:rFonts w:eastAsiaTheme="minorEastAsia"/>
              </w:rPr>
              <w:br/>
              <w:t xml:space="preserve">Minamata Convention on Mercury </w:t>
            </w:r>
          </w:p>
          <w:p w14:paraId="7D42FE67" w14:textId="525A0A0F" w:rsidR="00D62C28" w:rsidRPr="00B77333" w:rsidRDefault="00D62C28" w:rsidP="00D62C28">
            <w:pPr>
              <w:pStyle w:val="AATitle"/>
              <w:rPr>
                <w:rFonts w:eastAsiaTheme="minorEastAsia"/>
              </w:rPr>
            </w:pPr>
            <w:r w:rsidRPr="00B77333">
              <w:rPr>
                <w:rFonts w:eastAsiaTheme="minorEastAsia"/>
              </w:rPr>
              <w:t>Sixth meeting</w:t>
            </w:r>
            <w:bookmarkEnd w:id="5"/>
            <w:r w:rsidRPr="00B77333">
              <w:rPr>
                <w:rFonts w:eastAsiaTheme="minorEastAsia"/>
              </w:rPr>
              <w:t xml:space="preserve"> </w:t>
            </w:r>
          </w:p>
          <w:p w14:paraId="1028E274" w14:textId="46B1084B" w:rsidR="00D62C28" w:rsidRPr="00B77333" w:rsidRDefault="00D62C28" w:rsidP="00D62C28">
            <w:pPr>
              <w:pStyle w:val="AATitle1"/>
              <w:rPr>
                <w:rFonts w:eastAsiaTheme="minorEastAsia"/>
              </w:rPr>
            </w:pPr>
            <w:bookmarkStart w:id="6" w:name="CorNot1VenueDate"/>
            <w:r w:rsidRPr="00B77333">
              <w:rPr>
                <w:rFonts w:eastAsiaTheme="minorEastAsia"/>
              </w:rPr>
              <w:t>Geneva, 3–7 November 2025</w:t>
            </w:r>
            <w:bookmarkEnd w:id="6"/>
            <w:r w:rsidRPr="00B77333">
              <w:rPr>
                <w:rFonts w:eastAsiaTheme="minorEastAsia"/>
              </w:rPr>
              <w:t xml:space="preserve"> </w:t>
            </w:r>
          </w:p>
          <w:p w14:paraId="2BB880E9" w14:textId="009F0967" w:rsidR="00D62C28" w:rsidRPr="00B77333" w:rsidRDefault="00D44EE1" w:rsidP="00D62C28">
            <w:pPr>
              <w:pStyle w:val="AATitle1"/>
              <w:rPr>
                <w:rFonts w:eastAsiaTheme="minorEastAsia"/>
              </w:rPr>
            </w:pPr>
            <w:bookmarkStart w:id="7" w:name="CorNot1AgItem"/>
            <w:r w:rsidRPr="00B77333">
              <w:rPr>
                <w:rFonts w:eastAsiaTheme="minorEastAsia"/>
              </w:rPr>
              <w:t>Item 4 (</w:t>
            </w:r>
            <w:r w:rsidR="000A04D8" w:rsidRPr="00B77333">
              <w:rPr>
                <w:rFonts w:eastAsiaTheme="minorEastAsia"/>
              </w:rPr>
              <w:t>l</w:t>
            </w:r>
            <w:r w:rsidRPr="00B77333">
              <w:rPr>
                <w:rFonts w:eastAsiaTheme="minorEastAsia"/>
              </w:rPr>
              <w:t>) of the provisional agenda</w:t>
            </w:r>
            <w:bookmarkEnd w:id="7"/>
            <w:r w:rsidR="006C45D2" w:rsidRPr="00B77333">
              <w:rPr>
                <w:rStyle w:val="FootnoteReference"/>
                <w:bCs/>
                <w:vertAlign w:val="baseline"/>
              </w:rPr>
              <w:footnoteReference w:customMarkFollows="1" w:id="2"/>
              <w:t>*</w:t>
            </w:r>
            <w:r w:rsidR="00D62C28" w:rsidRPr="00B77333">
              <w:rPr>
                <w:rFonts w:eastAsiaTheme="minorEastAsia"/>
              </w:rPr>
              <w:t xml:space="preserve"> </w:t>
            </w:r>
          </w:p>
          <w:p w14:paraId="5095B21C" w14:textId="5401E589" w:rsidR="00D62C28" w:rsidRPr="00B77333" w:rsidRDefault="00B1215E" w:rsidP="00D62C28">
            <w:pPr>
              <w:pStyle w:val="AATitle2"/>
              <w:rPr>
                <w:rFonts w:eastAsiaTheme="minorEastAsia"/>
              </w:rPr>
            </w:pPr>
            <w:bookmarkStart w:id="8" w:name="CorNot1AgTitle"/>
            <w:r w:rsidRPr="00B77333">
              <w:rPr>
                <w:rFonts w:eastAsiaTheme="minorEastAsia"/>
              </w:rPr>
              <w:t>Matters for consideration or action by the Conference of the Parties: mercury and the Kunming-Montreal Global Biodiversity Framework</w:t>
            </w:r>
            <w:bookmarkEnd w:id="8"/>
            <w:r w:rsidR="00D62C28" w:rsidRPr="00B77333">
              <w:rPr>
                <w:rFonts w:eastAsiaTheme="minorEastAsia"/>
              </w:rPr>
              <w:t xml:space="preserve">  </w:t>
            </w:r>
          </w:p>
        </w:tc>
        <w:tc>
          <w:tcPr>
            <w:tcW w:w="4195" w:type="dxa"/>
          </w:tcPr>
          <w:p w14:paraId="19DEBA49" w14:textId="77777777" w:rsidR="00D62C28" w:rsidRPr="00B77333" w:rsidRDefault="00D62C28" w:rsidP="00D62C28">
            <w:pPr>
              <w:pStyle w:val="Normal-pool"/>
              <w:rPr>
                <w:rFonts w:eastAsiaTheme="minorEastAsia"/>
              </w:rPr>
            </w:pPr>
          </w:p>
        </w:tc>
      </w:tr>
    </w:tbl>
    <w:p w14:paraId="6804FDD7" w14:textId="697DACB0" w:rsidR="00B1215E" w:rsidRPr="009C1A48" w:rsidRDefault="00B1215E" w:rsidP="00325A54">
      <w:pPr>
        <w:pStyle w:val="BBTitle"/>
      </w:pPr>
      <w:r w:rsidRPr="00B77333">
        <w:t>Road</w:t>
      </w:r>
      <w:r w:rsidR="007E2407" w:rsidRPr="00B77333">
        <w:t xml:space="preserve"> </w:t>
      </w:r>
      <w:r w:rsidRPr="00B77333">
        <w:t xml:space="preserve">map </w:t>
      </w:r>
      <w:r w:rsidR="007E2407" w:rsidRPr="00B77333">
        <w:t>for</w:t>
      </w:r>
      <w:r w:rsidRPr="00B77333">
        <w:t xml:space="preserve"> enhanc</w:t>
      </w:r>
      <w:r w:rsidR="007E2407" w:rsidRPr="00B77333">
        <w:t>ing</w:t>
      </w:r>
      <w:r w:rsidRPr="00B77333">
        <w:t xml:space="preserve"> co-benefits from implementation of the Minamata Convention and the Kunming</w:t>
      </w:r>
      <w:r w:rsidRPr="009C1A48">
        <w:t>-Montreal Global Biodiversity Framework</w:t>
      </w:r>
    </w:p>
    <w:p w14:paraId="228B15FF" w14:textId="77777777" w:rsidR="00B1215E" w:rsidRPr="009C1A48" w:rsidRDefault="00B1215E" w:rsidP="00325A54">
      <w:pPr>
        <w:pStyle w:val="CH2"/>
      </w:pPr>
      <w:r w:rsidRPr="009C1A48">
        <w:tab/>
      </w:r>
      <w:r w:rsidRPr="009C1A48">
        <w:tab/>
        <w:t>Note by the secretariat</w:t>
      </w:r>
    </w:p>
    <w:p w14:paraId="4CD798E6" w14:textId="77777777" w:rsidR="00B1215E" w:rsidRPr="009C1A48" w:rsidRDefault="00B1215E" w:rsidP="00325A54">
      <w:pPr>
        <w:pStyle w:val="CH1"/>
      </w:pPr>
      <w:bookmarkStart w:id="9" w:name="_Hlk192252242"/>
      <w:r w:rsidRPr="009C1A48">
        <w:tab/>
        <w:t>I.</w:t>
      </w:r>
      <w:r w:rsidRPr="009C1A48">
        <w:tab/>
        <w:t>Introduction</w:t>
      </w:r>
    </w:p>
    <w:bookmarkEnd w:id="9"/>
    <w:p w14:paraId="0611916A" w14:textId="77777777" w:rsidR="00B1215E" w:rsidRPr="009C1A48" w:rsidRDefault="00B1215E" w:rsidP="00B1215E">
      <w:pPr>
        <w:pStyle w:val="Normalnumber"/>
        <w:numPr>
          <w:ilvl w:val="0"/>
          <w:numId w:val="0"/>
        </w:numPr>
        <w:ind w:left="1247"/>
        <w:rPr>
          <w:rFonts w:asciiTheme="majorBidi" w:hAnsiTheme="majorBidi" w:cstheme="majorBidi"/>
          <w:b/>
          <w:bCs/>
        </w:rPr>
      </w:pPr>
      <w:r w:rsidRPr="009C1A48">
        <w:rPr>
          <w:rFonts w:asciiTheme="majorBidi" w:hAnsiTheme="majorBidi" w:cstheme="majorBidi"/>
          <w:b/>
          <w:bCs/>
        </w:rPr>
        <w:t>Background</w:t>
      </w:r>
    </w:p>
    <w:p w14:paraId="6B044B86" w14:textId="61DA2768" w:rsidR="00B1215E" w:rsidRPr="009C1A48" w:rsidRDefault="00B1215E" w:rsidP="00325A54">
      <w:pPr>
        <w:pStyle w:val="Normalnumber"/>
        <w:tabs>
          <w:tab w:val="clear" w:pos="1247"/>
          <w:tab w:val="clear" w:pos="1814"/>
          <w:tab w:val="clear" w:pos="2381"/>
          <w:tab w:val="clear" w:pos="2948"/>
          <w:tab w:val="clear" w:pos="3515"/>
          <w:tab w:val="left" w:pos="624"/>
        </w:tabs>
        <w:ind w:left="1247"/>
        <w:rPr>
          <w:rFonts w:asciiTheme="majorBidi" w:hAnsiTheme="majorBidi" w:cstheme="majorBidi"/>
        </w:rPr>
      </w:pPr>
      <w:r w:rsidRPr="009C1A48">
        <w:rPr>
          <w:rFonts w:asciiTheme="majorBidi" w:hAnsiTheme="majorBidi" w:cstheme="majorBidi"/>
        </w:rPr>
        <w:t xml:space="preserve">At its fifth meeting, the Conference of the Parties to the Minamata Convention </w:t>
      </w:r>
      <w:r w:rsidR="00C33ED7">
        <w:rPr>
          <w:rFonts w:asciiTheme="majorBidi" w:hAnsiTheme="majorBidi" w:cstheme="majorBidi"/>
        </w:rPr>
        <w:t>on Mercury</w:t>
      </w:r>
      <w:r w:rsidRPr="009C1A48">
        <w:rPr>
          <w:rFonts w:asciiTheme="majorBidi" w:hAnsiTheme="majorBidi" w:cstheme="majorBidi"/>
        </w:rPr>
        <w:t xml:space="preserve"> adopted </w:t>
      </w:r>
      <w:hyperlink r:id="rId13" w:history="1">
        <w:r w:rsidRPr="00803454">
          <w:rPr>
            <w:rStyle w:val="Hyperlink"/>
            <w:rFonts w:asciiTheme="majorBidi" w:hAnsiTheme="majorBidi" w:cstheme="majorBidi"/>
            <w:color w:val="auto"/>
          </w:rPr>
          <w:t>decision MC-5/17</w:t>
        </w:r>
      </w:hyperlink>
      <w:r w:rsidRPr="009C1A48">
        <w:rPr>
          <w:rFonts w:asciiTheme="majorBidi" w:hAnsiTheme="majorBidi" w:cstheme="majorBidi"/>
        </w:rPr>
        <w:t xml:space="preserve"> on mercury and the Kunming</w:t>
      </w:r>
      <w:r w:rsidRPr="009C1A48">
        <w:rPr>
          <w:rFonts w:asciiTheme="majorBidi" w:hAnsiTheme="majorBidi" w:cstheme="majorBidi"/>
        </w:rPr>
        <w:noBreakHyphen/>
        <w:t xml:space="preserve">Montreal Global Biodiversity Framework. </w:t>
      </w:r>
    </w:p>
    <w:p w14:paraId="1ED2407A" w14:textId="4AB0EF87" w:rsidR="00B1215E" w:rsidRPr="009C1A48" w:rsidRDefault="00B1215E" w:rsidP="00325A54">
      <w:pPr>
        <w:pStyle w:val="Normalnumber"/>
        <w:tabs>
          <w:tab w:val="clear" w:pos="1247"/>
          <w:tab w:val="clear" w:pos="1814"/>
          <w:tab w:val="clear" w:pos="2381"/>
          <w:tab w:val="clear" w:pos="2948"/>
          <w:tab w:val="clear" w:pos="3515"/>
          <w:tab w:val="left" w:pos="624"/>
        </w:tabs>
      </w:pPr>
      <w:r w:rsidRPr="009C1A48">
        <w:t xml:space="preserve">The decision was informed by </w:t>
      </w:r>
      <w:r w:rsidR="001E6F04">
        <w:t>a</w:t>
      </w:r>
      <w:r w:rsidR="001E6F04" w:rsidRPr="009C1A48">
        <w:t xml:space="preserve"> </w:t>
      </w:r>
      <w:r w:rsidRPr="009C1A48">
        <w:t xml:space="preserve">report prepared by the secretariat on how the Convention and the </w:t>
      </w:r>
      <w:r w:rsidR="00FE626B">
        <w:t>Framework</w:t>
      </w:r>
      <w:r w:rsidRPr="009C1A48">
        <w:t xml:space="preserve"> </w:t>
      </w:r>
      <w:r w:rsidR="00FE626B">
        <w:t>could</w:t>
      </w:r>
      <w:r w:rsidR="00FE626B" w:rsidRPr="009C1A48">
        <w:t xml:space="preserve"> </w:t>
      </w:r>
      <w:r w:rsidRPr="009C1A48">
        <w:t xml:space="preserve">be implemented in a mutually supportive manner, including the mapping of the interlinkages between the Convention and the </w:t>
      </w:r>
      <w:r w:rsidR="00FE626B">
        <w:t>Framework</w:t>
      </w:r>
      <w:r w:rsidRPr="009C1A48">
        <w:t xml:space="preserve">, as summarized in document UNEP/MC/COP.5/20 and described in full </w:t>
      </w:r>
      <w:r w:rsidR="00EB3268">
        <w:t xml:space="preserve">in document </w:t>
      </w:r>
      <w:r w:rsidRPr="009C1A48">
        <w:t>UNEP/MC/COP.5/INF/27. The report showed that work under the Minamata Convention contributes to nearly all the targets</w:t>
      </w:r>
      <w:r w:rsidR="00FE626B">
        <w:t xml:space="preserve"> of the Framework</w:t>
      </w:r>
      <w:r w:rsidRPr="009C1A48">
        <w:t xml:space="preserve">. </w:t>
      </w:r>
    </w:p>
    <w:p w14:paraId="03005846" w14:textId="7361B39A" w:rsidR="00B1215E" w:rsidRPr="009C1A48" w:rsidRDefault="00B1215E" w:rsidP="00325A54">
      <w:pPr>
        <w:pStyle w:val="Normalnumber"/>
        <w:tabs>
          <w:tab w:val="clear" w:pos="1247"/>
          <w:tab w:val="clear" w:pos="1814"/>
          <w:tab w:val="clear" w:pos="2381"/>
          <w:tab w:val="clear" w:pos="2948"/>
          <w:tab w:val="clear" w:pos="3515"/>
          <w:tab w:val="left" w:pos="624"/>
        </w:tabs>
        <w:ind w:left="1247"/>
      </w:pPr>
      <w:r w:rsidRPr="009C1A48">
        <w:rPr>
          <w:rFonts w:asciiTheme="majorBidi" w:hAnsiTheme="majorBidi" w:cstheme="majorBidi"/>
        </w:rPr>
        <w:t>In decision MC-5/17</w:t>
      </w:r>
      <w:r w:rsidR="00EB3268">
        <w:rPr>
          <w:rFonts w:asciiTheme="majorBidi" w:hAnsiTheme="majorBidi" w:cstheme="majorBidi"/>
        </w:rPr>
        <w:t>,</w:t>
      </w:r>
      <w:r w:rsidRPr="009C1A48">
        <w:rPr>
          <w:rFonts w:asciiTheme="majorBidi" w:hAnsiTheme="majorBidi" w:cstheme="majorBidi"/>
        </w:rPr>
        <w:t xml:space="preserve"> the secretariat was requested, subject to the availability of resources, to prepare a </w:t>
      </w:r>
      <w:r w:rsidRPr="009C1A48">
        <w:t xml:space="preserve">draft road map, including possible actions and indicators, to support parties in demonstrating and maximizing the co-benefits arising from the implementation of the Minamata Convention and the </w:t>
      </w:r>
      <w:r w:rsidR="00EB3268" w:rsidRPr="009C1A48">
        <w:t>Kunming-Montreal Global Biodiversity</w:t>
      </w:r>
      <w:r w:rsidR="00EB3268">
        <w:t xml:space="preserve"> </w:t>
      </w:r>
      <w:r w:rsidR="00FE626B">
        <w:t>Framework</w:t>
      </w:r>
      <w:r w:rsidRPr="009C1A48">
        <w:t xml:space="preserve">, for consideration by the Conference of the Parties at its sixth meeting. </w:t>
      </w:r>
    </w:p>
    <w:p w14:paraId="3F4721A3" w14:textId="1107BAD8" w:rsidR="00B1215E" w:rsidRPr="009C1A48" w:rsidRDefault="00B1215E" w:rsidP="00325A54">
      <w:pPr>
        <w:pStyle w:val="Normalnumber"/>
        <w:tabs>
          <w:tab w:val="clear" w:pos="1247"/>
          <w:tab w:val="clear" w:pos="1814"/>
          <w:tab w:val="clear" w:pos="2381"/>
          <w:tab w:val="clear" w:pos="2948"/>
          <w:tab w:val="clear" w:pos="3515"/>
          <w:tab w:val="left" w:pos="624"/>
        </w:tabs>
        <w:ind w:left="1247"/>
      </w:pPr>
      <w:r w:rsidRPr="009C1A48">
        <w:t>The present note summarizes the activities undertaken by the secretariat in response to decision MC-5/17 and presents a draft road</w:t>
      </w:r>
      <w:r w:rsidR="00EB3268">
        <w:t xml:space="preserve"> </w:t>
      </w:r>
      <w:r w:rsidRPr="009C1A48">
        <w:t xml:space="preserve">map </w:t>
      </w:r>
      <w:r w:rsidR="00EB3268">
        <w:t>for</w:t>
      </w:r>
      <w:r w:rsidR="00EB3268" w:rsidRPr="009C1A48">
        <w:t xml:space="preserve"> </w:t>
      </w:r>
      <w:r w:rsidRPr="005F7283">
        <w:t>enhanc</w:t>
      </w:r>
      <w:r w:rsidR="00EB3268" w:rsidRPr="005F7283">
        <w:t>ing</w:t>
      </w:r>
      <w:r w:rsidRPr="009C1A48">
        <w:t xml:space="preserve"> co-benefits from implementation of the Minamata Convention and the Kunming-Montreal Global Biodiversity Framework by 2030. Annex I to the note </w:t>
      </w:r>
      <w:r w:rsidR="005F7283">
        <w:t>sets out</w:t>
      </w:r>
      <w:r w:rsidR="005F7283" w:rsidRPr="009C1A48">
        <w:t xml:space="preserve"> </w:t>
      </w:r>
      <w:r w:rsidRPr="009C1A48">
        <w:t>a proposed decision</w:t>
      </w:r>
      <w:r w:rsidR="005F7283">
        <w:t xml:space="preserve"> on the matter</w:t>
      </w:r>
      <w:r w:rsidRPr="009C1A48">
        <w:t xml:space="preserve">. </w:t>
      </w:r>
    </w:p>
    <w:p w14:paraId="26E24A80" w14:textId="274F018C" w:rsidR="00B1215E" w:rsidRPr="009C1A48" w:rsidRDefault="005F7283" w:rsidP="00325A54">
      <w:pPr>
        <w:pStyle w:val="Normalnumber"/>
        <w:tabs>
          <w:tab w:val="clear" w:pos="1247"/>
          <w:tab w:val="clear" w:pos="1814"/>
          <w:tab w:val="clear" w:pos="2381"/>
          <w:tab w:val="clear" w:pos="2948"/>
          <w:tab w:val="clear" w:pos="3515"/>
          <w:tab w:val="left" w:pos="624"/>
        </w:tabs>
        <w:ind w:left="1247"/>
      </w:pPr>
      <w:r>
        <w:t>In</w:t>
      </w:r>
      <w:r w:rsidRPr="009C1A48">
        <w:t xml:space="preserve"> </w:t>
      </w:r>
      <w:r w:rsidR="00B1215E" w:rsidRPr="009C1A48">
        <w:t>preparing the draft road</w:t>
      </w:r>
      <w:r w:rsidR="00EB3268">
        <w:t xml:space="preserve"> </w:t>
      </w:r>
      <w:r w:rsidR="00B1215E" w:rsidRPr="009C1A48">
        <w:t>map, the secretariat considered the outcomes of the sixteenth meeting of the Conference of the Parties</w:t>
      </w:r>
      <w:r w:rsidR="00FE626B">
        <w:t xml:space="preserve"> to the Convention on Biological Diversity</w:t>
      </w:r>
      <w:r w:rsidR="00B1215E" w:rsidRPr="009C1A48">
        <w:t xml:space="preserve">, </w:t>
      </w:r>
      <w:r>
        <w:t xml:space="preserve">which was </w:t>
      </w:r>
      <w:r w:rsidR="00B1215E" w:rsidRPr="009C1A48">
        <w:t xml:space="preserve">held in two parts: in Cali, </w:t>
      </w:r>
      <w:r w:rsidR="00B1215E" w:rsidRPr="000E72A2">
        <w:t>Colombia</w:t>
      </w:r>
      <w:r w:rsidR="000E72A2">
        <w:t xml:space="preserve"> </w:t>
      </w:r>
      <w:r w:rsidR="00B1215E" w:rsidRPr="000E72A2">
        <w:t>(21 October–1 November 2024) and in Rome (25–27 February 2025). Annex II to th</w:t>
      </w:r>
      <w:r w:rsidR="007473B3" w:rsidRPr="000E72A2">
        <w:t>e present</w:t>
      </w:r>
      <w:r w:rsidR="00B1215E" w:rsidRPr="000E72A2">
        <w:t xml:space="preserve"> note provides a</w:t>
      </w:r>
      <w:r w:rsidRPr="000E72A2">
        <w:t>n</w:t>
      </w:r>
      <w:r w:rsidR="00B1215E" w:rsidRPr="000E72A2">
        <w:t xml:space="preserve"> overview of </w:t>
      </w:r>
      <w:r w:rsidR="00FE626B" w:rsidRPr="000E72A2">
        <w:t xml:space="preserve">the </w:t>
      </w:r>
      <w:r w:rsidR="00EB3268" w:rsidRPr="000E72A2">
        <w:t xml:space="preserve">resulting </w:t>
      </w:r>
      <w:r w:rsidR="00B1215E" w:rsidRPr="000E72A2">
        <w:t xml:space="preserve">decisions that are of </w:t>
      </w:r>
      <w:r w:rsidR="00B310E3" w:rsidRPr="000E72A2">
        <w:t xml:space="preserve">direct </w:t>
      </w:r>
      <w:r w:rsidR="00B1215E" w:rsidRPr="000E72A2">
        <w:t xml:space="preserve">relevance </w:t>
      </w:r>
      <w:r w:rsidR="00B1215E" w:rsidRPr="000E72A2">
        <w:lastRenderedPageBreak/>
        <w:t xml:space="preserve">to the Minamata Convention. For ease of reference, document UNEP/MC/COP.6/INF/41 contains a list of key decisions from </w:t>
      </w:r>
      <w:r w:rsidR="00EB3268" w:rsidRPr="000E72A2">
        <w:t>the fifteenth and</w:t>
      </w:r>
      <w:r w:rsidR="00EB3268">
        <w:t xml:space="preserve"> sixteenth meetings of the </w:t>
      </w:r>
      <w:r w:rsidR="00EB3268" w:rsidRPr="009C1A48">
        <w:t>Conference of the Parties</w:t>
      </w:r>
      <w:r w:rsidR="00EB3268">
        <w:t xml:space="preserve"> to the Convention on Biological Diversity</w:t>
      </w:r>
      <w:r w:rsidR="00B1215E" w:rsidRPr="009C1A48">
        <w:t>.</w:t>
      </w:r>
    </w:p>
    <w:p w14:paraId="5250EAA3" w14:textId="77777777" w:rsidR="00B1215E" w:rsidRPr="009C1A48" w:rsidRDefault="00B1215E" w:rsidP="000A04D8">
      <w:pPr>
        <w:pStyle w:val="CH1"/>
      </w:pPr>
      <w:r w:rsidRPr="009C1A48">
        <w:tab/>
        <w:t>II.</w:t>
      </w:r>
      <w:r w:rsidRPr="009C1A48">
        <w:tab/>
        <w:t>Activities undertaken in response to decision MC-5/17</w:t>
      </w:r>
    </w:p>
    <w:p w14:paraId="05465CC4" w14:textId="16202135" w:rsidR="00B1215E" w:rsidRPr="009C1A48" w:rsidRDefault="00B1215E" w:rsidP="00325A54">
      <w:pPr>
        <w:pStyle w:val="Normalnumber"/>
        <w:tabs>
          <w:tab w:val="clear" w:pos="1247"/>
          <w:tab w:val="clear" w:pos="1814"/>
          <w:tab w:val="clear" w:pos="2381"/>
          <w:tab w:val="clear" w:pos="2948"/>
          <w:tab w:val="clear" w:pos="3515"/>
          <w:tab w:val="left" w:pos="624"/>
        </w:tabs>
        <w:ind w:left="1247"/>
      </w:pPr>
      <w:r w:rsidRPr="009C1A48">
        <w:rPr>
          <w:shd w:val="clear" w:color="auto" w:fill="FFFFFF"/>
        </w:rPr>
        <w:t xml:space="preserve">The secretariat undertook activities to inform the </w:t>
      </w:r>
      <w:r w:rsidR="00571B3C" w:rsidRPr="009C1A48">
        <w:t>Conference of the Parties</w:t>
      </w:r>
      <w:r w:rsidR="00571B3C">
        <w:t xml:space="preserve"> to the Convention on Biological Diversity</w:t>
      </w:r>
      <w:r w:rsidRPr="009C1A48">
        <w:rPr>
          <w:shd w:val="clear" w:color="auto" w:fill="FFFFFF"/>
        </w:rPr>
        <w:t xml:space="preserve">, its subsidiary bodies and the secretariat </w:t>
      </w:r>
      <w:r w:rsidR="00571B3C">
        <w:rPr>
          <w:shd w:val="clear" w:color="auto" w:fill="FFFFFF"/>
        </w:rPr>
        <w:t xml:space="preserve">of the </w:t>
      </w:r>
      <w:r w:rsidR="00571B3C" w:rsidRPr="004C0EF8">
        <w:rPr>
          <w:shd w:val="clear" w:color="auto" w:fill="FFFFFF"/>
        </w:rPr>
        <w:t xml:space="preserve">Convention on Biological Diversity </w:t>
      </w:r>
      <w:r w:rsidRPr="004C0EF8">
        <w:rPr>
          <w:shd w:val="clear" w:color="auto" w:fill="FFFFFF"/>
        </w:rPr>
        <w:t xml:space="preserve">of the outcomes </w:t>
      </w:r>
      <w:r w:rsidR="00571B3C" w:rsidRPr="004C0EF8">
        <w:rPr>
          <w:shd w:val="clear" w:color="auto" w:fill="FFFFFF"/>
        </w:rPr>
        <w:t xml:space="preserve">of the fifth meeting of the Conference of the Parties to the Minamata Convention </w:t>
      </w:r>
      <w:r w:rsidRPr="004C0EF8">
        <w:rPr>
          <w:shd w:val="clear" w:color="auto" w:fill="FFFFFF"/>
        </w:rPr>
        <w:t>relat</w:t>
      </w:r>
      <w:r w:rsidR="00571B3C" w:rsidRPr="004C0EF8">
        <w:rPr>
          <w:shd w:val="clear" w:color="auto" w:fill="FFFFFF"/>
        </w:rPr>
        <w:t>ing</w:t>
      </w:r>
      <w:r w:rsidRPr="004C0EF8">
        <w:rPr>
          <w:shd w:val="clear" w:color="auto" w:fill="FFFFFF"/>
        </w:rPr>
        <w:t xml:space="preserve"> to </w:t>
      </w:r>
      <w:r w:rsidR="00571B3C" w:rsidRPr="004C0EF8">
        <w:rPr>
          <w:shd w:val="clear" w:color="auto" w:fill="FFFFFF"/>
        </w:rPr>
        <w:t>the Framework</w:t>
      </w:r>
      <w:r w:rsidRPr="004C0EF8">
        <w:rPr>
          <w:shd w:val="clear" w:color="auto" w:fill="FFFFFF"/>
        </w:rPr>
        <w:t xml:space="preserve">. </w:t>
      </w:r>
      <w:r w:rsidR="005F7283" w:rsidRPr="004C0EF8">
        <w:rPr>
          <w:shd w:val="clear" w:color="auto" w:fill="FFFFFF"/>
        </w:rPr>
        <w:t>In a letter sent on 31 January 2024,</w:t>
      </w:r>
      <w:r w:rsidR="005F7283" w:rsidRPr="004C0EF8">
        <w:rPr>
          <w:rStyle w:val="FootnoteReference"/>
          <w:shd w:val="clear" w:color="auto" w:fill="FFFFFF"/>
        </w:rPr>
        <w:footnoteReference w:id="3"/>
      </w:r>
      <w:r w:rsidR="005F7283" w:rsidRPr="004C0EF8">
        <w:rPr>
          <w:shd w:val="clear" w:color="auto" w:fill="FFFFFF"/>
        </w:rPr>
        <w:t xml:space="preserve"> t</w:t>
      </w:r>
      <w:r w:rsidRPr="004C0EF8">
        <w:rPr>
          <w:shd w:val="clear" w:color="auto" w:fill="FFFFFF"/>
        </w:rPr>
        <w:t>he</w:t>
      </w:r>
      <w:r w:rsidRPr="009C1A48">
        <w:rPr>
          <w:shd w:val="clear" w:color="auto" w:fill="FFFFFF"/>
        </w:rPr>
        <w:t xml:space="preserve"> Executive Secretary of the Minamata Convention communicated </w:t>
      </w:r>
      <w:r w:rsidR="00571B3C">
        <w:rPr>
          <w:shd w:val="clear" w:color="auto" w:fill="FFFFFF"/>
        </w:rPr>
        <w:t xml:space="preserve">the </w:t>
      </w:r>
      <w:r w:rsidRPr="009C1A48">
        <w:rPr>
          <w:shd w:val="clear" w:color="auto" w:fill="FFFFFF"/>
        </w:rPr>
        <w:t xml:space="preserve">relevant decisions to the Executive Secretary of the </w:t>
      </w:r>
      <w:r w:rsidR="00571B3C">
        <w:rPr>
          <w:shd w:val="clear" w:color="auto" w:fill="FFFFFF"/>
        </w:rPr>
        <w:t>Convention on Biological Diversity</w:t>
      </w:r>
      <w:r w:rsidRPr="009C1A48">
        <w:rPr>
          <w:shd w:val="clear" w:color="auto" w:fill="FFFFFF"/>
        </w:rPr>
        <w:t xml:space="preserve">, including the </w:t>
      </w:r>
      <w:r w:rsidRPr="008E614A">
        <w:rPr>
          <w:shd w:val="clear" w:color="auto" w:fill="FFFFFF"/>
        </w:rPr>
        <w:t xml:space="preserve">invitation to develop monitoring indicators </w:t>
      </w:r>
      <w:r w:rsidR="005F7283" w:rsidRPr="008E614A">
        <w:rPr>
          <w:shd w:val="clear" w:color="auto" w:fill="FFFFFF"/>
        </w:rPr>
        <w:t xml:space="preserve">related to highly hazardous chemicals and mercury </w:t>
      </w:r>
      <w:r w:rsidRPr="008E614A">
        <w:rPr>
          <w:shd w:val="clear" w:color="auto" w:fill="FFFFFF"/>
        </w:rPr>
        <w:t xml:space="preserve">under </w:t>
      </w:r>
      <w:r w:rsidR="008E614A" w:rsidRPr="008E614A">
        <w:rPr>
          <w:shd w:val="clear" w:color="auto" w:fill="FFFFFF"/>
        </w:rPr>
        <w:t>t</w:t>
      </w:r>
      <w:r w:rsidRPr="008E614A">
        <w:rPr>
          <w:shd w:val="clear" w:color="auto" w:fill="FFFFFF"/>
        </w:rPr>
        <w:t>arget 7 of</w:t>
      </w:r>
      <w:r w:rsidRPr="009C1A48">
        <w:rPr>
          <w:shd w:val="clear" w:color="auto" w:fill="FFFFFF"/>
        </w:rPr>
        <w:t xml:space="preserve"> </w:t>
      </w:r>
      <w:r w:rsidR="00571B3C">
        <w:rPr>
          <w:shd w:val="clear" w:color="auto" w:fill="FFFFFF"/>
        </w:rPr>
        <w:t>the Framework</w:t>
      </w:r>
      <w:r w:rsidR="005F7283">
        <w:rPr>
          <w:shd w:val="clear" w:color="auto" w:fill="FFFFFF"/>
        </w:rPr>
        <w:t>.</w:t>
      </w:r>
      <w:r w:rsidRPr="009C1A48">
        <w:rPr>
          <w:rStyle w:val="FootnoteReference"/>
          <w:shd w:val="clear" w:color="auto" w:fill="FFFFFF"/>
        </w:rPr>
        <w:footnoteReference w:id="4"/>
      </w:r>
      <w:r w:rsidRPr="009C1A48">
        <w:rPr>
          <w:shd w:val="clear" w:color="auto" w:fill="FFFFFF"/>
        </w:rPr>
        <w:t xml:space="preserve"> </w:t>
      </w:r>
      <w:r w:rsidRPr="009C1A48">
        <w:t xml:space="preserve">The secretariat </w:t>
      </w:r>
      <w:r w:rsidR="005F7283">
        <w:t xml:space="preserve">also </w:t>
      </w:r>
      <w:r w:rsidRPr="009C1A48">
        <w:t xml:space="preserve">submitted a report to </w:t>
      </w:r>
      <w:r w:rsidR="00571B3C">
        <w:t>the Conference of the Parties to the Convention on Biological Diversity at its sixteenth meeting</w:t>
      </w:r>
      <w:r w:rsidRPr="009C1A48">
        <w:t xml:space="preserve"> summarizing the relevant decisions from </w:t>
      </w:r>
      <w:r w:rsidR="00747DCA" w:rsidRPr="00870138">
        <w:t>the fifth meeting of the Conference of the Parties to the Minamata Convention</w:t>
      </w:r>
      <w:r w:rsidRPr="00870138">
        <w:t xml:space="preserve"> as well as recent work under the Convention to reduce the impacts of mercury pollution on biodiversity</w:t>
      </w:r>
      <w:r w:rsidR="005F7283" w:rsidRPr="00870138">
        <w:t>.</w:t>
      </w:r>
      <w:r w:rsidR="005F7283" w:rsidRPr="00870138">
        <w:rPr>
          <w:rStyle w:val="FootnoteReference"/>
        </w:rPr>
        <w:footnoteReference w:id="5"/>
      </w:r>
      <w:r w:rsidRPr="00870138">
        <w:t xml:space="preserve"> </w:t>
      </w:r>
      <w:r w:rsidR="00BE15BF" w:rsidRPr="00870138">
        <w:t>Finally, t</w:t>
      </w:r>
      <w:r w:rsidRPr="00870138">
        <w:t>he secretariat participated in the</w:t>
      </w:r>
      <w:r w:rsidRPr="009C1A48">
        <w:t xml:space="preserve"> twenty-sixth meeting of the Subsidiary Body on Scientific, Technical and Technological Advice, </w:t>
      </w:r>
      <w:r w:rsidR="00747DCA">
        <w:t xml:space="preserve">held </w:t>
      </w:r>
      <w:r w:rsidRPr="009C1A48">
        <w:t xml:space="preserve">in Nairobi from 13 to 18 May 2024, and </w:t>
      </w:r>
      <w:r w:rsidR="00747DCA">
        <w:t xml:space="preserve">the sixteenth meeting of the </w:t>
      </w:r>
      <w:r w:rsidR="00747DCA" w:rsidRPr="009C1A48">
        <w:t>Conference of the Parties</w:t>
      </w:r>
      <w:r w:rsidR="00747DCA">
        <w:t xml:space="preserve"> to the Convention on Biological Diversity</w:t>
      </w:r>
      <w:r w:rsidRPr="009C1A48">
        <w:t xml:space="preserve"> </w:t>
      </w:r>
      <w:r w:rsidRPr="00B25D23">
        <w:t>in Cali</w:t>
      </w:r>
      <w:r w:rsidR="00747DCA" w:rsidRPr="00B25D23">
        <w:t>,</w:t>
      </w:r>
      <w:r w:rsidRPr="00B25D23">
        <w:t xml:space="preserve"> </w:t>
      </w:r>
      <w:r w:rsidRPr="009C1A48">
        <w:t xml:space="preserve">including several side events and sessions </w:t>
      </w:r>
      <w:r w:rsidR="00747DCA">
        <w:t>that</w:t>
      </w:r>
      <w:r w:rsidR="00747DCA" w:rsidRPr="009C1A48">
        <w:t xml:space="preserve"> </w:t>
      </w:r>
      <w:r w:rsidRPr="009C1A48">
        <w:t>showcase</w:t>
      </w:r>
      <w:r w:rsidR="00747DCA">
        <w:t>d</w:t>
      </w:r>
      <w:r w:rsidRPr="009C1A48">
        <w:t xml:space="preserve"> work on how </w:t>
      </w:r>
      <w:r w:rsidRPr="00BD42A1">
        <w:t xml:space="preserve">coherent </w:t>
      </w:r>
      <w:r w:rsidRPr="009C1A48">
        <w:t xml:space="preserve">implementation of the Minamata Convention and </w:t>
      </w:r>
      <w:r w:rsidR="00BE15BF">
        <w:t xml:space="preserve">the </w:t>
      </w:r>
      <w:r w:rsidR="00747DCA">
        <w:t>Framework</w:t>
      </w:r>
      <w:r w:rsidR="00747DCA" w:rsidRPr="009C1A48">
        <w:t xml:space="preserve"> </w:t>
      </w:r>
      <w:r w:rsidR="00747DCA">
        <w:t>could</w:t>
      </w:r>
      <w:r w:rsidR="00747DCA" w:rsidRPr="009C1A48">
        <w:t> </w:t>
      </w:r>
      <w:r w:rsidRPr="009C1A48">
        <w:t xml:space="preserve">generate multiple benefits </w:t>
      </w:r>
      <w:r w:rsidR="00747DCA">
        <w:t>for</w:t>
      </w:r>
      <w:r w:rsidR="00747DCA" w:rsidRPr="009C1A48">
        <w:t> </w:t>
      </w:r>
      <w:r w:rsidRPr="009C1A48">
        <w:t xml:space="preserve">the environment </w:t>
      </w:r>
      <w:r w:rsidR="00747DCA">
        <w:t xml:space="preserve">and </w:t>
      </w:r>
      <w:r w:rsidRPr="009C1A48">
        <w:t>society at large.</w:t>
      </w:r>
    </w:p>
    <w:p w14:paraId="77616DBE" w14:textId="06A16D9A" w:rsidR="00B1215E" w:rsidRPr="009C1A48" w:rsidRDefault="00B1215E" w:rsidP="00325A54">
      <w:pPr>
        <w:pStyle w:val="Normalnumber"/>
        <w:tabs>
          <w:tab w:val="clear" w:pos="1247"/>
          <w:tab w:val="clear" w:pos="1814"/>
          <w:tab w:val="clear" w:pos="2381"/>
          <w:tab w:val="clear" w:pos="2948"/>
          <w:tab w:val="clear" w:pos="3515"/>
          <w:tab w:val="left" w:pos="624"/>
        </w:tabs>
        <w:ind w:left="1247"/>
      </w:pPr>
      <w:r w:rsidRPr="009C1A48">
        <w:t>Furthermore, the secretariat developed new resources to support national</w:t>
      </w:r>
      <w:r w:rsidR="00BE15BF">
        <w:t>-</w:t>
      </w:r>
      <w:r w:rsidRPr="009C1A48">
        <w:t>level wor</w:t>
      </w:r>
      <w:r w:rsidRPr="009C1A48">
        <w:rPr>
          <w:rFonts w:asciiTheme="majorBidi" w:hAnsiTheme="majorBidi" w:cstheme="majorBidi"/>
          <w:shd w:val="clear" w:color="auto" w:fill="FFFFFF"/>
        </w:rPr>
        <w:t>k to improve coherence across the chemical and biodiversity agendas</w:t>
      </w:r>
      <w:r w:rsidRPr="009C1A48">
        <w:t xml:space="preserve">. </w:t>
      </w:r>
      <w:r w:rsidR="00BE15BF">
        <w:t>With the</w:t>
      </w:r>
      <w:r w:rsidRPr="009C1A48">
        <w:t xml:space="preserve"> financial support of the </w:t>
      </w:r>
      <w:r w:rsidR="00BE15BF">
        <w:t xml:space="preserve">Kingdom of the </w:t>
      </w:r>
      <w:r w:rsidRPr="009C1A48">
        <w:t>Netherlands, the secretariat developed a technical document on incorporating mercury targets and actions in</w:t>
      </w:r>
      <w:r w:rsidR="00BE15BF">
        <w:t>to</w:t>
      </w:r>
      <w:r w:rsidRPr="009C1A48">
        <w:t xml:space="preserve"> </w:t>
      </w:r>
      <w:r w:rsidR="00BE15BF">
        <w:t>national b</w:t>
      </w:r>
      <w:r w:rsidRPr="009C1A48">
        <w:t xml:space="preserve">iodiversity </w:t>
      </w:r>
      <w:r w:rsidR="00BE15BF">
        <w:t>s</w:t>
      </w:r>
      <w:r w:rsidRPr="009C1A48">
        <w:t xml:space="preserve">trategies and </w:t>
      </w:r>
      <w:r w:rsidR="00BE15BF">
        <w:t>a</w:t>
      </w:r>
      <w:r w:rsidRPr="009C1A48">
        <w:t xml:space="preserve">ction </w:t>
      </w:r>
      <w:r w:rsidR="00BE15BF">
        <w:t>p</w:t>
      </w:r>
      <w:r w:rsidRPr="009C1A48">
        <w:t xml:space="preserve">lans </w:t>
      </w:r>
      <w:r w:rsidR="00B96B84" w:rsidRPr="009C1A48">
        <w:t xml:space="preserve">(NBSAPs) </w:t>
      </w:r>
      <w:r w:rsidR="00BE15BF">
        <w:t>as they</w:t>
      </w:r>
      <w:r w:rsidR="00BE15BF" w:rsidRPr="009C1A48">
        <w:t xml:space="preserve"> </w:t>
      </w:r>
      <w:r w:rsidRPr="009C1A48">
        <w:t xml:space="preserve">are being revised or updated to align with </w:t>
      </w:r>
      <w:r w:rsidR="00B25D23">
        <w:t xml:space="preserve">the </w:t>
      </w:r>
      <w:r w:rsidR="00BE15BF">
        <w:t>Kunming-Montreal Global Biodiversity Framework</w:t>
      </w:r>
      <w:r w:rsidRPr="009C1A48">
        <w:t xml:space="preserve">. The document was developed in partnership with </w:t>
      </w:r>
      <w:r w:rsidR="00BE15BF">
        <w:t>T</w:t>
      </w:r>
      <w:r w:rsidRPr="009C1A48">
        <w:t xml:space="preserve">he Nature Conservancy and is available in document UNEP/MC/COP.6/INF/27. Further, utilizing the report prepared for </w:t>
      </w:r>
      <w:r w:rsidR="000356CD">
        <w:rPr>
          <w:shd w:val="clear" w:color="auto" w:fill="FFFFFF"/>
        </w:rPr>
        <w:t xml:space="preserve">the </w:t>
      </w:r>
      <w:r w:rsidR="000356CD" w:rsidRPr="00EB406B">
        <w:rPr>
          <w:shd w:val="clear" w:color="auto" w:fill="FFFFFF"/>
        </w:rPr>
        <w:t>fifth meeting of the Conference of the Parties</w:t>
      </w:r>
      <w:r w:rsidRPr="00EB406B">
        <w:t xml:space="preserve">, the secretariat prepared a publication entitled </w:t>
      </w:r>
      <w:r w:rsidR="002E608F" w:rsidRPr="002E608F">
        <w:rPr>
          <w:i/>
          <w:iCs/>
        </w:rPr>
        <w:t>Mercury and Biodiversity – Opportunities for Generating Co-Benefits through Coherent Implementation of the Minamata Convention on Mercury and the Kunming-Montreal Global Biodiversity Framework</w:t>
      </w:r>
      <w:r w:rsidRPr="009C1A48">
        <w:t xml:space="preserve"> and made it available on the Convention website</w:t>
      </w:r>
      <w:r w:rsidR="004304A2">
        <w:t>.</w:t>
      </w:r>
      <w:r w:rsidR="007E6693">
        <w:rPr>
          <w:rStyle w:val="FootnoteReference"/>
        </w:rPr>
        <w:footnoteReference w:id="6"/>
      </w:r>
      <w:r w:rsidRPr="009C1A48">
        <w:t xml:space="preserve"> </w:t>
      </w:r>
    </w:p>
    <w:p w14:paraId="6FBC081C" w14:textId="2F3C4B24" w:rsidR="00B1215E" w:rsidRPr="009C1A48" w:rsidRDefault="00FB057E" w:rsidP="00325A54">
      <w:pPr>
        <w:pStyle w:val="Normalnumber"/>
        <w:tabs>
          <w:tab w:val="clear" w:pos="1247"/>
          <w:tab w:val="clear" w:pos="1814"/>
          <w:tab w:val="clear" w:pos="2381"/>
          <w:tab w:val="clear" w:pos="2948"/>
          <w:tab w:val="clear" w:pos="3515"/>
          <w:tab w:val="left" w:pos="624"/>
        </w:tabs>
        <w:ind w:left="1247"/>
      </w:pPr>
      <w:r>
        <w:t>In addition</w:t>
      </w:r>
      <w:r w:rsidR="00B1215E" w:rsidRPr="009C1A48">
        <w:t>, the secretariat</w:t>
      </w:r>
      <w:r w:rsidR="00BD42A1">
        <w:t>,</w:t>
      </w:r>
      <w:r w:rsidR="00B1215E" w:rsidRPr="009C1A48">
        <w:t xml:space="preserve"> together with the secretariat </w:t>
      </w:r>
      <w:r>
        <w:t xml:space="preserve">of the Basel, Rotterdam and Stockholm conventions </w:t>
      </w:r>
      <w:r w:rsidR="00B1215E" w:rsidRPr="009C1A48">
        <w:t xml:space="preserve">and the secretariat </w:t>
      </w:r>
      <w:r w:rsidR="009E677E">
        <w:t>of the Convention on Biological Diversity</w:t>
      </w:r>
      <w:r>
        <w:t>,</w:t>
      </w:r>
      <w:r w:rsidR="009E677E">
        <w:t xml:space="preserve"> </w:t>
      </w:r>
      <w:r w:rsidR="00BD42A1">
        <w:t xml:space="preserve">co-organized </w:t>
      </w:r>
      <w:r w:rsidR="00BD42A1" w:rsidRPr="009C1A48">
        <w:t xml:space="preserve">a series of information sessions, </w:t>
      </w:r>
      <w:r w:rsidR="00BD42A1">
        <w:t xml:space="preserve">with two held </w:t>
      </w:r>
      <w:r w:rsidR="00BD42A1" w:rsidRPr="00FB057E">
        <w:t xml:space="preserve">on 18 April </w:t>
      </w:r>
      <w:r w:rsidR="00BD42A1">
        <w:t xml:space="preserve">and </w:t>
      </w:r>
      <w:r w:rsidR="00BD42A1" w:rsidRPr="00FB057E">
        <w:t xml:space="preserve">12 September </w:t>
      </w:r>
      <w:r w:rsidR="00BD42A1" w:rsidRPr="009C1A48">
        <w:t xml:space="preserve">2024 and </w:t>
      </w:r>
      <w:r w:rsidR="00BD42A1">
        <w:t>another</w:t>
      </w:r>
      <w:r w:rsidR="00BD42A1" w:rsidRPr="009C1A48">
        <w:t xml:space="preserve"> planned prior to</w:t>
      </w:r>
      <w:r w:rsidR="00BD42A1">
        <w:t xml:space="preserve"> the sixth meeting of the Conference of the Parties</w:t>
      </w:r>
      <w:r w:rsidR="00BD42A1" w:rsidRPr="009C1A48">
        <w:t xml:space="preserve">, </w:t>
      </w:r>
      <w:r w:rsidR="00B1215E" w:rsidRPr="009C1A48">
        <w:t xml:space="preserve">with a view to facilitating an exchange among </w:t>
      </w:r>
      <w:r w:rsidR="009E677E">
        <w:t>n</w:t>
      </w:r>
      <w:r w:rsidR="00B1215E" w:rsidRPr="009C1A48">
        <w:t xml:space="preserve">ational </w:t>
      </w:r>
      <w:r w:rsidR="009E677E">
        <w:t>f</w:t>
      </w:r>
      <w:r w:rsidR="00B1215E" w:rsidRPr="009C1A48">
        <w:t xml:space="preserve">ocal </w:t>
      </w:r>
      <w:r w:rsidR="009E677E">
        <w:t>p</w:t>
      </w:r>
      <w:r w:rsidR="00B1215E" w:rsidRPr="009C1A48">
        <w:t xml:space="preserve">oints to the biodiversity and chemicals and waste </w:t>
      </w:r>
      <w:r>
        <w:t>multilateral environmental agreement</w:t>
      </w:r>
      <w:r w:rsidR="00B1215E" w:rsidRPr="009C1A48">
        <w:t xml:space="preserve"> clusters. </w:t>
      </w:r>
      <w:r w:rsidR="00BD42A1">
        <w:t xml:space="preserve">The secretariat of the </w:t>
      </w:r>
      <w:r w:rsidR="00BD42A1" w:rsidRPr="009C1A48">
        <w:t>Intergovernmental Platform on Biodiversity and Ecosystem Services (IPBES)</w:t>
      </w:r>
      <w:r w:rsidR="00BD42A1">
        <w:t xml:space="preserve"> also organized a</w:t>
      </w:r>
      <w:r w:rsidR="00B1215E" w:rsidRPr="009C1A48">
        <w:t xml:space="preserve"> webinar on the Minamata Convention for the </w:t>
      </w:r>
      <w:r w:rsidR="00BD42A1">
        <w:t xml:space="preserve">IPBES </w:t>
      </w:r>
      <w:r w:rsidR="00B1215E" w:rsidRPr="009C1A48">
        <w:t>Multidisciplinary Expert Panel</w:t>
      </w:r>
      <w:r>
        <w:t>,</w:t>
      </w:r>
      <w:r w:rsidR="00BD42A1">
        <w:rPr>
          <w:rStyle w:val="FootnoteReference"/>
        </w:rPr>
        <w:footnoteReference w:id="7"/>
      </w:r>
      <w:r w:rsidR="00B1215E" w:rsidRPr="009C1A48">
        <w:t xml:space="preserve"> </w:t>
      </w:r>
      <w:r w:rsidR="00BD42A1">
        <w:t xml:space="preserve">which </w:t>
      </w:r>
      <w:r w:rsidR="00B1215E" w:rsidRPr="009C1A48">
        <w:t xml:space="preserve">was held on 4 October 2024. </w:t>
      </w:r>
    </w:p>
    <w:p w14:paraId="1B8FFE34" w14:textId="1B0A5C75" w:rsidR="00B1215E" w:rsidRPr="008973D6" w:rsidRDefault="00B1215E" w:rsidP="00325A54">
      <w:pPr>
        <w:pStyle w:val="Normalnumber"/>
        <w:tabs>
          <w:tab w:val="clear" w:pos="1247"/>
          <w:tab w:val="clear" w:pos="1814"/>
          <w:tab w:val="clear" w:pos="2381"/>
          <w:tab w:val="clear" w:pos="2948"/>
          <w:tab w:val="clear" w:pos="3515"/>
          <w:tab w:val="left" w:pos="624"/>
        </w:tabs>
        <w:ind w:left="1247"/>
      </w:pPr>
      <w:r w:rsidRPr="009C1A48">
        <w:t xml:space="preserve">The secretariat represented the Minamata Convention at the Bern III Conference on cooperation among the biodiversity-related conventions for the implementation of the </w:t>
      </w:r>
      <w:r w:rsidR="00F22DC4">
        <w:t>Kunming</w:t>
      </w:r>
      <w:r w:rsidR="00F22DC4">
        <w:noBreakHyphen/>
      </w:r>
      <w:r w:rsidRPr="009C1A48">
        <w:t xml:space="preserve">Montreal Global Biodiversity Framework, which took place from 23 to 25 January 2024 in Bern. The </w:t>
      </w:r>
      <w:r w:rsidR="00F466DD">
        <w:t>c</w:t>
      </w:r>
      <w:r w:rsidRPr="009C1A48">
        <w:t xml:space="preserve">onference was organized by the </w:t>
      </w:r>
      <w:r w:rsidR="00F466DD" w:rsidRPr="008973D6">
        <w:t>G</w:t>
      </w:r>
      <w:r w:rsidRPr="008973D6">
        <w:t xml:space="preserve">overnment of Switzerland and </w:t>
      </w:r>
      <w:r w:rsidR="00F466DD" w:rsidRPr="008973D6">
        <w:t>the United Nations Environment Programme (</w:t>
      </w:r>
      <w:r w:rsidRPr="008973D6">
        <w:t>UNEP</w:t>
      </w:r>
      <w:r w:rsidR="00F466DD" w:rsidRPr="008973D6">
        <w:t>)</w:t>
      </w:r>
      <w:r w:rsidR="00BD42A1" w:rsidRPr="008973D6">
        <w:t>,</w:t>
      </w:r>
      <w:r w:rsidR="00F466DD" w:rsidRPr="008973D6">
        <w:t xml:space="preserve"> and r</w:t>
      </w:r>
      <w:r w:rsidRPr="008973D6">
        <w:t>epresentatives of several parties to the Minamata Convention were invited to attend. The secretariat also participated in</w:t>
      </w:r>
      <w:r w:rsidR="00BD42A1" w:rsidRPr="008973D6">
        <w:t xml:space="preserve"> the</w:t>
      </w:r>
      <w:r w:rsidRPr="008973D6">
        <w:t xml:space="preserve"> </w:t>
      </w:r>
      <w:proofErr w:type="spellStart"/>
      <w:r w:rsidRPr="008973D6">
        <w:t>Bogis</w:t>
      </w:r>
      <w:proofErr w:type="spellEnd"/>
      <w:r w:rsidRPr="008973D6">
        <w:t xml:space="preserve">-Bossey </w:t>
      </w:r>
      <w:r w:rsidR="00271604" w:rsidRPr="008973D6">
        <w:t>e</w:t>
      </w:r>
      <w:r w:rsidRPr="008973D6">
        <w:t xml:space="preserve">xpert </w:t>
      </w:r>
      <w:r w:rsidR="00271604" w:rsidRPr="008973D6">
        <w:t xml:space="preserve">workshop </w:t>
      </w:r>
      <w:r w:rsidRPr="008973D6">
        <w:t xml:space="preserve">on the Bern </w:t>
      </w:r>
      <w:r w:rsidR="00271604" w:rsidRPr="008973D6">
        <w:t>p</w:t>
      </w:r>
      <w:r w:rsidRPr="008973D6">
        <w:t xml:space="preserve">rocess and the contribution of </w:t>
      </w:r>
      <w:r w:rsidR="00271604" w:rsidRPr="008973D6">
        <w:t>multilateral environmental agreements</w:t>
      </w:r>
      <w:r w:rsidRPr="008973D6">
        <w:t xml:space="preserve"> to the implementation of the </w:t>
      </w:r>
      <w:r w:rsidR="00271604" w:rsidRPr="008973D6">
        <w:t>Kunming</w:t>
      </w:r>
      <w:r w:rsidR="00271604" w:rsidRPr="008973D6">
        <w:noBreakHyphen/>
        <w:t>Montreal Global Biodiversity Framework</w:t>
      </w:r>
      <w:r w:rsidRPr="008973D6">
        <w:t xml:space="preserve">, held in </w:t>
      </w:r>
      <w:proofErr w:type="spellStart"/>
      <w:r w:rsidRPr="008973D6">
        <w:t>Bogis</w:t>
      </w:r>
      <w:proofErr w:type="spellEnd"/>
      <w:r w:rsidRPr="008973D6">
        <w:t>-Bossey, Switzerland</w:t>
      </w:r>
      <w:r w:rsidR="00271604" w:rsidRPr="008973D6">
        <w:t>,</w:t>
      </w:r>
      <w:r w:rsidRPr="008973D6">
        <w:t xml:space="preserve"> on 27</w:t>
      </w:r>
      <w:r w:rsidR="00271604" w:rsidRPr="008973D6">
        <w:t xml:space="preserve"> and </w:t>
      </w:r>
      <w:r w:rsidRPr="008973D6">
        <w:t>28 August 2025.</w:t>
      </w:r>
    </w:p>
    <w:p w14:paraId="7E17D73F" w14:textId="2C1ABD12" w:rsidR="00B1215E" w:rsidRPr="009C1A48" w:rsidRDefault="00B1215E" w:rsidP="00325A54">
      <w:pPr>
        <w:pStyle w:val="Normalnumber"/>
        <w:tabs>
          <w:tab w:val="clear" w:pos="1247"/>
          <w:tab w:val="clear" w:pos="1814"/>
          <w:tab w:val="clear" w:pos="2381"/>
          <w:tab w:val="clear" w:pos="2948"/>
          <w:tab w:val="clear" w:pos="3515"/>
          <w:tab w:val="left" w:pos="624"/>
        </w:tabs>
        <w:ind w:left="1247"/>
      </w:pPr>
      <w:r w:rsidRPr="008973D6">
        <w:lastRenderedPageBreak/>
        <w:t xml:space="preserve">The secretariat cooperated with </w:t>
      </w:r>
      <w:r w:rsidR="00DC7BA3" w:rsidRPr="008973D6">
        <w:t>f</w:t>
      </w:r>
      <w:r w:rsidRPr="008973D6">
        <w:t xml:space="preserve">ocal </w:t>
      </w:r>
      <w:r w:rsidR="00DC7BA3" w:rsidRPr="008973D6">
        <w:t>p</w:t>
      </w:r>
      <w:r w:rsidRPr="008973D6">
        <w:t xml:space="preserve">oints </w:t>
      </w:r>
      <w:r w:rsidR="00DC7BA3" w:rsidRPr="008973D6">
        <w:t>of the Global Environment Facility (GEF), the</w:t>
      </w:r>
      <w:r w:rsidRPr="008973D6">
        <w:t xml:space="preserve"> Minamata Convention and other </w:t>
      </w:r>
      <w:r w:rsidR="00DC7BA3" w:rsidRPr="008973D6">
        <w:t>multilateral environmental agreements</w:t>
      </w:r>
      <w:r w:rsidRPr="008973D6">
        <w:t xml:space="preserve"> to support project development across focal areas and integrated programmes and promoted integration at the </w:t>
      </w:r>
      <w:r w:rsidR="00DC7BA3" w:rsidRPr="008973D6">
        <w:t xml:space="preserve">GEF </w:t>
      </w:r>
      <w:r w:rsidRPr="008973D6">
        <w:t>Technical Advisory Group</w:t>
      </w:r>
      <w:r w:rsidR="00DC7BA3" w:rsidRPr="008973D6">
        <w:t xml:space="preserve"> meetings</w:t>
      </w:r>
      <w:r w:rsidRPr="008973D6">
        <w:t xml:space="preserve">, GEF </w:t>
      </w:r>
      <w:r w:rsidR="00DC7BA3" w:rsidRPr="008973D6">
        <w:t>C</w:t>
      </w:r>
      <w:r w:rsidRPr="008973D6">
        <w:t>ouncil meeting</w:t>
      </w:r>
      <w:r w:rsidR="00BD42A1" w:rsidRPr="008973D6">
        <w:t>s</w:t>
      </w:r>
      <w:r w:rsidRPr="008973D6">
        <w:t xml:space="preserve"> and GEF </w:t>
      </w:r>
      <w:r w:rsidR="00DC7BA3" w:rsidRPr="008973D6">
        <w:t>t</w:t>
      </w:r>
      <w:r w:rsidRPr="008973D6">
        <w:t xml:space="preserve">rust </w:t>
      </w:r>
      <w:r w:rsidR="00DC7BA3" w:rsidRPr="008973D6">
        <w:t>f</w:t>
      </w:r>
      <w:r w:rsidRPr="008973D6">
        <w:t xml:space="preserve">und replenishment meetings. More information on </w:t>
      </w:r>
      <w:r w:rsidR="00371EB7" w:rsidRPr="008973D6">
        <w:t xml:space="preserve">GEF-related </w:t>
      </w:r>
      <w:r w:rsidRPr="008973D6">
        <w:t xml:space="preserve">matters </w:t>
      </w:r>
      <w:r w:rsidRPr="009C1A48">
        <w:t>can be found in document UNEP/MC/COP.6/10.</w:t>
      </w:r>
    </w:p>
    <w:p w14:paraId="73A97B3A" w14:textId="18D41E4E" w:rsidR="00B1215E" w:rsidRDefault="00B1215E" w:rsidP="00D44EE1">
      <w:pPr>
        <w:pStyle w:val="CH1"/>
      </w:pPr>
      <w:r w:rsidRPr="009C1A48">
        <w:tab/>
        <w:t>III.</w:t>
      </w:r>
      <w:r w:rsidRPr="009C1A48">
        <w:tab/>
        <w:t>Draft road</w:t>
      </w:r>
      <w:r w:rsidR="009B0CC6">
        <w:t xml:space="preserve"> </w:t>
      </w:r>
      <w:r w:rsidRPr="009C1A48">
        <w:t xml:space="preserve">map </w:t>
      </w:r>
      <w:r w:rsidR="00706C3E">
        <w:t xml:space="preserve">for enhancing </w:t>
      </w:r>
      <w:r w:rsidRPr="009C1A48">
        <w:t xml:space="preserve">co-benefits from implementation of the Minamata Convention and the Kunming-Montreal Global Biodiversity Framework </w:t>
      </w:r>
    </w:p>
    <w:p w14:paraId="64076C3F" w14:textId="0FCBDEA0" w:rsidR="00230F4C" w:rsidRPr="009C1A48" w:rsidRDefault="00230F4C" w:rsidP="00230F4C">
      <w:pPr>
        <w:pStyle w:val="CH2"/>
      </w:pPr>
      <w:r w:rsidRPr="00D77FED">
        <w:tab/>
      </w:r>
      <w:r w:rsidR="0032551A" w:rsidRPr="00D77FED">
        <w:t>A.</w:t>
      </w:r>
      <w:r w:rsidR="0032551A" w:rsidRPr="00D77FED">
        <w:tab/>
      </w:r>
      <w:r w:rsidRPr="00D77FED">
        <w:t>Background information on the contribution of the Minamata Convention to the monitoring framework of the Kunming-Montreal Global Biodiversity Framework</w:t>
      </w:r>
    </w:p>
    <w:p w14:paraId="0BD0A96C" w14:textId="1C9B43BF" w:rsidR="00230F4C" w:rsidRPr="00230F4C" w:rsidRDefault="00230F4C" w:rsidP="00230F4C">
      <w:pPr>
        <w:pStyle w:val="Normalnumber"/>
        <w:tabs>
          <w:tab w:val="clear" w:pos="1247"/>
          <w:tab w:val="clear" w:pos="1814"/>
          <w:tab w:val="clear" w:pos="2381"/>
          <w:tab w:val="clear" w:pos="2948"/>
          <w:tab w:val="clear" w:pos="3515"/>
          <w:tab w:val="left" w:pos="624"/>
        </w:tabs>
        <w:ind w:left="1247"/>
      </w:pPr>
      <w:r w:rsidRPr="00230F4C">
        <w:t>In its decision MC-5/17, the Conference of the Parties to the Minamata Convention noted the absence in the monitoring framework for the Kunming</w:t>
      </w:r>
      <w:r w:rsidRPr="00230F4C">
        <w:noBreakHyphen/>
        <w:t xml:space="preserve">Montreal Global Biodiversity Framework of indicators regarding the overall risk from highly hazardous chemicals, and it invited the Conference of the Parties to the Convention on Biological Diversity to consider additional indicators, under </w:t>
      </w:r>
      <w:r w:rsidR="008E614A">
        <w:t>t</w:t>
      </w:r>
      <w:r w:rsidRPr="00230F4C">
        <w:t>arget 7, to cover highly hazardous chemicals and mercury.</w:t>
      </w:r>
    </w:p>
    <w:p w14:paraId="5F00435D" w14:textId="77777777" w:rsidR="00230F4C" w:rsidRPr="00230F4C" w:rsidRDefault="00230F4C" w:rsidP="00230F4C">
      <w:pPr>
        <w:pStyle w:val="Normalnumber"/>
        <w:tabs>
          <w:tab w:val="clear" w:pos="1247"/>
          <w:tab w:val="clear" w:pos="1814"/>
          <w:tab w:val="clear" w:pos="2381"/>
          <w:tab w:val="clear" w:pos="2948"/>
          <w:tab w:val="clear" w:pos="3515"/>
          <w:tab w:val="left" w:pos="624"/>
        </w:tabs>
        <w:ind w:left="1247"/>
      </w:pPr>
      <w:r w:rsidRPr="00230F4C">
        <w:t xml:space="preserve">Furthermore, the Conference of the Parties, in its decision MC-5/14, adopted indicators to support the evaluation of the effectiveness of the Minamata Convention, including indicator 1, levels and trends of mercury and mercury compounds in the environment and in humans due to anthropogenic emissions and releases, and indicator 29, mercury levels in vulnerable human populations. </w:t>
      </w:r>
    </w:p>
    <w:p w14:paraId="28252A4B" w14:textId="3FF859BA" w:rsidR="00230F4C" w:rsidRPr="00230F4C" w:rsidRDefault="00230F4C" w:rsidP="00230F4C">
      <w:pPr>
        <w:pStyle w:val="Normalnumber"/>
        <w:tabs>
          <w:tab w:val="clear" w:pos="1247"/>
          <w:tab w:val="clear" w:pos="1814"/>
          <w:tab w:val="clear" w:pos="2381"/>
          <w:tab w:val="clear" w:pos="2948"/>
          <w:tab w:val="clear" w:pos="3515"/>
          <w:tab w:val="left" w:pos="624"/>
        </w:tabs>
        <w:ind w:left="1247"/>
      </w:pPr>
      <w:r w:rsidRPr="00230F4C">
        <w:t xml:space="preserve">The Open-ended Scientific Group established in decision MC-4/11 is responsible for analysing indicators 1 and 29 and developing a scientific report synthesizing the available data on mercury monitoring, emissions and releases, to address scientific questions regarding the levels of mercury in the environment and humans, its temporal trends and spatial patterns, its adverse impact and </w:t>
      </w:r>
      <w:r w:rsidR="00F16ABA">
        <w:t>cause</w:t>
      </w:r>
      <w:r w:rsidR="00F16ABA">
        <w:noBreakHyphen/>
      </w:r>
      <w:r w:rsidRPr="00230F4C">
        <w:t xml:space="preserve">effect relationships. The Conference of the Parties is to consider the scientific report when it evaluates the effectiveness of the Convention for the first time at its seventh meeting, and also when it evaluates the effectiveness of the Convention </w:t>
      </w:r>
      <w:proofErr w:type="gramStart"/>
      <w:r w:rsidRPr="00230F4C">
        <w:t>periodically</w:t>
      </w:r>
      <w:proofErr w:type="gramEnd"/>
      <w:r w:rsidRPr="00230F4C">
        <w:t xml:space="preserve"> thereafter, considering available monitoring data.  </w:t>
      </w:r>
    </w:p>
    <w:p w14:paraId="34D43B1D" w14:textId="0B82ACB7" w:rsidR="00230F4C" w:rsidRPr="00230F4C" w:rsidRDefault="00230F4C" w:rsidP="00230F4C">
      <w:pPr>
        <w:pStyle w:val="Normalnumber"/>
        <w:tabs>
          <w:tab w:val="clear" w:pos="1247"/>
          <w:tab w:val="clear" w:pos="1814"/>
          <w:tab w:val="clear" w:pos="2381"/>
          <w:tab w:val="clear" w:pos="2948"/>
          <w:tab w:val="clear" w:pos="3515"/>
          <w:tab w:val="left" w:pos="624"/>
        </w:tabs>
        <w:ind w:left="1247"/>
      </w:pPr>
      <w:r w:rsidRPr="00230F4C">
        <w:t xml:space="preserve">Effectiveness evaluation indicators 1 and 29 could also serve as additional indicators under </w:t>
      </w:r>
      <w:r w:rsidR="008E614A">
        <w:t>t</w:t>
      </w:r>
      <w:r w:rsidRPr="00230F4C">
        <w:t xml:space="preserve">arget 7 of the Kunming-Montreal Global Biodiversity Framework. </w:t>
      </w:r>
    </w:p>
    <w:p w14:paraId="4CECA665" w14:textId="77777777" w:rsidR="00230F4C" w:rsidRPr="00230F4C" w:rsidRDefault="00230F4C" w:rsidP="00230F4C">
      <w:pPr>
        <w:pStyle w:val="Normalnumber"/>
        <w:tabs>
          <w:tab w:val="clear" w:pos="1247"/>
          <w:tab w:val="clear" w:pos="1814"/>
          <w:tab w:val="clear" w:pos="2381"/>
          <w:tab w:val="clear" w:pos="2948"/>
          <w:tab w:val="clear" w:pos="3515"/>
          <w:tab w:val="left" w:pos="624"/>
        </w:tabs>
        <w:ind w:left="1247"/>
      </w:pPr>
      <w:r w:rsidRPr="00230F4C">
        <w:t xml:space="preserve">At its sixteenth meeting, the Conference of the Parties to the Convention on Biological Diversity established a process for considering additional indicators by requesting the Executive Secretary to compile submissions from secretariats of multilateral environmental agreements, among others, for the inclusion of additional headline, component and complementary indicators that meet the criteria for inclusion in the monitoring framework, in order to help address the gaps in the monitoring framework. </w:t>
      </w:r>
    </w:p>
    <w:p w14:paraId="2DB848E2" w14:textId="3B6A9FFB" w:rsidR="00230F4C" w:rsidRPr="00230F4C" w:rsidRDefault="00230F4C" w:rsidP="00230F4C">
      <w:pPr>
        <w:pStyle w:val="Normalnumber"/>
        <w:tabs>
          <w:tab w:val="clear" w:pos="1247"/>
          <w:tab w:val="clear" w:pos="1814"/>
          <w:tab w:val="clear" w:pos="2381"/>
          <w:tab w:val="clear" w:pos="2948"/>
          <w:tab w:val="clear" w:pos="3515"/>
          <w:tab w:val="left" w:pos="624"/>
        </w:tabs>
        <w:ind w:left="1247"/>
      </w:pPr>
      <w:r w:rsidRPr="00230F4C">
        <w:t>In response to the call for information issued by the Executive Secretary of the Convention on Biological Diversity on 3 April 2025,</w:t>
      </w:r>
      <w:r w:rsidR="00D77FED">
        <w:rPr>
          <w:rStyle w:val="FootnoteReference"/>
        </w:rPr>
        <w:footnoteReference w:id="8"/>
      </w:r>
      <w:r w:rsidRPr="00230F4C">
        <w:t xml:space="preserve"> the secretariat submitted information identifying a gap in the current indicators on pollution by highly hazardous chemicals and proposing the inclusion of “levels and trends of mercury and mercury compounds in the environment and in humans due to anthropogenic emissions and releases” as an additional indicator. </w:t>
      </w:r>
    </w:p>
    <w:p w14:paraId="11D0D7ED" w14:textId="10B69C91" w:rsidR="00230F4C" w:rsidRPr="009C1A48" w:rsidRDefault="00230F4C" w:rsidP="00230F4C">
      <w:pPr>
        <w:pStyle w:val="Normalnumber"/>
        <w:tabs>
          <w:tab w:val="clear" w:pos="1247"/>
          <w:tab w:val="clear" w:pos="1814"/>
          <w:tab w:val="clear" w:pos="2381"/>
          <w:tab w:val="clear" w:pos="2948"/>
          <w:tab w:val="clear" w:pos="3515"/>
          <w:tab w:val="left" w:pos="624"/>
        </w:tabs>
        <w:ind w:left="1247"/>
        <w:rPr>
          <w:sz w:val="18"/>
          <w:szCs w:val="18"/>
          <w:shd w:val="clear" w:color="auto" w:fill="FFFFFF"/>
        </w:rPr>
      </w:pPr>
      <w:r w:rsidRPr="00230F4C">
        <w:t>The</w:t>
      </w:r>
      <w:r w:rsidRPr="00230F4C" w:rsidDel="001C36BD">
        <w:t xml:space="preserve"> </w:t>
      </w:r>
      <w:r w:rsidRPr="00230F4C">
        <w:t>secretariat also provided input in response to another call for information, related to biodiversity and health.</w:t>
      </w:r>
      <w:r w:rsidR="00D77FED">
        <w:rPr>
          <w:rStyle w:val="FootnoteReference"/>
        </w:rPr>
        <w:footnoteReference w:id="9"/>
      </w:r>
      <w:r w:rsidRPr="00230F4C">
        <w:t xml:space="preserve"> On 7 February 2025, the Executive Secretary of the Convention on Biological Diversity issued an invitation to submit information for the development of indicators, metrics and progress measurement tools on biodiversity and health, including examples of indicators on biodiversity and health, data sources and efforts by other organizations and initiatives. The</w:t>
      </w:r>
      <w:r w:rsidRPr="00230F4C" w:rsidDel="001C36BD">
        <w:t xml:space="preserve"> </w:t>
      </w:r>
      <w:r w:rsidRPr="00230F4C">
        <w:t xml:space="preserve">secretariat </w:t>
      </w:r>
      <w:r w:rsidRPr="00230F4C">
        <w:lastRenderedPageBreak/>
        <w:t>submitted information on the work of the Open-ended Scientific Group, including the comparison of the observed level of mercury in the environment and humans with established</w:t>
      </w:r>
      <w:r w:rsidRPr="009C1A48">
        <w:rPr>
          <w:sz w:val="18"/>
          <w:szCs w:val="18"/>
          <w:shd w:val="clear" w:color="auto" w:fill="FFFFFF"/>
        </w:rPr>
        <w:t xml:space="preserve"> national and international benchmark levels on human health and the environment. </w:t>
      </w:r>
    </w:p>
    <w:p w14:paraId="47E95D46" w14:textId="422ACC3D" w:rsidR="00B1215E" w:rsidRPr="009C1A48" w:rsidRDefault="00D44EE1" w:rsidP="000A04D8">
      <w:pPr>
        <w:pStyle w:val="CH2"/>
      </w:pPr>
      <w:r w:rsidRPr="009C1A48">
        <w:tab/>
      </w:r>
      <w:r w:rsidR="003E7D0B">
        <w:t>B</w:t>
      </w:r>
      <w:r w:rsidR="000A04D8" w:rsidRPr="009C1A48">
        <w:t>.</w:t>
      </w:r>
      <w:r w:rsidRPr="009C1A48">
        <w:tab/>
      </w:r>
      <w:r w:rsidR="00B1215E" w:rsidRPr="009C1A48">
        <w:t xml:space="preserve">Timeline for the 2030 </w:t>
      </w:r>
      <w:r w:rsidR="00B1215E" w:rsidRPr="0066456D">
        <w:t xml:space="preserve">targets of </w:t>
      </w:r>
      <w:r w:rsidR="002166A4" w:rsidRPr="0066456D">
        <w:t>the Kunming-Montreal Global Biodiversity Framework</w:t>
      </w:r>
    </w:p>
    <w:p w14:paraId="5EAC3459" w14:textId="7DA964B1" w:rsidR="00B1215E" w:rsidRPr="009C1A48" w:rsidRDefault="00B1215E" w:rsidP="00325A54">
      <w:pPr>
        <w:pStyle w:val="Normalnumber"/>
        <w:tabs>
          <w:tab w:val="clear" w:pos="1247"/>
          <w:tab w:val="clear" w:pos="1814"/>
          <w:tab w:val="clear" w:pos="2381"/>
          <w:tab w:val="clear" w:pos="2948"/>
          <w:tab w:val="clear" w:pos="3515"/>
          <w:tab w:val="left" w:pos="624"/>
        </w:tabs>
        <w:ind w:left="1247"/>
      </w:pPr>
      <w:r w:rsidRPr="009C1A48">
        <w:t xml:space="preserve">NBSAPs are national strategies, plans or programmes developed by parties to the Convention on </w:t>
      </w:r>
      <w:r w:rsidRPr="00466A6A">
        <w:t xml:space="preserve">Biological Diversity </w:t>
      </w:r>
      <w:r w:rsidR="00B96B84" w:rsidRPr="00466A6A">
        <w:t xml:space="preserve">for the </w:t>
      </w:r>
      <w:r w:rsidRPr="00466A6A">
        <w:t>conserv</w:t>
      </w:r>
      <w:r w:rsidR="00B96B84" w:rsidRPr="00466A6A">
        <w:t>ation</w:t>
      </w:r>
      <w:r w:rsidRPr="00466A6A">
        <w:t xml:space="preserve"> and sustainabl</w:t>
      </w:r>
      <w:r w:rsidR="00B96B84" w:rsidRPr="00466A6A">
        <w:t>e</w:t>
      </w:r>
      <w:r w:rsidRPr="00466A6A">
        <w:t xml:space="preserve"> use </w:t>
      </w:r>
      <w:r w:rsidR="00B96B84" w:rsidRPr="00466A6A">
        <w:t xml:space="preserve">of </w:t>
      </w:r>
      <w:r w:rsidRPr="00466A6A">
        <w:t>biodiversity</w:t>
      </w:r>
      <w:r w:rsidRPr="00466A6A">
        <w:rPr>
          <w:rFonts w:asciiTheme="majorBidi" w:hAnsiTheme="majorBidi" w:cstheme="majorBidi"/>
        </w:rPr>
        <w:t xml:space="preserve">. Each party to the Convention, in accordance with its </w:t>
      </w:r>
      <w:proofErr w:type="gramStart"/>
      <w:r w:rsidRPr="00466A6A">
        <w:rPr>
          <w:rFonts w:asciiTheme="majorBidi" w:hAnsiTheme="majorBidi" w:cstheme="majorBidi"/>
        </w:rPr>
        <w:t>particular conditions</w:t>
      </w:r>
      <w:proofErr w:type="gramEnd"/>
      <w:r w:rsidRPr="00466A6A">
        <w:rPr>
          <w:rFonts w:asciiTheme="majorBidi" w:hAnsiTheme="majorBidi" w:cstheme="majorBidi"/>
        </w:rPr>
        <w:t xml:space="preserve"> and </w:t>
      </w:r>
      <w:r w:rsidRPr="00466A6A">
        <w:t>capabilities, is expected have an NBSAP. They are</w:t>
      </w:r>
      <w:r w:rsidRPr="009C1A48">
        <w:t xml:space="preserve"> the main tool </w:t>
      </w:r>
      <w:r w:rsidR="00B96B84">
        <w:t>for</w:t>
      </w:r>
      <w:r w:rsidRPr="009C1A48">
        <w:t xml:space="preserve"> implementing the Convention at </w:t>
      </w:r>
      <w:r w:rsidR="00B96B84">
        <w:t xml:space="preserve">the </w:t>
      </w:r>
      <w:r w:rsidRPr="009C1A48">
        <w:t xml:space="preserve">national level. </w:t>
      </w:r>
    </w:p>
    <w:p w14:paraId="0F612615" w14:textId="012F811F" w:rsidR="00B1215E" w:rsidRPr="009C1A48" w:rsidRDefault="009E677E" w:rsidP="00325A54">
      <w:pPr>
        <w:pStyle w:val="Normalnumber"/>
        <w:tabs>
          <w:tab w:val="clear" w:pos="1247"/>
          <w:tab w:val="clear" w:pos="1814"/>
          <w:tab w:val="clear" w:pos="2381"/>
          <w:tab w:val="clear" w:pos="2948"/>
          <w:tab w:val="clear" w:pos="3515"/>
          <w:tab w:val="left" w:pos="624"/>
        </w:tabs>
        <w:ind w:left="1247"/>
      </w:pPr>
      <w:r>
        <w:t>In</w:t>
      </w:r>
      <w:r w:rsidRPr="009C1A48">
        <w:t xml:space="preserve"> </w:t>
      </w:r>
      <w:r w:rsidR="00B1215E" w:rsidRPr="009C1A48">
        <w:t>decision 15/6</w:t>
      </w:r>
      <w:r>
        <w:t>, the Conference of the Parties to the Convention on Biological Diversity</w:t>
      </w:r>
      <w:r w:rsidR="00B1215E" w:rsidRPr="009C1A48">
        <w:t xml:space="preserve"> requested parties to revise and update their NBSAPs in accordance with </w:t>
      </w:r>
      <w:r w:rsidR="00B1215E" w:rsidRPr="00466A6A">
        <w:t xml:space="preserve">article 6 of the Convention, following the guidance provided in annex I to the decision, </w:t>
      </w:r>
      <w:r w:rsidR="00B96B84" w:rsidRPr="00466A6A">
        <w:t xml:space="preserve">to </w:t>
      </w:r>
      <w:r w:rsidR="00B1215E" w:rsidRPr="00466A6A">
        <w:t>align</w:t>
      </w:r>
      <w:r w:rsidR="00B76BAC" w:rsidRPr="00466A6A">
        <w:t xml:space="preserve"> them</w:t>
      </w:r>
      <w:r w:rsidR="00B1215E" w:rsidRPr="00466A6A">
        <w:t xml:space="preserve"> with the Kunming-Montreal Global Biodiversity Framework and its goals and targets, including those</w:t>
      </w:r>
      <w:r w:rsidR="00B1215E" w:rsidRPr="009C1A48">
        <w:t xml:space="preserve"> related to means of implementation</w:t>
      </w:r>
      <w:r w:rsidR="00B76BAC">
        <w:t>,</w:t>
      </w:r>
      <w:r w:rsidR="00B1215E" w:rsidRPr="009C1A48">
        <w:t xml:space="preserve"> and to submit them through the clearing-house mechanism by </w:t>
      </w:r>
      <w:r>
        <w:t>the sixteenth meeting of the Conference of the Parties</w:t>
      </w:r>
      <w:r w:rsidR="00B1215E" w:rsidRPr="009C1A48">
        <w:t xml:space="preserve">. </w:t>
      </w:r>
      <w:r>
        <w:t>It</w:t>
      </w:r>
      <w:r w:rsidR="00B1215E" w:rsidRPr="009C1A48">
        <w:t xml:space="preserve"> also requested parties not in a position to submit their revised NBSAPs by </w:t>
      </w:r>
      <w:r>
        <w:t>that time</w:t>
      </w:r>
      <w:r w:rsidRPr="009C1A48">
        <w:t xml:space="preserve"> </w:t>
      </w:r>
      <w:r w:rsidR="00B1215E" w:rsidRPr="009C1A48">
        <w:t>to communicate national targets reflecting, as applicable, all the goals and targets of the Framework, including those related to all means of implementation, in accordance with the reporting template provided in annex I</w:t>
      </w:r>
      <w:r w:rsidR="00B76BAC">
        <w:t xml:space="preserve"> to the decision</w:t>
      </w:r>
      <w:r w:rsidR="00B1215E" w:rsidRPr="009C1A48">
        <w:t>, as a standalone submission, by the sixteenth meeting of the Conference of the Parties, in advance of the full submission of the NBSAP.</w:t>
      </w:r>
    </w:p>
    <w:p w14:paraId="1CFEAEC0" w14:textId="638D0CE7" w:rsidR="00B1215E" w:rsidRPr="009C1A48" w:rsidRDefault="009E677E" w:rsidP="00325A54">
      <w:pPr>
        <w:pStyle w:val="Normalnumber"/>
        <w:tabs>
          <w:tab w:val="clear" w:pos="1247"/>
          <w:tab w:val="clear" w:pos="1814"/>
          <w:tab w:val="clear" w:pos="2381"/>
          <w:tab w:val="clear" w:pos="2948"/>
          <w:tab w:val="clear" w:pos="3515"/>
          <w:tab w:val="left" w:pos="624"/>
        </w:tabs>
        <w:ind w:left="1247"/>
      </w:pPr>
      <w:r>
        <w:t>By</w:t>
      </w:r>
      <w:r w:rsidR="00B1215E" w:rsidRPr="009C1A48">
        <w:t xml:space="preserve"> </w:t>
      </w:r>
      <w:r>
        <w:t xml:space="preserve">the </w:t>
      </w:r>
      <w:r w:rsidRPr="009E677E">
        <w:t>sixteenth meeting of the Conference of the Parties</w:t>
      </w:r>
      <w:r w:rsidR="00B1215E" w:rsidRPr="009C1A48">
        <w:t xml:space="preserve">, 44 parties had submitted their </w:t>
      </w:r>
      <w:proofErr w:type="gramStart"/>
      <w:r w:rsidR="00B1215E" w:rsidRPr="009C1A48">
        <w:t>NBSAPs</w:t>
      </w:r>
      <w:proofErr w:type="gramEnd"/>
      <w:r w:rsidR="00B1215E" w:rsidRPr="009C1A48">
        <w:t xml:space="preserve"> and 119 parties has </w:t>
      </w:r>
      <w:r w:rsidR="00B76BAC">
        <w:t>communicated</w:t>
      </w:r>
      <w:r w:rsidR="00B76BAC" w:rsidRPr="009C1A48">
        <w:t xml:space="preserve"> </w:t>
      </w:r>
      <w:r w:rsidR="00B1215E" w:rsidRPr="009C1A48">
        <w:t>national targets. As of 25 July</w:t>
      </w:r>
      <w:r w:rsidR="00B76BAC">
        <w:t xml:space="preserve"> 2025</w:t>
      </w:r>
      <w:r w:rsidR="00B1215E" w:rsidRPr="009C1A48">
        <w:t>, 55 parties had submitted 57 NBSAPs and 137 parties ha</w:t>
      </w:r>
      <w:r>
        <w:t>d</w:t>
      </w:r>
      <w:r w:rsidR="00B1215E" w:rsidRPr="009C1A48">
        <w:t xml:space="preserve"> </w:t>
      </w:r>
      <w:r w:rsidR="00B76BAC">
        <w:t>communicated</w:t>
      </w:r>
      <w:r w:rsidR="00B76BAC" w:rsidRPr="009C1A48">
        <w:t xml:space="preserve"> </w:t>
      </w:r>
      <w:r w:rsidR="00B1215E" w:rsidRPr="009C1A48">
        <w:t>3</w:t>
      </w:r>
      <w:r>
        <w:t>,</w:t>
      </w:r>
      <w:r w:rsidR="00B1215E" w:rsidRPr="009C1A48">
        <w:t>231 national targets.</w:t>
      </w:r>
      <w:r w:rsidR="00B1215E" w:rsidRPr="009C1A48">
        <w:rPr>
          <w:vertAlign w:val="superscript"/>
        </w:rPr>
        <w:footnoteReference w:id="10"/>
      </w:r>
    </w:p>
    <w:p w14:paraId="7182BB49" w14:textId="2C634C73" w:rsidR="00B1215E" w:rsidRPr="009C1A48" w:rsidRDefault="002D046E" w:rsidP="00325A54">
      <w:pPr>
        <w:pStyle w:val="Normalnumber"/>
        <w:tabs>
          <w:tab w:val="clear" w:pos="1247"/>
          <w:tab w:val="clear" w:pos="1814"/>
          <w:tab w:val="clear" w:pos="2381"/>
          <w:tab w:val="clear" w:pos="2948"/>
          <w:tab w:val="clear" w:pos="3515"/>
          <w:tab w:val="left" w:pos="624"/>
        </w:tabs>
        <w:ind w:left="1247"/>
      </w:pPr>
      <w:r>
        <w:t>In</w:t>
      </w:r>
      <w:r w:rsidR="00B1215E" w:rsidRPr="009C1A48">
        <w:t xml:space="preserve"> decision 15/6</w:t>
      </w:r>
      <w:r>
        <w:t>,</w:t>
      </w:r>
      <w:r w:rsidR="00B1215E" w:rsidRPr="009C1A48">
        <w:t xml:space="preserve"> parties </w:t>
      </w:r>
      <w:r>
        <w:t xml:space="preserve">were also </w:t>
      </w:r>
      <w:r w:rsidRPr="009C1A48">
        <w:t xml:space="preserve">requested </w:t>
      </w:r>
      <w:r w:rsidR="00B1215E" w:rsidRPr="009C1A48">
        <w:t>to submit national reports</w:t>
      </w:r>
      <w:r w:rsidR="00456AA6" w:rsidRPr="00456AA6">
        <w:t xml:space="preserve"> </w:t>
      </w:r>
      <w:r w:rsidR="00456AA6" w:rsidRPr="009C1A48">
        <w:t>in 2026 and 2029</w:t>
      </w:r>
      <w:r w:rsidR="00817C76">
        <w:t xml:space="preserve"> and to</w:t>
      </w:r>
      <w:r w:rsidR="00B1215E" w:rsidRPr="009C1A48">
        <w:t xml:space="preserve"> </w:t>
      </w:r>
      <w:r w:rsidR="00817C76">
        <w:t>use</w:t>
      </w:r>
      <w:r w:rsidR="00817C76" w:rsidRPr="009C1A48">
        <w:t xml:space="preserve"> </w:t>
      </w:r>
      <w:r w:rsidR="00B1215E" w:rsidRPr="009C1A48">
        <w:t>the headline indicators adopted in decision 15/5</w:t>
      </w:r>
      <w:r w:rsidR="00456AA6">
        <w:t>,</w:t>
      </w:r>
      <w:r w:rsidR="00B1215E" w:rsidRPr="009C1A48">
        <w:t xml:space="preserve"> supplemented by optional component and complementary indicators and other national indicators. </w:t>
      </w:r>
      <w:r w:rsidR="00817C76">
        <w:t>At its</w:t>
      </w:r>
      <w:r w:rsidR="00B1215E" w:rsidRPr="009C1A48">
        <w:t xml:space="preserve"> sixteenth meeting, the Conference of the Parties, through decision 16/32</w:t>
      </w:r>
      <w:r w:rsidR="00817C76">
        <w:t>,</w:t>
      </w:r>
      <w:r w:rsidR="00B1215E" w:rsidRPr="009C1A48">
        <w:t xml:space="preserve"> endorsed the national reporting template for the seventh and eighth national reports as contained in annex I to that decision.</w:t>
      </w:r>
    </w:p>
    <w:p w14:paraId="3F57E0EC" w14:textId="593FCE7A" w:rsidR="00B1215E" w:rsidRPr="009C1A48" w:rsidRDefault="00B1215E" w:rsidP="00835766">
      <w:pPr>
        <w:pStyle w:val="Normalnumber"/>
        <w:tabs>
          <w:tab w:val="clear" w:pos="1247"/>
          <w:tab w:val="clear" w:pos="1814"/>
          <w:tab w:val="clear" w:pos="2381"/>
          <w:tab w:val="clear" w:pos="2948"/>
          <w:tab w:val="clear" w:pos="3515"/>
          <w:tab w:val="left" w:pos="624"/>
        </w:tabs>
        <w:ind w:left="1247"/>
      </w:pPr>
      <w:r w:rsidRPr="00466A6A">
        <w:t xml:space="preserve">Figure 1 </w:t>
      </w:r>
      <w:r w:rsidR="00AE35BB">
        <w:t xml:space="preserve">(on p. 5) </w:t>
      </w:r>
      <w:r w:rsidRPr="00466A6A">
        <w:t xml:space="preserve">presents the timeline for </w:t>
      </w:r>
      <w:r w:rsidR="00370442" w:rsidRPr="00466A6A">
        <w:t xml:space="preserve">monitoring, reporting on and reviewing progress in the </w:t>
      </w:r>
      <w:r w:rsidR="00370442" w:rsidRPr="00954F2F">
        <w:t>implementation of</w:t>
      </w:r>
      <w:r w:rsidRPr="00954F2F">
        <w:t xml:space="preserve"> </w:t>
      </w:r>
      <w:r w:rsidR="00DC0FD8" w:rsidRPr="00954F2F">
        <w:t xml:space="preserve">the Kunming-Montreal Global Biodiversity </w:t>
      </w:r>
      <w:r w:rsidR="009E677E" w:rsidRPr="00954F2F">
        <w:t>Framework</w:t>
      </w:r>
      <w:r w:rsidRPr="00954F2F">
        <w:t xml:space="preserve"> up to 2030</w:t>
      </w:r>
      <w:r w:rsidR="00817C76" w:rsidRPr="00954F2F">
        <w:t>,</w:t>
      </w:r>
      <w:r w:rsidRPr="00954F2F">
        <w:t xml:space="preserve"> whe</w:t>
      </w:r>
      <w:r w:rsidR="00817C76" w:rsidRPr="00954F2F">
        <w:t>n</w:t>
      </w:r>
      <w:r w:rsidRPr="00954F2F">
        <w:t xml:space="preserve"> the final global review of progress in implementation of </w:t>
      </w:r>
      <w:r w:rsidR="009E677E" w:rsidRPr="00954F2F">
        <w:t xml:space="preserve">the Framework </w:t>
      </w:r>
      <w:r w:rsidRPr="00954F2F">
        <w:t>will be undertaken. Figure 2</w:t>
      </w:r>
      <w:r w:rsidR="00AE35BB">
        <w:t xml:space="preserve"> (on</w:t>
      </w:r>
      <w:r w:rsidR="00F16ABA">
        <w:t> </w:t>
      </w:r>
      <w:r w:rsidR="00AE35BB">
        <w:t>p. 5</w:t>
      </w:r>
      <w:proofErr w:type="gramStart"/>
      <w:r w:rsidR="00AE35BB">
        <w:t xml:space="preserve">) </w:t>
      </w:r>
      <w:r w:rsidRPr="00954F2F">
        <w:t xml:space="preserve"> </w:t>
      </w:r>
      <w:r w:rsidR="00835766" w:rsidRPr="00954F2F">
        <w:t>shows</w:t>
      </w:r>
      <w:proofErr w:type="gramEnd"/>
      <w:r w:rsidR="00835766" w:rsidRPr="00954F2F">
        <w:t xml:space="preserve"> the timeline of meetings of the conferences of the parties to the Convention on Biological Diversity and the Minamata Convention, highlighting decisions on cooperative processes and other opportunities for</w:t>
      </w:r>
      <w:r w:rsidR="00835766" w:rsidRPr="00954F2F">
        <w:rPr>
          <w:i/>
          <w:iCs/>
        </w:rPr>
        <w:t xml:space="preserve"> </w:t>
      </w:r>
      <w:r w:rsidR="00835766" w:rsidRPr="00954F2F">
        <w:t>cooperation</w:t>
      </w:r>
      <w:r w:rsidRPr="00954F2F">
        <w:t>.</w:t>
      </w:r>
    </w:p>
    <w:p w14:paraId="570DFF31" w14:textId="39C6F3F3" w:rsidR="003B5250" w:rsidRPr="00121D72" w:rsidRDefault="00B1215E" w:rsidP="00D44EE1">
      <w:pPr>
        <w:pStyle w:val="Titlefigure"/>
      </w:pPr>
      <w:r w:rsidRPr="00121D72">
        <w:rPr>
          <w:b w:val="0"/>
          <w:bCs/>
        </w:rPr>
        <w:lastRenderedPageBreak/>
        <w:t>Figure 1</w:t>
      </w:r>
      <w:r w:rsidR="00D44EE1" w:rsidRPr="00121D72">
        <w:t xml:space="preserve"> </w:t>
      </w:r>
      <w:r w:rsidR="00D44EE1" w:rsidRPr="00121D72">
        <w:br/>
      </w:r>
      <w:r w:rsidRPr="00121D72">
        <w:t xml:space="preserve">Timeline for </w:t>
      </w:r>
      <w:r w:rsidR="00121D72" w:rsidRPr="00121D72">
        <w:t xml:space="preserve">monitoring, reporting on and reviewing progress in the implementation of </w:t>
      </w:r>
      <w:r w:rsidRPr="00121D72">
        <w:t>the Kunming-Montreal Global Biodiversity Framework</w:t>
      </w:r>
    </w:p>
    <w:p w14:paraId="295C8BE3" w14:textId="729B53DC" w:rsidR="00B1215E" w:rsidRPr="009C1A48" w:rsidRDefault="00BB639D" w:rsidP="00D44EE1">
      <w:pPr>
        <w:pStyle w:val="Titlefigure"/>
      </w:pPr>
      <w:r w:rsidRPr="00BB639D">
        <w:rPr>
          <w:noProof/>
        </w:rPr>
        <w:drawing>
          <wp:inline distT="0" distB="0" distL="0" distR="0" wp14:anchorId="62FAB354" wp14:editId="46BE77CE">
            <wp:extent cx="5105534" cy="3140611"/>
            <wp:effectExtent l="0" t="0" r="0" b="3175"/>
            <wp:docPr id="977134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134899" name=""/>
                    <pic:cNvPicPr/>
                  </pic:nvPicPr>
                  <pic:blipFill>
                    <a:blip r:embed="rId14"/>
                    <a:stretch>
                      <a:fillRect/>
                    </a:stretch>
                  </pic:blipFill>
                  <pic:spPr>
                    <a:xfrm>
                      <a:off x="0" y="0"/>
                      <a:ext cx="5105534" cy="3140611"/>
                    </a:xfrm>
                    <a:prstGeom prst="rect">
                      <a:avLst/>
                    </a:prstGeom>
                  </pic:spPr>
                </pic:pic>
              </a:graphicData>
            </a:graphic>
          </wp:inline>
        </w:drawing>
      </w:r>
    </w:p>
    <w:p w14:paraId="243319FC" w14:textId="5F68E77B" w:rsidR="009309D8" w:rsidRPr="009309D8" w:rsidRDefault="009309D8" w:rsidP="00230F4C">
      <w:pPr>
        <w:pStyle w:val="Normalnumber"/>
        <w:numPr>
          <w:ilvl w:val="0"/>
          <w:numId w:val="0"/>
        </w:numPr>
        <w:ind w:left="1247"/>
        <w:rPr>
          <w:sz w:val="18"/>
          <w:szCs w:val="18"/>
        </w:rPr>
      </w:pPr>
      <w:r w:rsidRPr="00D3180D">
        <w:rPr>
          <w:sz w:val="18"/>
          <w:szCs w:val="18"/>
        </w:rPr>
        <w:tab/>
      </w:r>
      <w:r w:rsidRPr="009309D8">
        <w:rPr>
          <w:i/>
          <w:iCs/>
          <w:sz w:val="18"/>
          <w:szCs w:val="18"/>
        </w:rPr>
        <w:t>Abbreviations</w:t>
      </w:r>
      <w:r w:rsidRPr="00D3180D">
        <w:rPr>
          <w:sz w:val="18"/>
          <w:szCs w:val="18"/>
        </w:rPr>
        <w:t xml:space="preserve">: </w:t>
      </w:r>
      <w:r>
        <w:rPr>
          <w:sz w:val="18"/>
          <w:szCs w:val="18"/>
        </w:rPr>
        <w:t>COP 15</w:t>
      </w:r>
      <w:r w:rsidR="009210D2">
        <w:rPr>
          <w:sz w:val="18"/>
          <w:szCs w:val="18"/>
        </w:rPr>
        <w:t xml:space="preserve"> –</w:t>
      </w:r>
      <w:r>
        <w:rPr>
          <w:sz w:val="18"/>
          <w:szCs w:val="18"/>
        </w:rPr>
        <w:t xml:space="preserve"> fifteenth meeting of the Conference of the Parties; COP 16.1</w:t>
      </w:r>
      <w:r w:rsidR="009210D2">
        <w:rPr>
          <w:sz w:val="18"/>
          <w:szCs w:val="18"/>
        </w:rPr>
        <w:t xml:space="preserve"> –</w:t>
      </w:r>
      <w:r>
        <w:rPr>
          <w:sz w:val="18"/>
          <w:szCs w:val="18"/>
        </w:rPr>
        <w:t xml:space="preserve"> part I of the sixteenth meeting of the Conference </w:t>
      </w:r>
      <w:r w:rsidRPr="00437498">
        <w:rPr>
          <w:sz w:val="18"/>
          <w:szCs w:val="18"/>
        </w:rPr>
        <w:t>of the Parties; COP 16.2</w:t>
      </w:r>
      <w:r w:rsidR="009210D2" w:rsidRPr="00437498">
        <w:rPr>
          <w:sz w:val="18"/>
          <w:szCs w:val="18"/>
        </w:rPr>
        <w:t xml:space="preserve"> –</w:t>
      </w:r>
      <w:r w:rsidRPr="00437498">
        <w:rPr>
          <w:sz w:val="18"/>
          <w:szCs w:val="18"/>
        </w:rPr>
        <w:t xml:space="preserve"> part II of the sixteenth meeting of the Conference of the Parties; COP</w:t>
      </w:r>
      <w:r w:rsidR="004E1E3D" w:rsidRPr="00437498">
        <w:rPr>
          <w:sz w:val="18"/>
          <w:szCs w:val="18"/>
        </w:rPr>
        <w:t> </w:t>
      </w:r>
      <w:r w:rsidRPr="00437498">
        <w:rPr>
          <w:sz w:val="18"/>
          <w:szCs w:val="18"/>
        </w:rPr>
        <w:t>17</w:t>
      </w:r>
      <w:r w:rsidR="00EE4C19" w:rsidRPr="00437498">
        <w:rPr>
          <w:sz w:val="18"/>
          <w:szCs w:val="18"/>
        </w:rPr>
        <w:t xml:space="preserve"> –</w:t>
      </w:r>
      <w:r w:rsidRPr="00437498">
        <w:rPr>
          <w:sz w:val="18"/>
          <w:szCs w:val="18"/>
        </w:rPr>
        <w:t xml:space="preserve"> seventeenth meeting of the Conference of the Parties; COP</w:t>
      </w:r>
      <w:r w:rsidR="004E1E3D" w:rsidRPr="00437498">
        <w:rPr>
          <w:sz w:val="18"/>
          <w:szCs w:val="18"/>
        </w:rPr>
        <w:t> </w:t>
      </w:r>
      <w:r w:rsidRPr="00437498">
        <w:rPr>
          <w:sz w:val="18"/>
          <w:szCs w:val="18"/>
        </w:rPr>
        <w:t>18</w:t>
      </w:r>
      <w:r w:rsidR="00EE4C19" w:rsidRPr="00437498">
        <w:rPr>
          <w:sz w:val="18"/>
          <w:szCs w:val="18"/>
        </w:rPr>
        <w:t xml:space="preserve"> –</w:t>
      </w:r>
      <w:r w:rsidRPr="00437498">
        <w:rPr>
          <w:sz w:val="18"/>
          <w:szCs w:val="18"/>
        </w:rPr>
        <w:t xml:space="preserve"> eighteenth meeting of the Conference of the Parties; </w:t>
      </w:r>
      <w:r w:rsidR="004E1E3D" w:rsidRPr="00437498">
        <w:rPr>
          <w:sz w:val="18"/>
          <w:szCs w:val="18"/>
        </w:rPr>
        <w:t>COP 19</w:t>
      </w:r>
      <w:r w:rsidR="00EE4C19" w:rsidRPr="00437498">
        <w:rPr>
          <w:sz w:val="18"/>
          <w:szCs w:val="18"/>
        </w:rPr>
        <w:t xml:space="preserve"> –</w:t>
      </w:r>
      <w:r w:rsidR="004E1E3D" w:rsidRPr="00437498">
        <w:rPr>
          <w:sz w:val="18"/>
          <w:szCs w:val="18"/>
        </w:rPr>
        <w:t xml:space="preserve"> nineteenth meeting of the Conference of the Parties; </w:t>
      </w:r>
      <w:r w:rsidRPr="00437498">
        <w:rPr>
          <w:sz w:val="18"/>
          <w:szCs w:val="18"/>
        </w:rPr>
        <w:t>GBF</w:t>
      </w:r>
      <w:r w:rsidR="00EE4C19" w:rsidRPr="00437498">
        <w:rPr>
          <w:sz w:val="18"/>
          <w:szCs w:val="18"/>
        </w:rPr>
        <w:t xml:space="preserve"> –</w:t>
      </w:r>
      <w:r w:rsidRPr="00437498">
        <w:rPr>
          <w:sz w:val="18"/>
          <w:szCs w:val="18"/>
        </w:rPr>
        <w:t xml:space="preserve"> </w:t>
      </w:r>
      <w:r w:rsidR="00437498" w:rsidRPr="00437498">
        <w:rPr>
          <w:sz w:val="18"/>
          <w:szCs w:val="18"/>
        </w:rPr>
        <w:t xml:space="preserve">Kunming-Montreal </w:t>
      </w:r>
      <w:r w:rsidRPr="00437498">
        <w:rPr>
          <w:sz w:val="18"/>
          <w:szCs w:val="18"/>
        </w:rPr>
        <w:t>Global Biodiversity Framework.</w:t>
      </w:r>
      <w:r>
        <w:rPr>
          <w:sz w:val="18"/>
          <w:szCs w:val="18"/>
        </w:rPr>
        <w:t xml:space="preserve"> </w:t>
      </w:r>
    </w:p>
    <w:p w14:paraId="6E338F59" w14:textId="3D55A392" w:rsidR="00B1215E" w:rsidRDefault="00B1215E" w:rsidP="009D73A5">
      <w:pPr>
        <w:pStyle w:val="Normalnumber"/>
        <w:keepNext/>
        <w:numPr>
          <w:ilvl w:val="0"/>
          <w:numId w:val="0"/>
        </w:numPr>
        <w:spacing w:before="240"/>
        <w:ind w:left="1253"/>
        <w:rPr>
          <w:rFonts w:asciiTheme="majorBidi" w:hAnsiTheme="majorBidi" w:cstheme="majorBidi"/>
          <w:b/>
          <w:bCs/>
          <w:sz w:val="18"/>
          <w:szCs w:val="18"/>
          <w:shd w:val="clear" w:color="auto" w:fill="FFFFFF"/>
        </w:rPr>
      </w:pPr>
      <w:r w:rsidRPr="00006D47">
        <w:rPr>
          <w:rFonts w:asciiTheme="majorBidi" w:hAnsiTheme="majorBidi" w:cstheme="majorBidi"/>
          <w:sz w:val="18"/>
          <w:szCs w:val="18"/>
          <w:shd w:val="clear" w:color="auto" w:fill="FFFFFF"/>
        </w:rPr>
        <w:t>Figure 2</w:t>
      </w:r>
      <w:r w:rsidR="00D44EE1" w:rsidRPr="00006D47">
        <w:rPr>
          <w:rFonts w:asciiTheme="majorBidi" w:hAnsiTheme="majorBidi" w:cstheme="majorBidi"/>
          <w:b/>
          <w:bCs/>
          <w:sz w:val="18"/>
          <w:szCs w:val="18"/>
          <w:shd w:val="clear" w:color="auto" w:fill="FFFFFF"/>
        </w:rPr>
        <w:t xml:space="preserve"> </w:t>
      </w:r>
      <w:r w:rsidR="00D44EE1" w:rsidRPr="00006D47">
        <w:rPr>
          <w:rFonts w:asciiTheme="majorBidi" w:hAnsiTheme="majorBidi" w:cstheme="majorBidi"/>
          <w:b/>
          <w:bCs/>
          <w:sz w:val="18"/>
          <w:szCs w:val="18"/>
          <w:shd w:val="clear" w:color="auto" w:fill="FFFFFF"/>
        </w:rPr>
        <w:br/>
      </w:r>
      <w:r w:rsidR="006B5716" w:rsidRPr="00006D47">
        <w:rPr>
          <w:rFonts w:asciiTheme="majorBidi" w:hAnsiTheme="majorBidi" w:cstheme="majorBidi"/>
          <w:b/>
          <w:bCs/>
          <w:sz w:val="18"/>
          <w:szCs w:val="18"/>
          <w:shd w:val="clear" w:color="auto" w:fill="FFFFFF"/>
        </w:rPr>
        <w:t>Timeline of meetings of the conferences of the parties to the Convention on Biological Diversity and the Minamata Convention on Mercury and opportunities for cooperation</w:t>
      </w:r>
    </w:p>
    <w:p w14:paraId="5E015326" w14:textId="2E7CE4E1" w:rsidR="00934AF4" w:rsidRPr="009C1A48" w:rsidRDefault="00230F4C" w:rsidP="006024CB">
      <w:pPr>
        <w:pStyle w:val="Normalnumber"/>
        <w:keepNext/>
        <w:numPr>
          <w:ilvl w:val="0"/>
          <w:numId w:val="0"/>
        </w:numPr>
        <w:spacing w:after="0"/>
        <w:ind w:left="1247"/>
        <w:rPr>
          <w:rFonts w:asciiTheme="majorBidi" w:hAnsiTheme="majorBidi" w:cstheme="majorBidi"/>
          <w:b/>
          <w:bCs/>
          <w:sz w:val="18"/>
          <w:szCs w:val="18"/>
          <w:shd w:val="clear" w:color="auto" w:fill="FFFFFF"/>
        </w:rPr>
      </w:pPr>
      <w:r w:rsidRPr="00230F4C">
        <w:rPr>
          <w:rFonts w:asciiTheme="majorBidi" w:hAnsiTheme="majorBidi" w:cstheme="majorBidi"/>
          <w:b/>
          <w:bCs/>
          <w:noProof/>
          <w:sz w:val="18"/>
          <w:szCs w:val="18"/>
          <w:shd w:val="clear" w:color="auto" w:fill="FFFFFF"/>
        </w:rPr>
        <w:drawing>
          <wp:inline distT="0" distB="0" distL="0" distR="0" wp14:anchorId="1A16C838" wp14:editId="770BD492">
            <wp:extent cx="5753250" cy="3178712"/>
            <wp:effectExtent l="0" t="0" r="0" b="3175"/>
            <wp:docPr id="1313501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501885" name=""/>
                    <pic:cNvPicPr/>
                  </pic:nvPicPr>
                  <pic:blipFill>
                    <a:blip r:embed="rId15"/>
                    <a:stretch>
                      <a:fillRect/>
                    </a:stretch>
                  </pic:blipFill>
                  <pic:spPr>
                    <a:xfrm>
                      <a:off x="0" y="0"/>
                      <a:ext cx="5753250" cy="3178712"/>
                    </a:xfrm>
                    <a:prstGeom prst="rect">
                      <a:avLst/>
                    </a:prstGeom>
                  </pic:spPr>
                </pic:pic>
              </a:graphicData>
            </a:graphic>
          </wp:inline>
        </w:drawing>
      </w:r>
    </w:p>
    <w:p w14:paraId="4B0F29D7" w14:textId="31C625EC" w:rsidR="00B1215E" w:rsidRPr="009D6BEF" w:rsidRDefault="00B1215E" w:rsidP="006024CB">
      <w:pPr>
        <w:pStyle w:val="Normalnumber"/>
        <w:numPr>
          <w:ilvl w:val="0"/>
          <w:numId w:val="0"/>
        </w:numPr>
        <w:spacing w:after="0"/>
        <w:ind w:left="1247"/>
        <w:rPr>
          <w:rFonts w:asciiTheme="majorBidi" w:hAnsiTheme="majorBidi" w:cstheme="majorBidi"/>
          <w:sz w:val="6"/>
          <w:szCs w:val="6"/>
        </w:rPr>
      </w:pPr>
    </w:p>
    <w:p w14:paraId="66DBF2F2" w14:textId="542FA525" w:rsidR="00D3180D" w:rsidRPr="00D3180D" w:rsidRDefault="00D3180D" w:rsidP="00D3180D">
      <w:pPr>
        <w:pStyle w:val="NormalNonumber"/>
        <w:rPr>
          <w:sz w:val="18"/>
          <w:szCs w:val="18"/>
        </w:rPr>
      </w:pPr>
      <w:r w:rsidRPr="00D3180D">
        <w:rPr>
          <w:sz w:val="18"/>
          <w:szCs w:val="18"/>
        </w:rPr>
        <w:tab/>
      </w:r>
      <w:r w:rsidRPr="009309D8">
        <w:rPr>
          <w:i/>
          <w:iCs/>
          <w:sz w:val="18"/>
          <w:szCs w:val="18"/>
        </w:rPr>
        <w:t>Abbreviations</w:t>
      </w:r>
      <w:r w:rsidRPr="00D3180D">
        <w:rPr>
          <w:sz w:val="18"/>
          <w:szCs w:val="18"/>
        </w:rPr>
        <w:t xml:space="preserve">: </w:t>
      </w:r>
      <w:r>
        <w:rPr>
          <w:sz w:val="18"/>
          <w:szCs w:val="18"/>
        </w:rPr>
        <w:t>COP</w:t>
      </w:r>
      <w:r w:rsidR="00154AAC">
        <w:rPr>
          <w:sz w:val="18"/>
          <w:szCs w:val="18"/>
        </w:rPr>
        <w:t xml:space="preserve"> –</w:t>
      </w:r>
      <w:r>
        <w:rPr>
          <w:sz w:val="18"/>
          <w:szCs w:val="18"/>
        </w:rPr>
        <w:t xml:space="preserve"> Conference of the Parties; CBD</w:t>
      </w:r>
      <w:r w:rsidR="00154AAC">
        <w:rPr>
          <w:sz w:val="18"/>
          <w:szCs w:val="18"/>
        </w:rPr>
        <w:t xml:space="preserve"> –</w:t>
      </w:r>
      <w:r>
        <w:rPr>
          <w:sz w:val="18"/>
          <w:szCs w:val="18"/>
        </w:rPr>
        <w:t xml:space="preserve"> Convention on Biological Diversity; COP-6</w:t>
      </w:r>
      <w:r w:rsidR="00154AAC">
        <w:rPr>
          <w:sz w:val="18"/>
          <w:szCs w:val="18"/>
        </w:rPr>
        <w:t xml:space="preserve"> –</w:t>
      </w:r>
      <w:r>
        <w:rPr>
          <w:sz w:val="18"/>
          <w:szCs w:val="18"/>
        </w:rPr>
        <w:t xml:space="preserve"> sixth meeting of the Conference of the Parties; COP-7</w:t>
      </w:r>
      <w:r w:rsidR="00154AAC">
        <w:rPr>
          <w:sz w:val="18"/>
          <w:szCs w:val="18"/>
        </w:rPr>
        <w:t xml:space="preserve"> –</w:t>
      </w:r>
      <w:r>
        <w:rPr>
          <w:sz w:val="18"/>
          <w:szCs w:val="18"/>
        </w:rPr>
        <w:t xml:space="preserve"> seventh meeting of the Conference of the Parties; COP-8</w:t>
      </w:r>
      <w:r w:rsidR="00154AAC">
        <w:rPr>
          <w:sz w:val="18"/>
          <w:szCs w:val="18"/>
        </w:rPr>
        <w:t xml:space="preserve"> –</w:t>
      </w:r>
      <w:r>
        <w:rPr>
          <w:sz w:val="18"/>
          <w:szCs w:val="18"/>
        </w:rPr>
        <w:t xml:space="preserve"> eighth meeting of the Conference of the Parties; COP15</w:t>
      </w:r>
      <w:r w:rsidR="009D61B2">
        <w:rPr>
          <w:sz w:val="18"/>
          <w:szCs w:val="18"/>
        </w:rPr>
        <w:t xml:space="preserve"> –</w:t>
      </w:r>
      <w:r>
        <w:rPr>
          <w:sz w:val="18"/>
          <w:szCs w:val="18"/>
        </w:rPr>
        <w:t xml:space="preserve"> fifteenth meeting of the Conference of the Parties; COP16</w:t>
      </w:r>
      <w:r w:rsidR="009D61B2">
        <w:rPr>
          <w:sz w:val="18"/>
          <w:szCs w:val="18"/>
        </w:rPr>
        <w:t xml:space="preserve"> –</w:t>
      </w:r>
      <w:r>
        <w:rPr>
          <w:sz w:val="18"/>
          <w:szCs w:val="18"/>
        </w:rPr>
        <w:t xml:space="preserve"> sixteenth meeting of the Conference of the Parties; COP17</w:t>
      </w:r>
      <w:r w:rsidR="009D61B2">
        <w:rPr>
          <w:sz w:val="18"/>
          <w:szCs w:val="18"/>
        </w:rPr>
        <w:t xml:space="preserve"> –</w:t>
      </w:r>
      <w:r>
        <w:rPr>
          <w:sz w:val="18"/>
          <w:szCs w:val="18"/>
        </w:rPr>
        <w:t xml:space="preserve"> seventeenth meeting of the Conference of the Parties; COP18</w:t>
      </w:r>
      <w:r w:rsidR="009D61B2">
        <w:rPr>
          <w:sz w:val="18"/>
          <w:szCs w:val="18"/>
        </w:rPr>
        <w:t xml:space="preserve"> –</w:t>
      </w:r>
      <w:r>
        <w:rPr>
          <w:sz w:val="18"/>
          <w:szCs w:val="18"/>
        </w:rPr>
        <w:t xml:space="preserve"> eighteenth meeting of the Conference of the Parties; GBF</w:t>
      </w:r>
      <w:r w:rsidR="00154AAC">
        <w:rPr>
          <w:sz w:val="18"/>
          <w:szCs w:val="18"/>
        </w:rPr>
        <w:t xml:space="preserve"> –</w:t>
      </w:r>
      <w:r>
        <w:rPr>
          <w:sz w:val="18"/>
          <w:szCs w:val="18"/>
        </w:rPr>
        <w:t xml:space="preserve"> Kunming-Montreal Global Biodiversity Framework</w:t>
      </w:r>
      <w:r w:rsidR="009309D8">
        <w:rPr>
          <w:sz w:val="18"/>
          <w:szCs w:val="18"/>
        </w:rPr>
        <w:t>.</w:t>
      </w:r>
      <w:r>
        <w:rPr>
          <w:sz w:val="18"/>
          <w:szCs w:val="18"/>
        </w:rPr>
        <w:t xml:space="preserve"> </w:t>
      </w:r>
    </w:p>
    <w:p w14:paraId="1FC4F526" w14:textId="19A99AA4" w:rsidR="00B1215E" w:rsidRPr="009C1A48" w:rsidRDefault="00047C16" w:rsidP="00047C16">
      <w:pPr>
        <w:pStyle w:val="CH2"/>
      </w:pPr>
      <w:r w:rsidRPr="009C1A48">
        <w:lastRenderedPageBreak/>
        <w:tab/>
      </w:r>
      <w:r w:rsidR="00114D35">
        <w:t>C</w:t>
      </w:r>
      <w:r w:rsidR="000A04D8" w:rsidRPr="009C1A48">
        <w:t>.</w:t>
      </w:r>
      <w:r w:rsidRPr="009C1A48">
        <w:tab/>
      </w:r>
      <w:r w:rsidR="00B1215E" w:rsidRPr="009C1A48">
        <w:t>Key pillars of the road</w:t>
      </w:r>
      <w:r w:rsidR="00E165DA">
        <w:t xml:space="preserve"> </w:t>
      </w:r>
      <w:r w:rsidR="00B1215E" w:rsidRPr="009C1A48">
        <w:t>map</w:t>
      </w:r>
    </w:p>
    <w:p w14:paraId="61FD76B0" w14:textId="01345497" w:rsidR="00B1215E" w:rsidRPr="009C1A48" w:rsidRDefault="00B1215E" w:rsidP="00325A54">
      <w:pPr>
        <w:pStyle w:val="Normalnumber"/>
        <w:tabs>
          <w:tab w:val="clear" w:pos="1247"/>
          <w:tab w:val="clear" w:pos="1814"/>
          <w:tab w:val="clear" w:pos="2381"/>
          <w:tab w:val="clear" w:pos="2948"/>
          <w:tab w:val="clear" w:pos="3515"/>
          <w:tab w:val="left" w:pos="624"/>
        </w:tabs>
        <w:ind w:left="1247"/>
      </w:pPr>
      <w:r w:rsidRPr="009C1A48">
        <w:t>Th</w:t>
      </w:r>
      <w:r w:rsidR="00B619A9">
        <w:t>e th</w:t>
      </w:r>
      <w:r w:rsidRPr="009C1A48">
        <w:t xml:space="preserve">ree key pillars </w:t>
      </w:r>
      <w:r w:rsidR="00B619A9">
        <w:t>of</w:t>
      </w:r>
      <w:r w:rsidRPr="009C1A48">
        <w:t xml:space="preserve"> the road map </w:t>
      </w:r>
      <w:r w:rsidR="00B619A9">
        <w:t>for</w:t>
      </w:r>
      <w:r w:rsidR="00B619A9" w:rsidRPr="009C1A48">
        <w:t xml:space="preserve"> </w:t>
      </w:r>
      <w:r w:rsidR="00FB11AE">
        <w:t>enhancing</w:t>
      </w:r>
      <w:r w:rsidRPr="009C1A48">
        <w:t xml:space="preserve"> co-benefits </w:t>
      </w:r>
      <w:r w:rsidR="00220CD7">
        <w:t xml:space="preserve">from </w:t>
      </w:r>
      <w:r w:rsidRPr="009C1A48">
        <w:t xml:space="preserve">implementation of the Minamata Convention and the </w:t>
      </w:r>
      <w:r w:rsidR="00E165DA" w:rsidRPr="00E165DA">
        <w:t>Kunming-Montreal Global Biodiversity Framework</w:t>
      </w:r>
      <w:r w:rsidR="00E165DA" w:rsidRPr="00E165DA" w:rsidDel="00E165DA">
        <w:t xml:space="preserve"> </w:t>
      </w:r>
      <w:r w:rsidRPr="009C1A48">
        <w:t>and advanc</w:t>
      </w:r>
      <w:r w:rsidR="00B619A9">
        <w:t>ing</w:t>
      </w:r>
      <w:r w:rsidRPr="009C1A48">
        <w:t xml:space="preserve"> overall coherence across the mercury and biodiversity agendas</w:t>
      </w:r>
      <w:r w:rsidR="00B619A9">
        <w:t xml:space="preserve"> are described below</w:t>
      </w:r>
      <w:r w:rsidRPr="009C1A48">
        <w:t xml:space="preserve">. While the focus of this document is on the links between the implementation of the Minamata Convention and the </w:t>
      </w:r>
      <w:r w:rsidR="00E165DA">
        <w:t>Framework</w:t>
      </w:r>
      <w:r w:rsidRPr="009C1A48">
        <w:t xml:space="preserve">, the pillars would also support coherence and synergies </w:t>
      </w:r>
      <w:r w:rsidR="00B619A9">
        <w:t>in</w:t>
      </w:r>
      <w:r w:rsidR="00B619A9" w:rsidRPr="009C1A48">
        <w:t xml:space="preserve"> </w:t>
      </w:r>
      <w:r w:rsidRPr="009C1A48">
        <w:t xml:space="preserve">the implementation of the Minamata Convention and the Convention on Biological Diversity </w:t>
      </w:r>
      <w:r w:rsidR="00B619A9">
        <w:t xml:space="preserve">more </w:t>
      </w:r>
      <w:r w:rsidRPr="009C1A48">
        <w:t xml:space="preserve">generally. </w:t>
      </w:r>
    </w:p>
    <w:p w14:paraId="53BF2D81" w14:textId="362712D4" w:rsidR="00B1215E" w:rsidRPr="009C1A48" w:rsidRDefault="00B1215E" w:rsidP="00325A54">
      <w:pPr>
        <w:pStyle w:val="Normalnumber"/>
        <w:tabs>
          <w:tab w:val="clear" w:pos="1247"/>
          <w:tab w:val="clear" w:pos="1814"/>
          <w:tab w:val="clear" w:pos="2381"/>
          <w:tab w:val="clear" w:pos="2948"/>
          <w:tab w:val="clear" w:pos="3515"/>
          <w:tab w:val="left" w:pos="624"/>
        </w:tabs>
        <w:ind w:left="1247"/>
      </w:pPr>
      <w:r w:rsidRPr="009C1A48">
        <w:t xml:space="preserve">The three pillars are: (i) contribution to the </w:t>
      </w:r>
      <w:r w:rsidRPr="000A5E90">
        <w:t xml:space="preserve">monitoring framework of </w:t>
      </w:r>
      <w:r w:rsidR="00220CD7" w:rsidRPr="000A5E90">
        <w:t xml:space="preserve">the </w:t>
      </w:r>
      <w:r w:rsidR="00E165DA" w:rsidRPr="000A5E90">
        <w:t>Kunming-Montreal Global Biodiversity Framework</w:t>
      </w:r>
      <w:r w:rsidRPr="000A5E90">
        <w:t xml:space="preserve">, (ii) </w:t>
      </w:r>
      <w:r w:rsidR="0076338B" w:rsidRPr="000A5E90">
        <w:t xml:space="preserve">inclusion </w:t>
      </w:r>
      <w:r w:rsidRPr="000A5E90">
        <w:t>of mercury reduction action</w:t>
      </w:r>
      <w:r w:rsidR="0076338B" w:rsidRPr="000A5E90">
        <w:t>s</w:t>
      </w:r>
      <w:r w:rsidRPr="000A5E90">
        <w:t xml:space="preserve"> </w:t>
      </w:r>
      <w:r w:rsidR="0076338B" w:rsidRPr="000A5E90">
        <w:t xml:space="preserve">and targets </w:t>
      </w:r>
      <w:r w:rsidRPr="000A5E90">
        <w:t>in NBSAPs and national biodiversity targets; and (iii) creati</w:t>
      </w:r>
      <w:r w:rsidR="00D2514B" w:rsidRPr="000A5E90">
        <w:t>on of</w:t>
      </w:r>
      <w:r w:rsidRPr="000A5E90">
        <w:t xml:space="preserve"> an enabling environment </w:t>
      </w:r>
      <w:r w:rsidR="00B619A9" w:rsidRPr="000A5E90">
        <w:t xml:space="preserve">for </w:t>
      </w:r>
      <w:r w:rsidRPr="000A5E90">
        <w:t>enhanc</w:t>
      </w:r>
      <w:r w:rsidR="00B619A9" w:rsidRPr="000A5E90">
        <w:t>ed</w:t>
      </w:r>
      <w:r w:rsidRPr="000A5E90">
        <w:t xml:space="preserve"> </w:t>
      </w:r>
      <w:r w:rsidR="006024CB">
        <w:t>co</w:t>
      </w:r>
      <w:r w:rsidR="006024CB">
        <w:noBreakHyphen/>
      </w:r>
      <w:r w:rsidRPr="000A5E90">
        <w:t>benefits, including resource</w:t>
      </w:r>
      <w:r w:rsidRPr="009C1A48">
        <w:t xml:space="preserve"> mobilization, capacity</w:t>
      </w:r>
      <w:r w:rsidR="00B619A9">
        <w:t>-</w:t>
      </w:r>
      <w:r w:rsidRPr="009C1A48">
        <w:t xml:space="preserve">building and cooperation. </w:t>
      </w:r>
    </w:p>
    <w:p w14:paraId="68419975" w14:textId="377D72E7" w:rsidR="00B1215E" w:rsidRPr="009C1A48" w:rsidRDefault="00047C16" w:rsidP="000A04D8">
      <w:pPr>
        <w:pStyle w:val="CH3"/>
      </w:pPr>
      <w:r w:rsidRPr="009C1A48">
        <w:tab/>
      </w:r>
      <w:r w:rsidR="000A04D8" w:rsidRPr="009C1A48">
        <w:t>1.</w:t>
      </w:r>
      <w:r w:rsidRPr="009C1A48">
        <w:tab/>
      </w:r>
      <w:r w:rsidR="00B1215E" w:rsidRPr="009C1A48">
        <w:t>Contribution to the monitoring framework</w:t>
      </w:r>
      <w:r w:rsidR="00B619A9">
        <w:t xml:space="preserve"> of the Kunming-Montreal Global Biodiversity Framework</w:t>
      </w:r>
    </w:p>
    <w:p w14:paraId="37A9176A" w14:textId="345A0BA7" w:rsidR="00B1215E" w:rsidRPr="009C1A48" w:rsidRDefault="00B1215E" w:rsidP="009C1A48">
      <w:pPr>
        <w:pStyle w:val="Normalnumber"/>
        <w:tabs>
          <w:tab w:val="clear" w:pos="1247"/>
          <w:tab w:val="clear" w:pos="1814"/>
          <w:tab w:val="clear" w:pos="2381"/>
          <w:tab w:val="clear" w:pos="2948"/>
          <w:tab w:val="clear" w:pos="3515"/>
          <w:tab w:val="left" w:pos="624"/>
        </w:tabs>
        <w:ind w:left="1247"/>
      </w:pPr>
      <w:r w:rsidRPr="009C1A48">
        <w:t>The purpose of this pillar of the road</w:t>
      </w:r>
      <w:r w:rsidR="00706C3E">
        <w:t xml:space="preserve"> </w:t>
      </w:r>
      <w:r w:rsidRPr="009C1A48">
        <w:t xml:space="preserve">map is to cooperate and continue sharing and exchanging information to fill in the gap under </w:t>
      </w:r>
      <w:r w:rsidR="00097C4A">
        <w:t>t</w:t>
      </w:r>
      <w:r w:rsidRPr="009C1A48">
        <w:t xml:space="preserve">arget 7 of the </w:t>
      </w:r>
      <w:r w:rsidR="00E165DA">
        <w:t>Framework</w:t>
      </w:r>
      <w:r w:rsidR="00E165DA" w:rsidRPr="009C1A48">
        <w:t xml:space="preserve"> </w:t>
      </w:r>
      <w:r w:rsidRPr="009C1A48">
        <w:t xml:space="preserve">to cover highly hazardous chemicals and mercury. </w:t>
      </w:r>
    </w:p>
    <w:p w14:paraId="6CF40549" w14:textId="126FC844" w:rsidR="00B1215E" w:rsidRPr="009C1A48" w:rsidRDefault="00B1215E" w:rsidP="00325A54">
      <w:pPr>
        <w:pStyle w:val="Normalnumber"/>
        <w:tabs>
          <w:tab w:val="clear" w:pos="1247"/>
          <w:tab w:val="clear" w:pos="1814"/>
          <w:tab w:val="clear" w:pos="2381"/>
          <w:tab w:val="clear" w:pos="2948"/>
          <w:tab w:val="clear" w:pos="3515"/>
          <w:tab w:val="left" w:pos="624"/>
        </w:tabs>
        <w:ind w:left="1247"/>
      </w:pPr>
      <w:r w:rsidRPr="009C1A48">
        <w:t>The following are possible actions for this pillar of the road</w:t>
      </w:r>
      <w:r w:rsidR="00B619A9">
        <w:t xml:space="preserve"> </w:t>
      </w:r>
      <w:r w:rsidRPr="009C1A48">
        <w:t>map:</w:t>
      </w:r>
    </w:p>
    <w:p w14:paraId="687BC22B" w14:textId="7A1D4738" w:rsidR="00B1215E" w:rsidRPr="009C1A48" w:rsidRDefault="00B1215E" w:rsidP="00325A54">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9C1A48">
        <w:t xml:space="preserve">Minamata Convention </w:t>
      </w:r>
      <w:r w:rsidR="00E165DA">
        <w:t>national focal points</w:t>
      </w:r>
      <w:r w:rsidR="00E165DA" w:rsidRPr="009C1A48">
        <w:t xml:space="preserve"> </w:t>
      </w:r>
      <w:r w:rsidRPr="009C1A48">
        <w:t xml:space="preserve">to establish contact with the national focal points </w:t>
      </w:r>
      <w:r w:rsidR="00E165DA">
        <w:t>of</w:t>
      </w:r>
      <w:r w:rsidR="00E165DA" w:rsidRPr="009C1A48">
        <w:t xml:space="preserve"> </w:t>
      </w:r>
      <w:r w:rsidRPr="009C1A48">
        <w:t xml:space="preserve">the </w:t>
      </w:r>
      <w:r w:rsidR="00E165DA">
        <w:t>Convention on Biological Diversity</w:t>
      </w:r>
      <w:r w:rsidR="00E165DA" w:rsidRPr="009C1A48">
        <w:t xml:space="preserve"> </w:t>
      </w:r>
      <w:r w:rsidRPr="009C1A48">
        <w:t>(incl</w:t>
      </w:r>
      <w:r w:rsidR="00E165DA">
        <w:t>uding</w:t>
      </w:r>
      <w:r w:rsidRPr="009C1A48">
        <w:t xml:space="preserve"> </w:t>
      </w:r>
      <w:r w:rsidR="00E165DA">
        <w:t xml:space="preserve">the </w:t>
      </w:r>
      <w:r w:rsidR="00E165DA" w:rsidRPr="009C1A48">
        <w:t xml:space="preserve">Subsidiary Body on Scientific, Technical and Technological </w:t>
      </w:r>
      <w:proofErr w:type="gramStart"/>
      <w:r w:rsidR="00E165DA" w:rsidRPr="009C1A48">
        <w:t>Advice</w:t>
      </w:r>
      <w:r w:rsidR="00E165DA" w:rsidRPr="009C1A48" w:rsidDel="00E165DA">
        <w:t xml:space="preserve"> </w:t>
      </w:r>
      <w:r w:rsidRPr="009C1A48">
        <w:t>)</w:t>
      </w:r>
      <w:proofErr w:type="gramEnd"/>
      <w:r w:rsidRPr="009C1A48">
        <w:t xml:space="preserve"> to exchange information on mercury monitoring and </w:t>
      </w:r>
      <w:r w:rsidR="00097C4A">
        <w:t>t</w:t>
      </w:r>
      <w:r w:rsidRPr="009C1A48">
        <w:t>arget 7</w:t>
      </w:r>
      <w:r w:rsidR="00E165DA">
        <w:t xml:space="preserve"> of the Framework</w:t>
      </w:r>
      <w:r w:rsidRPr="009C1A48">
        <w:t xml:space="preserve">; </w:t>
      </w:r>
    </w:p>
    <w:p w14:paraId="6ED4E72D" w14:textId="1FA94341" w:rsidR="00B1215E" w:rsidRPr="009C1A48" w:rsidRDefault="00B1215E" w:rsidP="00325A54">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9C1A48">
        <w:t xml:space="preserve">Minamata Convention </w:t>
      </w:r>
      <w:r w:rsidR="00E165DA">
        <w:t>national focal points</w:t>
      </w:r>
      <w:r w:rsidR="00E165DA" w:rsidRPr="009C1A48">
        <w:t xml:space="preserve"> </w:t>
      </w:r>
      <w:r w:rsidRPr="009C1A48">
        <w:t>and experts to engage</w:t>
      </w:r>
      <w:r w:rsidR="00220CD7" w:rsidRPr="009C1A48">
        <w:t>, as appropriate,</w:t>
      </w:r>
      <w:r w:rsidRPr="009C1A48">
        <w:t xml:space="preserve"> in the work</w:t>
      </w:r>
      <w:r w:rsidR="00E165DA">
        <w:t xml:space="preserve"> of the</w:t>
      </w:r>
      <w:r w:rsidR="00E165DA" w:rsidRPr="00E165DA">
        <w:t xml:space="preserve"> </w:t>
      </w:r>
      <w:r w:rsidR="00E165DA" w:rsidRPr="009C1A48">
        <w:t>Subsidiary Body on Scientific, Technical and Technological Advice</w:t>
      </w:r>
      <w:r w:rsidRPr="009C1A48">
        <w:t xml:space="preserve"> on </w:t>
      </w:r>
      <w:r w:rsidR="00E165DA">
        <w:t>Framework</w:t>
      </w:r>
      <w:r w:rsidR="00E165DA" w:rsidRPr="009C1A48">
        <w:t xml:space="preserve"> </w:t>
      </w:r>
      <w:r w:rsidRPr="009C1A48">
        <w:t>indicators</w:t>
      </w:r>
      <w:r w:rsidR="00220CD7">
        <w:t>,</w:t>
      </w:r>
      <w:r w:rsidRPr="009C1A48">
        <w:t xml:space="preserve"> making use of the knowledge and information from </w:t>
      </w:r>
      <w:r w:rsidR="00220CD7">
        <w:t xml:space="preserve">mercury-related </w:t>
      </w:r>
      <w:r w:rsidRPr="009C1A48">
        <w:t>research</w:t>
      </w:r>
      <w:r w:rsidR="00220CD7">
        <w:t xml:space="preserve"> and</w:t>
      </w:r>
      <w:r w:rsidRPr="009C1A48">
        <w:t xml:space="preserve"> development </w:t>
      </w:r>
      <w:r w:rsidR="00220CD7">
        <w:t xml:space="preserve">work </w:t>
      </w:r>
      <w:r w:rsidRPr="009C1A48">
        <w:t xml:space="preserve">and </w:t>
      </w:r>
      <w:r w:rsidR="00220CD7">
        <w:t xml:space="preserve">mercury </w:t>
      </w:r>
      <w:r w:rsidRPr="009C1A48">
        <w:t>monitoring;</w:t>
      </w:r>
    </w:p>
    <w:p w14:paraId="78B59757" w14:textId="124957D0" w:rsidR="00B1215E" w:rsidRPr="009C1A48" w:rsidRDefault="00B1215E" w:rsidP="00325A54">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9C1A48">
        <w:t>The secretariat to share information on relevant monitoring initiatives under the Minamata Convention with the Executive Secretary</w:t>
      </w:r>
      <w:r w:rsidR="00E165DA">
        <w:t xml:space="preserve"> of the Convention on Biological Diversity,</w:t>
      </w:r>
      <w:r w:rsidRPr="009C1A48">
        <w:t xml:space="preserve"> as indicated in decision 16/31</w:t>
      </w:r>
      <w:r w:rsidR="00E165DA" w:rsidRPr="00E165DA">
        <w:t xml:space="preserve"> </w:t>
      </w:r>
      <w:r w:rsidR="00E165DA">
        <w:t>of the Conference of the Parties to the Convention on Biological Diversity, on the m</w:t>
      </w:r>
      <w:r w:rsidRPr="009C1A48">
        <w:t xml:space="preserve">onitoring framework for the Kunming Montreal Global Biodiversity Framework. </w:t>
      </w:r>
    </w:p>
    <w:p w14:paraId="4F004239" w14:textId="690DAA9A" w:rsidR="00B1215E" w:rsidRPr="009C1A48" w:rsidRDefault="00B1215E" w:rsidP="009C1A48">
      <w:pPr>
        <w:pStyle w:val="Normalnumber"/>
        <w:numPr>
          <w:ilvl w:val="1"/>
          <w:numId w:val="1"/>
        </w:numPr>
        <w:tabs>
          <w:tab w:val="clear" w:pos="1247"/>
          <w:tab w:val="clear" w:pos="1814"/>
          <w:tab w:val="clear" w:pos="2381"/>
          <w:tab w:val="clear" w:pos="2495"/>
          <w:tab w:val="clear" w:pos="2948"/>
          <w:tab w:val="clear" w:pos="3515"/>
          <w:tab w:val="left" w:pos="624"/>
        </w:tabs>
        <w:ind w:left="1247" w:firstLine="624"/>
        <w:rPr>
          <w:rFonts w:asciiTheme="majorBidi" w:hAnsiTheme="majorBidi" w:cstheme="majorBidi"/>
          <w:shd w:val="clear" w:color="auto" w:fill="FFFFFF"/>
        </w:rPr>
      </w:pPr>
      <w:r w:rsidRPr="009C1A48">
        <w:t xml:space="preserve">The secretariat to contribute to the further development and monitoring of </w:t>
      </w:r>
      <w:r w:rsidR="00E165DA">
        <w:t>Framework</w:t>
      </w:r>
      <w:r w:rsidR="00E165DA" w:rsidRPr="009C1A48">
        <w:t xml:space="preserve"> </w:t>
      </w:r>
      <w:r w:rsidRPr="009C1A48">
        <w:t>indicators, as well as indicators for the Global Action Plan on Biodiversity and Health, with information from the effectiveness evaluation of the Minamata Convention</w:t>
      </w:r>
      <w:r w:rsidR="00220CD7">
        <w:t>,</w:t>
      </w:r>
      <w:r w:rsidRPr="009C1A48">
        <w:t xml:space="preserve"> including the scientific report of the Open-ended Scientific Group;</w:t>
      </w:r>
    </w:p>
    <w:p w14:paraId="338298DA" w14:textId="2E111CC8" w:rsidR="00B1215E" w:rsidRPr="009C1A48" w:rsidRDefault="00047C16" w:rsidP="000A04D8">
      <w:pPr>
        <w:pStyle w:val="CH3"/>
      </w:pPr>
      <w:r w:rsidRPr="009C1A48">
        <w:tab/>
      </w:r>
      <w:r w:rsidR="000A04D8" w:rsidRPr="009C1A48">
        <w:t>2.</w:t>
      </w:r>
      <w:r w:rsidRPr="009C1A48">
        <w:tab/>
      </w:r>
      <w:r w:rsidR="0076338B">
        <w:t>Inclusion</w:t>
      </w:r>
      <w:r w:rsidR="0076338B" w:rsidRPr="009C1A48">
        <w:t xml:space="preserve"> </w:t>
      </w:r>
      <w:r w:rsidR="00B1215E" w:rsidRPr="009C1A48">
        <w:t xml:space="preserve">of </w:t>
      </w:r>
      <w:bookmarkStart w:id="10" w:name="_Hlk180262430"/>
      <w:r w:rsidR="00B1215E" w:rsidRPr="009C1A48">
        <w:t xml:space="preserve">mercury reduction </w:t>
      </w:r>
      <w:r w:rsidR="00B1215E" w:rsidRPr="0076338B">
        <w:t xml:space="preserve">actions </w:t>
      </w:r>
      <w:r w:rsidR="0076338B">
        <w:t xml:space="preserve">and targets </w:t>
      </w:r>
      <w:r w:rsidR="00B1215E" w:rsidRPr="009C1A48">
        <w:t xml:space="preserve">in </w:t>
      </w:r>
      <w:r w:rsidR="002166A4">
        <w:t>n</w:t>
      </w:r>
      <w:r w:rsidR="002166A4" w:rsidRPr="009C1A48">
        <w:t xml:space="preserve">ational </w:t>
      </w:r>
      <w:r w:rsidR="002166A4">
        <w:t>b</w:t>
      </w:r>
      <w:r w:rsidR="002166A4" w:rsidRPr="009C1A48">
        <w:t xml:space="preserve">iodiversity </w:t>
      </w:r>
      <w:r w:rsidR="002166A4">
        <w:t>s</w:t>
      </w:r>
      <w:r w:rsidR="002166A4" w:rsidRPr="009C1A48">
        <w:t xml:space="preserve">trategies and </w:t>
      </w:r>
      <w:r w:rsidR="002166A4">
        <w:t>a</w:t>
      </w:r>
      <w:r w:rsidR="002166A4" w:rsidRPr="009C1A48">
        <w:t xml:space="preserve">ction </w:t>
      </w:r>
      <w:r w:rsidR="002166A4">
        <w:t>p</w:t>
      </w:r>
      <w:r w:rsidR="002166A4" w:rsidRPr="009C1A48">
        <w:t>lan</w:t>
      </w:r>
      <w:r w:rsidR="00B1215E" w:rsidRPr="009C1A48">
        <w:t>s and national biodiversity targets</w:t>
      </w:r>
      <w:bookmarkEnd w:id="10"/>
    </w:p>
    <w:p w14:paraId="342EB791" w14:textId="675C6928" w:rsidR="00B1215E" w:rsidRPr="00114D35" w:rsidRDefault="00B1215E" w:rsidP="00325A54">
      <w:pPr>
        <w:pStyle w:val="Normalnumber"/>
        <w:tabs>
          <w:tab w:val="clear" w:pos="1247"/>
          <w:tab w:val="clear" w:pos="1814"/>
          <w:tab w:val="clear" w:pos="2381"/>
          <w:tab w:val="clear" w:pos="2948"/>
          <w:tab w:val="clear" w:pos="3515"/>
          <w:tab w:val="left" w:pos="624"/>
        </w:tabs>
        <w:ind w:left="1247"/>
      </w:pPr>
      <w:r w:rsidRPr="009C1A48">
        <w:t>This pillar of the road</w:t>
      </w:r>
      <w:r w:rsidR="00FB11AE">
        <w:t xml:space="preserve"> </w:t>
      </w:r>
      <w:r w:rsidRPr="009C1A48">
        <w:t xml:space="preserve">map is to </w:t>
      </w:r>
      <w:r w:rsidRPr="00114D35">
        <w:t>promote</w:t>
      </w:r>
      <w:r w:rsidR="003A2F59" w:rsidRPr="00114D35">
        <w:t xml:space="preserve"> parties’</w:t>
      </w:r>
      <w:r w:rsidRPr="00114D35">
        <w:t xml:space="preserve"> integration of mercury reduction </w:t>
      </w:r>
      <w:r w:rsidR="0076338B" w:rsidRPr="00114D35">
        <w:t xml:space="preserve">targets </w:t>
      </w:r>
      <w:r w:rsidRPr="00114D35">
        <w:t xml:space="preserve">into </w:t>
      </w:r>
      <w:r w:rsidR="003A2F59" w:rsidRPr="00114D35">
        <w:t xml:space="preserve">the revision </w:t>
      </w:r>
      <w:r w:rsidRPr="00114D35">
        <w:t>or updating</w:t>
      </w:r>
      <w:r w:rsidR="003A2F59" w:rsidRPr="00114D35">
        <w:t xml:space="preserve"> of</w:t>
      </w:r>
      <w:r w:rsidRPr="00114D35">
        <w:t xml:space="preserve"> their NBSAP</w:t>
      </w:r>
      <w:r w:rsidR="0076338B" w:rsidRPr="00114D35">
        <w:t>s</w:t>
      </w:r>
      <w:r w:rsidRPr="00114D35">
        <w:t xml:space="preserve"> for alignment with the Kunming-Montreal Global Biodiversity Framework and beyond.</w:t>
      </w:r>
    </w:p>
    <w:p w14:paraId="7F44FD61" w14:textId="2AEA5C7B" w:rsidR="00B1215E" w:rsidRPr="009C1A48" w:rsidRDefault="00B1215E" w:rsidP="00325A54">
      <w:pPr>
        <w:pStyle w:val="Normalnumber"/>
        <w:tabs>
          <w:tab w:val="clear" w:pos="1247"/>
          <w:tab w:val="clear" w:pos="1814"/>
          <w:tab w:val="clear" w:pos="2381"/>
          <w:tab w:val="clear" w:pos="2948"/>
          <w:tab w:val="clear" w:pos="3515"/>
          <w:tab w:val="left" w:pos="624"/>
        </w:tabs>
        <w:ind w:left="1247"/>
      </w:pPr>
      <w:r w:rsidRPr="00114D35">
        <w:t>The following are possible national</w:t>
      </w:r>
      <w:r w:rsidR="00D2514B" w:rsidRPr="00114D35">
        <w:t>-</w:t>
      </w:r>
      <w:r w:rsidRPr="00114D35">
        <w:t>level</w:t>
      </w:r>
      <w:r w:rsidRPr="009C1A48">
        <w:t xml:space="preserve"> actions that could be taken by parties and other </w:t>
      </w:r>
      <w:r w:rsidR="003A2F59">
        <w:t>G</w:t>
      </w:r>
      <w:r w:rsidRPr="009C1A48">
        <w:t xml:space="preserve">overnments, </w:t>
      </w:r>
      <w:r w:rsidR="00D2514B">
        <w:t>I</w:t>
      </w:r>
      <w:r w:rsidRPr="009C1A48">
        <w:t xml:space="preserve">ndigenous </w:t>
      </w:r>
      <w:r w:rsidR="00D2514B">
        <w:t>P</w:t>
      </w:r>
      <w:r w:rsidRPr="009C1A48">
        <w:t>eople</w:t>
      </w:r>
      <w:r w:rsidR="00D2514B">
        <w:t>s</w:t>
      </w:r>
      <w:r w:rsidRPr="009C1A48">
        <w:t xml:space="preserve">, local communities and </w:t>
      </w:r>
      <w:r w:rsidR="003A2F59">
        <w:t xml:space="preserve">other </w:t>
      </w:r>
      <w:r w:rsidRPr="009C1A48">
        <w:t>relevant stakeholders, including the private sector</w:t>
      </w:r>
      <w:r w:rsidR="00D2514B">
        <w:t>,</w:t>
      </w:r>
      <w:r w:rsidRPr="009C1A48">
        <w:t xml:space="preserve"> academia, women, children and youth</w:t>
      </w:r>
      <w:r w:rsidR="00A71160">
        <w:t>;</w:t>
      </w:r>
      <w:r w:rsidRPr="009C1A48">
        <w:t xml:space="preserve"> </w:t>
      </w:r>
      <w:r w:rsidR="00A71160">
        <w:t>t</w:t>
      </w:r>
      <w:r w:rsidRPr="009C1A48">
        <w:t>he</w:t>
      </w:r>
      <w:r w:rsidR="003A2F59">
        <w:t>y</w:t>
      </w:r>
      <w:r w:rsidRPr="009C1A48">
        <w:t xml:space="preserve"> are interrelated and </w:t>
      </w:r>
      <w:r w:rsidR="00D2514B">
        <w:t>could</w:t>
      </w:r>
      <w:r w:rsidR="00D2514B" w:rsidRPr="009C1A48">
        <w:t xml:space="preserve"> </w:t>
      </w:r>
      <w:r w:rsidRPr="009C1A48">
        <w:t>be carried out sequentially or iteratively:</w:t>
      </w:r>
    </w:p>
    <w:p w14:paraId="14B96BED" w14:textId="75037189" w:rsidR="00B1215E" w:rsidRPr="009C1A48" w:rsidRDefault="00B1215E" w:rsidP="00B1215E">
      <w:pPr>
        <w:pStyle w:val="Normalnumber"/>
        <w:numPr>
          <w:ilvl w:val="1"/>
          <w:numId w:val="16"/>
        </w:numPr>
        <w:tabs>
          <w:tab w:val="left" w:pos="4082"/>
        </w:tabs>
        <w:rPr>
          <w:rFonts w:asciiTheme="majorBidi" w:hAnsiTheme="majorBidi" w:cstheme="majorBidi"/>
          <w:shd w:val="clear" w:color="auto" w:fill="FFFFFF"/>
        </w:rPr>
      </w:pPr>
      <w:r w:rsidRPr="009C1A48">
        <w:rPr>
          <w:rFonts w:asciiTheme="majorBidi" w:hAnsiTheme="majorBidi" w:cstheme="majorBidi"/>
        </w:rPr>
        <w:t xml:space="preserve">Establish contact with the national focal points </w:t>
      </w:r>
      <w:r w:rsidR="00D2514B">
        <w:rPr>
          <w:rFonts w:asciiTheme="majorBidi" w:hAnsiTheme="majorBidi" w:cstheme="majorBidi"/>
        </w:rPr>
        <w:t>of</w:t>
      </w:r>
      <w:r w:rsidR="00D2514B" w:rsidRPr="009C1A48">
        <w:rPr>
          <w:rFonts w:asciiTheme="majorBidi" w:hAnsiTheme="majorBidi" w:cstheme="majorBidi"/>
        </w:rPr>
        <w:t xml:space="preserve"> </w:t>
      </w:r>
      <w:r w:rsidRPr="009C1A48">
        <w:rPr>
          <w:rFonts w:asciiTheme="majorBidi" w:hAnsiTheme="majorBidi" w:cstheme="majorBidi"/>
        </w:rPr>
        <w:t xml:space="preserve">the </w:t>
      </w:r>
      <w:r w:rsidR="005470A7" w:rsidRPr="005470A7">
        <w:rPr>
          <w:rFonts w:asciiTheme="majorBidi" w:hAnsiTheme="majorBidi" w:cstheme="majorBidi"/>
        </w:rPr>
        <w:t>Convention on Biological Diversity</w:t>
      </w:r>
      <w:r w:rsidR="005470A7">
        <w:rPr>
          <w:rFonts w:asciiTheme="majorBidi" w:hAnsiTheme="majorBidi" w:cstheme="majorBidi"/>
        </w:rPr>
        <w:t xml:space="preserve"> </w:t>
      </w:r>
      <w:r w:rsidRPr="009C1A48">
        <w:rPr>
          <w:rFonts w:asciiTheme="majorBidi" w:hAnsiTheme="majorBidi" w:cstheme="majorBidi"/>
        </w:rPr>
        <w:t>(incl</w:t>
      </w:r>
      <w:r w:rsidR="005470A7">
        <w:rPr>
          <w:rFonts w:asciiTheme="majorBidi" w:hAnsiTheme="majorBidi" w:cstheme="majorBidi"/>
        </w:rPr>
        <w:t>uding the</w:t>
      </w:r>
      <w:r w:rsidRPr="009C1A48">
        <w:rPr>
          <w:rFonts w:asciiTheme="majorBidi" w:hAnsiTheme="majorBidi" w:cstheme="majorBidi"/>
        </w:rPr>
        <w:t xml:space="preserve"> </w:t>
      </w:r>
      <w:r w:rsidR="00E165DA" w:rsidRPr="009C1A48">
        <w:t>Subsidiary Body on Scientific, Technical and Technological Advice</w:t>
      </w:r>
      <w:r w:rsidRPr="009C1A48">
        <w:rPr>
          <w:rFonts w:asciiTheme="majorBidi" w:hAnsiTheme="majorBidi" w:cstheme="majorBidi"/>
        </w:rPr>
        <w:t xml:space="preserve">) and the operational focal points </w:t>
      </w:r>
      <w:r w:rsidR="00D2514B">
        <w:rPr>
          <w:rFonts w:asciiTheme="majorBidi" w:hAnsiTheme="majorBidi" w:cstheme="majorBidi"/>
        </w:rPr>
        <w:t>of</w:t>
      </w:r>
      <w:r w:rsidR="00D2514B" w:rsidRPr="009C1A48">
        <w:rPr>
          <w:rFonts w:asciiTheme="majorBidi" w:hAnsiTheme="majorBidi" w:cstheme="majorBidi"/>
        </w:rPr>
        <w:t xml:space="preserve"> </w:t>
      </w:r>
      <w:r w:rsidRPr="009C1A48">
        <w:rPr>
          <w:rFonts w:asciiTheme="majorBidi" w:hAnsiTheme="majorBidi" w:cstheme="majorBidi"/>
        </w:rPr>
        <w:t xml:space="preserve">the Global Environment Facility, as appropriate, </w:t>
      </w:r>
      <w:r w:rsidR="00D2514B">
        <w:rPr>
          <w:rFonts w:asciiTheme="majorBidi" w:hAnsiTheme="majorBidi" w:cstheme="majorBidi"/>
        </w:rPr>
        <w:t>to</w:t>
      </w:r>
      <w:r w:rsidR="00D2514B" w:rsidRPr="009C1A48">
        <w:rPr>
          <w:rFonts w:asciiTheme="majorBidi" w:hAnsiTheme="majorBidi" w:cstheme="majorBidi"/>
        </w:rPr>
        <w:t xml:space="preserve"> </w:t>
      </w:r>
      <w:r w:rsidRPr="009C1A48">
        <w:rPr>
          <w:rFonts w:asciiTheme="majorBidi" w:hAnsiTheme="majorBidi" w:cstheme="majorBidi"/>
        </w:rPr>
        <w:t>agree on next steps</w:t>
      </w:r>
      <w:r w:rsidR="00D03F67">
        <w:rPr>
          <w:rFonts w:asciiTheme="majorBidi" w:hAnsiTheme="majorBidi" w:cstheme="majorBidi"/>
        </w:rPr>
        <w:t>;</w:t>
      </w:r>
      <w:r w:rsidRPr="009C1A48">
        <w:rPr>
          <w:rFonts w:asciiTheme="majorBidi" w:hAnsiTheme="majorBidi" w:cstheme="majorBidi"/>
        </w:rPr>
        <w:t xml:space="preserve"> </w:t>
      </w:r>
    </w:p>
    <w:p w14:paraId="286E15FA" w14:textId="355E760E" w:rsidR="00B1215E" w:rsidRPr="009C1A48" w:rsidRDefault="00B1215E" w:rsidP="00B1215E">
      <w:pPr>
        <w:pStyle w:val="Normalnumber"/>
        <w:numPr>
          <w:ilvl w:val="1"/>
          <w:numId w:val="16"/>
        </w:numPr>
        <w:tabs>
          <w:tab w:val="left" w:pos="4082"/>
        </w:tabs>
        <w:rPr>
          <w:rFonts w:asciiTheme="majorBidi" w:hAnsiTheme="majorBidi" w:cstheme="majorBidi"/>
          <w:shd w:val="clear" w:color="auto" w:fill="FFFFFF"/>
        </w:rPr>
      </w:pPr>
      <w:r w:rsidRPr="009C1A48">
        <w:rPr>
          <w:rFonts w:asciiTheme="majorBidi" w:hAnsiTheme="majorBidi" w:cstheme="majorBidi"/>
          <w:shd w:val="clear" w:color="auto" w:fill="FFFFFF"/>
        </w:rPr>
        <w:t xml:space="preserve">Carry out consultations </w:t>
      </w:r>
      <w:r w:rsidR="00D2514B">
        <w:rPr>
          <w:rFonts w:asciiTheme="majorBidi" w:hAnsiTheme="majorBidi" w:cstheme="majorBidi"/>
          <w:shd w:val="clear" w:color="auto" w:fill="FFFFFF"/>
        </w:rPr>
        <w:t>with</w:t>
      </w:r>
      <w:r w:rsidR="00D2514B" w:rsidRPr="009C1A48">
        <w:rPr>
          <w:rFonts w:asciiTheme="majorBidi" w:hAnsiTheme="majorBidi" w:cstheme="majorBidi"/>
          <w:shd w:val="clear" w:color="auto" w:fill="FFFFFF"/>
        </w:rPr>
        <w:t xml:space="preserve"> </w:t>
      </w:r>
      <w:r w:rsidRPr="009C1A48">
        <w:rPr>
          <w:rFonts w:asciiTheme="majorBidi" w:hAnsiTheme="majorBidi" w:cstheme="majorBidi"/>
          <w:shd w:val="clear" w:color="auto" w:fill="FFFFFF"/>
        </w:rPr>
        <w:t>experts</w:t>
      </w:r>
      <w:r w:rsidR="00D2514B">
        <w:rPr>
          <w:rFonts w:asciiTheme="majorBidi" w:hAnsiTheme="majorBidi" w:cstheme="majorBidi"/>
          <w:shd w:val="clear" w:color="auto" w:fill="FFFFFF"/>
        </w:rPr>
        <w:t xml:space="preserve"> and</w:t>
      </w:r>
      <w:r w:rsidRPr="009C1A48">
        <w:rPr>
          <w:rFonts w:asciiTheme="majorBidi" w:hAnsiTheme="majorBidi" w:cstheme="majorBidi"/>
          <w:shd w:val="clear" w:color="auto" w:fill="FFFFFF"/>
        </w:rPr>
        <w:t xml:space="preserve"> </w:t>
      </w:r>
      <w:r w:rsidR="00D2514B">
        <w:rPr>
          <w:rFonts w:asciiTheme="majorBidi" w:hAnsiTheme="majorBidi" w:cstheme="majorBidi"/>
          <w:shd w:val="clear" w:color="auto" w:fill="FFFFFF"/>
        </w:rPr>
        <w:t>I</w:t>
      </w:r>
      <w:r w:rsidRPr="009C1A48">
        <w:rPr>
          <w:rFonts w:asciiTheme="majorBidi" w:hAnsiTheme="majorBidi" w:cstheme="majorBidi"/>
          <w:shd w:val="clear" w:color="auto" w:fill="FFFFFF"/>
        </w:rPr>
        <w:t xml:space="preserve">ndigenous </w:t>
      </w:r>
      <w:r w:rsidR="00D2514B">
        <w:rPr>
          <w:rFonts w:asciiTheme="majorBidi" w:hAnsiTheme="majorBidi" w:cstheme="majorBidi"/>
          <w:shd w:val="clear" w:color="auto" w:fill="FFFFFF"/>
        </w:rPr>
        <w:t>P</w:t>
      </w:r>
      <w:r w:rsidRPr="009C1A48">
        <w:rPr>
          <w:rFonts w:asciiTheme="majorBidi" w:hAnsiTheme="majorBidi" w:cstheme="majorBidi"/>
          <w:shd w:val="clear" w:color="auto" w:fill="FFFFFF"/>
        </w:rPr>
        <w:t>eoples, local communities and other relevant stakeholders, including women and youth</w:t>
      </w:r>
      <w:r w:rsidR="00D2514B">
        <w:rPr>
          <w:rFonts w:asciiTheme="majorBidi" w:hAnsiTheme="majorBidi" w:cstheme="majorBidi"/>
          <w:shd w:val="clear" w:color="auto" w:fill="FFFFFF"/>
        </w:rPr>
        <w:t>,</w:t>
      </w:r>
      <w:r w:rsidRPr="009C1A48">
        <w:rPr>
          <w:rFonts w:asciiTheme="majorBidi" w:hAnsiTheme="majorBidi" w:cstheme="majorBidi"/>
          <w:shd w:val="clear" w:color="auto" w:fill="FFFFFF"/>
        </w:rPr>
        <w:t xml:space="preserve"> </w:t>
      </w:r>
      <w:r w:rsidR="00D2514B">
        <w:rPr>
          <w:rFonts w:asciiTheme="majorBidi" w:hAnsiTheme="majorBidi" w:cstheme="majorBidi"/>
          <w:shd w:val="clear" w:color="auto" w:fill="FFFFFF"/>
        </w:rPr>
        <w:t>on</w:t>
      </w:r>
      <w:r w:rsidR="00D2514B" w:rsidRPr="009C1A48">
        <w:rPr>
          <w:rFonts w:asciiTheme="majorBidi" w:hAnsiTheme="majorBidi" w:cstheme="majorBidi"/>
          <w:shd w:val="clear" w:color="auto" w:fill="FFFFFF"/>
        </w:rPr>
        <w:t xml:space="preserve"> </w:t>
      </w:r>
      <w:r w:rsidR="00D2514B">
        <w:rPr>
          <w:rFonts w:asciiTheme="majorBidi" w:hAnsiTheme="majorBidi" w:cstheme="majorBidi"/>
          <w:shd w:val="clear" w:color="auto" w:fill="FFFFFF"/>
        </w:rPr>
        <w:t>various</w:t>
      </w:r>
      <w:r w:rsidR="00D2514B" w:rsidRPr="009C1A48">
        <w:rPr>
          <w:rFonts w:asciiTheme="majorBidi" w:hAnsiTheme="majorBidi" w:cstheme="majorBidi"/>
          <w:shd w:val="clear" w:color="auto" w:fill="FFFFFF"/>
        </w:rPr>
        <w:t xml:space="preserve"> </w:t>
      </w:r>
      <w:r w:rsidRPr="009C1A48">
        <w:rPr>
          <w:rFonts w:asciiTheme="majorBidi" w:hAnsiTheme="majorBidi" w:cstheme="majorBidi"/>
          <w:shd w:val="clear" w:color="auto" w:fill="FFFFFF"/>
        </w:rPr>
        <w:t xml:space="preserve">aspects of the implementation of the Minamata Convention to identify priorities for action and means of implementation at </w:t>
      </w:r>
      <w:r w:rsidR="00D2514B">
        <w:rPr>
          <w:rFonts w:asciiTheme="majorBidi" w:hAnsiTheme="majorBidi" w:cstheme="majorBidi"/>
          <w:shd w:val="clear" w:color="auto" w:fill="FFFFFF"/>
        </w:rPr>
        <w:t xml:space="preserve">the </w:t>
      </w:r>
      <w:r w:rsidRPr="009C1A48">
        <w:rPr>
          <w:rFonts w:asciiTheme="majorBidi" w:hAnsiTheme="majorBidi" w:cstheme="majorBidi"/>
          <w:shd w:val="clear" w:color="auto" w:fill="FFFFFF"/>
        </w:rPr>
        <w:t>national level</w:t>
      </w:r>
      <w:r w:rsidR="00D03F67">
        <w:rPr>
          <w:rFonts w:asciiTheme="majorBidi" w:hAnsiTheme="majorBidi" w:cstheme="majorBidi"/>
          <w:shd w:val="clear" w:color="auto" w:fill="FFFFFF"/>
        </w:rPr>
        <w:t>;</w:t>
      </w:r>
    </w:p>
    <w:p w14:paraId="224DD81C" w14:textId="05A098B9" w:rsidR="00B1215E" w:rsidRPr="009C1A48" w:rsidRDefault="00B1215E" w:rsidP="00B1215E">
      <w:pPr>
        <w:pStyle w:val="Normalnumber"/>
        <w:numPr>
          <w:ilvl w:val="1"/>
          <w:numId w:val="16"/>
        </w:numPr>
        <w:tabs>
          <w:tab w:val="left" w:pos="4082"/>
        </w:tabs>
        <w:rPr>
          <w:rFonts w:asciiTheme="majorBidi" w:hAnsiTheme="majorBidi" w:cstheme="majorBidi"/>
          <w:shd w:val="clear" w:color="auto" w:fill="FFFFFF"/>
        </w:rPr>
      </w:pPr>
      <w:r w:rsidRPr="009C1A48">
        <w:rPr>
          <w:rFonts w:asciiTheme="majorBidi" w:hAnsiTheme="majorBidi" w:cstheme="majorBidi"/>
          <w:shd w:val="clear" w:color="auto" w:fill="FFFFFF"/>
        </w:rPr>
        <w:t>Take stock</w:t>
      </w:r>
      <w:r w:rsidR="00D2514B">
        <w:rPr>
          <w:rFonts w:asciiTheme="majorBidi" w:hAnsiTheme="majorBidi" w:cstheme="majorBidi"/>
          <w:shd w:val="clear" w:color="auto" w:fill="FFFFFF"/>
        </w:rPr>
        <w:t xml:space="preserve"> of</w:t>
      </w:r>
      <w:r w:rsidRPr="009C1A48">
        <w:rPr>
          <w:rFonts w:asciiTheme="majorBidi" w:hAnsiTheme="majorBidi" w:cstheme="majorBidi"/>
          <w:shd w:val="clear" w:color="auto" w:fill="FFFFFF"/>
        </w:rPr>
        <w:t xml:space="preserve"> and summarize the current situation, at </w:t>
      </w:r>
      <w:r w:rsidR="00D2514B">
        <w:rPr>
          <w:rFonts w:asciiTheme="majorBidi" w:hAnsiTheme="majorBidi" w:cstheme="majorBidi"/>
          <w:shd w:val="clear" w:color="auto" w:fill="FFFFFF"/>
        </w:rPr>
        <w:t xml:space="preserve">the </w:t>
      </w:r>
      <w:r w:rsidRPr="009C1A48">
        <w:rPr>
          <w:rFonts w:asciiTheme="majorBidi" w:hAnsiTheme="majorBidi" w:cstheme="majorBidi"/>
          <w:shd w:val="clear" w:color="auto" w:fill="FFFFFF"/>
        </w:rPr>
        <w:t xml:space="preserve">national and subnational levels, as appropriate, concerning the identified priorities, utilizing Minamata Initial Assessments, existing </w:t>
      </w:r>
      <w:r w:rsidR="002E7777">
        <w:rPr>
          <w:rFonts w:asciiTheme="majorBidi" w:hAnsiTheme="majorBidi" w:cstheme="majorBidi"/>
          <w:shd w:val="clear" w:color="auto" w:fill="FFFFFF"/>
        </w:rPr>
        <w:t>n</w:t>
      </w:r>
      <w:r w:rsidRPr="009C1A48">
        <w:rPr>
          <w:rFonts w:asciiTheme="majorBidi" w:hAnsiTheme="majorBidi" w:cstheme="majorBidi"/>
          <w:shd w:val="clear" w:color="auto" w:fill="FFFFFF"/>
        </w:rPr>
        <w:t xml:space="preserve">ational </w:t>
      </w:r>
      <w:r w:rsidR="002E7777">
        <w:rPr>
          <w:rFonts w:asciiTheme="majorBidi" w:hAnsiTheme="majorBidi" w:cstheme="majorBidi"/>
          <w:shd w:val="clear" w:color="auto" w:fill="FFFFFF"/>
        </w:rPr>
        <w:t>a</w:t>
      </w:r>
      <w:r w:rsidRPr="009C1A48">
        <w:rPr>
          <w:rFonts w:asciiTheme="majorBidi" w:hAnsiTheme="majorBidi" w:cstheme="majorBidi"/>
          <w:shd w:val="clear" w:color="auto" w:fill="FFFFFF"/>
        </w:rPr>
        <w:t xml:space="preserve">ction </w:t>
      </w:r>
      <w:r w:rsidR="002E7777">
        <w:rPr>
          <w:rFonts w:asciiTheme="majorBidi" w:hAnsiTheme="majorBidi" w:cstheme="majorBidi"/>
          <w:shd w:val="clear" w:color="auto" w:fill="FFFFFF"/>
        </w:rPr>
        <w:t>p</w:t>
      </w:r>
      <w:r w:rsidRPr="009C1A48">
        <w:rPr>
          <w:rFonts w:asciiTheme="majorBidi" w:hAnsiTheme="majorBidi" w:cstheme="majorBidi"/>
          <w:shd w:val="clear" w:color="auto" w:fill="FFFFFF"/>
        </w:rPr>
        <w:t xml:space="preserve">lans for </w:t>
      </w:r>
      <w:r w:rsidR="002E7777">
        <w:rPr>
          <w:rFonts w:asciiTheme="majorBidi" w:hAnsiTheme="majorBidi" w:cstheme="majorBidi"/>
          <w:shd w:val="clear" w:color="auto" w:fill="FFFFFF"/>
        </w:rPr>
        <w:t>a</w:t>
      </w:r>
      <w:r w:rsidRPr="009C1A48">
        <w:rPr>
          <w:rFonts w:asciiTheme="majorBidi" w:hAnsiTheme="majorBidi" w:cstheme="majorBidi"/>
          <w:shd w:val="clear" w:color="auto" w:fill="FFFFFF"/>
        </w:rPr>
        <w:t xml:space="preserve">rtisanal and </w:t>
      </w:r>
      <w:r w:rsidR="002E7777">
        <w:rPr>
          <w:rFonts w:asciiTheme="majorBidi" w:hAnsiTheme="majorBidi" w:cstheme="majorBidi"/>
          <w:shd w:val="clear" w:color="auto" w:fill="FFFFFF"/>
        </w:rPr>
        <w:t>s</w:t>
      </w:r>
      <w:r w:rsidRPr="009C1A48">
        <w:rPr>
          <w:rFonts w:asciiTheme="majorBidi" w:hAnsiTheme="majorBidi" w:cstheme="majorBidi"/>
          <w:shd w:val="clear" w:color="auto" w:fill="FFFFFF"/>
        </w:rPr>
        <w:t xml:space="preserve">mall-scale </w:t>
      </w:r>
      <w:r w:rsidR="002E7777">
        <w:rPr>
          <w:rFonts w:asciiTheme="majorBidi" w:hAnsiTheme="majorBidi" w:cstheme="majorBidi"/>
          <w:shd w:val="clear" w:color="auto" w:fill="FFFFFF"/>
        </w:rPr>
        <w:t>g</w:t>
      </w:r>
      <w:r w:rsidRPr="009C1A48">
        <w:rPr>
          <w:rFonts w:asciiTheme="majorBidi" w:hAnsiTheme="majorBidi" w:cstheme="majorBidi"/>
          <w:shd w:val="clear" w:color="auto" w:fill="FFFFFF"/>
        </w:rPr>
        <w:t xml:space="preserve">old </w:t>
      </w:r>
      <w:r w:rsidR="002E7777">
        <w:rPr>
          <w:rFonts w:asciiTheme="majorBidi" w:hAnsiTheme="majorBidi" w:cstheme="majorBidi"/>
          <w:shd w:val="clear" w:color="auto" w:fill="FFFFFF"/>
        </w:rPr>
        <w:t>m</w:t>
      </w:r>
      <w:r w:rsidRPr="009C1A48">
        <w:rPr>
          <w:rFonts w:asciiTheme="majorBidi" w:hAnsiTheme="majorBidi" w:cstheme="majorBidi"/>
          <w:shd w:val="clear" w:color="auto" w:fill="FFFFFF"/>
        </w:rPr>
        <w:t>ining</w:t>
      </w:r>
      <w:r w:rsidR="00DE3DD3">
        <w:rPr>
          <w:rFonts w:asciiTheme="majorBidi" w:hAnsiTheme="majorBidi" w:cstheme="majorBidi"/>
          <w:shd w:val="clear" w:color="auto" w:fill="FFFFFF"/>
        </w:rPr>
        <w:t>,</w:t>
      </w:r>
      <w:r w:rsidRPr="009C1A48">
        <w:rPr>
          <w:rFonts w:asciiTheme="majorBidi" w:hAnsiTheme="majorBidi" w:cstheme="majorBidi"/>
          <w:shd w:val="clear" w:color="auto" w:fill="FFFFFF"/>
        </w:rPr>
        <w:t xml:space="preserve"> and other documents to identify sources of mercury and planned activities for mercury reduction</w:t>
      </w:r>
      <w:r w:rsidR="00D03F67">
        <w:rPr>
          <w:rFonts w:asciiTheme="majorBidi" w:hAnsiTheme="majorBidi" w:cstheme="majorBidi"/>
          <w:shd w:val="clear" w:color="auto" w:fill="FFFFFF"/>
        </w:rPr>
        <w:t>;</w:t>
      </w:r>
    </w:p>
    <w:p w14:paraId="1F687E2B" w14:textId="31890C67" w:rsidR="00B1215E" w:rsidRPr="009C1A48" w:rsidRDefault="00B1215E" w:rsidP="00B1215E">
      <w:pPr>
        <w:pStyle w:val="Normalnumber"/>
        <w:numPr>
          <w:ilvl w:val="1"/>
          <w:numId w:val="16"/>
        </w:numPr>
        <w:tabs>
          <w:tab w:val="left" w:pos="4082"/>
        </w:tabs>
        <w:rPr>
          <w:rFonts w:asciiTheme="majorBidi" w:hAnsiTheme="majorBidi" w:cstheme="majorBidi"/>
        </w:rPr>
      </w:pPr>
      <w:r w:rsidRPr="009C1A48">
        <w:rPr>
          <w:rFonts w:asciiTheme="majorBidi" w:hAnsiTheme="majorBidi" w:cstheme="majorBidi"/>
          <w:shd w:val="clear" w:color="auto" w:fill="FFFFFF"/>
        </w:rPr>
        <w:lastRenderedPageBreak/>
        <w:t>Create</w:t>
      </w:r>
      <w:r w:rsidRPr="009C1A48">
        <w:rPr>
          <w:rFonts w:asciiTheme="majorBidi" w:hAnsiTheme="majorBidi" w:cstheme="majorBidi"/>
        </w:rPr>
        <w:t xml:space="preserve"> a national planning process for the synergistic implementation of the Minamata Convention and </w:t>
      </w:r>
      <w:r w:rsidR="005470A7">
        <w:rPr>
          <w:rFonts w:asciiTheme="majorBidi" w:hAnsiTheme="majorBidi" w:cstheme="majorBidi"/>
        </w:rPr>
        <w:t xml:space="preserve">the </w:t>
      </w:r>
      <w:r w:rsidR="005470A7" w:rsidRPr="005470A7">
        <w:rPr>
          <w:rFonts w:asciiTheme="majorBidi" w:hAnsiTheme="majorBidi" w:cstheme="majorBidi"/>
        </w:rPr>
        <w:t>Convention on Biological Diversity</w:t>
      </w:r>
      <w:r w:rsidRPr="009C1A48">
        <w:rPr>
          <w:rFonts w:asciiTheme="majorBidi" w:hAnsiTheme="majorBidi" w:cstheme="majorBidi"/>
        </w:rPr>
        <w:t xml:space="preserve">, including </w:t>
      </w:r>
      <w:r w:rsidR="002E7777">
        <w:rPr>
          <w:rFonts w:asciiTheme="majorBidi" w:hAnsiTheme="majorBidi" w:cstheme="majorBidi"/>
        </w:rPr>
        <w:t xml:space="preserve">the </w:t>
      </w:r>
      <w:r w:rsidR="00D2514B">
        <w:rPr>
          <w:rFonts w:asciiTheme="majorBidi" w:hAnsiTheme="majorBidi" w:cstheme="majorBidi"/>
        </w:rPr>
        <w:t xml:space="preserve">Kunming-Montreal Global Biodiversity </w:t>
      </w:r>
      <w:r w:rsidR="002E7777">
        <w:rPr>
          <w:rFonts w:asciiTheme="majorBidi" w:hAnsiTheme="majorBidi" w:cstheme="majorBidi"/>
        </w:rPr>
        <w:t>Framework</w:t>
      </w:r>
      <w:r w:rsidRPr="009C1A48">
        <w:rPr>
          <w:rFonts w:asciiTheme="majorBidi" w:hAnsiTheme="majorBidi" w:cstheme="majorBidi"/>
        </w:rPr>
        <w:t>, to identify reduction priorities for mercury use, emissions and releases and decontamination and restoration, as appropriate</w:t>
      </w:r>
      <w:r w:rsidR="00D2514B">
        <w:rPr>
          <w:rFonts w:asciiTheme="majorBidi" w:hAnsiTheme="majorBidi" w:cstheme="majorBidi"/>
        </w:rPr>
        <w:t>,</w:t>
      </w:r>
      <w:r w:rsidR="006C45D2">
        <w:rPr>
          <w:rStyle w:val="FootnoteReference"/>
          <w:rFonts w:cstheme="majorBidi"/>
        </w:rPr>
        <w:footnoteReference w:id="11"/>
      </w:r>
      <w:r w:rsidRPr="009C1A48">
        <w:rPr>
          <w:rFonts w:asciiTheme="majorBidi" w:hAnsiTheme="majorBidi" w:cstheme="majorBidi"/>
        </w:rPr>
        <w:t xml:space="preserve"> </w:t>
      </w:r>
      <w:r w:rsidR="00A71160" w:rsidRPr="009C1A48">
        <w:rPr>
          <w:rFonts w:asciiTheme="majorBidi" w:hAnsiTheme="majorBidi" w:cstheme="majorBidi"/>
        </w:rPr>
        <w:t xml:space="preserve">and mainstream </w:t>
      </w:r>
      <w:r w:rsidR="00A71160">
        <w:rPr>
          <w:rFonts w:asciiTheme="majorBidi" w:hAnsiTheme="majorBidi" w:cstheme="majorBidi"/>
        </w:rPr>
        <w:t xml:space="preserve">them </w:t>
      </w:r>
      <w:r w:rsidRPr="009C1A48">
        <w:rPr>
          <w:rFonts w:asciiTheme="majorBidi" w:hAnsiTheme="majorBidi" w:cstheme="majorBidi"/>
        </w:rPr>
        <w:t>into the NBSAP process</w:t>
      </w:r>
      <w:r w:rsidR="00D2514B">
        <w:rPr>
          <w:rFonts w:asciiTheme="majorBidi" w:hAnsiTheme="majorBidi" w:cstheme="majorBidi"/>
        </w:rPr>
        <w:t>,</w:t>
      </w:r>
      <w:r w:rsidRPr="009C1A48">
        <w:rPr>
          <w:rFonts w:asciiTheme="majorBidi" w:hAnsiTheme="majorBidi" w:cstheme="majorBidi"/>
        </w:rPr>
        <w:t xml:space="preserve"> and p</w:t>
      </w:r>
      <w:r w:rsidRPr="009C1A48">
        <w:rPr>
          <w:rFonts w:asciiTheme="majorBidi" w:hAnsiTheme="majorBidi" w:cstheme="majorBidi"/>
          <w:shd w:val="clear" w:color="auto" w:fill="FFFFFF"/>
        </w:rPr>
        <w:t>ropose complementary indicators related to th</w:t>
      </w:r>
      <w:r w:rsidR="00A71160">
        <w:rPr>
          <w:rFonts w:asciiTheme="majorBidi" w:hAnsiTheme="majorBidi" w:cstheme="majorBidi"/>
          <w:shd w:val="clear" w:color="auto" w:fill="FFFFFF"/>
        </w:rPr>
        <w:t>ose</w:t>
      </w:r>
      <w:r w:rsidRPr="009C1A48">
        <w:rPr>
          <w:rFonts w:asciiTheme="majorBidi" w:hAnsiTheme="majorBidi" w:cstheme="majorBidi"/>
          <w:shd w:val="clear" w:color="auto" w:fill="FFFFFF"/>
        </w:rPr>
        <w:t xml:space="preserve"> priorities.</w:t>
      </w:r>
    </w:p>
    <w:p w14:paraId="06BD02DA" w14:textId="553413DC" w:rsidR="00B1215E" w:rsidRPr="009C1A48" w:rsidRDefault="00047C16" w:rsidP="00047C16">
      <w:pPr>
        <w:pStyle w:val="CH3"/>
      </w:pPr>
      <w:r w:rsidRPr="009C1A48">
        <w:rPr>
          <w:shd w:val="clear" w:color="auto" w:fill="FFFFFF"/>
        </w:rPr>
        <w:tab/>
      </w:r>
      <w:r w:rsidR="000A04D8" w:rsidRPr="009C1A48">
        <w:rPr>
          <w:shd w:val="clear" w:color="auto" w:fill="FFFFFF"/>
        </w:rPr>
        <w:t>3.</w:t>
      </w:r>
      <w:r w:rsidRPr="009C1A48">
        <w:rPr>
          <w:shd w:val="clear" w:color="auto" w:fill="FFFFFF"/>
        </w:rPr>
        <w:tab/>
      </w:r>
      <w:r w:rsidR="00B1215E" w:rsidRPr="009C1A48">
        <w:rPr>
          <w:shd w:val="clear" w:color="auto" w:fill="FFFFFF"/>
        </w:rPr>
        <w:t>Creati</w:t>
      </w:r>
      <w:r w:rsidR="00D2514B">
        <w:rPr>
          <w:shd w:val="clear" w:color="auto" w:fill="FFFFFF"/>
        </w:rPr>
        <w:t>on of</w:t>
      </w:r>
      <w:r w:rsidR="00B1215E" w:rsidRPr="009C1A48">
        <w:rPr>
          <w:shd w:val="clear" w:color="auto" w:fill="FFFFFF"/>
        </w:rPr>
        <w:t xml:space="preserve"> an enabling environment </w:t>
      </w:r>
      <w:r w:rsidR="00B619A9">
        <w:rPr>
          <w:shd w:val="clear" w:color="auto" w:fill="FFFFFF"/>
        </w:rPr>
        <w:t>for</w:t>
      </w:r>
      <w:r w:rsidR="00B619A9" w:rsidRPr="009C1A48">
        <w:rPr>
          <w:shd w:val="clear" w:color="auto" w:fill="FFFFFF"/>
        </w:rPr>
        <w:t xml:space="preserve"> </w:t>
      </w:r>
      <w:r w:rsidR="00B1215E" w:rsidRPr="009C1A48">
        <w:rPr>
          <w:shd w:val="clear" w:color="auto" w:fill="FFFFFF"/>
        </w:rPr>
        <w:t>enhanc</w:t>
      </w:r>
      <w:r w:rsidR="00B619A9">
        <w:rPr>
          <w:shd w:val="clear" w:color="auto" w:fill="FFFFFF"/>
        </w:rPr>
        <w:t>ed</w:t>
      </w:r>
      <w:r w:rsidR="00B1215E" w:rsidRPr="009C1A48">
        <w:rPr>
          <w:shd w:val="clear" w:color="auto" w:fill="FFFFFF"/>
        </w:rPr>
        <w:t xml:space="preserve"> </w:t>
      </w:r>
      <w:r w:rsidR="00D2514B">
        <w:rPr>
          <w:shd w:val="clear" w:color="auto" w:fill="FFFFFF"/>
        </w:rPr>
        <w:t>co-</w:t>
      </w:r>
      <w:r w:rsidR="00B1215E" w:rsidRPr="009C1A48">
        <w:rPr>
          <w:shd w:val="clear" w:color="auto" w:fill="FFFFFF"/>
        </w:rPr>
        <w:t>benefits</w:t>
      </w:r>
    </w:p>
    <w:p w14:paraId="1C2326C3" w14:textId="1593EFDD" w:rsidR="00B1215E" w:rsidRPr="009C1A48" w:rsidRDefault="00B1215E" w:rsidP="00325A54">
      <w:pPr>
        <w:pStyle w:val="Normalnumber"/>
        <w:tabs>
          <w:tab w:val="clear" w:pos="1247"/>
          <w:tab w:val="clear" w:pos="1814"/>
          <w:tab w:val="clear" w:pos="2381"/>
          <w:tab w:val="clear" w:pos="2948"/>
          <w:tab w:val="clear" w:pos="3515"/>
          <w:tab w:val="left" w:pos="624"/>
        </w:tabs>
        <w:ind w:left="1247"/>
      </w:pPr>
      <w:r w:rsidRPr="009C1A48">
        <w:t>The third pillar of th</w:t>
      </w:r>
      <w:r w:rsidR="00A71160">
        <w:t>e</w:t>
      </w:r>
      <w:r w:rsidRPr="009C1A48">
        <w:t xml:space="preserve"> road</w:t>
      </w:r>
      <w:r w:rsidR="00FB11AE">
        <w:t xml:space="preserve"> </w:t>
      </w:r>
      <w:r w:rsidRPr="009C1A48">
        <w:t xml:space="preserve">map involves creating an enabling environment </w:t>
      </w:r>
      <w:r w:rsidR="00FB11AE">
        <w:t>for</w:t>
      </w:r>
      <w:r w:rsidR="00FB11AE" w:rsidRPr="009C1A48">
        <w:t xml:space="preserve"> </w:t>
      </w:r>
      <w:r w:rsidRPr="009C1A48">
        <w:t>enhance</w:t>
      </w:r>
      <w:r w:rsidR="00FB11AE">
        <w:t>d</w:t>
      </w:r>
      <w:r w:rsidRPr="009C1A48">
        <w:t xml:space="preserve"> </w:t>
      </w:r>
      <w:r w:rsidR="00BD287D">
        <w:t>co</w:t>
      </w:r>
      <w:r w:rsidR="00BD287D">
        <w:noBreakHyphen/>
      </w:r>
      <w:r w:rsidRPr="009C1A48">
        <w:t xml:space="preserve">benefits from the implementation of the Minamata Convention and the </w:t>
      </w:r>
      <w:r w:rsidR="00D2514B">
        <w:rPr>
          <w:rFonts w:asciiTheme="majorBidi" w:hAnsiTheme="majorBidi" w:cstheme="majorBidi"/>
        </w:rPr>
        <w:t xml:space="preserve">Kunming-Montreal Global Biodiversity </w:t>
      </w:r>
      <w:r w:rsidR="005470A7">
        <w:t>Framework</w:t>
      </w:r>
      <w:r w:rsidRPr="009C1A48">
        <w:t xml:space="preserve">. </w:t>
      </w:r>
    </w:p>
    <w:p w14:paraId="0B92B7D9" w14:textId="217BE661" w:rsidR="00B1215E" w:rsidRPr="009C1A48" w:rsidRDefault="00D2514B" w:rsidP="00325A54">
      <w:pPr>
        <w:pStyle w:val="Normalnumber"/>
        <w:tabs>
          <w:tab w:val="clear" w:pos="1247"/>
          <w:tab w:val="clear" w:pos="1814"/>
          <w:tab w:val="clear" w:pos="2381"/>
          <w:tab w:val="clear" w:pos="2948"/>
          <w:tab w:val="clear" w:pos="3515"/>
          <w:tab w:val="left" w:pos="624"/>
        </w:tabs>
        <w:ind w:left="1247"/>
      </w:pPr>
      <w:r>
        <w:t>A</w:t>
      </w:r>
      <w:r w:rsidR="00B1215E" w:rsidRPr="009C1A48">
        <w:t>ctions under this pillar relate to resource mobilization, research, capacity</w:t>
      </w:r>
      <w:r>
        <w:t>-</w:t>
      </w:r>
      <w:r w:rsidR="00B1215E" w:rsidRPr="009C1A48">
        <w:t xml:space="preserve">building and cooperation, and could be undertaken by </w:t>
      </w:r>
      <w:r>
        <w:t>p</w:t>
      </w:r>
      <w:r w:rsidR="00B1215E" w:rsidRPr="009C1A48">
        <w:t xml:space="preserve">arties, other </w:t>
      </w:r>
      <w:r>
        <w:t>G</w:t>
      </w:r>
      <w:r w:rsidR="00B1215E" w:rsidRPr="009C1A48">
        <w:t xml:space="preserve">overnments, local and subnational governments, the </w:t>
      </w:r>
      <w:r>
        <w:t>s</w:t>
      </w:r>
      <w:r w:rsidR="00B1215E" w:rsidRPr="009C1A48">
        <w:t>ecretariat, academia and other stakeholders, as appropriate</w:t>
      </w:r>
      <w:r>
        <w:t>. Possible actions under this pillar include the following</w:t>
      </w:r>
      <w:r w:rsidR="00B1215E" w:rsidRPr="009C1A48">
        <w:t xml:space="preserve">: </w:t>
      </w:r>
    </w:p>
    <w:p w14:paraId="16A3AB5E" w14:textId="7896A818" w:rsidR="00B1215E" w:rsidRPr="009C1A48" w:rsidRDefault="00B1215E" w:rsidP="00325A54">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9C1A48">
        <w:t xml:space="preserve">Pursue synergies between the </w:t>
      </w:r>
      <w:r w:rsidR="007A190D">
        <w:t xml:space="preserve">GEF </w:t>
      </w:r>
      <w:r w:rsidRPr="009C1A48">
        <w:t>chemicals and waste and biodiversity focal area</w:t>
      </w:r>
      <w:r w:rsidR="007A190D">
        <w:t>s</w:t>
      </w:r>
      <w:r w:rsidRPr="009C1A48">
        <w:t xml:space="preserve"> through projects </w:t>
      </w:r>
      <w:r w:rsidR="007A190D">
        <w:t>funded through</w:t>
      </w:r>
      <w:r w:rsidR="007A190D" w:rsidRPr="009C1A48">
        <w:t xml:space="preserve"> </w:t>
      </w:r>
      <w:r w:rsidRPr="009C1A48">
        <w:t>the eighth and ninth replenishment</w:t>
      </w:r>
      <w:r w:rsidR="00A71160">
        <w:t>s</w:t>
      </w:r>
      <w:r w:rsidRPr="009C1A48">
        <w:t xml:space="preserve"> of the GEF trust fund</w:t>
      </w:r>
      <w:r w:rsidR="007A190D">
        <w:t>,</w:t>
      </w:r>
      <w:r w:rsidRPr="009C1A48">
        <w:t xml:space="preserve"> as well as integration of mercury action into projects developed through the Global Biodiversity Framework Fund, in line with decision MC-5/11</w:t>
      </w:r>
      <w:r w:rsidR="007A190D">
        <w:t>,</w:t>
      </w:r>
      <w:r w:rsidRPr="009C1A48">
        <w:t xml:space="preserve"> para</w:t>
      </w:r>
      <w:r w:rsidR="007A190D">
        <w:t>graphs</w:t>
      </w:r>
      <w:r w:rsidRPr="009C1A48">
        <w:t xml:space="preserve"> 3 and 4</w:t>
      </w:r>
      <w:r w:rsidR="007A190D">
        <w:t> (</w:t>
      </w:r>
      <w:r w:rsidRPr="009C1A48">
        <w:t>a</w:t>
      </w:r>
      <w:r w:rsidR="007A190D">
        <w:t>)</w:t>
      </w:r>
      <w:r w:rsidRPr="009C1A48">
        <w:t>, and MC-5/17</w:t>
      </w:r>
      <w:r w:rsidR="007A190D">
        <w:t>,</w:t>
      </w:r>
      <w:r w:rsidRPr="009C1A48">
        <w:t xml:space="preserve"> para</w:t>
      </w:r>
      <w:r w:rsidR="007A190D">
        <w:t>graph</w:t>
      </w:r>
      <w:r w:rsidRPr="009C1A48">
        <w:t xml:space="preserve"> 4</w:t>
      </w:r>
      <w:r w:rsidR="007A190D">
        <w:t>,</w:t>
      </w:r>
      <w:r w:rsidRPr="009C1A48">
        <w:t xml:space="preserve"> as well as </w:t>
      </w:r>
      <w:r w:rsidR="005470A7">
        <w:t>paragraph 8 of</w:t>
      </w:r>
      <w:r w:rsidRPr="009C1A48">
        <w:t xml:space="preserve"> decision 16/33 </w:t>
      </w:r>
      <w:r w:rsidR="005470A7">
        <w:t xml:space="preserve">of the Conference of the Parties to the </w:t>
      </w:r>
      <w:r w:rsidR="005470A7" w:rsidRPr="005470A7">
        <w:t>Convention on Biological Diversity</w:t>
      </w:r>
      <w:r w:rsidR="009A19AC">
        <w:t>;</w:t>
      </w:r>
    </w:p>
    <w:p w14:paraId="1FF1FD15" w14:textId="4D4F04B8" w:rsidR="00B1215E" w:rsidRPr="009C1A48" w:rsidRDefault="00B1215E" w:rsidP="00325A54">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9C1A48">
        <w:t xml:space="preserve">Collaborate with the three Rio conventions on </w:t>
      </w:r>
      <w:r w:rsidR="008E614A">
        <w:t>t</w:t>
      </w:r>
      <w:r w:rsidRPr="009C1A48">
        <w:t>arget 7 of the Framework</w:t>
      </w:r>
      <w:r w:rsidR="007A190D">
        <w:t>,</w:t>
      </w:r>
      <w:r w:rsidRPr="009C1A48">
        <w:t xml:space="preserve"> reduction of pollution to levels that are not harmful to biodiversity, in consultation with parties</w:t>
      </w:r>
      <w:r w:rsidR="007A190D">
        <w:t xml:space="preserve"> to the Convention on Biological Diversity and</w:t>
      </w:r>
      <w:r w:rsidRPr="009C1A48">
        <w:t xml:space="preserve"> other Governments, </w:t>
      </w:r>
      <w:r w:rsidR="007A190D">
        <w:t>I</w:t>
      </w:r>
      <w:r w:rsidRPr="009C1A48">
        <w:t xml:space="preserve">ndigenous </w:t>
      </w:r>
      <w:r w:rsidR="007A190D">
        <w:t>P</w:t>
      </w:r>
      <w:r w:rsidRPr="009C1A48">
        <w:t xml:space="preserve">eoples, local communities and </w:t>
      </w:r>
      <w:r w:rsidR="007A190D">
        <w:t xml:space="preserve">other </w:t>
      </w:r>
      <w:r w:rsidRPr="009C1A48">
        <w:t xml:space="preserve">relevant stakeholders in response to the invitation </w:t>
      </w:r>
      <w:r w:rsidR="009A19AC">
        <w:t>to</w:t>
      </w:r>
      <w:r w:rsidRPr="009C1A48">
        <w:t xml:space="preserve"> the governing bodies of the Minamata</w:t>
      </w:r>
      <w:r w:rsidR="007A190D">
        <w:t xml:space="preserve"> Convention, the</w:t>
      </w:r>
      <w:r w:rsidRPr="009C1A48">
        <w:t xml:space="preserve"> </w:t>
      </w:r>
      <w:r w:rsidR="007A190D">
        <w:t>Basel Convention</w:t>
      </w:r>
      <w:r w:rsidR="007A190D" w:rsidRPr="003A3863">
        <w:t xml:space="preserve"> on the Control of Transboundary Movements of Hazardous Wastes and Their Disposal</w:t>
      </w:r>
      <w:r w:rsidR="007A190D" w:rsidRPr="005A2A20">
        <w:t xml:space="preserve">, </w:t>
      </w:r>
      <w:r w:rsidR="007A190D">
        <w:t xml:space="preserve">the </w:t>
      </w:r>
      <w:r w:rsidR="007A190D" w:rsidRPr="005A2A20">
        <w:t xml:space="preserve">Rotterdam </w:t>
      </w:r>
      <w:r w:rsidR="007A190D">
        <w:t xml:space="preserve">Convention </w:t>
      </w:r>
      <w:r w:rsidR="007A190D" w:rsidRPr="00900476">
        <w:t>on the Prior Informed Consent Procedure for Certain Hazardous Chemicals and Pesticides in International Trade</w:t>
      </w:r>
      <w:r w:rsidR="007A190D">
        <w:t>,</w:t>
      </w:r>
      <w:r w:rsidR="007A190D" w:rsidRPr="005A2A20">
        <w:t xml:space="preserve"> </w:t>
      </w:r>
      <w:r w:rsidR="007A190D">
        <w:t xml:space="preserve">the </w:t>
      </w:r>
      <w:r w:rsidR="007A190D" w:rsidRPr="005A2A20">
        <w:t>Stockholm Convention</w:t>
      </w:r>
      <w:r w:rsidR="007A190D" w:rsidRPr="003A3863">
        <w:t xml:space="preserve"> on Persistent Organic Pollutants</w:t>
      </w:r>
      <w:r w:rsidR="007A190D">
        <w:t xml:space="preserve">, the Food and Agriculture Organization of the United Nations </w:t>
      </w:r>
      <w:r w:rsidRPr="009C1A48">
        <w:t>and other relevant conventions and organizations, including the Global Framework on Chemicals</w:t>
      </w:r>
      <w:r w:rsidR="007A190D">
        <w:t xml:space="preserve"> </w:t>
      </w:r>
      <w:r w:rsidR="007A190D">
        <w:rPr>
          <w:rFonts w:asciiTheme="majorBidi" w:hAnsiTheme="majorBidi" w:cstheme="majorBidi"/>
          <w:shd w:val="clear" w:color="auto" w:fill="FFFFFF"/>
        </w:rPr>
        <w:t xml:space="preserve">– </w:t>
      </w:r>
      <w:r w:rsidR="009A19AC">
        <w:rPr>
          <w:rFonts w:asciiTheme="majorBidi" w:hAnsiTheme="majorBidi" w:cstheme="majorBidi"/>
          <w:shd w:val="clear" w:color="auto" w:fill="FFFFFF"/>
        </w:rPr>
        <w:t>f</w:t>
      </w:r>
      <w:r w:rsidR="007A190D">
        <w:rPr>
          <w:rFonts w:asciiTheme="majorBidi" w:hAnsiTheme="majorBidi" w:cstheme="majorBidi"/>
          <w:shd w:val="clear" w:color="auto" w:fill="FFFFFF"/>
        </w:rPr>
        <w:t>or a Planet Free of Harm from Chemicals and Waste</w:t>
      </w:r>
      <w:r w:rsidRPr="009C1A48">
        <w:t>, contained in para</w:t>
      </w:r>
      <w:r w:rsidR="005470A7">
        <w:t>graph</w:t>
      </w:r>
      <w:r w:rsidRPr="009C1A48">
        <w:t xml:space="preserve"> 19 of decision 16/35 </w:t>
      </w:r>
      <w:r w:rsidR="005470A7">
        <w:t xml:space="preserve">of the Conference of the Parties to the </w:t>
      </w:r>
      <w:r w:rsidR="005470A7" w:rsidRPr="005470A7">
        <w:t>Convention on Biological Diversity</w:t>
      </w:r>
      <w:r w:rsidR="005470A7">
        <w:t xml:space="preserve">, </w:t>
      </w:r>
      <w:r w:rsidRPr="009C1A48">
        <w:t>on cooperation with other conventions and international organizations</w:t>
      </w:r>
      <w:r w:rsidR="009A19AC">
        <w:t>;</w:t>
      </w:r>
    </w:p>
    <w:p w14:paraId="2186D07E" w14:textId="54B5462D" w:rsidR="00B1215E" w:rsidRPr="009C1A48" w:rsidRDefault="00B1215E" w:rsidP="00325A54">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9C1A48">
        <w:t>Promote environmental and socioeconomic research and assessments</w:t>
      </w:r>
      <w:r w:rsidR="009A19AC">
        <w:t xml:space="preserve"> –</w:t>
      </w:r>
      <w:r w:rsidRPr="009C1A48">
        <w:t xml:space="preserve"> </w:t>
      </w:r>
      <w:r w:rsidR="009A19AC">
        <w:t xml:space="preserve">for example, </w:t>
      </w:r>
      <w:r w:rsidRPr="009C1A48">
        <w:t>through collaboration with the International Conference on Mercury as a Global Pollutant</w:t>
      </w:r>
      <w:r w:rsidR="009A19AC">
        <w:t xml:space="preserve"> –</w:t>
      </w:r>
      <w:r w:rsidRPr="009C1A48">
        <w:t xml:space="preserve"> </w:t>
      </w:r>
      <w:r w:rsidR="00535445">
        <w:t>concerning</w:t>
      </w:r>
      <w:r w:rsidRPr="009C1A48">
        <w:t xml:space="preserve"> the impact of mercury on biodiversity</w:t>
      </w:r>
      <w:r w:rsidR="007A190D">
        <w:t xml:space="preserve"> and</w:t>
      </w:r>
      <w:r w:rsidRPr="009C1A48">
        <w:t xml:space="preserve"> ecosystem functions and services and on </w:t>
      </w:r>
      <w:r w:rsidR="007A190D">
        <w:t xml:space="preserve">the </w:t>
      </w:r>
      <w:r w:rsidRPr="009C1A48">
        <w:t xml:space="preserve">livelihoods, culture and health of Indigenous Peoples </w:t>
      </w:r>
      <w:r w:rsidR="007A190D">
        <w:t>and of</w:t>
      </w:r>
      <w:r w:rsidRPr="009C1A48">
        <w:t xml:space="preserve"> local communities</w:t>
      </w:r>
      <w:r w:rsidR="009A19AC">
        <w:t>;</w:t>
      </w:r>
    </w:p>
    <w:p w14:paraId="4BF93EA6" w14:textId="614813E1" w:rsidR="00B1215E" w:rsidRPr="009C1A48" w:rsidRDefault="00B1215E" w:rsidP="00325A54">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9C1A48">
        <w:t xml:space="preserve">Provide input to a global report on collective progress in the implementation of the </w:t>
      </w:r>
      <w:r w:rsidR="00832D13">
        <w:rPr>
          <w:rFonts w:asciiTheme="majorBidi" w:hAnsiTheme="majorBidi" w:cstheme="majorBidi"/>
        </w:rPr>
        <w:t xml:space="preserve">Kunming-Montreal Global Biodiversity </w:t>
      </w:r>
      <w:r w:rsidR="0011373D">
        <w:t>Framework</w:t>
      </w:r>
      <w:r w:rsidRPr="009C1A48">
        <w:t xml:space="preserve"> </w:t>
      </w:r>
      <w:r w:rsidR="00832D13">
        <w:t xml:space="preserve">in </w:t>
      </w:r>
      <w:r w:rsidRPr="009C1A48">
        <w:t>accord</w:t>
      </w:r>
      <w:r w:rsidR="00832D13">
        <w:t>ance with</w:t>
      </w:r>
      <w:r w:rsidRPr="009C1A48">
        <w:t xml:space="preserve"> decision 16/32 </w:t>
      </w:r>
      <w:r w:rsidR="0011373D">
        <w:t xml:space="preserve">of the Conference of the Parties to the </w:t>
      </w:r>
      <w:r w:rsidR="0011373D" w:rsidRPr="0011373D">
        <w:t>Convention on Biological Diversity</w:t>
      </w:r>
      <w:r w:rsidR="0011373D">
        <w:t xml:space="preserve">, </w:t>
      </w:r>
      <w:r w:rsidRPr="009C1A48">
        <w:t>on mechanisms for planning, monitoring, reporting and review, including the global review of collective progress in the implementation of the Kunming-Montreal Global Biodiversity Framework</w:t>
      </w:r>
      <w:r w:rsidR="0011373D">
        <w:t>,</w:t>
      </w:r>
      <w:r w:rsidRPr="009C1A48">
        <w:t xml:space="preserve"> to be conducted at the seventeenth and nineteenth meetings of the Conference of the Parties</w:t>
      </w:r>
      <w:r w:rsidR="00A71160">
        <w:t xml:space="preserve"> to the Convention on Biological Diversity</w:t>
      </w:r>
      <w:r w:rsidR="00BB0AE0">
        <w:t>;</w:t>
      </w:r>
    </w:p>
    <w:p w14:paraId="33E54E15" w14:textId="7401EF0D" w:rsidR="00B1215E" w:rsidRPr="009C1A48" w:rsidRDefault="00B1215E" w:rsidP="00325A54">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9C1A48">
        <w:t>Build capacit</w:t>
      </w:r>
      <w:r w:rsidR="00832D13">
        <w:t>y</w:t>
      </w:r>
      <w:r w:rsidRPr="009C1A48">
        <w:t xml:space="preserve"> to monitor mercury levels in the environment and </w:t>
      </w:r>
      <w:r w:rsidR="00BB0AE0">
        <w:t xml:space="preserve">in </w:t>
      </w:r>
      <w:r w:rsidRPr="009C1A48">
        <w:t>vulnerable populations</w:t>
      </w:r>
      <w:r w:rsidR="00BB0AE0">
        <w:t>;</w:t>
      </w:r>
      <w:r w:rsidRPr="009C1A48">
        <w:t xml:space="preserve"> </w:t>
      </w:r>
    </w:p>
    <w:p w14:paraId="7EF1450E" w14:textId="08E47A41" w:rsidR="00B1215E" w:rsidRPr="009C1A48" w:rsidRDefault="00B1215E" w:rsidP="00204B05">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9C1A48">
        <w:t>Improve the quality</w:t>
      </w:r>
      <w:r w:rsidRPr="005A6D4C">
        <w:t xml:space="preserve"> of existing</w:t>
      </w:r>
      <w:r w:rsidRPr="009C1A48">
        <w:t xml:space="preserve"> public health and environmental monitoring program</w:t>
      </w:r>
      <w:r w:rsidR="00832D13">
        <w:t>me</w:t>
      </w:r>
      <w:r w:rsidRPr="009C1A48">
        <w:t xml:space="preserve">s in relation to mercury </w:t>
      </w:r>
      <w:r w:rsidR="00204B05" w:rsidRPr="009E3FE4">
        <w:t xml:space="preserve">and the extent to which mercury concerns are incorporated in such programmes, </w:t>
      </w:r>
      <w:r w:rsidRPr="009C1A48">
        <w:t xml:space="preserve">and promote appropriate </w:t>
      </w:r>
      <w:r w:rsidR="000E1E9B">
        <w:t>prevention and care</w:t>
      </w:r>
      <w:r w:rsidRPr="009C1A48">
        <w:t xml:space="preserve"> services for Indigenous Peoples and local communities affected by exposure to mercury from artisanal and small-scale gold mining</w:t>
      </w:r>
      <w:r w:rsidR="005A6D4C">
        <w:t>;</w:t>
      </w:r>
    </w:p>
    <w:p w14:paraId="08F32A97" w14:textId="68DB6A76" w:rsidR="00B1215E" w:rsidRPr="009C1A48" w:rsidRDefault="00B1215E" w:rsidP="00325A54">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9C1A48">
        <w:t>Enhance information</w:t>
      </w:r>
      <w:r w:rsidR="000E1E9B">
        <w:t>-</w:t>
      </w:r>
      <w:r w:rsidRPr="009C1A48">
        <w:t>sharing and promot</w:t>
      </w:r>
      <w:r w:rsidR="00142AFC">
        <w:t>e</w:t>
      </w:r>
      <w:r w:rsidRPr="009C1A48">
        <w:t xml:space="preserve"> understanding of the linkages between mercury and waste and human health impacts, thereby contributing to the Global Action Plan on Biodiversity and Health</w:t>
      </w:r>
      <w:r w:rsidR="005A6D4C">
        <w:t>;</w:t>
      </w:r>
    </w:p>
    <w:p w14:paraId="73B5AA1C" w14:textId="6C830FC3" w:rsidR="00B1215E" w:rsidRPr="009C1A48" w:rsidRDefault="00B1215E" w:rsidP="00325A54">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860562">
        <w:lastRenderedPageBreak/>
        <w:t>Continue organizing webinars and other events to inform parties to the M</w:t>
      </w:r>
      <w:r w:rsidR="0011373D" w:rsidRPr="00860562">
        <w:t xml:space="preserve">inamata </w:t>
      </w:r>
      <w:r w:rsidRPr="00860562">
        <w:t>C</w:t>
      </w:r>
      <w:r w:rsidR="0011373D" w:rsidRPr="00860562">
        <w:t>onvention</w:t>
      </w:r>
      <w:r w:rsidRPr="00860562">
        <w:t xml:space="preserve"> and </w:t>
      </w:r>
      <w:r w:rsidR="0011373D" w:rsidRPr="00860562">
        <w:t>the Convention on Biological Diversity</w:t>
      </w:r>
      <w:r w:rsidRPr="00860562">
        <w:t xml:space="preserve"> of relevant outcomes</w:t>
      </w:r>
      <w:r w:rsidR="0011373D" w:rsidRPr="00860562">
        <w:t xml:space="preserve"> of meetings of the conferences</w:t>
      </w:r>
      <w:r w:rsidR="0011373D">
        <w:t xml:space="preserve"> of the parties</w:t>
      </w:r>
      <w:r w:rsidR="009E3FE4">
        <w:t xml:space="preserve"> and related developments</w:t>
      </w:r>
      <w:r w:rsidR="005A6D4C">
        <w:t>;</w:t>
      </w:r>
    </w:p>
    <w:p w14:paraId="1B4BEA69" w14:textId="521693B9" w:rsidR="00B1215E" w:rsidRPr="009C1A48" w:rsidRDefault="00B1215E" w:rsidP="00325A54">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9C1A48">
        <w:t>Incorporate mercury into the relevant biodiversity</w:t>
      </w:r>
      <w:r w:rsidR="009A19AC">
        <w:t>-related</w:t>
      </w:r>
      <w:r w:rsidRPr="009C1A48">
        <w:t xml:space="preserve"> outreach, communication and awareness</w:t>
      </w:r>
      <w:r w:rsidR="000E1E9B">
        <w:t>-</w:t>
      </w:r>
      <w:r w:rsidRPr="009C1A48">
        <w:t>raising activities, and biodiversity into mercury</w:t>
      </w:r>
      <w:r w:rsidR="009A19AC">
        <w:t>-related</w:t>
      </w:r>
      <w:r w:rsidRPr="009C1A48">
        <w:t xml:space="preserve"> outreach, communication and awareness</w:t>
      </w:r>
      <w:r w:rsidR="000E1E9B">
        <w:t>-</w:t>
      </w:r>
      <w:r w:rsidRPr="009C1A48">
        <w:t>raising activities</w:t>
      </w:r>
      <w:r w:rsidR="005A6D4C">
        <w:t>;</w:t>
      </w:r>
    </w:p>
    <w:p w14:paraId="4A6C89E6" w14:textId="77777777" w:rsidR="00B1215E" w:rsidRPr="009C1A48" w:rsidRDefault="00B1215E" w:rsidP="00325A54">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9C1A48">
        <w:t>Disseminate information on actions that can generate co-benefits for the Minamata Convention and the Kunming-Montreal Global Biodiversity Framework.</w:t>
      </w:r>
    </w:p>
    <w:p w14:paraId="40F30888" w14:textId="498833E9" w:rsidR="00B1215E" w:rsidRPr="009C1A48" w:rsidRDefault="00047C16" w:rsidP="000A04D8">
      <w:pPr>
        <w:pStyle w:val="CH3"/>
      </w:pPr>
      <w:r w:rsidRPr="009C1A48">
        <w:tab/>
      </w:r>
      <w:r w:rsidR="000A04D8" w:rsidRPr="009C1A48">
        <w:t>4.</w:t>
      </w:r>
      <w:r w:rsidRPr="009C1A48">
        <w:tab/>
      </w:r>
      <w:r w:rsidR="00B1215E" w:rsidRPr="009C1A48">
        <w:t>Indicators for measur</w:t>
      </w:r>
      <w:r w:rsidR="00FB11AE">
        <w:t>ing</w:t>
      </w:r>
      <w:r w:rsidR="00B1215E" w:rsidRPr="009C1A48">
        <w:t xml:space="preserve"> progress</w:t>
      </w:r>
      <w:r w:rsidR="00FB11AE">
        <w:t xml:space="preserve"> in implementing the road map</w:t>
      </w:r>
      <w:r w:rsidR="00B1215E" w:rsidRPr="009C1A48">
        <w:t xml:space="preserve"> </w:t>
      </w:r>
    </w:p>
    <w:p w14:paraId="469B2A4A" w14:textId="6151613A" w:rsidR="00B1215E" w:rsidRPr="009C1A48" w:rsidRDefault="00B1215E" w:rsidP="00325A54">
      <w:pPr>
        <w:pStyle w:val="Normalnumber"/>
        <w:tabs>
          <w:tab w:val="clear" w:pos="1247"/>
          <w:tab w:val="clear" w:pos="1814"/>
          <w:tab w:val="clear" w:pos="2381"/>
          <w:tab w:val="clear" w:pos="2948"/>
          <w:tab w:val="clear" w:pos="3515"/>
          <w:tab w:val="left" w:pos="624"/>
        </w:tabs>
        <w:ind w:left="1247"/>
      </w:pPr>
      <w:r w:rsidRPr="009C1A48">
        <w:t xml:space="preserve">The </w:t>
      </w:r>
      <w:r w:rsidR="00036F08">
        <w:t>following</w:t>
      </w:r>
      <w:r w:rsidR="00036F08" w:rsidRPr="009C1A48">
        <w:t xml:space="preserve"> </w:t>
      </w:r>
      <w:r w:rsidRPr="009C1A48">
        <w:t>are indicators through which progress in implement</w:t>
      </w:r>
      <w:r w:rsidR="00A71160">
        <w:t>ing</w:t>
      </w:r>
      <w:r w:rsidRPr="009C1A48">
        <w:t xml:space="preserve"> the road</w:t>
      </w:r>
      <w:r w:rsidR="00FB11AE">
        <w:t xml:space="preserve"> </w:t>
      </w:r>
      <w:r w:rsidRPr="009C1A48">
        <w:t xml:space="preserve">map </w:t>
      </w:r>
      <w:r w:rsidR="00036F08">
        <w:t>could</w:t>
      </w:r>
      <w:r w:rsidR="00036F08" w:rsidRPr="009C1A48">
        <w:t xml:space="preserve"> </w:t>
      </w:r>
      <w:r w:rsidRPr="009C1A48">
        <w:t>be measured</w:t>
      </w:r>
      <w:r w:rsidR="00A71160">
        <w:t>; i</w:t>
      </w:r>
      <w:r w:rsidRPr="009C1A48">
        <w:t>mportantly, the</w:t>
      </w:r>
      <w:r w:rsidR="00036F08">
        <w:t>y</w:t>
      </w:r>
      <w:r w:rsidRPr="009C1A48">
        <w:t xml:space="preserve"> </w:t>
      </w:r>
      <w:r w:rsidRPr="005A6D4C">
        <w:t xml:space="preserve">are based on existing mechanisms that </w:t>
      </w:r>
      <w:r w:rsidR="00036F08" w:rsidRPr="005A6D4C">
        <w:t xml:space="preserve">could </w:t>
      </w:r>
      <w:r w:rsidRPr="005A6D4C">
        <w:t>be u</w:t>
      </w:r>
      <w:r w:rsidR="00C842EA" w:rsidRPr="005A6D4C">
        <w:t>sed</w:t>
      </w:r>
      <w:r w:rsidRPr="005A6D4C">
        <w:t xml:space="preserve"> </w:t>
      </w:r>
      <w:r w:rsidR="00036F08" w:rsidRPr="005A6D4C">
        <w:t xml:space="preserve">to </w:t>
      </w:r>
      <w:r w:rsidR="00F47796" w:rsidRPr="005A6D4C">
        <w:t>support</w:t>
      </w:r>
      <w:r w:rsidRPr="005A6D4C">
        <w:t xml:space="preserve"> mercury reduction and the conservation and sustainable use of biodiversity:</w:t>
      </w:r>
    </w:p>
    <w:p w14:paraId="49B22D67" w14:textId="17CE911C" w:rsidR="00B1215E" w:rsidRPr="009C1A48" w:rsidRDefault="00B1215E" w:rsidP="00325A54">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9C1A48">
        <w:t>Minamata Convention effectiveness evaluation indicator 1</w:t>
      </w:r>
      <w:r w:rsidR="00036F08">
        <w:t>,</w:t>
      </w:r>
      <w:r w:rsidRPr="009C1A48">
        <w:t xml:space="preserve"> levels and trends of mercury and mercury compounds in the environment and in humans due to anthropogenic emissions and releases, and 29</w:t>
      </w:r>
      <w:r w:rsidR="00036F08">
        <w:t>,</w:t>
      </w:r>
      <w:r w:rsidRPr="009C1A48">
        <w:t xml:space="preserve"> mercury levels in vulnerable human populations</w:t>
      </w:r>
      <w:r w:rsidR="00036F08">
        <w:t>;</w:t>
      </w:r>
    </w:p>
    <w:p w14:paraId="53849E0F" w14:textId="349EAA38" w:rsidR="00B1215E" w:rsidRPr="009C1A48" w:rsidRDefault="00B1215E" w:rsidP="00325A54">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9C1A48">
        <w:t xml:space="preserve">Number of revised or updated NBSAPs that contain actions related to reduction in mercury use, emissions and releases or decontamination or restoration of contaminated sites, linked to specific targets of the </w:t>
      </w:r>
      <w:r w:rsidR="00036F08">
        <w:t>Kunming-Montreal Global Biodiversity Framework</w:t>
      </w:r>
      <w:r w:rsidRPr="009C1A48">
        <w:t>;</w:t>
      </w:r>
    </w:p>
    <w:p w14:paraId="21B096E5" w14:textId="609F5911" w:rsidR="00B1215E" w:rsidRPr="009C1A48" w:rsidRDefault="00B1215E" w:rsidP="00325A54">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9C1A48">
        <w:t xml:space="preserve">Number of countries that have </w:t>
      </w:r>
      <w:r w:rsidR="00036F08">
        <w:t>considered</w:t>
      </w:r>
      <w:r w:rsidR="00036F08" w:rsidRPr="009C1A48">
        <w:t xml:space="preserve"> </w:t>
      </w:r>
      <w:r w:rsidRPr="009C1A48">
        <w:t>mercury in their national biodiversity target submissions;</w:t>
      </w:r>
    </w:p>
    <w:p w14:paraId="0E9982D2" w14:textId="2A342043" w:rsidR="00B1215E" w:rsidRPr="009C1A48" w:rsidRDefault="00B1215E" w:rsidP="00325A54">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9C1A48">
        <w:t xml:space="preserve">Number of new </w:t>
      </w:r>
      <w:r w:rsidR="00036F08">
        <w:t>artisanal and small-scale gold mining national action plans,</w:t>
      </w:r>
      <w:r w:rsidRPr="009C1A48">
        <w:t xml:space="preserve"> as well as Art</w:t>
      </w:r>
      <w:r w:rsidR="00036F08">
        <w:t>icle</w:t>
      </w:r>
      <w:r w:rsidRPr="009C1A48">
        <w:t xml:space="preserve"> 7 reviews </w:t>
      </w:r>
      <w:r w:rsidR="00036F08">
        <w:t>conducted</w:t>
      </w:r>
      <w:r w:rsidR="00036F08" w:rsidRPr="009C1A48">
        <w:t xml:space="preserve"> </w:t>
      </w:r>
      <w:r w:rsidRPr="009C1A48">
        <w:t xml:space="preserve">with </w:t>
      </w:r>
      <w:r w:rsidR="00036F08">
        <w:t xml:space="preserve">the </w:t>
      </w:r>
      <w:r w:rsidRPr="009C1A48">
        <w:t>participation of Indigenous Peoples;</w:t>
      </w:r>
    </w:p>
    <w:p w14:paraId="323C6B89" w14:textId="77777777" w:rsidR="00B1215E" w:rsidRPr="009C1A48" w:rsidRDefault="00B1215E" w:rsidP="00325A54">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9C1A48">
        <w:t>Number of countries that have proposed complementary indicators related to mercury.</w:t>
      </w:r>
    </w:p>
    <w:p w14:paraId="52F637EB" w14:textId="77777777" w:rsidR="00B1215E" w:rsidRPr="009C1A48" w:rsidRDefault="00B1215E" w:rsidP="000A04D8">
      <w:pPr>
        <w:pStyle w:val="CH1"/>
      </w:pPr>
      <w:r w:rsidRPr="009C1A48">
        <w:tab/>
        <w:t>IV.</w:t>
      </w:r>
      <w:r w:rsidRPr="009C1A48">
        <w:tab/>
        <w:t>Suggested action by the Conference of the Parties</w:t>
      </w:r>
    </w:p>
    <w:p w14:paraId="4ACC0158" w14:textId="144181AB" w:rsidR="00B1215E" w:rsidRPr="009C1A48" w:rsidRDefault="00B1215E" w:rsidP="00325A54">
      <w:pPr>
        <w:pStyle w:val="Normalnumber"/>
        <w:tabs>
          <w:tab w:val="clear" w:pos="1247"/>
          <w:tab w:val="clear" w:pos="1814"/>
          <w:tab w:val="clear" w:pos="2381"/>
          <w:tab w:val="clear" w:pos="2948"/>
          <w:tab w:val="clear" w:pos="3515"/>
          <w:tab w:val="left" w:pos="624"/>
        </w:tabs>
        <w:ind w:left="1247"/>
      </w:pPr>
      <w:r w:rsidRPr="009C1A48">
        <w:t xml:space="preserve">The Conference of the Parties may wish to consider adopting a decision along the lines </w:t>
      </w:r>
      <w:r w:rsidR="00154124">
        <w:t xml:space="preserve">of the text </w:t>
      </w:r>
      <w:r w:rsidRPr="009C1A48">
        <w:t>set out in annex I to the present document.</w:t>
      </w:r>
    </w:p>
    <w:p w14:paraId="3A7A0448" w14:textId="77777777" w:rsidR="00B1215E" w:rsidRPr="00BD287D" w:rsidRDefault="00B1215E" w:rsidP="00BD287D">
      <w:pPr>
        <w:pStyle w:val="Normal-pool"/>
      </w:pPr>
      <w:r w:rsidRPr="00BD287D">
        <w:br w:type="page"/>
      </w:r>
    </w:p>
    <w:p w14:paraId="760305B6" w14:textId="77777777" w:rsidR="00B1215E" w:rsidRPr="009C1A48" w:rsidRDefault="00B1215E" w:rsidP="00B1215E">
      <w:pPr>
        <w:pStyle w:val="ZZAnxheader"/>
        <w:sectPr w:rsidR="00B1215E" w:rsidRPr="009C1A48" w:rsidSect="00B1215E">
          <w:headerReference w:type="even" r:id="rId16"/>
          <w:headerReference w:type="default" r:id="rId17"/>
          <w:footerReference w:type="even" r:id="rId18"/>
          <w:footerReference w:type="default" r:id="rId19"/>
          <w:footerReference w:type="first" r:id="rId20"/>
          <w:pgSz w:w="11906" w:h="16838" w:code="9"/>
          <w:pgMar w:top="907" w:right="992" w:bottom="1418" w:left="1418" w:header="539" w:footer="975" w:gutter="0"/>
          <w:cols w:space="539"/>
          <w:titlePg/>
          <w:docGrid w:linePitch="360"/>
        </w:sectPr>
      </w:pPr>
    </w:p>
    <w:p w14:paraId="6CFF02DD" w14:textId="77777777" w:rsidR="00B1215E" w:rsidRPr="009C1A48" w:rsidRDefault="00B1215E" w:rsidP="00B1215E">
      <w:pPr>
        <w:pStyle w:val="ZZAnxheader"/>
      </w:pPr>
      <w:r w:rsidRPr="009C1A48">
        <w:lastRenderedPageBreak/>
        <w:t>Annex I</w:t>
      </w:r>
    </w:p>
    <w:p w14:paraId="0E1DB9EC" w14:textId="5290DB02" w:rsidR="00B1215E" w:rsidRPr="009C1A48" w:rsidRDefault="00B1215E" w:rsidP="00B1215E">
      <w:pPr>
        <w:pStyle w:val="ZZAnxtitle"/>
      </w:pPr>
      <w:r w:rsidRPr="009C1A48">
        <w:t>Draft decision MC-6</w:t>
      </w:r>
      <w:proofErr w:type="gramStart"/>
      <w:r w:rsidRPr="009C1A48">
        <w:t>/[</w:t>
      </w:r>
      <w:proofErr w:type="gramEnd"/>
      <w:r w:rsidRPr="009C1A48">
        <w:t>--]: Road</w:t>
      </w:r>
      <w:r w:rsidR="007942A5">
        <w:t xml:space="preserve"> </w:t>
      </w:r>
      <w:r w:rsidRPr="009C1A48">
        <w:t xml:space="preserve">map </w:t>
      </w:r>
      <w:r w:rsidR="007942A5">
        <w:t>for enhancing</w:t>
      </w:r>
      <w:r w:rsidRPr="009C1A48">
        <w:rPr>
          <w:rFonts w:asciiTheme="majorBidi" w:hAnsiTheme="majorBidi" w:cstheme="majorBidi"/>
          <w:shd w:val="clear" w:color="auto" w:fill="FFFFFF"/>
        </w:rPr>
        <w:t xml:space="preserve"> co-benefits from implementation of the Minamata Convention and </w:t>
      </w:r>
      <w:r w:rsidR="007942A5">
        <w:rPr>
          <w:rFonts w:asciiTheme="majorBidi" w:hAnsiTheme="majorBidi" w:cstheme="majorBidi"/>
          <w:shd w:val="clear" w:color="auto" w:fill="FFFFFF"/>
        </w:rPr>
        <w:t xml:space="preserve">the Kunming-Montreal </w:t>
      </w:r>
      <w:r w:rsidRPr="009C1A48">
        <w:rPr>
          <w:rFonts w:asciiTheme="majorBidi" w:hAnsiTheme="majorBidi" w:cstheme="majorBidi"/>
          <w:shd w:val="clear" w:color="auto" w:fill="FFFFFF"/>
        </w:rPr>
        <w:t>Global Biodiversity Framework</w:t>
      </w:r>
    </w:p>
    <w:p w14:paraId="257239EC" w14:textId="77777777" w:rsidR="00B1215E" w:rsidRPr="009C1A48" w:rsidRDefault="00B1215E" w:rsidP="00047C16">
      <w:pPr>
        <w:pStyle w:val="NormalNonumber"/>
        <w:ind w:firstLine="624"/>
        <w:rPr>
          <w:i/>
          <w:iCs/>
          <w:shd w:val="clear" w:color="auto" w:fill="FFFFFF"/>
        </w:rPr>
      </w:pPr>
      <w:r w:rsidRPr="009C1A48">
        <w:rPr>
          <w:i/>
          <w:iCs/>
          <w:shd w:val="clear" w:color="auto" w:fill="FFFFFF"/>
        </w:rPr>
        <w:t>The Conference of the Parties,</w:t>
      </w:r>
    </w:p>
    <w:p w14:paraId="2A24EC80" w14:textId="640716A9" w:rsidR="00B1215E" w:rsidRPr="009C1A48" w:rsidRDefault="00B1215E" w:rsidP="00047C16">
      <w:pPr>
        <w:pStyle w:val="NormalNonumber"/>
        <w:tabs>
          <w:tab w:val="clear" w:pos="1247"/>
          <w:tab w:val="clear" w:pos="1871"/>
          <w:tab w:val="clear" w:pos="2495"/>
          <w:tab w:val="clear" w:pos="3119"/>
          <w:tab w:val="clear" w:pos="3742"/>
          <w:tab w:val="clear" w:pos="4366"/>
          <w:tab w:val="clear" w:pos="4990"/>
        </w:tabs>
        <w:ind w:firstLine="624"/>
        <w:rPr>
          <w:rStyle w:val="normaltextrun"/>
        </w:rPr>
      </w:pPr>
      <w:r w:rsidRPr="009C1A48">
        <w:rPr>
          <w:i/>
          <w:iCs/>
        </w:rPr>
        <w:t>A</w:t>
      </w:r>
      <w:r w:rsidR="00154124">
        <w:rPr>
          <w:i/>
          <w:iCs/>
        </w:rPr>
        <w:t>cknowledging with a</w:t>
      </w:r>
      <w:r w:rsidRPr="009C1A48">
        <w:rPr>
          <w:i/>
          <w:iCs/>
        </w:rPr>
        <w:t>ppreciati</w:t>
      </w:r>
      <w:r w:rsidR="00154124">
        <w:rPr>
          <w:i/>
          <w:iCs/>
        </w:rPr>
        <w:t>on</w:t>
      </w:r>
      <w:r w:rsidRPr="009C1A48">
        <w:rPr>
          <w:i/>
          <w:iCs/>
        </w:rPr>
        <w:t xml:space="preserve"> </w:t>
      </w:r>
      <w:r w:rsidRPr="009C1A48">
        <w:rPr>
          <w:rStyle w:val="normaltextrun"/>
        </w:rPr>
        <w:t xml:space="preserve">the work by the secretariat in response to </w:t>
      </w:r>
      <w:r w:rsidRPr="009C1A48">
        <w:rPr>
          <w:rFonts w:asciiTheme="majorBidi" w:hAnsiTheme="majorBidi" w:cstheme="majorBidi"/>
          <w:shd w:val="clear" w:color="auto" w:fill="FFFFFF"/>
        </w:rPr>
        <w:t>decision MC-5/17 on mercury and the Kunming-Montreal Global Biodiversity Framework</w:t>
      </w:r>
      <w:r w:rsidR="0011373D">
        <w:rPr>
          <w:rFonts w:asciiTheme="majorBidi" w:hAnsiTheme="majorBidi" w:cstheme="majorBidi"/>
          <w:shd w:val="clear" w:color="auto" w:fill="FFFFFF"/>
        </w:rPr>
        <w:t>,</w:t>
      </w:r>
      <w:r w:rsidRPr="009C1A48">
        <w:rPr>
          <w:rFonts w:asciiTheme="majorBidi" w:hAnsiTheme="majorBidi" w:cstheme="majorBidi"/>
          <w:shd w:val="clear" w:color="auto" w:fill="FFFFFF"/>
        </w:rPr>
        <w:t xml:space="preserve"> including </w:t>
      </w:r>
      <w:r w:rsidRPr="009C1A48">
        <w:rPr>
          <w:rStyle w:val="normaltextrun"/>
        </w:rPr>
        <w:t xml:space="preserve">the input prepared in response to the </w:t>
      </w:r>
      <w:r w:rsidR="0011373D">
        <w:rPr>
          <w:rStyle w:val="normaltextrun"/>
        </w:rPr>
        <w:t xml:space="preserve">calls by the </w:t>
      </w:r>
      <w:r w:rsidRPr="009C1A48">
        <w:rPr>
          <w:rStyle w:val="normaltextrun"/>
        </w:rPr>
        <w:t xml:space="preserve">Executive Secretary </w:t>
      </w:r>
      <w:r w:rsidR="0011373D">
        <w:rPr>
          <w:rStyle w:val="normaltextrun"/>
        </w:rPr>
        <w:t xml:space="preserve">of the </w:t>
      </w:r>
      <w:r w:rsidR="0011373D" w:rsidRPr="0011373D">
        <w:t>Convention on Biological Diversity</w:t>
      </w:r>
      <w:r w:rsidR="0011373D">
        <w:t xml:space="preserve"> </w:t>
      </w:r>
      <w:r w:rsidRPr="009C1A48">
        <w:rPr>
          <w:rStyle w:val="normaltextrun"/>
        </w:rPr>
        <w:t xml:space="preserve">on indicators, as reported to </w:t>
      </w:r>
      <w:r w:rsidR="0011373D">
        <w:rPr>
          <w:rStyle w:val="normaltextrun"/>
        </w:rPr>
        <w:t>the Conference of the Parties to the Minamata Convention at its sixth</w:t>
      </w:r>
      <w:r w:rsidR="0011373D" w:rsidRPr="009C1A48">
        <w:rPr>
          <w:rStyle w:val="normaltextrun"/>
        </w:rPr>
        <w:t xml:space="preserve"> </w:t>
      </w:r>
      <w:r w:rsidRPr="009C1A48">
        <w:rPr>
          <w:rStyle w:val="normaltextrun"/>
        </w:rPr>
        <w:t>meeting</w:t>
      </w:r>
      <w:r w:rsidR="0011373D">
        <w:rPr>
          <w:rStyle w:val="normaltextrun"/>
        </w:rPr>
        <w:t>,</w:t>
      </w:r>
    </w:p>
    <w:p w14:paraId="6591B534" w14:textId="1BA09E08" w:rsidR="00B1215E" w:rsidRPr="009C1A48" w:rsidRDefault="00B1215E" w:rsidP="00047C16">
      <w:pPr>
        <w:pStyle w:val="NormalNonumber"/>
        <w:tabs>
          <w:tab w:val="clear" w:pos="1247"/>
          <w:tab w:val="clear" w:pos="1871"/>
          <w:tab w:val="clear" w:pos="2495"/>
          <w:tab w:val="clear" w:pos="3119"/>
          <w:tab w:val="clear" w:pos="3742"/>
          <w:tab w:val="clear" w:pos="4366"/>
          <w:tab w:val="clear" w:pos="4990"/>
        </w:tabs>
        <w:ind w:firstLine="624"/>
        <w:rPr>
          <w:rFonts w:asciiTheme="majorBidi" w:hAnsiTheme="majorBidi" w:cstheme="majorBidi"/>
          <w:shd w:val="clear" w:color="auto" w:fill="FFFFFF"/>
        </w:rPr>
      </w:pPr>
      <w:r w:rsidRPr="009C1A48">
        <w:rPr>
          <w:rFonts w:asciiTheme="majorBidi" w:hAnsiTheme="majorBidi" w:cstheme="majorBidi"/>
          <w:i/>
          <w:iCs/>
          <w:shd w:val="clear" w:color="auto" w:fill="FFFFFF"/>
        </w:rPr>
        <w:t xml:space="preserve">Acknowledging </w:t>
      </w:r>
      <w:r w:rsidRPr="009C1A48">
        <w:rPr>
          <w:rFonts w:asciiTheme="majorBidi" w:hAnsiTheme="majorBidi" w:cstheme="majorBidi"/>
          <w:shd w:val="clear" w:color="auto" w:fill="FFFFFF"/>
        </w:rPr>
        <w:t xml:space="preserve">the invitation by the </w:t>
      </w:r>
      <w:r w:rsidR="000356CD" w:rsidRPr="009C1A48">
        <w:t>Conference of the Parties</w:t>
      </w:r>
      <w:r w:rsidR="000356CD">
        <w:t xml:space="preserve"> to the Convention on Biological Diversity,</w:t>
      </w:r>
      <w:r w:rsidR="000356CD" w:rsidRPr="009C1A48" w:rsidDel="000356CD">
        <w:rPr>
          <w:rFonts w:asciiTheme="majorBidi" w:hAnsiTheme="majorBidi" w:cstheme="majorBidi"/>
          <w:shd w:val="clear" w:color="auto" w:fill="FFFFFF"/>
        </w:rPr>
        <w:t xml:space="preserve"> </w:t>
      </w:r>
      <w:r w:rsidRPr="009C1A48">
        <w:rPr>
          <w:rFonts w:asciiTheme="majorBidi" w:hAnsiTheme="majorBidi" w:cstheme="majorBidi"/>
          <w:shd w:val="clear" w:color="auto" w:fill="FFFFFF"/>
        </w:rPr>
        <w:t>in its decision 16/3</w:t>
      </w:r>
      <w:r w:rsidRPr="008E33C3">
        <w:rPr>
          <w:rFonts w:asciiTheme="majorBidi" w:hAnsiTheme="majorBidi" w:cstheme="majorBidi"/>
          <w:shd w:val="clear" w:color="auto" w:fill="FFFFFF"/>
        </w:rPr>
        <w:t>5</w:t>
      </w:r>
      <w:r w:rsidR="000356CD" w:rsidRPr="008E33C3">
        <w:rPr>
          <w:rFonts w:asciiTheme="majorBidi" w:hAnsiTheme="majorBidi" w:cstheme="majorBidi"/>
          <w:shd w:val="clear" w:color="auto" w:fill="FFFFFF"/>
        </w:rPr>
        <w:t>,</w:t>
      </w:r>
      <w:r w:rsidR="008E33C3" w:rsidRPr="008E33C3" w:rsidDel="008E33C3">
        <w:rPr>
          <w:rStyle w:val="FootnoteReference"/>
          <w:rFonts w:cstheme="majorBidi"/>
          <w:shd w:val="clear" w:color="auto" w:fill="FFFFFF"/>
        </w:rPr>
        <w:t xml:space="preserve"> </w:t>
      </w:r>
      <w:r w:rsidRPr="008E33C3">
        <w:rPr>
          <w:rFonts w:asciiTheme="majorBidi" w:hAnsiTheme="majorBidi" w:cstheme="majorBidi"/>
          <w:shd w:val="clear" w:color="auto" w:fill="FFFFFF"/>
        </w:rPr>
        <w:t>to the Conference</w:t>
      </w:r>
      <w:r w:rsidRPr="009C1A48">
        <w:rPr>
          <w:rFonts w:asciiTheme="majorBidi" w:hAnsiTheme="majorBidi" w:cstheme="majorBidi"/>
          <w:shd w:val="clear" w:color="auto" w:fill="FFFFFF"/>
        </w:rPr>
        <w:t xml:space="preserve"> of Parties to the Minamata Convention</w:t>
      </w:r>
      <w:r w:rsidR="000356CD">
        <w:rPr>
          <w:rFonts w:asciiTheme="majorBidi" w:hAnsiTheme="majorBidi" w:cstheme="majorBidi"/>
          <w:shd w:val="clear" w:color="auto" w:fill="FFFFFF"/>
        </w:rPr>
        <w:t>,</w:t>
      </w:r>
      <w:r w:rsidRPr="009C1A48">
        <w:rPr>
          <w:rFonts w:asciiTheme="majorBidi" w:hAnsiTheme="majorBidi" w:cstheme="majorBidi"/>
          <w:shd w:val="clear" w:color="auto" w:fill="FFFFFF"/>
        </w:rPr>
        <w:t xml:space="preserve"> along with the governing bodies of the other chemical and waste conventions, the Food and Agriculture Organization of the United Nations and other relevant conventions and organizations</w:t>
      </w:r>
      <w:r w:rsidR="000356CD">
        <w:rPr>
          <w:rFonts w:asciiTheme="majorBidi" w:hAnsiTheme="majorBidi" w:cstheme="majorBidi"/>
          <w:shd w:val="clear" w:color="auto" w:fill="FFFFFF"/>
        </w:rPr>
        <w:t>,</w:t>
      </w:r>
      <w:r w:rsidRPr="009C1A48">
        <w:rPr>
          <w:rFonts w:asciiTheme="majorBidi" w:hAnsiTheme="majorBidi" w:cstheme="majorBidi"/>
          <w:shd w:val="clear" w:color="auto" w:fill="FFFFFF"/>
        </w:rPr>
        <w:t xml:space="preserve"> including the Global Framework on Chemicals</w:t>
      </w:r>
      <w:r w:rsidR="000356CD">
        <w:rPr>
          <w:rFonts w:asciiTheme="majorBidi" w:hAnsiTheme="majorBidi" w:cstheme="majorBidi"/>
          <w:shd w:val="clear" w:color="auto" w:fill="FFFFFF"/>
        </w:rPr>
        <w:t xml:space="preserve"> – </w:t>
      </w:r>
      <w:r w:rsidR="001915B2">
        <w:rPr>
          <w:rFonts w:asciiTheme="majorBidi" w:hAnsiTheme="majorBidi" w:cstheme="majorBidi"/>
          <w:shd w:val="clear" w:color="auto" w:fill="FFFFFF"/>
        </w:rPr>
        <w:t>f</w:t>
      </w:r>
      <w:r w:rsidR="000356CD">
        <w:rPr>
          <w:rFonts w:asciiTheme="majorBidi" w:hAnsiTheme="majorBidi" w:cstheme="majorBidi"/>
          <w:shd w:val="clear" w:color="auto" w:fill="FFFFFF"/>
        </w:rPr>
        <w:t>or a Planet Free of Harm from Chemicals and Waste,</w:t>
      </w:r>
      <w:r w:rsidRPr="009C1A48" w:rsidDel="00E537A5">
        <w:rPr>
          <w:rFonts w:asciiTheme="majorBidi" w:hAnsiTheme="majorBidi" w:cstheme="majorBidi"/>
          <w:shd w:val="clear" w:color="auto" w:fill="FFFFFF"/>
        </w:rPr>
        <w:t xml:space="preserve"> </w:t>
      </w:r>
      <w:r w:rsidRPr="009C1A48">
        <w:rPr>
          <w:rFonts w:asciiTheme="majorBidi" w:hAnsiTheme="majorBidi" w:cstheme="majorBidi"/>
          <w:shd w:val="clear" w:color="auto" w:fill="FFFFFF"/>
        </w:rPr>
        <w:t xml:space="preserve">to collaborate with the three Rio conventions on </w:t>
      </w:r>
      <w:r w:rsidR="008E614A">
        <w:rPr>
          <w:rFonts w:asciiTheme="majorBidi" w:hAnsiTheme="majorBidi" w:cstheme="majorBidi"/>
          <w:shd w:val="clear" w:color="auto" w:fill="FFFFFF"/>
        </w:rPr>
        <w:t>t</w:t>
      </w:r>
      <w:r w:rsidRPr="009C1A48">
        <w:rPr>
          <w:rFonts w:asciiTheme="majorBidi" w:hAnsiTheme="majorBidi" w:cstheme="majorBidi"/>
          <w:shd w:val="clear" w:color="auto" w:fill="FFFFFF"/>
        </w:rPr>
        <w:t>arget 7 of the Framework</w:t>
      </w:r>
      <w:r w:rsidR="0011373D">
        <w:rPr>
          <w:rFonts w:asciiTheme="majorBidi" w:hAnsiTheme="majorBidi" w:cstheme="majorBidi"/>
          <w:shd w:val="clear" w:color="auto" w:fill="FFFFFF"/>
        </w:rPr>
        <w:t>,</w:t>
      </w:r>
      <w:r w:rsidRPr="009C1A48">
        <w:rPr>
          <w:rFonts w:asciiTheme="majorBidi" w:hAnsiTheme="majorBidi" w:cstheme="majorBidi"/>
          <w:shd w:val="clear" w:color="auto" w:fill="FFFFFF"/>
        </w:rPr>
        <w:t xml:space="preserve"> </w:t>
      </w:r>
      <w:r w:rsidR="00D97617">
        <w:rPr>
          <w:rFonts w:asciiTheme="majorBidi" w:hAnsiTheme="majorBidi" w:cstheme="majorBidi"/>
          <w:shd w:val="clear" w:color="auto" w:fill="FFFFFF"/>
        </w:rPr>
        <w:t>“</w:t>
      </w:r>
      <w:r w:rsidRPr="009C1A48">
        <w:rPr>
          <w:rFonts w:asciiTheme="majorBidi" w:hAnsiTheme="majorBidi" w:cstheme="majorBidi"/>
          <w:shd w:val="clear" w:color="auto" w:fill="FFFFFF"/>
        </w:rPr>
        <w:t>reduc</w:t>
      </w:r>
      <w:r w:rsidR="00D97617">
        <w:rPr>
          <w:rFonts w:asciiTheme="majorBidi" w:hAnsiTheme="majorBidi" w:cstheme="majorBidi"/>
          <w:shd w:val="clear" w:color="auto" w:fill="FFFFFF"/>
        </w:rPr>
        <w:t>e</w:t>
      </w:r>
      <w:r w:rsidRPr="009C1A48">
        <w:rPr>
          <w:rFonts w:asciiTheme="majorBidi" w:hAnsiTheme="majorBidi" w:cstheme="majorBidi"/>
          <w:shd w:val="clear" w:color="auto" w:fill="FFFFFF"/>
        </w:rPr>
        <w:t xml:space="preserve"> pollution to levels that are not harmful to biodiversity</w:t>
      </w:r>
      <w:r w:rsidR="00D97617">
        <w:rPr>
          <w:rFonts w:asciiTheme="majorBidi" w:hAnsiTheme="majorBidi" w:cstheme="majorBidi"/>
          <w:shd w:val="clear" w:color="auto" w:fill="FFFFFF"/>
        </w:rPr>
        <w:t>”</w:t>
      </w:r>
      <w:r w:rsidR="0011373D">
        <w:rPr>
          <w:rFonts w:asciiTheme="majorBidi" w:hAnsiTheme="majorBidi" w:cstheme="majorBidi"/>
          <w:shd w:val="clear" w:color="auto" w:fill="FFFFFF"/>
        </w:rPr>
        <w:t>,</w:t>
      </w:r>
      <w:r w:rsidRPr="009C1A48">
        <w:rPr>
          <w:rFonts w:asciiTheme="majorBidi" w:hAnsiTheme="majorBidi" w:cstheme="majorBidi"/>
          <w:shd w:val="clear" w:color="auto" w:fill="FFFFFF"/>
        </w:rPr>
        <w:t xml:space="preserve"> </w:t>
      </w:r>
    </w:p>
    <w:p w14:paraId="21E16967" w14:textId="5A1769F7" w:rsidR="00B1215E" w:rsidRPr="00B606F4" w:rsidRDefault="00B1215E" w:rsidP="00047C16">
      <w:pPr>
        <w:pStyle w:val="NormalNonumber"/>
        <w:tabs>
          <w:tab w:val="clear" w:pos="1247"/>
          <w:tab w:val="clear" w:pos="1871"/>
          <w:tab w:val="clear" w:pos="2495"/>
          <w:tab w:val="clear" w:pos="3119"/>
          <w:tab w:val="clear" w:pos="3742"/>
          <w:tab w:val="clear" w:pos="4366"/>
          <w:tab w:val="clear" w:pos="4990"/>
        </w:tabs>
        <w:ind w:firstLine="624"/>
        <w:rPr>
          <w:rStyle w:val="normaltextrun"/>
        </w:rPr>
      </w:pPr>
      <w:r w:rsidRPr="00B606F4">
        <w:rPr>
          <w:i/>
          <w:iCs/>
        </w:rPr>
        <w:t>A</w:t>
      </w:r>
      <w:r w:rsidR="00154124">
        <w:rPr>
          <w:i/>
          <w:iCs/>
        </w:rPr>
        <w:t>cknowledging with a</w:t>
      </w:r>
      <w:r w:rsidRPr="00B606F4">
        <w:rPr>
          <w:i/>
          <w:iCs/>
        </w:rPr>
        <w:t>ppreciati</w:t>
      </w:r>
      <w:r w:rsidR="00154124">
        <w:rPr>
          <w:i/>
          <w:iCs/>
        </w:rPr>
        <w:t>on</w:t>
      </w:r>
      <w:r w:rsidRPr="00B606F4">
        <w:rPr>
          <w:i/>
          <w:iCs/>
        </w:rPr>
        <w:t xml:space="preserve"> </w:t>
      </w:r>
      <w:r w:rsidRPr="00B606F4">
        <w:rPr>
          <w:rStyle w:val="normaltextrun"/>
        </w:rPr>
        <w:t xml:space="preserve">the work facilitated by the United Nations Environment Programme under the </w:t>
      </w:r>
      <w:r w:rsidR="00A96155" w:rsidRPr="00B606F4">
        <w:rPr>
          <w:rStyle w:val="normaltextrun"/>
        </w:rPr>
        <w:t>“</w:t>
      </w:r>
      <w:r w:rsidRPr="00B606F4">
        <w:rPr>
          <w:rStyle w:val="normaltextrun"/>
        </w:rPr>
        <w:t>Bern process</w:t>
      </w:r>
      <w:r w:rsidR="00A96155" w:rsidRPr="00B606F4">
        <w:rPr>
          <w:rStyle w:val="normaltextrun"/>
        </w:rPr>
        <w:t>”</w:t>
      </w:r>
      <w:r w:rsidRPr="00B606F4">
        <w:rPr>
          <w:rStyle w:val="normaltextrun"/>
        </w:rPr>
        <w:t>,</w:t>
      </w:r>
      <w:r w:rsidR="00A96155" w:rsidRPr="00124180">
        <w:rPr>
          <w:rStyle w:val="FootnoteReference"/>
        </w:rPr>
        <w:footnoteReference w:id="12"/>
      </w:r>
      <w:r w:rsidRPr="00124180">
        <w:rPr>
          <w:rStyle w:val="normaltextrun"/>
          <w:vertAlign w:val="superscript"/>
        </w:rPr>
        <w:t xml:space="preserve"> </w:t>
      </w:r>
      <w:r w:rsidRPr="00B606F4">
        <w:rPr>
          <w:rStyle w:val="normaltextrun"/>
        </w:rPr>
        <w:t xml:space="preserve">including the outcomes of </w:t>
      </w:r>
      <w:r w:rsidR="0011373D" w:rsidRPr="00B606F4">
        <w:rPr>
          <w:rStyle w:val="normaltextrun"/>
        </w:rPr>
        <w:t xml:space="preserve">the </w:t>
      </w:r>
      <w:r w:rsidRPr="00B606F4">
        <w:rPr>
          <w:rStyle w:val="normaltextrun"/>
        </w:rPr>
        <w:t>third conference</w:t>
      </w:r>
      <w:r w:rsidR="0011373D" w:rsidRPr="00B606F4">
        <w:rPr>
          <w:rStyle w:val="normaltextrun"/>
        </w:rPr>
        <w:t xml:space="preserve"> under th</w:t>
      </w:r>
      <w:r w:rsidR="00A96155" w:rsidRPr="00B606F4">
        <w:rPr>
          <w:rStyle w:val="normaltextrun"/>
        </w:rPr>
        <w:t>at</w:t>
      </w:r>
      <w:r w:rsidR="0011373D" w:rsidRPr="00B606F4">
        <w:rPr>
          <w:rStyle w:val="normaltextrun"/>
        </w:rPr>
        <w:t xml:space="preserve"> process,</w:t>
      </w:r>
    </w:p>
    <w:p w14:paraId="5F956244" w14:textId="430D9D82" w:rsidR="00B1215E" w:rsidRPr="00B606F4" w:rsidRDefault="00B1215E" w:rsidP="00B606F4">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shd w:val="clear" w:color="auto" w:fill="FFFFFF"/>
        </w:rPr>
      </w:pPr>
      <w:r w:rsidRPr="00B606F4">
        <w:rPr>
          <w:i/>
          <w:iCs/>
        </w:rPr>
        <w:t xml:space="preserve">Welcomes </w:t>
      </w:r>
      <w:r w:rsidRPr="00B606F4">
        <w:rPr>
          <w:rFonts w:asciiTheme="majorBidi" w:hAnsiTheme="majorBidi" w:cstheme="majorBidi"/>
          <w:shd w:val="clear" w:color="auto" w:fill="FFFFFF"/>
        </w:rPr>
        <w:t xml:space="preserve">the road map </w:t>
      </w:r>
      <w:r w:rsidR="00FB11AE" w:rsidRPr="00B606F4">
        <w:rPr>
          <w:rFonts w:asciiTheme="majorBidi" w:hAnsiTheme="majorBidi" w:cstheme="majorBidi"/>
          <w:shd w:val="clear" w:color="auto" w:fill="FFFFFF"/>
        </w:rPr>
        <w:t xml:space="preserve">for </w:t>
      </w:r>
      <w:r w:rsidRPr="00B606F4">
        <w:rPr>
          <w:rFonts w:asciiTheme="majorBidi" w:hAnsiTheme="majorBidi" w:cstheme="majorBidi"/>
          <w:shd w:val="clear" w:color="auto" w:fill="FFFFFF"/>
        </w:rPr>
        <w:t>enhanc</w:t>
      </w:r>
      <w:r w:rsidR="00FB11AE" w:rsidRPr="00B606F4">
        <w:rPr>
          <w:rFonts w:asciiTheme="majorBidi" w:hAnsiTheme="majorBidi" w:cstheme="majorBidi"/>
          <w:shd w:val="clear" w:color="auto" w:fill="FFFFFF"/>
        </w:rPr>
        <w:t>ing</w:t>
      </w:r>
      <w:r w:rsidRPr="00B606F4">
        <w:rPr>
          <w:rFonts w:asciiTheme="majorBidi" w:hAnsiTheme="majorBidi" w:cstheme="majorBidi"/>
          <w:shd w:val="clear" w:color="auto" w:fill="FFFFFF"/>
        </w:rPr>
        <w:t xml:space="preserve"> co-benefits from implementation of the Minamata Convention and the Kunming-Montreal Global Biodiversity Framework by 2030</w:t>
      </w:r>
      <w:r w:rsidR="007942A5" w:rsidRPr="00B606F4">
        <w:rPr>
          <w:rFonts w:asciiTheme="majorBidi" w:hAnsiTheme="majorBidi" w:cstheme="majorBidi"/>
          <w:shd w:val="clear" w:color="auto" w:fill="FFFFFF"/>
        </w:rPr>
        <w:t>,</w:t>
      </w:r>
      <w:r w:rsidRPr="00B606F4">
        <w:rPr>
          <w:rStyle w:val="FootnoteReference"/>
          <w:rFonts w:cstheme="majorBidi"/>
          <w:shd w:val="clear" w:color="auto" w:fill="FFFFFF"/>
        </w:rPr>
        <w:footnoteReference w:id="13"/>
      </w:r>
      <w:r w:rsidRPr="00B606F4">
        <w:rPr>
          <w:rFonts w:asciiTheme="majorBidi" w:hAnsiTheme="majorBidi" w:cstheme="majorBidi"/>
          <w:shd w:val="clear" w:color="auto" w:fill="FFFFFF"/>
        </w:rPr>
        <w:t xml:space="preserve"> prepared by the secretariat pursuant to decision 5/17;</w:t>
      </w:r>
    </w:p>
    <w:p w14:paraId="00E7C058" w14:textId="6CE2D2E3" w:rsidR="00B1215E" w:rsidRPr="009C1A48" w:rsidRDefault="00B1215E" w:rsidP="000A04D8">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shd w:val="clear" w:color="auto" w:fill="FFFFFF"/>
        </w:rPr>
      </w:pPr>
      <w:r w:rsidRPr="00B606F4">
        <w:rPr>
          <w:i/>
          <w:iCs/>
        </w:rPr>
        <w:t>Encourage</w:t>
      </w:r>
      <w:r w:rsidR="0011373D" w:rsidRPr="00B606F4">
        <w:rPr>
          <w:i/>
          <w:iCs/>
        </w:rPr>
        <w:t>s</w:t>
      </w:r>
      <w:r w:rsidRPr="00B606F4">
        <w:rPr>
          <w:i/>
          <w:iCs/>
        </w:rPr>
        <w:t xml:space="preserve"> </w:t>
      </w:r>
      <w:r w:rsidR="001915B2">
        <w:t>p</w:t>
      </w:r>
      <w:r w:rsidRPr="00B606F4">
        <w:t>arties, and invites other Governments and local and subnational governments, as well as</w:t>
      </w:r>
      <w:r w:rsidRPr="00B606F4">
        <w:rPr>
          <w:rFonts w:asciiTheme="majorBidi" w:hAnsiTheme="majorBidi" w:cstheme="majorBidi"/>
        </w:rPr>
        <w:t xml:space="preserve"> </w:t>
      </w:r>
      <w:r w:rsidR="007942A5" w:rsidRPr="00B606F4">
        <w:rPr>
          <w:rFonts w:asciiTheme="majorBidi" w:hAnsiTheme="majorBidi" w:cstheme="majorBidi"/>
        </w:rPr>
        <w:t>I</w:t>
      </w:r>
      <w:r w:rsidRPr="00B606F4">
        <w:rPr>
          <w:rFonts w:asciiTheme="majorBidi" w:hAnsiTheme="majorBidi" w:cstheme="majorBidi"/>
        </w:rPr>
        <w:t xml:space="preserve">ndigenous </w:t>
      </w:r>
      <w:r w:rsidR="007942A5" w:rsidRPr="00B606F4">
        <w:rPr>
          <w:rFonts w:asciiTheme="majorBidi" w:hAnsiTheme="majorBidi" w:cstheme="majorBidi"/>
        </w:rPr>
        <w:t>P</w:t>
      </w:r>
      <w:r w:rsidRPr="00B606F4">
        <w:rPr>
          <w:rFonts w:asciiTheme="majorBidi" w:hAnsiTheme="majorBidi" w:cstheme="majorBidi"/>
        </w:rPr>
        <w:t>eople</w:t>
      </w:r>
      <w:r w:rsidR="007942A5" w:rsidRPr="00B606F4">
        <w:rPr>
          <w:rFonts w:asciiTheme="majorBidi" w:hAnsiTheme="majorBidi" w:cstheme="majorBidi"/>
        </w:rPr>
        <w:t>s</w:t>
      </w:r>
      <w:r w:rsidRPr="00B606F4">
        <w:rPr>
          <w:rFonts w:asciiTheme="majorBidi" w:hAnsiTheme="majorBidi" w:cstheme="majorBidi"/>
        </w:rPr>
        <w:t>, local communities and other relevant stakeholders</w:t>
      </w:r>
      <w:r w:rsidRPr="00B606F4">
        <w:rPr>
          <w:rFonts w:asciiTheme="majorBidi" w:hAnsiTheme="majorBidi" w:cstheme="majorBidi"/>
          <w:shd w:val="clear" w:color="auto" w:fill="FFFFFF"/>
        </w:rPr>
        <w:t>, including the private sector and academia,</w:t>
      </w:r>
      <w:r w:rsidRPr="009C1A48">
        <w:rPr>
          <w:rFonts w:asciiTheme="majorBidi" w:hAnsiTheme="majorBidi" w:cstheme="majorBidi"/>
          <w:shd w:val="clear" w:color="auto" w:fill="FFFFFF"/>
        </w:rPr>
        <w:t xml:space="preserve"> women, children and youth</w:t>
      </w:r>
      <w:r w:rsidRPr="009C1A48">
        <w:t xml:space="preserve">, as appropriate, to undertake </w:t>
      </w:r>
      <w:r w:rsidR="007942A5">
        <w:t xml:space="preserve">the </w:t>
      </w:r>
      <w:r w:rsidRPr="009C1A48">
        <w:t>actions suggested in the road</w:t>
      </w:r>
      <w:r w:rsidR="00706C3E">
        <w:t xml:space="preserve"> </w:t>
      </w:r>
      <w:r w:rsidRPr="009C1A48">
        <w:t>map</w:t>
      </w:r>
      <w:r w:rsidRPr="009C1A48">
        <w:rPr>
          <w:rFonts w:asciiTheme="majorBidi" w:hAnsiTheme="majorBidi" w:cstheme="majorBidi"/>
          <w:shd w:val="clear" w:color="auto" w:fill="FFFFFF"/>
        </w:rPr>
        <w:t>;</w:t>
      </w:r>
    </w:p>
    <w:p w14:paraId="55CAAA30" w14:textId="66729AA5" w:rsidR="00B1215E" w:rsidRPr="00481AE0" w:rsidRDefault="0011373D" w:rsidP="00481AE0">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shd w:val="clear" w:color="auto" w:fill="FFFFFF"/>
        </w:rPr>
      </w:pPr>
      <w:r>
        <w:rPr>
          <w:rStyle w:val="normaltextrun"/>
          <w:i/>
          <w:iCs/>
        </w:rPr>
        <w:t>E</w:t>
      </w:r>
      <w:r w:rsidR="00B1215E" w:rsidRPr="009C1A48">
        <w:rPr>
          <w:rStyle w:val="normaltextrun"/>
          <w:i/>
          <w:iCs/>
        </w:rPr>
        <w:t>ncourages</w:t>
      </w:r>
      <w:r w:rsidR="00B1215E" w:rsidRPr="009C1A48">
        <w:rPr>
          <w:rStyle w:val="normaltextrun"/>
        </w:rPr>
        <w:t xml:space="preserve"> p</w:t>
      </w:r>
      <w:r w:rsidR="00B1215E" w:rsidRPr="009C1A48">
        <w:rPr>
          <w:rFonts w:asciiTheme="majorBidi" w:hAnsiTheme="majorBidi" w:cstheme="majorBidi"/>
          <w:shd w:val="clear" w:color="auto" w:fill="FFFFFF"/>
        </w:rPr>
        <w:t xml:space="preserve">arties, and invites </w:t>
      </w:r>
      <w:r w:rsidR="00B1215E" w:rsidRPr="00481AE0">
        <w:rPr>
          <w:rFonts w:asciiTheme="majorBidi" w:hAnsiTheme="majorBidi" w:cstheme="majorBidi"/>
          <w:shd w:val="clear" w:color="auto" w:fill="FFFFFF"/>
        </w:rPr>
        <w:t xml:space="preserve">other Governments that </w:t>
      </w:r>
      <w:r w:rsidR="00A96155" w:rsidRPr="00481AE0">
        <w:rPr>
          <w:rFonts w:asciiTheme="majorBidi" w:hAnsiTheme="majorBidi" w:cstheme="majorBidi"/>
          <w:shd w:val="clear" w:color="auto" w:fill="FFFFFF"/>
        </w:rPr>
        <w:t xml:space="preserve">have submitted </w:t>
      </w:r>
      <w:r w:rsidR="00B1215E" w:rsidRPr="00481AE0">
        <w:rPr>
          <w:rFonts w:asciiTheme="majorBidi" w:hAnsiTheme="majorBidi" w:cstheme="majorBidi"/>
          <w:shd w:val="clear" w:color="auto" w:fill="FFFFFF"/>
        </w:rPr>
        <w:t>notification</w:t>
      </w:r>
      <w:r w:rsidR="00481AE0">
        <w:rPr>
          <w:rFonts w:asciiTheme="majorBidi" w:hAnsiTheme="majorBidi" w:cstheme="majorBidi"/>
          <w:shd w:val="clear" w:color="auto" w:fill="FFFFFF"/>
        </w:rPr>
        <w:t>s</w:t>
      </w:r>
      <w:r w:rsidR="00B1215E" w:rsidRPr="00481AE0">
        <w:rPr>
          <w:rFonts w:asciiTheme="majorBidi" w:hAnsiTheme="majorBidi" w:cstheme="majorBidi"/>
          <w:shd w:val="clear" w:color="auto" w:fill="FFFFFF"/>
        </w:rPr>
        <w:t xml:space="preserve"> pursuant to paragraph 3 of article 7 on artisanal and small-scale gold mining, to make use of the technical support document prepared by the secretariat on</w:t>
      </w:r>
      <w:r w:rsidR="00B1215E" w:rsidRPr="00481AE0">
        <w:rPr>
          <w:rStyle w:val="normaltextrun"/>
        </w:rPr>
        <w:t xml:space="preserve"> </w:t>
      </w:r>
      <w:r w:rsidR="00A96155" w:rsidRPr="00481AE0">
        <w:rPr>
          <w:rStyle w:val="normaltextrun"/>
        </w:rPr>
        <w:t>i</w:t>
      </w:r>
      <w:r w:rsidR="00B1215E" w:rsidRPr="00481AE0">
        <w:rPr>
          <w:rStyle w:val="normaltextrun"/>
        </w:rPr>
        <w:t xml:space="preserve">ntegrating action to reduce mercury pollution from artisanal and small-scale gold mining into </w:t>
      </w:r>
      <w:r w:rsidR="00481AE0" w:rsidRPr="00481AE0">
        <w:t>national biodiversity strategies and action plans aligned with</w:t>
      </w:r>
      <w:r w:rsidR="00481AE0" w:rsidRPr="00481AE0">
        <w:rPr>
          <w:i/>
          <w:iCs/>
        </w:rPr>
        <w:t xml:space="preserve"> </w:t>
      </w:r>
      <w:r w:rsidR="00B1215E" w:rsidRPr="00481AE0">
        <w:rPr>
          <w:rStyle w:val="normaltextrun"/>
        </w:rPr>
        <w:t>the Kunming-Montr</w:t>
      </w:r>
      <w:r w:rsidR="007942A5" w:rsidRPr="00481AE0">
        <w:rPr>
          <w:rStyle w:val="normaltextrun"/>
        </w:rPr>
        <w:t>e</w:t>
      </w:r>
      <w:r w:rsidR="00B1215E" w:rsidRPr="00481AE0">
        <w:rPr>
          <w:rStyle w:val="normaltextrun"/>
        </w:rPr>
        <w:t>al Global Biodiversity Framework</w:t>
      </w:r>
      <w:r w:rsidR="00481AE0" w:rsidRPr="00481AE0">
        <w:rPr>
          <w:rStyle w:val="normaltextrun"/>
        </w:rPr>
        <w:t xml:space="preserve"> (UNEP/</w:t>
      </w:r>
      <w:r w:rsidR="00481AE0" w:rsidRPr="00481AE0">
        <w:t>MC/COP.6/INF/27</w:t>
      </w:r>
      <w:r w:rsidR="00481AE0" w:rsidRPr="00481AE0">
        <w:rPr>
          <w:sz w:val="18"/>
          <w:szCs w:val="18"/>
        </w:rPr>
        <w:t>)</w:t>
      </w:r>
      <w:r w:rsidR="00A96155" w:rsidRPr="00481AE0">
        <w:rPr>
          <w:rStyle w:val="normaltextrun"/>
        </w:rPr>
        <w:t>;</w:t>
      </w:r>
    </w:p>
    <w:p w14:paraId="5AEFD272" w14:textId="40127152" w:rsidR="00B1215E" w:rsidRPr="009C1A48" w:rsidRDefault="00B1215E" w:rsidP="000A04D8">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shd w:val="clear" w:color="auto" w:fill="FFFFFF"/>
        </w:rPr>
      </w:pPr>
      <w:r w:rsidRPr="00481AE0">
        <w:rPr>
          <w:i/>
          <w:iCs/>
        </w:rPr>
        <w:t>Welcomes</w:t>
      </w:r>
      <w:r w:rsidRPr="00481AE0">
        <w:rPr>
          <w:rFonts w:asciiTheme="majorBidi" w:hAnsiTheme="majorBidi" w:cstheme="majorBidi"/>
          <w:shd w:val="clear" w:color="auto" w:fill="FFFFFF"/>
        </w:rPr>
        <w:t xml:space="preserve"> </w:t>
      </w:r>
      <w:r w:rsidR="000356CD" w:rsidRPr="00481AE0">
        <w:rPr>
          <w:rFonts w:asciiTheme="majorBidi" w:hAnsiTheme="majorBidi" w:cstheme="majorBidi"/>
          <w:shd w:val="clear" w:color="auto" w:fill="FFFFFF"/>
        </w:rPr>
        <w:t>the</w:t>
      </w:r>
      <w:r w:rsidRPr="00481AE0">
        <w:rPr>
          <w:rFonts w:asciiTheme="majorBidi" w:hAnsiTheme="majorBidi" w:cstheme="majorBidi"/>
          <w:shd w:val="clear" w:color="auto" w:fill="FFFFFF"/>
        </w:rPr>
        <w:t xml:space="preserve"> decision</w:t>
      </w:r>
      <w:r w:rsidR="000356CD" w:rsidRPr="00481AE0">
        <w:rPr>
          <w:rFonts w:asciiTheme="majorBidi" w:hAnsiTheme="majorBidi" w:cstheme="majorBidi"/>
          <w:shd w:val="clear" w:color="auto" w:fill="FFFFFF"/>
        </w:rPr>
        <w:t xml:space="preserve"> of </w:t>
      </w:r>
      <w:r w:rsidR="000356CD" w:rsidRPr="00481AE0">
        <w:t>the Conference of the Parties to the Convention on Biological Diversity</w:t>
      </w:r>
      <w:r w:rsidRPr="00481AE0">
        <w:rPr>
          <w:rFonts w:asciiTheme="majorBidi" w:hAnsiTheme="majorBidi" w:cstheme="majorBidi"/>
          <w:shd w:val="clear" w:color="auto" w:fill="FFFFFF"/>
        </w:rPr>
        <w:t xml:space="preserve"> to invite the Intergovernmental Science-Policy Platform on Biodiversity and Ecosystem Services to consider </w:t>
      </w:r>
      <w:r w:rsidR="00B87658" w:rsidRPr="00481AE0">
        <w:rPr>
          <w:rFonts w:asciiTheme="majorBidi" w:hAnsiTheme="majorBidi" w:cstheme="majorBidi"/>
          <w:shd w:val="clear" w:color="auto" w:fill="FFFFFF"/>
        </w:rPr>
        <w:t xml:space="preserve">adding </w:t>
      </w:r>
      <w:r w:rsidRPr="00481AE0">
        <w:rPr>
          <w:rFonts w:asciiTheme="majorBidi" w:hAnsiTheme="majorBidi" w:cstheme="majorBidi"/>
          <w:shd w:val="clear" w:color="auto" w:fill="FFFFFF"/>
        </w:rPr>
        <w:t xml:space="preserve">an assessment of pollution and biodiversity </w:t>
      </w:r>
      <w:r w:rsidR="00B87658" w:rsidRPr="00481AE0">
        <w:rPr>
          <w:rFonts w:asciiTheme="majorBidi" w:hAnsiTheme="majorBidi" w:cstheme="majorBidi"/>
          <w:shd w:val="clear" w:color="auto" w:fill="FFFFFF"/>
        </w:rPr>
        <w:t xml:space="preserve">to its </w:t>
      </w:r>
      <w:r w:rsidRPr="00481AE0">
        <w:rPr>
          <w:rFonts w:asciiTheme="majorBidi" w:hAnsiTheme="majorBidi" w:cstheme="majorBidi"/>
          <w:shd w:val="clear" w:color="auto" w:fill="FFFFFF"/>
        </w:rPr>
        <w:t>rolling work programme</w:t>
      </w:r>
      <w:r w:rsidR="000356CD" w:rsidRPr="00481AE0">
        <w:rPr>
          <w:rFonts w:asciiTheme="majorBidi" w:hAnsiTheme="majorBidi" w:cstheme="majorBidi"/>
          <w:shd w:val="clear" w:color="auto" w:fill="FFFFFF"/>
        </w:rPr>
        <w:t>,</w:t>
      </w:r>
      <w:r w:rsidRPr="00481AE0">
        <w:rPr>
          <w:rStyle w:val="FootnoteReference"/>
          <w:rFonts w:cstheme="majorBidi"/>
          <w:shd w:val="clear" w:color="auto" w:fill="FFFFFF"/>
        </w:rPr>
        <w:footnoteReference w:id="14"/>
      </w:r>
      <w:r w:rsidRPr="00481AE0">
        <w:rPr>
          <w:rFonts w:asciiTheme="majorBidi" w:hAnsiTheme="majorBidi" w:cstheme="majorBidi"/>
          <w:shd w:val="clear" w:color="auto" w:fill="FFFFFF"/>
        </w:rPr>
        <w:t xml:space="preserve"> and requests the secretariat to initiate cooperation with the </w:t>
      </w:r>
      <w:r w:rsidR="000356CD" w:rsidRPr="00481AE0">
        <w:rPr>
          <w:rFonts w:asciiTheme="majorBidi" w:hAnsiTheme="majorBidi" w:cstheme="majorBidi"/>
          <w:shd w:val="clear" w:color="auto" w:fill="FFFFFF"/>
        </w:rPr>
        <w:t>s</w:t>
      </w:r>
      <w:r w:rsidRPr="00481AE0">
        <w:rPr>
          <w:rFonts w:asciiTheme="majorBidi" w:hAnsiTheme="majorBidi" w:cstheme="majorBidi"/>
          <w:shd w:val="clear" w:color="auto" w:fill="FFFFFF"/>
        </w:rPr>
        <w:t>ecretariat of the Platform with a view to exploring</w:t>
      </w:r>
      <w:r w:rsidRPr="00481AE0" w:rsidDel="00B5206D">
        <w:rPr>
          <w:rFonts w:asciiTheme="majorBidi" w:hAnsiTheme="majorBidi" w:cstheme="majorBidi"/>
          <w:shd w:val="clear" w:color="auto" w:fill="FFFFFF"/>
        </w:rPr>
        <w:t xml:space="preserve"> </w:t>
      </w:r>
      <w:r w:rsidRPr="00481AE0">
        <w:rPr>
          <w:rFonts w:asciiTheme="majorBidi" w:hAnsiTheme="majorBidi" w:cstheme="majorBidi"/>
          <w:shd w:val="clear" w:color="auto" w:fill="FFFFFF"/>
        </w:rPr>
        <w:t>possible ways</w:t>
      </w:r>
      <w:r w:rsidRPr="009C1A48">
        <w:rPr>
          <w:rFonts w:asciiTheme="majorBidi" w:hAnsiTheme="majorBidi" w:cstheme="majorBidi"/>
          <w:shd w:val="clear" w:color="auto" w:fill="FFFFFF"/>
        </w:rPr>
        <w:t xml:space="preserve"> in which the work of the Platform </w:t>
      </w:r>
      <w:r w:rsidR="000356CD">
        <w:rPr>
          <w:rFonts w:asciiTheme="majorBidi" w:hAnsiTheme="majorBidi" w:cstheme="majorBidi"/>
          <w:shd w:val="clear" w:color="auto" w:fill="FFFFFF"/>
        </w:rPr>
        <w:t>might</w:t>
      </w:r>
      <w:r w:rsidR="000356CD" w:rsidRPr="009C1A48">
        <w:rPr>
          <w:rFonts w:asciiTheme="majorBidi" w:hAnsiTheme="majorBidi" w:cstheme="majorBidi"/>
          <w:shd w:val="clear" w:color="auto" w:fill="FFFFFF"/>
        </w:rPr>
        <w:t xml:space="preserve"> </w:t>
      </w:r>
      <w:r w:rsidRPr="009C1A48">
        <w:rPr>
          <w:rFonts w:asciiTheme="majorBidi" w:hAnsiTheme="majorBidi" w:cstheme="majorBidi"/>
          <w:shd w:val="clear" w:color="auto" w:fill="FFFFFF"/>
        </w:rPr>
        <w:t>support the implementation of the Minamata Convention;</w:t>
      </w:r>
    </w:p>
    <w:p w14:paraId="3D695101" w14:textId="1E923008" w:rsidR="00B1215E" w:rsidRPr="009C1A48" w:rsidRDefault="00B1215E" w:rsidP="000A04D8">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rPr>
          <w:rStyle w:val="normaltextrun"/>
        </w:rPr>
      </w:pPr>
      <w:r w:rsidRPr="009C1A48">
        <w:rPr>
          <w:i/>
          <w:iCs/>
        </w:rPr>
        <w:t>Encourages</w:t>
      </w:r>
      <w:r w:rsidRPr="009C1A48">
        <w:rPr>
          <w:rStyle w:val="normaltextrun"/>
        </w:rPr>
        <w:t xml:space="preserve"> parties to engage in the Bern </w:t>
      </w:r>
      <w:r w:rsidR="00B87658">
        <w:rPr>
          <w:rStyle w:val="normaltextrun"/>
        </w:rPr>
        <w:t>p</w:t>
      </w:r>
      <w:r w:rsidRPr="009C1A48">
        <w:rPr>
          <w:rStyle w:val="normaltextrun"/>
        </w:rPr>
        <w:t xml:space="preserve">rocess and actively promote cooperation and policy coherence among multilateral environmental agreements at the national level, </w:t>
      </w:r>
      <w:proofErr w:type="gramStart"/>
      <w:r w:rsidRPr="009C1A48">
        <w:rPr>
          <w:rStyle w:val="normaltextrun"/>
        </w:rPr>
        <w:t>taking into account</w:t>
      </w:r>
      <w:proofErr w:type="gramEnd"/>
      <w:r w:rsidRPr="009C1A48">
        <w:rPr>
          <w:rStyle w:val="normaltextrun"/>
        </w:rPr>
        <w:t xml:space="preserve"> national circumstances, needs and priorities through, as appropriate, a whole-of-government and whole-of-society approach;</w:t>
      </w:r>
    </w:p>
    <w:p w14:paraId="0C557B4B" w14:textId="2ED80E30" w:rsidR="00B1215E" w:rsidRPr="009C1A48" w:rsidRDefault="00B1215E" w:rsidP="000A04D8">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rPr>
          <w:rStyle w:val="normaltextrun"/>
          <w:rFonts w:asciiTheme="majorBidi" w:hAnsiTheme="majorBidi" w:cstheme="majorBidi"/>
          <w:shd w:val="clear" w:color="auto" w:fill="FFFFFF"/>
        </w:rPr>
      </w:pPr>
      <w:r w:rsidRPr="009C1A48">
        <w:rPr>
          <w:i/>
          <w:iCs/>
        </w:rPr>
        <w:t>Requests</w:t>
      </w:r>
      <w:r w:rsidRPr="009C1A48">
        <w:t xml:space="preserve"> the secretariat, subject to the availability of resources</w:t>
      </w:r>
      <w:r w:rsidRPr="009C1A48">
        <w:rPr>
          <w:i/>
          <w:iCs/>
        </w:rPr>
        <w:t xml:space="preserve">, </w:t>
      </w:r>
      <w:r w:rsidRPr="009C1A48">
        <w:rPr>
          <w:rFonts w:asciiTheme="majorBidi" w:hAnsiTheme="majorBidi" w:cstheme="majorBidi"/>
          <w:shd w:val="clear" w:color="auto" w:fill="FFFFFF"/>
        </w:rPr>
        <w:t>to contribute to the implementation of the road</w:t>
      </w:r>
      <w:r w:rsidR="00706C3E">
        <w:rPr>
          <w:rFonts w:asciiTheme="majorBidi" w:hAnsiTheme="majorBidi" w:cstheme="majorBidi"/>
          <w:shd w:val="clear" w:color="auto" w:fill="FFFFFF"/>
        </w:rPr>
        <w:t xml:space="preserve"> </w:t>
      </w:r>
      <w:r w:rsidRPr="009C1A48">
        <w:rPr>
          <w:rFonts w:asciiTheme="majorBidi" w:hAnsiTheme="majorBidi" w:cstheme="majorBidi"/>
          <w:shd w:val="clear" w:color="auto" w:fill="FFFFFF"/>
        </w:rPr>
        <w:t xml:space="preserve">map </w:t>
      </w:r>
      <w:r w:rsidR="00B87658">
        <w:rPr>
          <w:rFonts w:asciiTheme="majorBidi" w:hAnsiTheme="majorBidi" w:cstheme="majorBidi"/>
          <w:shd w:val="clear" w:color="auto" w:fill="FFFFFF"/>
        </w:rPr>
        <w:t>and</w:t>
      </w:r>
      <w:r w:rsidRPr="009C1A48">
        <w:rPr>
          <w:rFonts w:asciiTheme="majorBidi" w:hAnsiTheme="majorBidi" w:cstheme="majorBidi"/>
          <w:shd w:val="clear" w:color="auto" w:fill="FFFFFF"/>
        </w:rPr>
        <w:t xml:space="preserve"> </w:t>
      </w:r>
      <w:r w:rsidRPr="009C1A48">
        <w:rPr>
          <w:rStyle w:val="normaltextrun"/>
        </w:rPr>
        <w:t>to continue its engagement</w:t>
      </w:r>
      <w:r w:rsidR="00B87658">
        <w:rPr>
          <w:rStyle w:val="normaltextrun"/>
        </w:rPr>
        <w:t xml:space="preserve"> in the Bern process</w:t>
      </w:r>
      <w:r w:rsidRPr="009C1A48">
        <w:rPr>
          <w:rStyle w:val="normaltextrun"/>
        </w:rPr>
        <w:t>, in collaboration with the United</w:t>
      </w:r>
      <w:r w:rsidR="00F22DC4">
        <w:rPr>
          <w:rStyle w:val="normaltextrun"/>
        </w:rPr>
        <w:t> </w:t>
      </w:r>
      <w:r w:rsidRPr="009C1A48">
        <w:rPr>
          <w:rStyle w:val="normaltextrun"/>
        </w:rPr>
        <w:t>Nations Environment Programme and other multilateral environmental agreements</w:t>
      </w:r>
      <w:r w:rsidRPr="009C1A48">
        <w:rPr>
          <w:rFonts w:asciiTheme="majorBidi" w:hAnsiTheme="majorBidi" w:cstheme="majorBidi"/>
          <w:shd w:val="clear" w:color="auto" w:fill="FFFFFF"/>
        </w:rPr>
        <w:t>.</w:t>
      </w:r>
    </w:p>
    <w:p w14:paraId="46679D40" w14:textId="77777777" w:rsidR="00B1215E" w:rsidRPr="00ED65CF" w:rsidRDefault="00B1215E" w:rsidP="00ED65CF">
      <w:pPr>
        <w:pStyle w:val="Normal-pool"/>
        <w:sectPr w:rsidR="00B1215E" w:rsidRPr="00ED65CF" w:rsidSect="00B1215E">
          <w:headerReference w:type="first" r:id="rId21"/>
          <w:footerReference w:type="first" r:id="rId22"/>
          <w:footnotePr>
            <w:numRestart w:val="eachSect"/>
          </w:footnotePr>
          <w:type w:val="continuous"/>
          <w:pgSz w:w="11906" w:h="16838" w:code="9"/>
          <w:pgMar w:top="907" w:right="992" w:bottom="1418" w:left="1418" w:header="539" w:footer="975" w:gutter="0"/>
          <w:cols w:space="539"/>
          <w:docGrid w:linePitch="360"/>
        </w:sectPr>
      </w:pPr>
      <w:r w:rsidRPr="00ED65CF">
        <w:br w:type="page"/>
      </w:r>
    </w:p>
    <w:p w14:paraId="10087226" w14:textId="77777777" w:rsidR="00B1215E" w:rsidRPr="009C1A48" w:rsidRDefault="00B1215E" w:rsidP="00047C16">
      <w:pPr>
        <w:pStyle w:val="ZZAnxheader"/>
      </w:pPr>
      <w:r w:rsidRPr="009C1A48">
        <w:lastRenderedPageBreak/>
        <w:t>Annex II</w:t>
      </w:r>
    </w:p>
    <w:p w14:paraId="2F0FE3BD" w14:textId="31A51ECE" w:rsidR="00B1215E" w:rsidRPr="009C1A48" w:rsidRDefault="00B1215E" w:rsidP="00047C16">
      <w:pPr>
        <w:pStyle w:val="ZZAnxtitle"/>
      </w:pPr>
      <w:r w:rsidRPr="009C1A48">
        <w:t>An overview of decisions</w:t>
      </w:r>
      <w:r w:rsidR="000356CD">
        <w:t xml:space="preserve"> taken by the</w:t>
      </w:r>
      <w:r w:rsidR="000356CD" w:rsidRPr="009C1A48">
        <w:t xml:space="preserve"> Conference of the Parties</w:t>
      </w:r>
      <w:r w:rsidR="000356CD">
        <w:t xml:space="preserve"> to the Convention on Biological Diversity</w:t>
      </w:r>
      <w:r w:rsidRPr="009C1A48">
        <w:t xml:space="preserve"> </w:t>
      </w:r>
      <w:r w:rsidR="000356CD">
        <w:t xml:space="preserve">at its sixteenth meeting that are </w:t>
      </w:r>
      <w:r w:rsidRPr="009C1A48">
        <w:t>of direct relevance to the Minamata Convention</w:t>
      </w:r>
    </w:p>
    <w:p w14:paraId="1D15608F" w14:textId="4AA26150" w:rsidR="00B1215E" w:rsidRPr="00BD408F" w:rsidRDefault="00B1215E" w:rsidP="00BD408F">
      <w:pPr>
        <w:pStyle w:val="NormalNonumber"/>
        <w:numPr>
          <w:ilvl w:val="0"/>
          <w:numId w:val="25"/>
        </w:numPr>
        <w:tabs>
          <w:tab w:val="clear" w:pos="1247"/>
          <w:tab w:val="clear" w:pos="1871"/>
          <w:tab w:val="clear" w:pos="2495"/>
          <w:tab w:val="clear" w:pos="3119"/>
          <w:tab w:val="clear" w:pos="3742"/>
          <w:tab w:val="clear" w:pos="4366"/>
          <w:tab w:val="clear" w:pos="4990"/>
        </w:tabs>
        <w:ind w:left="1247" w:firstLine="0"/>
      </w:pPr>
      <w:r w:rsidRPr="00BD408F">
        <w:t xml:space="preserve">The sixteenth meeting of the Conference of the Parties </w:t>
      </w:r>
      <w:r w:rsidR="000356CD" w:rsidRPr="00BD408F">
        <w:t>to the Convention on Biological Diversity</w:t>
      </w:r>
      <w:r w:rsidR="00C27F0A" w:rsidRPr="00BD408F">
        <w:t xml:space="preserve">, </w:t>
      </w:r>
      <w:r w:rsidRPr="00BD408F">
        <w:t>held in two parts</w:t>
      </w:r>
      <w:r w:rsidR="005477C1" w:rsidRPr="00BD408F">
        <w:t xml:space="preserve"> –</w:t>
      </w:r>
      <w:r w:rsidRPr="00BD408F">
        <w:t xml:space="preserve"> in Cali, Colombia (21 October–1 November 2024) and in Rome </w:t>
      </w:r>
      <w:r w:rsidR="00ED65CF">
        <w:br/>
      </w:r>
      <w:r w:rsidRPr="00BD408F">
        <w:t>(25</w:t>
      </w:r>
      <w:r w:rsidR="000356CD" w:rsidRPr="00BD408F">
        <w:t>–</w:t>
      </w:r>
      <w:r w:rsidRPr="00BD408F">
        <w:t>27 February 2025)</w:t>
      </w:r>
      <w:r w:rsidR="005477C1" w:rsidRPr="00BD408F">
        <w:t xml:space="preserve"> –</w:t>
      </w:r>
      <w:r w:rsidRPr="00BD408F">
        <w:t xml:space="preserve"> </w:t>
      </w:r>
      <w:r w:rsidRPr="00BD408F">
        <w:rPr>
          <w:shd w:val="clear" w:color="auto" w:fill="FFFFFF"/>
        </w:rPr>
        <w:t xml:space="preserve">reaffirmed government commitments to reverse the loss of biodiversity and </w:t>
      </w:r>
      <w:r w:rsidR="005477C1" w:rsidRPr="00BD408F">
        <w:rPr>
          <w:shd w:val="clear" w:color="auto" w:fill="FFFFFF"/>
        </w:rPr>
        <w:t xml:space="preserve">the </w:t>
      </w:r>
      <w:r w:rsidRPr="00BD408F">
        <w:rPr>
          <w:shd w:val="clear" w:color="auto" w:fill="FFFFFF"/>
        </w:rPr>
        <w:t xml:space="preserve">decline in ecosystem services. </w:t>
      </w:r>
      <w:r w:rsidRPr="00BD408F">
        <w:t>Th</w:t>
      </w:r>
      <w:r w:rsidR="00C27F0A" w:rsidRPr="00BD408F">
        <w:t xml:space="preserve">e following </w:t>
      </w:r>
      <w:r w:rsidRPr="00BD408F">
        <w:t>is a</w:t>
      </w:r>
      <w:r w:rsidR="00C27F0A" w:rsidRPr="00BD408F">
        <w:t>n</w:t>
      </w:r>
      <w:r w:rsidRPr="00BD408F">
        <w:t xml:space="preserve"> overview of </w:t>
      </w:r>
      <w:r w:rsidR="000356CD" w:rsidRPr="00BD408F">
        <w:t xml:space="preserve">the </w:t>
      </w:r>
      <w:r w:rsidRPr="00BD408F">
        <w:t xml:space="preserve">decisions </w:t>
      </w:r>
      <w:r w:rsidR="000356CD" w:rsidRPr="00BD408F">
        <w:t xml:space="preserve">taken at that meeting </w:t>
      </w:r>
      <w:r w:rsidRPr="00BD408F">
        <w:t xml:space="preserve">that are of </w:t>
      </w:r>
      <w:r w:rsidR="00C27F0A" w:rsidRPr="00BD408F">
        <w:t xml:space="preserve">direct </w:t>
      </w:r>
      <w:r w:rsidRPr="00BD408F">
        <w:t xml:space="preserve">relevance to the Minamata Convention. For ease of reference, document UNEP/MC/COP.6/INF/41 contains a list of key decisions from </w:t>
      </w:r>
      <w:r w:rsidR="000356CD" w:rsidRPr="00BD408F">
        <w:t>the fifteenth and sixteenth meetings of the Conference of the Parties to the Convention on Biological Diversity</w:t>
      </w:r>
      <w:r w:rsidRPr="00BD408F">
        <w:t>.</w:t>
      </w:r>
    </w:p>
    <w:p w14:paraId="58260F5C" w14:textId="10BD9981" w:rsidR="00B1215E" w:rsidRPr="009C1A48" w:rsidRDefault="00B1215E" w:rsidP="00BD408F">
      <w:pPr>
        <w:pStyle w:val="NormalNonumber"/>
        <w:numPr>
          <w:ilvl w:val="0"/>
          <w:numId w:val="25"/>
        </w:numPr>
        <w:tabs>
          <w:tab w:val="clear" w:pos="1247"/>
          <w:tab w:val="clear" w:pos="1871"/>
          <w:tab w:val="clear" w:pos="2495"/>
          <w:tab w:val="clear" w:pos="3119"/>
          <w:tab w:val="clear" w:pos="3742"/>
          <w:tab w:val="clear" w:pos="4366"/>
          <w:tab w:val="clear" w:pos="4990"/>
        </w:tabs>
        <w:ind w:left="1247" w:firstLine="0"/>
        <w:rPr>
          <w:shd w:val="clear" w:color="auto" w:fill="FFFFFF"/>
        </w:rPr>
      </w:pPr>
      <w:r w:rsidRPr="009C1A48">
        <w:rPr>
          <w:shd w:val="clear" w:color="auto" w:fill="FFFFFF"/>
        </w:rPr>
        <w:t>In its decision 16/31</w:t>
      </w:r>
      <w:r w:rsidR="000356CD">
        <w:rPr>
          <w:shd w:val="clear" w:color="auto" w:fill="FFFFFF"/>
        </w:rPr>
        <w:t>, on the</w:t>
      </w:r>
      <w:r w:rsidRPr="009C1A48">
        <w:rPr>
          <w:shd w:val="clear" w:color="auto" w:fill="FFFFFF"/>
        </w:rPr>
        <w:t xml:space="preserve"> </w:t>
      </w:r>
      <w:r w:rsidR="000356CD">
        <w:rPr>
          <w:shd w:val="clear" w:color="auto" w:fill="FFFFFF"/>
        </w:rPr>
        <w:t>m</w:t>
      </w:r>
      <w:r w:rsidRPr="009C1A48">
        <w:rPr>
          <w:shd w:val="clear" w:color="auto" w:fill="FFFFFF"/>
        </w:rPr>
        <w:t>onitoring framework for the Kunming Montreal Global Biodiversity Framework</w:t>
      </w:r>
      <w:r w:rsidR="000356CD">
        <w:rPr>
          <w:shd w:val="clear" w:color="auto" w:fill="FFFFFF"/>
        </w:rPr>
        <w:t>,</w:t>
      </w:r>
      <w:r w:rsidR="000356CD" w:rsidRPr="000356CD">
        <w:t xml:space="preserve"> </w:t>
      </w:r>
      <w:r w:rsidR="000356CD" w:rsidRPr="009C1A48">
        <w:t xml:space="preserve">the Conference of the Parties </w:t>
      </w:r>
      <w:r w:rsidR="000356CD">
        <w:t>to the Convention on Biological Diversity</w:t>
      </w:r>
      <w:r w:rsidRPr="009C1A48">
        <w:rPr>
          <w:shd w:val="clear" w:color="auto" w:fill="FFFFFF"/>
        </w:rPr>
        <w:t xml:space="preserve"> endorsed the technical updates to the headline and binary indicators</w:t>
      </w:r>
      <w:r w:rsidR="00C27F0A" w:rsidRPr="00C27F0A">
        <w:t xml:space="preserve"> </w:t>
      </w:r>
      <w:r w:rsidR="00C27F0A" w:rsidRPr="00C27F0A">
        <w:rPr>
          <w:shd w:val="clear" w:color="auto" w:fill="FFFFFF"/>
        </w:rPr>
        <w:t>in the monitoring framework for the Kunming-Montreal Global Biodiversity Framework</w:t>
      </w:r>
      <w:r w:rsidRPr="009C1A48">
        <w:rPr>
          <w:shd w:val="clear" w:color="auto" w:fill="FFFFFF"/>
        </w:rPr>
        <w:t xml:space="preserve">, as contained in annex I to that decision. Annex II </w:t>
      </w:r>
      <w:r w:rsidR="00C27F0A">
        <w:rPr>
          <w:shd w:val="clear" w:color="auto" w:fill="FFFFFF"/>
        </w:rPr>
        <w:t>to</w:t>
      </w:r>
      <w:r w:rsidR="00C27F0A" w:rsidRPr="009C1A48">
        <w:rPr>
          <w:shd w:val="clear" w:color="auto" w:fill="FFFFFF"/>
        </w:rPr>
        <w:t xml:space="preserve"> </w:t>
      </w:r>
      <w:r w:rsidRPr="009C1A48">
        <w:rPr>
          <w:shd w:val="clear" w:color="auto" w:fill="FFFFFF"/>
        </w:rPr>
        <w:t xml:space="preserve">the </w:t>
      </w:r>
      <w:r w:rsidR="00C27F0A" w:rsidRPr="00BD408F">
        <w:t>same</w:t>
      </w:r>
      <w:r w:rsidR="00C27F0A">
        <w:rPr>
          <w:shd w:val="clear" w:color="auto" w:fill="FFFFFF"/>
        </w:rPr>
        <w:t xml:space="preserve"> </w:t>
      </w:r>
      <w:r w:rsidRPr="009C1A48">
        <w:rPr>
          <w:shd w:val="clear" w:color="auto" w:fill="FFFFFF"/>
        </w:rPr>
        <w:t>decision include</w:t>
      </w:r>
      <w:r w:rsidR="00C27F0A">
        <w:rPr>
          <w:shd w:val="clear" w:color="auto" w:fill="FFFFFF"/>
        </w:rPr>
        <w:t>d</w:t>
      </w:r>
      <w:r w:rsidRPr="009C1A48">
        <w:rPr>
          <w:shd w:val="clear" w:color="auto" w:fill="FFFFFF"/>
        </w:rPr>
        <w:t xml:space="preserve"> </w:t>
      </w:r>
      <w:r w:rsidR="00C27F0A">
        <w:rPr>
          <w:shd w:val="clear" w:color="auto" w:fill="FFFFFF"/>
        </w:rPr>
        <w:t>a</w:t>
      </w:r>
      <w:r w:rsidR="00C27F0A" w:rsidRPr="009C1A48">
        <w:rPr>
          <w:shd w:val="clear" w:color="auto" w:fill="FFFFFF"/>
        </w:rPr>
        <w:t xml:space="preserve"> </w:t>
      </w:r>
      <w:r w:rsidRPr="009C1A48">
        <w:rPr>
          <w:shd w:val="clear" w:color="auto" w:fill="FFFFFF"/>
        </w:rPr>
        <w:t xml:space="preserve">list of voluntary component and complementary indicators. Furthermore, </w:t>
      </w:r>
      <w:r w:rsidR="000356CD" w:rsidRPr="009C1A48">
        <w:t xml:space="preserve">the Conference of the Parties </w:t>
      </w:r>
      <w:r w:rsidRPr="009C1A48">
        <w:rPr>
          <w:shd w:val="clear" w:color="auto" w:fill="FFFFFF"/>
        </w:rPr>
        <w:t xml:space="preserve">established a process </w:t>
      </w:r>
      <w:r w:rsidR="00C27F0A">
        <w:rPr>
          <w:shd w:val="clear" w:color="auto" w:fill="FFFFFF"/>
        </w:rPr>
        <w:t>for</w:t>
      </w:r>
      <w:r w:rsidR="00C27F0A" w:rsidRPr="009C1A48">
        <w:rPr>
          <w:shd w:val="clear" w:color="auto" w:fill="FFFFFF"/>
        </w:rPr>
        <w:t xml:space="preserve"> </w:t>
      </w:r>
      <w:r w:rsidRPr="009C1A48">
        <w:rPr>
          <w:shd w:val="clear" w:color="auto" w:fill="FFFFFF"/>
        </w:rPr>
        <w:t>consider</w:t>
      </w:r>
      <w:r w:rsidR="00C27F0A">
        <w:rPr>
          <w:shd w:val="clear" w:color="auto" w:fill="FFFFFF"/>
        </w:rPr>
        <w:t>ing</w:t>
      </w:r>
      <w:r w:rsidRPr="009C1A48">
        <w:rPr>
          <w:shd w:val="clear" w:color="auto" w:fill="FFFFFF"/>
        </w:rPr>
        <w:t xml:space="preserve"> additional indicators by requesting the Executive Secretary to compile submissions from</w:t>
      </w:r>
      <w:r w:rsidR="00C27F0A">
        <w:rPr>
          <w:shd w:val="clear" w:color="auto" w:fill="FFFFFF"/>
        </w:rPr>
        <w:t xml:space="preserve"> </w:t>
      </w:r>
      <w:r w:rsidRPr="009C1A48">
        <w:rPr>
          <w:shd w:val="clear" w:color="auto" w:fill="FFFFFF"/>
        </w:rPr>
        <w:t xml:space="preserve">the secretariats of multilateral environmental agreements, </w:t>
      </w:r>
      <w:r w:rsidR="00C27F0A" w:rsidRPr="009C1A48">
        <w:rPr>
          <w:shd w:val="clear" w:color="auto" w:fill="FFFFFF"/>
        </w:rPr>
        <w:t xml:space="preserve">among others, </w:t>
      </w:r>
      <w:r w:rsidRPr="009C1A48">
        <w:rPr>
          <w:shd w:val="clear" w:color="auto" w:fill="FFFFFF"/>
        </w:rPr>
        <w:t>for the inclusion of additional headline, component and complementary indicators that meet the criteria for inclusion in the monitoring framework</w:t>
      </w:r>
      <w:r w:rsidR="00C27F0A">
        <w:rPr>
          <w:shd w:val="clear" w:color="auto" w:fill="FFFFFF"/>
        </w:rPr>
        <w:t>,</w:t>
      </w:r>
      <w:r w:rsidRPr="009C1A48">
        <w:rPr>
          <w:shd w:val="clear" w:color="auto" w:fill="FFFFFF"/>
        </w:rPr>
        <w:t xml:space="preserve"> </w:t>
      </w:r>
      <w:proofErr w:type="gramStart"/>
      <w:r w:rsidRPr="009C1A48">
        <w:rPr>
          <w:shd w:val="clear" w:color="auto" w:fill="FFFFFF"/>
        </w:rPr>
        <w:t>in order to</w:t>
      </w:r>
      <w:proofErr w:type="gramEnd"/>
      <w:r w:rsidRPr="009C1A48">
        <w:rPr>
          <w:shd w:val="clear" w:color="auto" w:fill="FFFFFF"/>
        </w:rPr>
        <w:t xml:space="preserve"> help address the gaps in the monitoring framework. Th</w:t>
      </w:r>
      <w:r w:rsidR="003753F8">
        <w:rPr>
          <w:shd w:val="clear" w:color="auto" w:fill="FFFFFF"/>
        </w:rPr>
        <w:t>e compiled</w:t>
      </w:r>
      <w:r w:rsidRPr="009C1A48">
        <w:rPr>
          <w:shd w:val="clear" w:color="auto" w:fill="FFFFFF"/>
        </w:rPr>
        <w:t xml:space="preserve"> information </w:t>
      </w:r>
      <w:r w:rsidR="003753F8">
        <w:rPr>
          <w:shd w:val="clear" w:color="auto" w:fill="FFFFFF"/>
        </w:rPr>
        <w:t>is to</w:t>
      </w:r>
      <w:r w:rsidR="003753F8" w:rsidRPr="009C1A48">
        <w:rPr>
          <w:shd w:val="clear" w:color="auto" w:fill="FFFFFF"/>
        </w:rPr>
        <w:t xml:space="preserve"> </w:t>
      </w:r>
      <w:r w:rsidRPr="009C1A48">
        <w:rPr>
          <w:shd w:val="clear" w:color="auto" w:fill="FFFFFF"/>
        </w:rPr>
        <w:t xml:space="preserve">be made available to </w:t>
      </w:r>
      <w:r w:rsidR="00E165DA">
        <w:rPr>
          <w:shd w:val="clear" w:color="auto" w:fill="FFFFFF"/>
        </w:rPr>
        <w:t>the</w:t>
      </w:r>
      <w:r w:rsidR="00E165DA" w:rsidRPr="00E165DA">
        <w:t xml:space="preserve"> </w:t>
      </w:r>
      <w:r w:rsidR="00E165DA" w:rsidRPr="009C1A48">
        <w:t>Subsidiary Body on Scientific, Technical and Technological Advice</w:t>
      </w:r>
      <w:r w:rsidR="00E165DA" w:rsidRPr="009C1A48">
        <w:rPr>
          <w:shd w:val="clear" w:color="auto" w:fill="FFFFFF"/>
        </w:rPr>
        <w:t xml:space="preserve"> </w:t>
      </w:r>
      <w:r w:rsidRPr="009C1A48">
        <w:rPr>
          <w:shd w:val="clear" w:color="auto" w:fill="FFFFFF"/>
        </w:rPr>
        <w:t xml:space="preserve">for its consideration at a meeting held before the seventeenth meeting of the </w:t>
      </w:r>
      <w:r w:rsidR="005470A7" w:rsidRPr="009C1A48">
        <w:t xml:space="preserve">Conference of the Parties </w:t>
      </w:r>
      <w:r w:rsidR="005470A7">
        <w:t>to the Convention on Biological Diversity</w:t>
      </w:r>
      <w:r w:rsidRPr="009C1A48">
        <w:rPr>
          <w:shd w:val="clear" w:color="auto" w:fill="FFFFFF"/>
        </w:rPr>
        <w:t xml:space="preserve">, scheduled to take place in Armenia in 2026. </w:t>
      </w:r>
    </w:p>
    <w:p w14:paraId="47282C37" w14:textId="29F74761" w:rsidR="00B1215E" w:rsidRPr="009C1A48" w:rsidRDefault="003753F8" w:rsidP="00BD408F">
      <w:pPr>
        <w:pStyle w:val="NormalNonumber"/>
        <w:numPr>
          <w:ilvl w:val="0"/>
          <w:numId w:val="25"/>
        </w:numPr>
        <w:tabs>
          <w:tab w:val="clear" w:pos="1247"/>
          <w:tab w:val="clear" w:pos="1871"/>
          <w:tab w:val="clear" w:pos="2495"/>
          <w:tab w:val="clear" w:pos="3119"/>
          <w:tab w:val="clear" w:pos="3742"/>
          <w:tab w:val="clear" w:pos="4366"/>
          <w:tab w:val="clear" w:pos="4990"/>
        </w:tabs>
        <w:ind w:left="1247" w:firstLine="0"/>
      </w:pPr>
      <w:r>
        <w:t>Furthermore</w:t>
      </w:r>
      <w:r w:rsidR="00B1215E" w:rsidRPr="009C1A48">
        <w:t xml:space="preserve">, </w:t>
      </w:r>
      <w:r>
        <w:t>in</w:t>
      </w:r>
      <w:r w:rsidRPr="009C1A48">
        <w:t xml:space="preserve"> </w:t>
      </w:r>
      <w:r w:rsidR="00B1215E" w:rsidRPr="009C1A48">
        <w:t>decision</w:t>
      </w:r>
      <w:r>
        <w:t xml:space="preserve"> 16/31, </w:t>
      </w:r>
      <w:r w:rsidRPr="009C1A48">
        <w:t xml:space="preserve">the Conference of the Parties </w:t>
      </w:r>
      <w:r>
        <w:t>to the Convention on Biological Diversity</w:t>
      </w:r>
      <w:r w:rsidR="00B1215E" w:rsidRPr="009C1A48">
        <w:t xml:space="preserve"> welcomed the ongoing work on monitoring conducted under multilateral environmental agreements and relevant initiatives and invite</w:t>
      </w:r>
      <w:r>
        <w:t>d</w:t>
      </w:r>
      <w:r w:rsidR="00B1215E" w:rsidRPr="009C1A48">
        <w:t xml:space="preserve"> the secretariats of multilateral environmental agreements and relevant initiatives to share information on relevant monitoring initiatives with the Executive Secretary of th</w:t>
      </w:r>
      <w:r>
        <w:t>at</w:t>
      </w:r>
      <w:r w:rsidR="00B1215E" w:rsidRPr="009C1A48">
        <w:t xml:space="preserve"> </w:t>
      </w:r>
      <w:r w:rsidR="00D83895">
        <w:t>c</w:t>
      </w:r>
      <w:r w:rsidR="00B1215E" w:rsidRPr="009C1A48">
        <w:t xml:space="preserve">onvention. Such information </w:t>
      </w:r>
      <w:r>
        <w:t>is to</w:t>
      </w:r>
      <w:r w:rsidRPr="009C1A48">
        <w:t xml:space="preserve"> </w:t>
      </w:r>
      <w:r w:rsidR="00D561E9">
        <w:t xml:space="preserve">be </w:t>
      </w:r>
      <w:r w:rsidR="00B1215E" w:rsidRPr="009C1A48">
        <w:t xml:space="preserve">made available to </w:t>
      </w:r>
      <w:r>
        <w:t>p</w:t>
      </w:r>
      <w:r w:rsidR="00B1215E" w:rsidRPr="009C1A48">
        <w:t xml:space="preserve">arties through the clearing-house mechanism of the Convention. </w:t>
      </w:r>
    </w:p>
    <w:p w14:paraId="6B35141E" w14:textId="0E440C8E" w:rsidR="00B1215E" w:rsidRPr="009C1A48" w:rsidRDefault="00B1215E" w:rsidP="00BD408F">
      <w:pPr>
        <w:pStyle w:val="NormalNonumber"/>
        <w:numPr>
          <w:ilvl w:val="0"/>
          <w:numId w:val="25"/>
        </w:numPr>
        <w:tabs>
          <w:tab w:val="clear" w:pos="1247"/>
          <w:tab w:val="clear" w:pos="1871"/>
          <w:tab w:val="clear" w:pos="2495"/>
          <w:tab w:val="clear" w:pos="3119"/>
          <w:tab w:val="clear" w:pos="3742"/>
          <w:tab w:val="clear" w:pos="4366"/>
          <w:tab w:val="clear" w:pos="4990"/>
        </w:tabs>
        <w:ind w:left="1247" w:firstLine="0"/>
      </w:pPr>
      <w:r w:rsidRPr="009C1A48">
        <w:t>In decision 16/11</w:t>
      </w:r>
      <w:r w:rsidR="003753F8">
        <w:t>, on</w:t>
      </w:r>
      <w:r w:rsidRPr="009C1A48">
        <w:t xml:space="preserve"> </w:t>
      </w:r>
      <w:r w:rsidR="003753F8">
        <w:t>m</w:t>
      </w:r>
      <w:r w:rsidRPr="009C1A48">
        <w:t xml:space="preserve">atters related to the work programme of the Intergovernmental </w:t>
      </w:r>
      <w:r w:rsidR="00F22DC4">
        <w:t>Science</w:t>
      </w:r>
      <w:r w:rsidR="00F22DC4">
        <w:noBreakHyphen/>
      </w:r>
      <w:r w:rsidRPr="009C1A48">
        <w:t>Policy Platform on Biodiversity and Ecosystem Services</w:t>
      </w:r>
      <w:r w:rsidR="003753F8">
        <w:t>,</w:t>
      </w:r>
      <w:r w:rsidRPr="009C1A48">
        <w:t xml:space="preserve"> the </w:t>
      </w:r>
      <w:r w:rsidR="003753F8" w:rsidRPr="009C1A48">
        <w:t xml:space="preserve">Conference of the Parties </w:t>
      </w:r>
      <w:r w:rsidR="003753F8">
        <w:t>to the Convention on Biological Diversity</w:t>
      </w:r>
      <w:r w:rsidRPr="009C1A48">
        <w:t xml:space="preserve"> invited </w:t>
      </w:r>
      <w:r w:rsidR="003753F8">
        <w:t>the Platform</w:t>
      </w:r>
      <w:r w:rsidRPr="009C1A48">
        <w:t xml:space="preserve"> to consider preparing potential additional assessments, including an assessment of pollution and biodiversity. </w:t>
      </w:r>
    </w:p>
    <w:p w14:paraId="6E51B071" w14:textId="2BA9C788" w:rsidR="00B1215E" w:rsidRPr="009C1A48" w:rsidRDefault="003753F8" w:rsidP="00BD408F">
      <w:pPr>
        <w:pStyle w:val="NormalNonumber"/>
        <w:numPr>
          <w:ilvl w:val="0"/>
          <w:numId w:val="25"/>
        </w:numPr>
        <w:tabs>
          <w:tab w:val="clear" w:pos="1247"/>
          <w:tab w:val="clear" w:pos="1871"/>
          <w:tab w:val="clear" w:pos="2495"/>
          <w:tab w:val="clear" w:pos="3119"/>
          <w:tab w:val="clear" w:pos="3742"/>
          <w:tab w:val="clear" w:pos="4366"/>
          <w:tab w:val="clear" w:pos="4990"/>
        </w:tabs>
        <w:ind w:left="1247" w:firstLine="0"/>
      </w:pPr>
      <w:r>
        <w:t>In d</w:t>
      </w:r>
      <w:r w:rsidR="00B1215E" w:rsidRPr="009C1A48">
        <w:t>ecision 16/35</w:t>
      </w:r>
      <w:r>
        <w:t>,</w:t>
      </w:r>
      <w:r w:rsidR="00B1215E" w:rsidRPr="009C1A48">
        <w:t xml:space="preserve"> on cooperation with other conventions and international organizations, </w:t>
      </w:r>
      <w:r>
        <w:t xml:space="preserve">the </w:t>
      </w:r>
      <w:r w:rsidRPr="009C1A48">
        <w:t xml:space="preserve">Conference of the Parties </w:t>
      </w:r>
      <w:r>
        <w:t>to the Convention on Biological Diversity</w:t>
      </w:r>
      <w:r w:rsidRPr="009C1A48">
        <w:t xml:space="preserve"> </w:t>
      </w:r>
      <w:r w:rsidR="00B1215E" w:rsidRPr="009C1A48">
        <w:t>invite</w:t>
      </w:r>
      <w:r>
        <w:t>d</w:t>
      </w:r>
      <w:r w:rsidR="00B1215E" w:rsidRPr="009C1A48">
        <w:t xml:space="preserve"> the governing bodies of the chemicals and waste conventions (</w:t>
      </w:r>
      <w:r>
        <w:t xml:space="preserve">including the </w:t>
      </w:r>
      <w:r w:rsidR="00B1215E" w:rsidRPr="009C1A48">
        <w:t xml:space="preserve">Minamata Convention and </w:t>
      </w:r>
      <w:r>
        <w:t>the Basel, Rotterdam and Stockholm</w:t>
      </w:r>
      <w:r w:rsidR="00B1215E" w:rsidRPr="009C1A48">
        <w:t xml:space="preserve"> conventions), the </w:t>
      </w:r>
      <w:r>
        <w:t>Food and Agriculture Organization of the United Nations</w:t>
      </w:r>
      <w:r w:rsidR="00B1215E" w:rsidRPr="009C1A48">
        <w:t xml:space="preserve"> and other relevant conventions and organizations, including the Global Framework on Chemicals</w:t>
      </w:r>
      <w:r w:rsidR="00D97617">
        <w:t xml:space="preserve"> </w:t>
      </w:r>
      <w:r w:rsidR="00142AFC" w:rsidRPr="009C1A48">
        <w:t xml:space="preserve">– </w:t>
      </w:r>
      <w:r w:rsidR="001915B2">
        <w:t>f</w:t>
      </w:r>
      <w:r w:rsidR="00142AFC" w:rsidRPr="009C1A48">
        <w:t>or a Planet Free of Harm from Chemicals and Waste</w:t>
      </w:r>
      <w:r w:rsidR="00B1215E" w:rsidRPr="009C1A48">
        <w:t xml:space="preserve">, to collaborate with the three Rio conventions on </w:t>
      </w:r>
      <w:r w:rsidR="008E614A">
        <w:t>t</w:t>
      </w:r>
      <w:r w:rsidR="00B1215E" w:rsidRPr="009C1A48">
        <w:t>arget</w:t>
      </w:r>
      <w:r w:rsidR="00B1215E" w:rsidRPr="009C1A48">
        <w:rPr>
          <w:shd w:val="clear" w:color="auto" w:fill="FFFFFF"/>
        </w:rPr>
        <w:t xml:space="preserve"> 7 of the Framework</w:t>
      </w:r>
      <w:r w:rsidR="00D97617">
        <w:rPr>
          <w:shd w:val="clear" w:color="auto" w:fill="FFFFFF"/>
        </w:rPr>
        <w:t>,</w:t>
      </w:r>
      <w:r w:rsidR="00B1215E" w:rsidRPr="009C1A48">
        <w:rPr>
          <w:shd w:val="clear" w:color="auto" w:fill="FFFFFF"/>
        </w:rPr>
        <w:t xml:space="preserve"> </w:t>
      </w:r>
      <w:r w:rsidR="00D97617">
        <w:rPr>
          <w:shd w:val="clear" w:color="auto" w:fill="FFFFFF"/>
        </w:rPr>
        <w:t>“</w:t>
      </w:r>
      <w:r w:rsidR="00B1215E" w:rsidRPr="009C1A48">
        <w:rPr>
          <w:shd w:val="clear" w:color="auto" w:fill="FFFFFF"/>
        </w:rPr>
        <w:t>reduc</w:t>
      </w:r>
      <w:r w:rsidR="00D97617">
        <w:rPr>
          <w:shd w:val="clear" w:color="auto" w:fill="FFFFFF"/>
        </w:rPr>
        <w:t>e</w:t>
      </w:r>
      <w:r w:rsidR="00B1215E" w:rsidRPr="009C1A48">
        <w:rPr>
          <w:shd w:val="clear" w:color="auto" w:fill="FFFFFF"/>
        </w:rPr>
        <w:t xml:space="preserve"> pollution to levels that are not harmful to biodiversity</w:t>
      </w:r>
      <w:r w:rsidR="00D97617">
        <w:rPr>
          <w:shd w:val="clear" w:color="auto" w:fill="FFFFFF"/>
        </w:rPr>
        <w:t>”</w:t>
      </w:r>
      <w:r w:rsidR="00B1215E" w:rsidRPr="009C1A48">
        <w:rPr>
          <w:shd w:val="clear" w:color="auto" w:fill="FFFFFF"/>
        </w:rPr>
        <w:t xml:space="preserve">, in consultations with </w:t>
      </w:r>
      <w:r>
        <w:rPr>
          <w:shd w:val="clear" w:color="auto" w:fill="FFFFFF"/>
        </w:rPr>
        <w:t>p</w:t>
      </w:r>
      <w:r w:rsidR="00B1215E" w:rsidRPr="009C1A48">
        <w:rPr>
          <w:shd w:val="clear" w:color="auto" w:fill="FFFFFF"/>
        </w:rPr>
        <w:t xml:space="preserve">arties, </w:t>
      </w:r>
      <w:r w:rsidR="00B1215E" w:rsidRPr="009C1A48">
        <w:t xml:space="preserve">other Governments, </w:t>
      </w:r>
      <w:r>
        <w:t>I</w:t>
      </w:r>
      <w:r w:rsidR="00B1215E" w:rsidRPr="009C1A48">
        <w:t xml:space="preserve">ndigenous </w:t>
      </w:r>
      <w:r>
        <w:t>P</w:t>
      </w:r>
      <w:r w:rsidR="00B1215E" w:rsidRPr="009C1A48">
        <w:t>eoples and local communities and relevant stakeholders.</w:t>
      </w:r>
    </w:p>
    <w:p w14:paraId="4EEACE78" w14:textId="53EB32AD" w:rsidR="00B1215E" w:rsidRPr="009C1A48" w:rsidRDefault="00B1215E" w:rsidP="00BD408F">
      <w:pPr>
        <w:pStyle w:val="NormalNonumber"/>
        <w:numPr>
          <w:ilvl w:val="0"/>
          <w:numId w:val="25"/>
        </w:numPr>
        <w:tabs>
          <w:tab w:val="clear" w:pos="1247"/>
          <w:tab w:val="clear" w:pos="1871"/>
          <w:tab w:val="clear" w:pos="2495"/>
          <w:tab w:val="clear" w:pos="3119"/>
          <w:tab w:val="clear" w:pos="3742"/>
          <w:tab w:val="clear" w:pos="4366"/>
          <w:tab w:val="clear" w:pos="4990"/>
        </w:tabs>
        <w:ind w:left="1247" w:firstLine="0"/>
      </w:pPr>
      <w:r w:rsidRPr="009C1A48">
        <w:t>In decision 16/19</w:t>
      </w:r>
      <w:r w:rsidR="005470A7">
        <w:t>, on</w:t>
      </w:r>
      <w:r w:rsidRPr="009C1A48">
        <w:t xml:space="preserve"> </w:t>
      </w:r>
      <w:r w:rsidR="005470A7">
        <w:t>b</w:t>
      </w:r>
      <w:r w:rsidRPr="009C1A48">
        <w:t xml:space="preserve">iodiversity and health, </w:t>
      </w:r>
      <w:r w:rsidR="005470A7" w:rsidRPr="009C1A48">
        <w:t xml:space="preserve">the Conference of the Parties </w:t>
      </w:r>
      <w:r w:rsidR="005470A7">
        <w:t>to the Convention on Biological Diversity</w:t>
      </w:r>
      <w:r w:rsidRPr="009C1A48">
        <w:t xml:space="preserve"> </w:t>
      </w:r>
      <w:bookmarkStart w:id="12" w:name="_Hlk203473682"/>
      <w:r w:rsidRPr="009C1A48">
        <w:t>adopted the Global Action Plan on Biodiversity and Health</w:t>
      </w:r>
      <w:bookmarkEnd w:id="12"/>
      <w:r w:rsidRPr="009C1A48">
        <w:t>, as contained in the annex to th</w:t>
      </w:r>
      <w:r w:rsidR="00D561E9">
        <w:t>at</w:t>
      </w:r>
      <w:r w:rsidRPr="009C1A48">
        <w:t xml:space="preserve"> decision, as a voluntary plan supporting the implementation of the </w:t>
      </w:r>
      <w:r w:rsidR="00142AFC">
        <w:t xml:space="preserve">Kunming-Montreal Global Biodiversity </w:t>
      </w:r>
      <w:r w:rsidR="005470A7">
        <w:t>Framework</w:t>
      </w:r>
      <w:r w:rsidRPr="009C1A48">
        <w:t xml:space="preserve">. The aim of the </w:t>
      </w:r>
      <w:r w:rsidR="005470A7">
        <w:t>a</w:t>
      </w:r>
      <w:r w:rsidRPr="009C1A48">
        <w:t xml:space="preserve">ction </w:t>
      </w:r>
      <w:r w:rsidR="005470A7">
        <w:t>p</w:t>
      </w:r>
      <w:r w:rsidRPr="009C1A48">
        <w:t xml:space="preserve">lan is to mainstream biodiversity and health linkages into the implementation of the </w:t>
      </w:r>
      <w:r w:rsidR="005470A7">
        <w:t>Framework</w:t>
      </w:r>
      <w:r w:rsidR="005470A7" w:rsidRPr="009C1A48">
        <w:t xml:space="preserve"> </w:t>
      </w:r>
      <w:r w:rsidRPr="009C1A48">
        <w:t xml:space="preserve">and its actions. </w:t>
      </w:r>
      <w:r w:rsidR="00142AFC">
        <w:t>Those</w:t>
      </w:r>
      <w:r w:rsidRPr="009C1A48">
        <w:t xml:space="preserve"> actions </w:t>
      </w:r>
      <w:r w:rsidR="00142AFC">
        <w:t>include</w:t>
      </w:r>
      <w:r w:rsidR="00142AFC" w:rsidRPr="009C1A48">
        <w:t xml:space="preserve"> </w:t>
      </w:r>
      <w:r w:rsidRPr="009C1A48">
        <w:t>raising awareness of the negative impact of pollution from all sources, including heavy metals, highly hazardous chemicals and plastics, and developing monitoring and/or surveillance data, enhancing information</w:t>
      </w:r>
      <w:r w:rsidR="00142AFC">
        <w:t>-</w:t>
      </w:r>
      <w:r w:rsidRPr="009C1A48">
        <w:t>sharing and promoting understanding of the linkages between chemicals and waste and human health impacts to maximize the co-benefits for biodiversity and human health, including t</w:t>
      </w:r>
      <w:r w:rsidR="005470A7">
        <w:t>h</w:t>
      </w:r>
      <w:r w:rsidRPr="009C1A48">
        <w:t xml:space="preserve">rough the One Health approach. </w:t>
      </w:r>
    </w:p>
    <w:p w14:paraId="20FFAF55" w14:textId="297A1FA7" w:rsidR="00B1215E" w:rsidRPr="009C1A48" w:rsidRDefault="00D561E9" w:rsidP="00BD408F">
      <w:pPr>
        <w:pStyle w:val="NormalNonumber"/>
        <w:numPr>
          <w:ilvl w:val="0"/>
          <w:numId w:val="25"/>
        </w:numPr>
        <w:tabs>
          <w:tab w:val="clear" w:pos="1247"/>
          <w:tab w:val="clear" w:pos="1871"/>
          <w:tab w:val="clear" w:pos="2495"/>
          <w:tab w:val="clear" w:pos="3119"/>
          <w:tab w:val="clear" w:pos="3742"/>
          <w:tab w:val="clear" w:pos="4366"/>
          <w:tab w:val="clear" w:pos="4990"/>
        </w:tabs>
        <w:ind w:left="1247" w:firstLine="0"/>
        <w:rPr>
          <w:shd w:val="clear" w:color="auto" w:fill="FFFFFF"/>
        </w:rPr>
      </w:pPr>
      <w:r>
        <w:t>Also i</w:t>
      </w:r>
      <w:r w:rsidR="00142AFC">
        <w:t xml:space="preserve">n </w:t>
      </w:r>
      <w:r w:rsidR="00B1215E" w:rsidRPr="009C1A48">
        <w:t>decision</w:t>
      </w:r>
      <w:r>
        <w:t xml:space="preserve"> </w:t>
      </w:r>
      <w:r w:rsidRPr="009C1A48">
        <w:t>16/19</w:t>
      </w:r>
      <w:r w:rsidR="00142AFC">
        <w:t>, the Conference of the Parties</w:t>
      </w:r>
      <w:r w:rsidR="00B1215E" w:rsidRPr="009C1A48">
        <w:t xml:space="preserve"> note</w:t>
      </w:r>
      <w:r w:rsidR="00142AFC">
        <w:t>d</w:t>
      </w:r>
      <w:r w:rsidR="00B1215E" w:rsidRPr="009C1A48">
        <w:t xml:space="preserve"> the importance given to biodiversity and health linkages by other organizations and initiatives, including the Global Framework on Chemicals</w:t>
      </w:r>
      <w:r w:rsidR="005470A7">
        <w:t>,</w:t>
      </w:r>
      <w:r w:rsidR="00B1215E" w:rsidRPr="009C1A48">
        <w:t xml:space="preserve"> and invite</w:t>
      </w:r>
      <w:r w:rsidR="00142AFC">
        <w:t>d</w:t>
      </w:r>
      <w:r w:rsidR="00B1215E" w:rsidRPr="009C1A48">
        <w:t xml:space="preserve"> secretariats of relevant multilateral environmental and health agreements</w:t>
      </w:r>
      <w:r w:rsidR="005470A7">
        <w:t>, among others,</w:t>
      </w:r>
      <w:r w:rsidR="00B1215E" w:rsidRPr="009C1A48">
        <w:t xml:space="preserve"> to raise awareness of the Global Action Plan on Biodiversity and Health, to </w:t>
      </w:r>
      <w:r w:rsidR="00B1215E" w:rsidRPr="009C1A48">
        <w:lastRenderedPageBreak/>
        <w:t>contribute to mainstreaming biodiversity and health linkages across sectors, respecting self-determined national priorities, and to further support the development and implementation of measures, guidance and tools for</w:t>
      </w:r>
      <w:r w:rsidR="00B1215E" w:rsidRPr="009C1A48">
        <w:rPr>
          <w:shd w:val="clear" w:color="auto" w:fill="FFFFFF"/>
        </w:rPr>
        <w:t xml:space="preserve"> promoting and supporting the mainstreaming of biodiversity and health linkages. </w:t>
      </w:r>
    </w:p>
    <w:p w14:paraId="0BF60C46" w14:textId="6D9C02E8" w:rsidR="00B1215E" w:rsidRPr="009C1A48" w:rsidRDefault="00142AFC" w:rsidP="003953F0">
      <w:pPr>
        <w:pStyle w:val="NormalNonumber"/>
        <w:numPr>
          <w:ilvl w:val="0"/>
          <w:numId w:val="25"/>
        </w:numPr>
        <w:tabs>
          <w:tab w:val="clear" w:pos="1247"/>
          <w:tab w:val="clear" w:pos="1871"/>
          <w:tab w:val="clear" w:pos="2495"/>
          <w:tab w:val="clear" w:pos="3119"/>
          <w:tab w:val="clear" w:pos="3742"/>
          <w:tab w:val="clear" w:pos="4366"/>
          <w:tab w:val="clear" w:pos="4990"/>
        </w:tabs>
        <w:ind w:left="1247" w:firstLine="0"/>
      </w:pPr>
      <w:r>
        <w:rPr>
          <w:shd w:val="clear" w:color="auto" w:fill="FFFFFF"/>
        </w:rPr>
        <w:t>In d</w:t>
      </w:r>
      <w:r w:rsidR="00B1215E" w:rsidRPr="009C1A48">
        <w:rPr>
          <w:shd w:val="clear" w:color="auto" w:fill="FFFFFF"/>
        </w:rPr>
        <w:t>ecision 16/32</w:t>
      </w:r>
      <w:r>
        <w:rPr>
          <w:shd w:val="clear" w:color="auto" w:fill="FFFFFF"/>
        </w:rPr>
        <w:t>, the Conference of the Parties to the Convention on Biological Diversity</w:t>
      </w:r>
      <w:r w:rsidR="00B1215E" w:rsidRPr="009C1A48">
        <w:rPr>
          <w:shd w:val="clear" w:color="auto" w:fill="FFFFFF"/>
        </w:rPr>
        <w:t xml:space="preserve"> reiterated decision 15/6 to conduct a global review of collective progress in the implementation of the Framework at </w:t>
      </w:r>
      <w:r>
        <w:rPr>
          <w:shd w:val="clear" w:color="auto" w:fill="FFFFFF"/>
        </w:rPr>
        <w:t>its seventeenth and nineteenth meetings</w:t>
      </w:r>
      <w:r w:rsidR="00B1215E" w:rsidRPr="009C1A48">
        <w:rPr>
          <w:shd w:val="clear" w:color="auto" w:fill="FFFFFF"/>
        </w:rPr>
        <w:t xml:space="preserve">. The global review </w:t>
      </w:r>
      <w:r>
        <w:rPr>
          <w:shd w:val="clear" w:color="auto" w:fill="FFFFFF"/>
        </w:rPr>
        <w:t>is to</w:t>
      </w:r>
      <w:r w:rsidRPr="009C1A48">
        <w:rPr>
          <w:shd w:val="clear" w:color="auto" w:fill="FFFFFF"/>
        </w:rPr>
        <w:t xml:space="preserve"> </w:t>
      </w:r>
      <w:r w:rsidR="00B1215E" w:rsidRPr="009C1A48">
        <w:rPr>
          <w:shd w:val="clear" w:color="auto" w:fill="FFFFFF"/>
        </w:rPr>
        <w:t>be focused on assessing collective progress and be primarily based on national reports and a global report on collective progress in the implementation of the Framework</w:t>
      </w:r>
      <w:r w:rsidR="004312E4">
        <w:rPr>
          <w:shd w:val="clear" w:color="auto" w:fill="FFFFFF"/>
        </w:rPr>
        <w:t>, also</w:t>
      </w:r>
      <w:r w:rsidR="00B1215E" w:rsidRPr="009C1A48">
        <w:rPr>
          <w:shd w:val="clear" w:color="auto" w:fill="FFFFFF"/>
        </w:rPr>
        <w:t xml:space="preserve"> draw</w:t>
      </w:r>
      <w:r w:rsidR="004312E4">
        <w:rPr>
          <w:shd w:val="clear" w:color="auto" w:fill="FFFFFF"/>
        </w:rPr>
        <w:t>ing</w:t>
      </w:r>
      <w:r w:rsidR="00B1215E" w:rsidRPr="009C1A48">
        <w:rPr>
          <w:shd w:val="clear" w:color="auto" w:fill="FFFFFF"/>
        </w:rPr>
        <w:t xml:space="preserve"> on the global analysis of information in national biodiversity strategies and action plans. The decision </w:t>
      </w:r>
      <w:r w:rsidR="004312E4">
        <w:rPr>
          <w:shd w:val="clear" w:color="auto" w:fill="FFFFFF"/>
        </w:rPr>
        <w:t>lays out</w:t>
      </w:r>
      <w:r w:rsidR="004312E4" w:rsidRPr="009C1A48">
        <w:rPr>
          <w:shd w:val="clear" w:color="auto" w:fill="FFFFFF"/>
        </w:rPr>
        <w:t xml:space="preserve"> </w:t>
      </w:r>
      <w:r w:rsidR="00B1215E" w:rsidRPr="009C1A48">
        <w:rPr>
          <w:shd w:val="clear" w:color="auto" w:fill="FFFFFF"/>
        </w:rPr>
        <w:t xml:space="preserve">the structural </w:t>
      </w:r>
      <w:r w:rsidR="00B1215E" w:rsidRPr="009C1A48">
        <w:t>elements of the global report, which</w:t>
      </w:r>
      <w:r w:rsidR="004312E4">
        <w:t xml:space="preserve"> include</w:t>
      </w:r>
      <w:r w:rsidR="00B1215E" w:rsidRPr="009C1A48">
        <w:t xml:space="preserve"> a concise compilation of examples of contributions of relevant multilateral environmental agreements towards the implementation of the Framework, in line with their respective mandates. </w:t>
      </w:r>
      <w:r w:rsidR="004312E4">
        <w:t>It</w:t>
      </w:r>
      <w:r w:rsidR="00B1215E" w:rsidRPr="009C1A48">
        <w:t xml:space="preserve"> also sets out the main sources of information the global report should draw on, one of which is relevant information from the secretariats of biodiversity-related conventions and other relevant multilateral environmental agreements, international organizations and processes, including reports submitted under related conventions and on the Sustainable Development Goals.</w:t>
      </w:r>
    </w:p>
    <w:p w14:paraId="79419C56" w14:textId="6E93C99A" w:rsidR="00B1215E" w:rsidRPr="009C1A48" w:rsidRDefault="00B1215E" w:rsidP="003953F0">
      <w:pPr>
        <w:pStyle w:val="NormalNonumber"/>
        <w:numPr>
          <w:ilvl w:val="0"/>
          <w:numId w:val="25"/>
        </w:numPr>
        <w:tabs>
          <w:tab w:val="clear" w:pos="1247"/>
          <w:tab w:val="clear" w:pos="1871"/>
          <w:tab w:val="clear" w:pos="2495"/>
          <w:tab w:val="clear" w:pos="3119"/>
          <w:tab w:val="clear" w:pos="3742"/>
          <w:tab w:val="clear" w:pos="4366"/>
          <w:tab w:val="clear" w:pos="4990"/>
        </w:tabs>
        <w:ind w:left="1247" w:firstLine="0"/>
        <w:rPr>
          <w:shd w:val="clear" w:color="auto" w:fill="FFFFFF"/>
        </w:rPr>
      </w:pPr>
      <w:r w:rsidRPr="009C1A48">
        <w:t xml:space="preserve">In decision 16/33, the Conference of the Parties to the Convention on Biological Diversity encouraged the Global Environment Facility and eligible </w:t>
      </w:r>
      <w:r w:rsidR="007A190D">
        <w:t>p</w:t>
      </w:r>
      <w:r w:rsidRPr="009C1A48">
        <w:t>arties to maintain the contribution of the international waters</w:t>
      </w:r>
      <w:r w:rsidRPr="009C1A48">
        <w:rPr>
          <w:shd w:val="clear" w:color="auto" w:fill="FFFFFF"/>
        </w:rPr>
        <w:t xml:space="preserve"> focal area to the implementation of the </w:t>
      </w:r>
      <w:r w:rsidR="004312E4">
        <w:rPr>
          <w:shd w:val="clear" w:color="auto" w:fill="FFFFFF"/>
        </w:rPr>
        <w:t xml:space="preserve">Kunming-Montreal Global Biodiversity </w:t>
      </w:r>
      <w:r w:rsidRPr="009C1A48">
        <w:rPr>
          <w:shd w:val="clear" w:color="auto" w:fill="FFFFFF"/>
        </w:rPr>
        <w:t xml:space="preserve">Framework and to extend that practice to other focal areas, including climate change, land degradation and </w:t>
      </w:r>
      <w:r w:rsidRPr="00BD408F">
        <w:t>chemicals</w:t>
      </w:r>
      <w:r w:rsidRPr="009C1A48">
        <w:rPr>
          <w:shd w:val="clear" w:color="auto" w:fill="FFFFFF"/>
        </w:rPr>
        <w:t xml:space="preserve"> and waste, in line with national circumstances and priorities. </w:t>
      </w:r>
      <w:r w:rsidR="004312E4">
        <w:rPr>
          <w:shd w:val="clear" w:color="auto" w:fill="FFFFFF"/>
        </w:rPr>
        <w:t>In addition, a</w:t>
      </w:r>
      <w:r w:rsidRPr="009C1A48">
        <w:rPr>
          <w:shd w:val="clear" w:color="auto" w:fill="FFFFFF"/>
        </w:rPr>
        <w:t xml:space="preserve">nnex I </w:t>
      </w:r>
      <w:r w:rsidR="007A190D">
        <w:rPr>
          <w:shd w:val="clear" w:color="auto" w:fill="FFFFFF"/>
        </w:rPr>
        <w:t>to</w:t>
      </w:r>
      <w:r w:rsidR="007A190D" w:rsidRPr="009C1A48">
        <w:rPr>
          <w:shd w:val="clear" w:color="auto" w:fill="FFFFFF"/>
        </w:rPr>
        <w:t xml:space="preserve"> </w:t>
      </w:r>
      <w:r w:rsidRPr="009C1A48">
        <w:rPr>
          <w:shd w:val="clear" w:color="auto" w:fill="FFFFFF"/>
        </w:rPr>
        <w:t>th</w:t>
      </w:r>
      <w:r w:rsidR="004312E4">
        <w:rPr>
          <w:shd w:val="clear" w:color="auto" w:fill="FFFFFF"/>
        </w:rPr>
        <w:t>e</w:t>
      </w:r>
      <w:r w:rsidRPr="009C1A48">
        <w:rPr>
          <w:shd w:val="clear" w:color="auto" w:fill="FFFFFF"/>
        </w:rPr>
        <w:t xml:space="preserve"> decision </w:t>
      </w:r>
      <w:r w:rsidR="004312E4">
        <w:rPr>
          <w:shd w:val="clear" w:color="auto" w:fill="FFFFFF"/>
        </w:rPr>
        <w:t>contains</w:t>
      </w:r>
      <w:r w:rsidRPr="009C1A48">
        <w:rPr>
          <w:shd w:val="clear" w:color="auto" w:fill="FFFFFF"/>
        </w:rPr>
        <w:t xml:space="preserve"> a four-year </w:t>
      </w:r>
      <w:r w:rsidR="00F22DC4">
        <w:rPr>
          <w:shd w:val="clear" w:color="auto" w:fill="FFFFFF"/>
        </w:rPr>
        <w:t>outcome</w:t>
      </w:r>
      <w:r w:rsidR="00F22DC4">
        <w:rPr>
          <w:shd w:val="clear" w:color="auto" w:fill="FFFFFF"/>
        </w:rPr>
        <w:noBreakHyphen/>
      </w:r>
      <w:r w:rsidRPr="009C1A48">
        <w:rPr>
          <w:shd w:val="clear" w:color="auto" w:fill="FFFFFF"/>
        </w:rPr>
        <w:t xml:space="preserve">oriented framework of biodiversity programme priorities of the Convention on Biological Diversity and its </w:t>
      </w:r>
      <w:r w:rsidR="00D561E9">
        <w:rPr>
          <w:shd w:val="clear" w:color="auto" w:fill="FFFFFF"/>
        </w:rPr>
        <w:t>p</w:t>
      </w:r>
      <w:r w:rsidRPr="009C1A48">
        <w:rPr>
          <w:shd w:val="clear" w:color="auto" w:fill="FFFFFF"/>
        </w:rPr>
        <w:t xml:space="preserve">rotocols for the ninth replenishment of the Global Environment Facility </w:t>
      </w:r>
      <w:r w:rsidR="007A190D">
        <w:rPr>
          <w:shd w:val="clear" w:color="auto" w:fill="FFFFFF"/>
        </w:rPr>
        <w:t>t</w:t>
      </w:r>
      <w:r w:rsidRPr="009C1A48">
        <w:rPr>
          <w:shd w:val="clear" w:color="auto" w:fill="FFFFFF"/>
        </w:rPr>
        <w:t xml:space="preserve">rust </w:t>
      </w:r>
      <w:r w:rsidR="007A190D">
        <w:rPr>
          <w:shd w:val="clear" w:color="auto" w:fill="FFFFFF"/>
        </w:rPr>
        <w:t>f</w:t>
      </w:r>
      <w:r w:rsidRPr="009C1A48">
        <w:rPr>
          <w:shd w:val="clear" w:color="auto" w:fill="FFFFFF"/>
        </w:rPr>
        <w:t xml:space="preserve">und (2026–2030), in which the importance of synergies in the context of the </w:t>
      </w:r>
      <w:r w:rsidR="004312E4">
        <w:rPr>
          <w:shd w:val="clear" w:color="auto" w:fill="FFFFFF"/>
        </w:rPr>
        <w:t>ninth replenishment</w:t>
      </w:r>
      <w:r w:rsidRPr="009C1A48">
        <w:rPr>
          <w:shd w:val="clear" w:color="auto" w:fill="FFFFFF"/>
        </w:rPr>
        <w:t xml:space="preserve"> is also mentioned. </w:t>
      </w:r>
    </w:p>
    <w:p w14:paraId="5449E6C6" w14:textId="77777777" w:rsidR="00D62C28" w:rsidRPr="009C1A48" w:rsidRDefault="00D62C28" w:rsidP="00D62C28">
      <w:pPr>
        <w:pStyle w:val="Normal-pool"/>
        <w:rPr>
          <w:rFonts w:eastAsiaTheme="minorEastAs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8"/>
        <w:gridCol w:w="1898"/>
      </w:tblGrid>
      <w:tr w:rsidR="00047C16" w:rsidRPr="009C1A48" w14:paraId="01C6ECAF" w14:textId="77777777" w:rsidTr="00047C16">
        <w:tc>
          <w:tcPr>
            <w:tcW w:w="1897" w:type="dxa"/>
          </w:tcPr>
          <w:p w14:paraId="5B267AA6" w14:textId="77777777" w:rsidR="00047C16" w:rsidRPr="009C1A48" w:rsidRDefault="00047C16" w:rsidP="00047C16">
            <w:pPr>
              <w:pStyle w:val="Normal-pool"/>
              <w:spacing w:before="520"/>
              <w:rPr>
                <w:rFonts w:eastAsiaTheme="minorEastAsia"/>
              </w:rPr>
            </w:pPr>
          </w:p>
        </w:tc>
        <w:tc>
          <w:tcPr>
            <w:tcW w:w="1897" w:type="dxa"/>
          </w:tcPr>
          <w:p w14:paraId="6E3C26AA" w14:textId="77777777" w:rsidR="00047C16" w:rsidRPr="009C1A48" w:rsidRDefault="00047C16" w:rsidP="00047C16">
            <w:pPr>
              <w:pStyle w:val="Normal-pool"/>
              <w:spacing w:before="520"/>
              <w:rPr>
                <w:rFonts w:eastAsiaTheme="minorEastAsia"/>
              </w:rPr>
            </w:pPr>
          </w:p>
        </w:tc>
        <w:tc>
          <w:tcPr>
            <w:tcW w:w="1897" w:type="dxa"/>
            <w:tcBorders>
              <w:bottom w:val="single" w:sz="4" w:space="0" w:color="auto"/>
            </w:tcBorders>
          </w:tcPr>
          <w:p w14:paraId="14A44B56" w14:textId="77777777" w:rsidR="00047C16" w:rsidRPr="009C1A48" w:rsidRDefault="00047C16" w:rsidP="00047C16">
            <w:pPr>
              <w:pStyle w:val="Normal-pool"/>
              <w:spacing w:before="520"/>
              <w:rPr>
                <w:rFonts w:eastAsiaTheme="minorEastAsia"/>
              </w:rPr>
            </w:pPr>
          </w:p>
        </w:tc>
        <w:tc>
          <w:tcPr>
            <w:tcW w:w="1898" w:type="dxa"/>
          </w:tcPr>
          <w:p w14:paraId="7DEAD437" w14:textId="77777777" w:rsidR="00047C16" w:rsidRPr="009C1A48" w:rsidRDefault="00047C16" w:rsidP="00047C16">
            <w:pPr>
              <w:pStyle w:val="Normal-pool"/>
              <w:spacing w:before="520"/>
              <w:rPr>
                <w:rFonts w:eastAsiaTheme="minorEastAsia"/>
              </w:rPr>
            </w:pPr>
          </w:p>
        </w:tc>
        <w:tc>
          <w:tcPr>
            <w:tcW w:w="1898" w:type="dxa"/>
          </w:tcPr>
          <w:p w14:paraId="34DC481A" w14:textId="77777777" w:rsidR="00047C16" w:rsidRPr="009C1A48" w:rsidRDefault="00047C16" w:rsidP="00047C16">
            <w:pPr>
              <w:pStyle w:val="Normal-pool"/>
              <w:spacing w:before="520"/>
              <w:rPr>
                <w:rFonts w:eastAsiaTheme="minorEastAsia"/>
              </w:rPr>
            </w:pPr>
          </w:p>
        </w:tc>
      </w:tr>
    </w:tbl>
    <w:p w14:paraId="79334CB4" w14:textId="6E83E089" w:rsidR="00D62C28" w:rsidRPr="009C1A48" w:rsidRDefault="00D62C28" w:rsidP="00D62C28">
      <w:pPr>
        <w:pStyle w:val="Normal-pool"/>
        <w:rPr>
          <w:rFonts w:eastAsiaTheme="minorEastAsia"/>
        </w:rPr>
      </w:pPr>
    </w:p>
    <w:sectPr w:rsidR="00D62C28" w:rsidRPr="009C1A48" w:rsidSect="00B1215E">
      <w:footerReference w:type="first" r:id="rId23"/>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11E95" w14:textId="77777777" w:rsidR="008A2231" w:rsidRPr="00D62C28" w:rsidRDefault="008A2231">
      <w:r w:rsidRPr="00D62C28">
        <w:separator/>
      </w:r>
    </w:p>
  </w:endnote>
  <w:endnote w:type="continuationSeparator" w:id="0">
    <w:p w14:paraId="33B6A9A3" w14:textId="77777777" w:rsidR="008A2231" w:rsidRPr="00D62C28" w:rsidRDefault="008A2231">
      <w:r w:rsidRPr="00D62C28">
        <w:continuationSeparator/>
      </w:r>
    </w:p>
  </w:endnote>
  <w:endnote w:type="continuationNotice" w:id="1">
    <w:p w14:paraId="0B7EB055" w14:textId="77777777" w:rsidR="008A2231" w:rsidRDefault="008A2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2AAF" w14:textId="0C388F5B" w:rsidR="00B1215E" w:rsidRPr="00047C16" w:rsidRDefault="00B1215E" w:rsidP="00B1215E">
    <w:pPr>
      <w:pStyle w:val="Footer-pool"/>
      <w:rPr>
        <w:b w:val="0"/>
        <w:bCs/>
      </w:rPr>
    </w:pPr>
    <w:r w:rsidRPr="00047C16">
      <w:rPr>
        <w:rStyle w:val="PageNumber"/>
        <w:b/>
        <w:bCs/>
      </w:rPr>
      <w:fldChar w:fldCharType="begin"/>
    </w:r>
    <w:r w:rsidRPr="00047C16">
      <w:rPr>
        <w:rStyle w:val="PageNumber"/>
        <w:b/>
        <w:bCs/>
      </w:rPr>
      <w:instrText xml:space="preserve"> PAGE </w:instrText>
    </w:r>
    <w:r w:rsidRPr="00047C16">
      <w:rPr>
        <w:rStyle w:val="PageNumber"/>
        <w:b/>
        <w:bCs/>
      </w:rPr>
      <w:fldChar w:fldCharType="separate"/>
    </w:r>
    <w:r w:rsidRPr="00047C16">
      <w:rPr>
        <w:rStyle w:val="PageNumber"/>
        <w:b/>
        <w:bCs/>
        <w:noProof/>
      </w:rPr>
      <w:t>3</w:t>
    </w:r>
    <w:r w:rsidRPr="00047C16">
      <w:rPr>
        <w:rStyle w:val="PageNumbe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CA7CE" w14:textId="14EB6F2E" w:rsidR="00B1215E" w:rsidRPr="00B1215E" w:rsidRDefault="00B1215E" w:rsidP="00B1215E">
    <w:pPr>
      <w:pStyle w:val="Footer-pool"/>
      <w:jc w:val="right"/>
    </w:pPr>
    <w:r>
      <w:fldChar w:fldCharType="begin"/>
    </w:r>
    <w:r>
      <w:instrText xml:space="preserve"> PAGE \* MERGEFORMAT </w:instrText>
    </w:r>
    <w:r>
      <w:fldChar w:fldCharType="separate"/>
    </w:r>
    <w:r>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3D9D" w14:textId="5C38DC65" w:rsidR="00B1215E" w:rsidRDefault="00B1215E" w:rsidP="00B1215E">
    <w:pPr>
      <w:pStyle w:val="Footer-jobnumber"/>
    </w:pPr>
    <w:bookmarkStart w:id="11" w:name="FooterJobDate"/>
    <w:r>
      <w:t>K2512353[E]</w:t>
    </w:r>
    <w:r>
      <w:tab/>
    </w:r>
    <w:r w:rsidR="00530404">
      <w:t>2209</w:t>
    </w:r>
    <w:r>
      <w:t>25</w:t>
    </w:r>
    <w:bookmarkEnd w:id="1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02283"/>
      <w:docPartObj>
        <w:docPartGallery w:val="Page Numbers (Bottom of Page)"/>
        <w:docPartUnique/>
      </w:docPartObj>
    </w:sdtPr>
    <w:sdtEndPr>
      <w:rPr>
        <w:b/>
        <w:bCs/>
        <w:noProof/>
      </w:rPr>
    </w:sdtEndPr>
    <w:sdtContent>
      <w:p w14:paraId="153AF4FA" w14:textId="77777777" w:rsidR="00B1215E" w:rsidRPr="008D227C" w:rsidRDefault="00B1215E" w:rsidP="00934AF4">
        <w:pPr>
          <w:pStyle w:val="Footer"/>
          <w:rPr>
            <w:b/>
            <w:bCs/>
          </w:rPr>
        </w:pPr>
        <w:r w:rsidRPr="008D227C">
          <w:rPr>
            <w:b/>
            <w:bCs/>
          </w:rPr>
          <w:fldChar w:fldCharType="begin"/>
        </w:r>
        <w:r w:rsidRPr="008D227C">
          <w:rPr>
            <w:b/>
            <w:bCs/>
          </w:rPr>
          <w:instrText xml:space="preserve"> PAGE   \* MERGEFORMAT </w:instrText>
        </w:r>
        <w:r w:rsidRPr="008D227C">
          <w:rPr>
            <w:b/>
            <w:bCs/>
          </w:rPr>
          <w:fldChar w:fldCharType="separate"/>
        </w:r>
        <w:r w:rsidRPr="008D227C">
          <w:rPr>
            <w:b/>
            <w:bCs/>
            <w:noProof/>
          </w:rPr>
          <w:t>2</w:t>
        </w:r>
        <w:r w:rsidRPr="008D227C">
          <w:rPr>
            <w:b/>
            <w:bCs/>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8779" w14:textId="732B4F62" w:rsidR="00D62C28" w:rsidRPr="00D62C28" w:rsidRDefault="00B1215E" w:rsidP="00D62C28">
    <w:pPr>
      <w:pStyle w:val="Footer-jobnumber"/>
    </w:pPr>
    <w:r>
      <w:t>K2512353[E]</w:t>
    </w:r>
    <w:r>
      <w:tab/>
      <w:t>xx0725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16F31" w14:textId="77777777" w:rsidR="008A2231" w:rsidRPr="00D62C28" w:rsidRDefault="008A2231" w:rsidP="00C70B49">
      <w:pPr>
        <w:pStyle w:val="Footnote-Separator"/>
        <w:rPr>
          <w:szCs w:val="18"/>
        </w:rPr>
      </w:pPr>
      <w:r w:rsidRPr="00D62C28">
        <w:separator/>
      </w:r>
    </w:p>
  </w:footnote>
  <w:footnote w:type="continuationSeparator" w:id="0">
    <w:p w14:paraId="30F87232" w14:textId="77777777" w:rsidR="008A2231" w:rsidRPr="00D62C28" w:rsidRDefault="008A2231" w:rsidP="00C70B49">
      <w:pPr>
        <w:pStyle w:val="Footnote-Separator"/>
      </w:pPr>
      <w:r w:rsidRPr="00D62C28">
        <w:continuationSeparator/>
      </w:r>
    </w:p>
  </w:footnote>
  <w:footnote w:type="continuationNotice" w:id="1">
    <w:p w14:paraId="61219009" w14:textId="77777777" w:rsidR="008A2231" w:rsidRPr="00D62C28" w:rsidRDefault="008A2231" w:rsidP="00C70B49">
      <w:pPr>
        <w:pStyle w:val="ASpacer"/>
      </w:pPr>
    </w:p>
  </w:footnote>
  <w:footnote w:id="2">
    <w:p w14:paraId="703875FA" w14:textId="589B0C2B" w:rsidR="006C45D2" w:rsidRPr="00D77FED" w:rsidRDefault="006C45D2" w:rsidP="00D77FED">
      <w:pPr>
        <w:pStyle w:val="Footnote-Text"/>
        <w:rPr>
          <w:szCs w:val="18"/>
        </w:rPr>
      </w:pPr>
      <w:r w:rsidRPr="00D77FED">
        <w:rPr>
          <w:rStyle w:val="FootnoteReference"/>
          <w:sz w:val="18"/>
          <w:vertAlign w:val="baseline"/>
        </w:rPr>
        <w:t>*</w:t>
      </w:r>
      <w:r w:rsidRPr="00D77FED">
        <w:rPr>
          <w:szCs w:val="18"/>
        </w:rPr>
        <w:t xml:space="preserve"> UNEP/MC/COP.6/1</w:t>
      </w:r>
      <w:r w:rsidR="00530404">
        <w:rPr>
          <w:szCs w:val="18"/>
        </w:rPr>
        <w:t>/Rev.1</w:t>
      </w:r>
      <w:r w:rsidRPr="00D77FED">
        <w:rPr>
          <w:szCs w:val="18"/>
        </w:rPr>
        <w:t>.</w:t>
      </w:r>
    </w:p>
  </w:footnote>
  <w:footnote w:id="3">
    <w:p w14:paraId="5783FD44" w14:textId="68AE30F9" w:rsidR="005F7283" w:rsidRPr="006F7DCC" w:rsidRDefault="005F7283" w:rsidP="00D77FED">
      <w:pPr>
        <w:pStyle w:val="FootnoteText"/>
        <w:tabs>
          <w:tab w:val="left" w:pos="624"/>
        </w:tabs>
        <w:spacing w:before="20" w:after="40"/>
        <w:ind w:left="1247"/>
        <w:rPr>
          <w:sz w:val="18"/>
          <w:szCs w:val="18"/>
          <w:lang w:val="en-US"/>
        </w:rPr>
      </w:pPr>
      <w:r w:rsidRPr="00D77FED">
        <w:rPr>
          <w:rStyle w:val="FootnoteReference"/>
          <w:sz w:val="18"/>
        </w:rPr>
        <w:footnoteRef/>
      </w:r>
      <w:r w:rsidRPr="00D77FED">
        <w:rPr>
          <w:sz w:val="18"/>
          <w:szCs w:val="18"/>
        </w:rPr>
        <w:t xml:space="preserve"> A</w:t>
      </w:r>
      <w:r w:rsidRPr="00D77FED">
        <w:rPr>
          <w:sz w:val="18"/>
          <w:szCs w:val="18"/>
          <w:shd w:val="clear" w:color="auto" w:fill="FFFFFF"/>
        </w:rPr>
        <w:t>vailable on the Minamata Convention website</w:t>
      </w:r>
      <w:r w:rsidR="009A4BCE" w:rsidRPr="00D77FED">
        <w:rPr>
          <w:sz w:val="18"/>
          <w:szCs w:val="18"/>
        </w:rPr>
        <w:t xml:space="preserve"> </w:t>
      </w:r>
      <w:r w:rsidR="0080362E">
        <w:rPr>
          <w:sz w:val="18"/>
          <w:szCs w:val="18"/>
        </w:rPr>
        <w:t>(</w:t>
      </w:r>
      <w:hyperlink r:id="rId1" w:history="1">
        <w:r w:rsidR="009A4BCE" w:rsidRPr="0080362E">
          <w:rPr>
            <w:rStyle w:val="Hyperlink"/>
            <w:sz w:val="18"/>
            <w:szCs w:val="18"/>
            <w:shd w:val="clear" w:color="auto" w:fill="FFFFFF"/>
          </w:rPr>
          <w:t>https://minamataconvention.org/en/news/decision-mercury-and-kunming-montreal-global-biodiversity-framework-adopted-conference-parties</w:t>
        </w:r>
      </w:hyperlink>
      <w:r w:rsidR="0080362E">
        <w:rPr>
          <w:sz w:val="18"/>
          <w:szCs w:val="18"/>
          <w:shd w:val="clear" w:color="auto" w:fill="FFFFFF"/>
        </w:rPr>
        <w:t>).</w:t>
      </w:r>
    </w:p>
  </w:footnote>
  <w:footnote w:id="4">
    <w:p w14:paraId="0DA06BE5" w14:textId="3230A32C" w:rsidR="00B1215E" w:rsidRPr="00D77FED" w:rsidRDefault="00B1215E" w:rsidP="00D77FED">
      <w:pPr>
        <w:pStyle w:val="FootnoteText"/>
        <w:tabs>
          <w:tab w:val="clear" w:pos="1247"/>
          <w:tab w:val="clear" w:pos="1814"/>
          <w:tab w:val="clear" w:pos="2381"/>
          <w:tab w:val="clear" w:pos="2948"/>
          <w:tab w:val="clear" w:pos="3515"/>
          <w:tab w:val="left" w:pos="624"/>
        </w:tabs>
        <w:spacing w:before="20" w:after="40"/>
        <w:ind w:left="1247"/>
        <w:rPr>
          <w:sz w:val="18"/>
          <w:szCs w:val="18"/>
        </w:rPr>
      </w:pPr>
      <w:r w:rsidRPr="006F7DCC">
        <w:rPr>
          <w:rStyle w:val="FootnoteReference"/>
          <w:sz w:val="18"/>
        </w:rPr>
        <w:footnoteRef/>
      </w:r>
      <w:r w:rsidRPr="006F7DCC">
        <w:rPr>
          <w:sz w:val="18"/>
          <w:szCs w:val="18"/>
        </w:rPr>
        <w:t xml:space="preserve"> Target 7: </w:t>
      </w:r>
      <w:r w:rsidR="00747DCA" w:rsidRPr="006F7DCC">
        <w:rPr>
          <w:sz w:val="18"/>
          <w:szCs w:val="18"/>
        </w:rPr>
        <w:t>r</w:t>
      </w:r>
      <w:r w:rsidRPr="006F7DCC">
        <w:rPr>
          <w:sz w:val="18"/>
          <w:szCs w:val="18"/>
        </w:rPr>
        <w:t xml:space="preserve">educe </w:t>
      </w:r>
      <w:r w:rsidR="00747DCA" w:rsidRPr="006F7DCC">
        <w:rPr>
          <w:sz w:val="18"/>
          <w:szCs w:val="18"/>
        </w:rPr>
        <w:t>p</w:t>
      </w:r>
      <w:r w:rsidRPr="006F7DCC">
        <w:rPr>
          <w:sz w:val="18"/>
          <w:szCs w:val="18"/>
        </w:rPr>
        <w:t xml:space="preserve">ollution to </w:t>
      </w:r>
      <w:r w:rsidR="00747DCA" w:rsidRPr="006F7DCC">
        <w:rPr>
          <w:sz w:val="18"/>
          <w:szCs w:val="18"/>
        </w:rPr>
        <w:t>l</w:t>
      </w:r>
      <w:r w:rsidRPr="006F7DCC">
        <w:rPr>
          <w:sz w:val="18"/>
          <w:szCs w:val="18"/>
        </w:rPr>
        <w:t xml:space="preserve">evels </w:t>
      </w:r>
      <w:r w:rsidR="00747DCA" w:rsidRPr="006F7DCC">
        <w:rPr>
          <w:sz w:val="18"/>
          <w:szCs w:val="18"/>
        </w:rPr>
        <w:t>t</w:t>
      </w:r>
      <w:r w:rsidRPr="006F7DCC">
        <w:rPr>
          <w:sz w:val="18"/>
          <w:szCs w:val="18"/>
        </w:rPr>
        <w:t xml:space="preserve">hat </w:t>
      </w:r>
      <w:r w:rsidR="00747DCA" w:rsidRPr="006F7DCC">
        <w:rPr>
          <w:sz w:val="18"/>
          <w:szCs w:val="18"/>
        </w:rPr>
        <w:t>a</w:t>
      </w:r>
      <w:r w:rsidRPr="006F7DCC">
        <w:rPr>
          <w:sz w:val="18"/>
          <w:szCs w:val="18"/>
        </w:rPr>
        <w:t xml:space="preserve">re </w:t>
      </w:r>
      <w:r w:rsidR="00747DCA" w:rsidRPr="006F7DCC">
        <w:rPr>
          <w:sz w:val="18"/>
          <w:szCs w:val="18"/>
        </w:rPr>
        <w:t>n</w:t>
      </w:r>
      <w:r w:rsidRPr="006F7DCC">
        <w:rPr>
          <w:sz w:val="18"/>
          <w:szCs w:val="18"/>
        </w:rPr>
        <w:t xml:space="preserve">ot </w:t>
      </w:r>
      <w:r w:rsidR="00747DCA" w:rsidRPr="006F7DCC">
        <w:rPr>
          <w:sz w:val="18"/>
          <w:szCs w:val="18"/>
        </w:rPr>
        <w:t>h</w:t>
      </w:r>
      <w:r w:rsidRPr="006F7DCC">
        <w:rPr>
          <w:sz w:val="18"/>
          <w:szCs w:val="18"/>
        </w:rPr>
        <w:t xml:space="preserve">armful to </w:t>
      </w:r>
      <w:r w:rsidR="00747DCA" w:rsidRPr="006F7DCC">
        <w:rPr>
          <w:sz w:val="18"/>
          <w:szCs w:val="18"/>
        </w:rPr>
        <w:t>b</w:t>
      </w:r>
      <w:r w:rsidRPr="006F7DCC">
        <w:rPr>
          <w:sz w:val="18"/>
          <w:szCs w:val="18"/>
        </w:rPr>
        <w:t>iodiversity</w:t>
      </w:r>
      <w:r w:rsidR="006F7DCC" w:rsidRPr="006F7DCC">
        <w:rPr>
          <w:sz w:val="18"/>
          <w:szCs w:val="18"/>
        </w:rPr>
        <w:t xml:space="preserve"> (see</w:t>
      </w:r>
      <w:r w:rsidRPr="006F7DCC">
        <w:rPr>
          <w:sz w:val="18"/>
          <w:szCs w:val="18"/>
        </w:rPr>
        <w:t xml:space="preserve"> </w:t>
      </w:r>
      <w:hyperlink r:id="rId2" w:history="1">
        <w:r w:rsidRPr="006F7DCC">
          <w:rPr>
            <w:rStyle w:val="Hyperlink"/>
            <w:sz w:val="18"/>
            <w:szCs w:val="18"/>
          </w:rPr>
          <w:t>https://www.cbd.int/gbf/targets/7</w:t>
        </w:r>
      </w:hyperlink>
      <w:r w:rsidR="006F7DCC" w:rsidRPr="006F7DCC">
        <w:rPr>
          <w:sz w:val="18"/>
          <w:szCs w:val="18"/>
        </w:rPr>
        <w:t>)</w:t>
      </w:r>
      <w:r w:rsidR="00571B3C" w:rsidRPr="006F7DCC">
        <w:rPr>
          <w:sz w:val="18"/>
          <w:szCs w:val="18"/>
        </w:rPr>
        <w:t>.</w:t>
      </w:r>
    </w:p>
  </w:footnote>
  <w:footnote w:id="5">
    <w:p w14:paraId="3E327606" w14:textId="0EF0A275" w:rsidR="005F7283" w:rsidRPr="00D77FED" w:rsidRDefault="005F7283" w:rsidP="00D77FED">
      <w:pPr>
        <w:pStyle w:val="FootnoteText"/>
        <w:tabs>
          <w:tab w:val="left" w:pos="624"/>
        </w:tabs>
        <w:spacing w:before="20" w:after="40"/>
        <w:ind w:left="1247"/>
        <w:rPr>
          <w:sz w:val="18"/>
          <w:szCs w:val="18"/>
          <w:lang w:val="en-US"/>
        </w:rPr>
      </w:pPr>
      <w:r w:rsidRPr="00D77FED">
        <w:rPr>
          <w:rStyle w:val="FootnoteReference"/>
          <w:sz w:val="18"/>
        </w:rPr>
        <w:footnoteRef/>
      </w:r>
      <w:r w:rsidRPr="00D77FED">
        <w:rPr>
          <w:sz w:val="18"/>
          <w:szCs w:val="18"/>
        </w:rPr>
        <w:t xml:space="preserve"> </w:t>
      </w:r>
      <w:r w:rsidR="00BA162F" w:rsidRPr="00D77FED">
        <w:rPr>
          <w:sz w:val="18"/>
          <w:szCs w:val="18"/>
        </w:rPr>
        <w:t xml:space="preserve">Document </w:t>
      </w:r>
      <w:r w:rsidRPr="00D77FED">
        <w:rPr>
          <w:sz w:val="18"/>
          <w:szCs w:val="18"/>
        </w:rPr>
        <w:t>CBD/COP/16/INF/21</w:t>
      </w:r>
      <w:r w:rsidR="00BA162F" w:rsidRPr="00D77FED">
        <w:rPr>
          <w:sz w:val="18"/>
          <w:szCs w:val="18"/>
        </w:rPr>
        <w:t xml:space="preserve"> </w:t>
      </w:r>
      <w:r w:rsidR="002E608F" w:rsidRPr="00D77FED">
        <w:rPr>
          <w:sz w:val="18"/>
          <w:szCs w:val="18"/>
        </w:rPr>
        <w:t>is available at</w:t>
      </w:r>
      <w:r w:rsidR="00BA162F" w:rsidRPr="00D77FED">
        <w:rPr>
          <w:sz w:val="18"/>
          <w:szCs w:val="18"/>
        </w:rPr>
        <w:t xml:space="preserve"> </w:t>
      </w:r>
      <w:hyperlink r:id="rId3" w:history="1">
        <w:r w:rsidR="00BA162F" w:rsidRPr="00D77FED">
          <w:rPr>
            <w:rStyle w:val="Hyperlink"/>
            <w:sz w:val="18"/>
            <w:szCs w:val="18"/>
          </w:rPr>
          <w:t>https://www.cbd.int/meetings/COP-16</w:t>
        </w:r>
      </w:hyperlink>
      <w:r w:rsidRPr="00D77FED">
        <w:rPr>
          <w:sz w:val="18"/>
          <w:szCs w:val="18"/>
        </w:rPr>
        <w:t>.</w:t>
      </w:r>
    </w:p>
  </w:footnote>
  <w:footnote w:id="6">
    <w:p w14:paraId="78E20BD3" w14:textId="40952351" w:rsidR="007E6693" w:rsidRPr="00D77FED" w:rsidRDefault="007E6693" w:rsidP="00D77FED">
      <w:pPr>
        <w:pStyle w:val="FootnoteText"/>
        <w:tabs>
          <w:tab w:val="left" w:pos="624"/>
        </w:tabs>
        <w:spacing w:before="20" w:after="40"/>
        <w:ind w:left="1247"/>
        <w:rPr>
          <w:sz w:val="18"/>
          <w:szCs w:val="18"/>
          <w:lang w:val="en-US"/>
        </w:rPr>
      </w:pPr>
      <w:r w:rsidRPr="00D77FED">
        <w:rPr>
          <w:rStyle w:val="FootnoteReference"/>
          <w:sz w:val="18"/>
        </w:rPr>
        <w:footnoteRef/>
      </w:r>
      <w:r w:rsidRPr="00D77FED">
        <w:rPr>
          <w:sz w:val="18"/>
          <w:szCs w:val="18"/>
        </w:rPr>
        <w:t xml:space="preserve"> </w:t>
      </w:r>
      <w:r w:rsidR="00755C63" w:rsidRPr="00D77FED">
        <w:rPr>
          <w:sz w:val="18"/>
          <w:szCs w:val="18"/>
        </w:rPr>
        <w:t>UNEP,</w:t>
      </w:r>
      <w:r w:rsidR="00755C63" w:rsidRPr="00D77FED">
        <w:rPr>
          <w:i/>
          <w:iCs/>
          <w:sz w:val="18"/>
          <w:szCs w:val="18"/>
        </w:rPr>
        <w:t xml:space="preserve"> </w:t>
      </w:r>
      <w:r w:rsidR="00B43904" w:rsidRPr="00D77FED">
        <w:rPr>
          <w:i/>
          <w:iCs/>
          <w:sz w:val="18"/>
          <w:szCs w:val="18"/>
        </w:rPr>
        <w:t>Mercury and Biodiversity – Opportunities for Generating Co-Benefits through Coherent Implementation of the Minamata Convention on Mercury and the Kunming-Montreal Global Biodiversity Framework</w:t>
      </w:r>
      <w:r w:rsidR="00755C63" w:rsidRPr="00D77FED">
        <w:rPr>
          <w:sz w:val="18"/>
          <w:szCs w:val="18"/>
        </w:rPr>
        <w:t xml:space="preserve"> (</w:t>
      </w:r>
      <w:r w:rsidR="003A42A1" w:rsidRPr="00D77FED">
        <w:rPr>
          <w:sz w:val="18"/>
          <w:szCs w:val="18"/>
        </w:rPr>
        <w:t>Geneva, 2024),</w:t>
      </w:r>
      <w:r w:rsidR="00D15AC5" w:rsidRPr="00D77FED">
        <w:rPr>
          <w:sz w:val="18"/>
          <w:szCs w:val="18"/>
        </w:rPr>
        <w:t xml:space="preserve"> available at</w:t>
      </w:r>
      <w:r w:rsidR="009A4BCE" w:rsidRPr="00D77FED">
        <w:rPr>
          <w:sz w:val="18"/>
          <w:szCs w:val="18"/>
        </w:rPr>
        <w:t xml:space="preserve"> </w:t>
      </w:r>
      <w:hyperlink r:id="rId4" w:history="1">
        <w:r w:rsidR="00A16C79" w:rsidRPr="00D77FED">
          <w:rPr>
            <w:rStyle w:val="Hyperlink"/>
            <w:sz w:val="18"/>
            <w:szCs w:val="18"/>
          </w:rPr>
          <w:t>https://minamataconvention.org/en/resources/mercury-and-biodiversity</w:t>
        </w:r>
      </w:hyperlink>
      <w:r w:rsidR="008973D6" w:rsidRPr="00D77FED">
        <w:rPr>
          <w:sz w:val="18"/>
          <w:szCs w:val="18"/>
        </w:rPr>
        <w:t>.</w:t>
      </w:r>
    </w:p>
  </w:footnote>
  <w:footnote w:id="7">
    <w:p w14:paraId="09632432" w14:textId="2D107F5B" w:rsidR="00BD42A1" w:rsidRPr="00D77FED" w:rsidRDefault="00BD42A1" w:rsidP="00D77FED">
      <w:pPr>
        <w:pStyle w:val="FootnoteText"/>
        <w:tabs>
          <w:tab w:val="left" w:pos="624"/>
        </w:tabs>
        <w:spacing w:before="20" w:after="40"/>
        <w:ind w:left="1247"/>
        <w:rPr>
          <w:sz w:val="18"/>
          <w:szCs w:val="18"/>
          <w:lang w:val="en-US"/>
        </w:rPr>
      </w:pPr>
      <w:r w:rsidRPr="00D77FED">
        <w:rPr>
          <w:rStyle w:val="FootnoteReference"/>
          <w:sz w:val="18"/>
        </w:rPr>
        <w:footnoteRef/>
      </w:r>
      <w:r w:rsidRPr="00D77FED">
        <w:rPr>
          <w:sz w:val="18"/>
          <w:szCs w:val="18"/>
        </w:rPr>
        <w:t xml:space="preserve"> The main task of the Multidisciplinary Expert Panel is to oversee the scientific quality of IPBES assessments as well as their adherence to IPBES procedures and </w:t>
      </w:r>
      <w:r w:rsidR="00F658D9" w:rsidRPr="00D77FED">
        <w:rPr>
          <w:sz w:val="18"/>
          <w:szCs w:val="18"/>
        </w:rPr>
        <w:t xml:space="preserve">their </w:t>
      </w:r>
      <w:r w:rsidRPr="00D77FED">
        <w:rPr>
          <w:sz w:val="18"/>
          <w:szCs w:val="18"/>
        </w:rPr>
        <w:t>application of IPBES concepts.</w:t>
      </w:r>
    </w:p>
  </w:footnote>
  <w:footnote w:id="8">
    <w:p w14:paraId="04882C17" w14:textId="0959AC50" w:rsidR="00D77FED" w:rsidRPr="00D77FED" w:rsidRDefault="00D77FED" w:rsidP="00D77FED">
      <w:pPr>
        <w:pStyle w:val="Normalnumber"/>
        <w:numPr>
          <w:ilvl w:val="0"/>
          <w:numId w:val="0"/>
        </w:numPr>
        <w:tabs>
          <w:tab w:val="left" w:pos="624"/>
        </w:tabs>
        <w:snapToGrid w:val="0"/>
        <w:spacing w:before="20" w:after="40"/>
        <w:ind w:left="1247"/>
        <w:rPr>
          <w:sz w:val="18"/>
          <w:szCs w:val="18"/>
        </w:rPr>
      </w:pPr>
      <w:r w:rsidRPr="00D77FED">
        <w:rPr>
          <w:rStyle w:val="FootnoteReference"/>
          <w:sz w:val="18"/>
        </w:rPr>
        <w:footnoteRef/>
      </w:r>
      <w:r w:rsidRPr="00D77FED">
        <w:rPr>
          <w:sz w:val="18"/>
          <w:szCs w:val="18"/>
        </w:rPr>
        <w:t xml:space="preserve"> Convention on Biological Diversity notification 2025-044. The deadline was extended by notification 2025-077. The secretariat’s submission is available on the Convention website, at </w:t>
      </w:r>
      <w:hyperlink r:id="rId5" w:tgtFrame="_blank" w:tooltip="https://minamataconvention.org/en/news/information-inclusion-additional-headline-component-and-complementary-indicators-monitoring" w:history="1">
        <w:r w:rsidRPr="00D77FED">
          <w:rPr>
            <w:rStyle w:val="Hyperlink"/>
            <w:sz w:val="18"/>
            <w:szCs w:val="18"/>
          </w:rPr>
          <w:t>https://minamataconvention.org/en/news/information-inclusion-additional-headline-component-and-complementary-indicators-monitoring</w:t>
        </w:r>
      </w:hyperlink>
      <w:r w:rsidRPr="00D77FED">
        <w:rPr>
          <w:sz w:val="18"/>
          <w:szCs w:val="18"/>
        </w:rPr>
        <w:t>.</w:t>
      </w:r>
    </w:p>
  </w:footnote>
  <w:footnote w:id="9">
    <w:p w14:paraId="48A11E0C" w14:textId="4C1B5789" w:rsidR="00D77FED" w:rsidRPr="00D77FED" w:rsidRDefault="00D77FED" w:rsidP="00D77FED">
      <w:pPr>
        <w:pStyle w:val="Normalnumber"/>
        <w:numPr>
          <w:ilvl w:val="0"/>
          <w:numId w:val="0"/>
        </w:numPr>
        <w:tabs>
          <w:tab w:val="left" w:pos="624"/>
        </w:tabs>
        <w:snapToGrid w:val="0"/>
        <w:spacing w:before="20" w:after="40"/>
        <w:ind w:left="1247"/>
        <w:rPr>
          <w:sz w:val="18"/>
          <w:szCs w:val="18"/>
        </w:rPr>
      </w:pPr>
      <w:r w:rsidRPr="00D77FED">
        <w:rPr>
          <w:rStyle w:val="FootnoteReference"/>
          <w:sz w:val="18"/>
        </w:rPr>
        <w:footnoteRef/>
      </w:r>
      <w:r w:rsidRPr="00D77FED">
        <w:rPr>
          <w:sz w:val="18"/>
          <w:szCs w:val="18"/>
        </w:rPr>
        <w:t xml:space="preserve"> Convention on Biological Diversity notification 2025-012. The input is available at </w:t>
      </w:r>
      <w:hyperlink r:id="rId6" w:history="1">
        <w:r w:rsidRPr="00D77FED">
          <w:rPr>
            <w:rStyle w:val="Hyperlink"/>
            <w:sz w:val="18"/>
            <w:szCs w:val="18"/>
          </w:rPr>
          <w:t>https://minamataconvention.org/en/news/information-development-indicators-metrics-and-progress-measurement-tools-biodiversity-and</w:t>
        </w:r>
      </w:hyperlink>
      <w:r w:rsidRPr="00D77FED">
        <w:rPr>
          <w:sz w:val="18"/>
          <w:szCs w:val="18"/>
        </w:rPr>
        <w:t>.</w:t>
      </w:r>
    </w:p>
  </w:footnote>
  <w:footnote w:id="10">
    <w:p w14:paraId="5E57ED42" w14:textId="7BD444DB" w:rsidR="00B1215E" w:rsidRPr="00D77FED" w:rsidRDefault="00B1215E" w:rsidP="00D77FED">
      <w:pPr>
        <w:pStyle w:val="FootnoteText"/>
        <w:tabs>
          <w:tab w:val="clear" w:pos="1247"/>
          <w:tab w:val="clear" w:pos="1814"/>
          <w:tab w:val="clear" w:pos="2381"/>
          <w:tab w:val="clear" w:pos="2948"/>
          <w:tab w:val="clear" w:pos="3515"/>
          <w:tab w:val="left" w:pos="624"/>
        </w:tabs>
        <w:spacing w:before="20" w:after="40"/>
        <w:ind w:left="1247"/>
        <w:rPr>
          <w:sz w:val="18"/>
          <w:szCs w:val="18"/>
        </w:rPr>
      </w:pPr>
      <w:r w:rsidRPr="00D77FED">
        <w:rPr>
          <w:rStyle w:val="FootnoteReference"/>
          <w:sz w:val="18"/>
        </w:rPr>
        <w:footnoteRef/>
      </w:r>
      <w:r w:rsidRPr="00D77FED">
        <w:rPr>
          <w:sz w:val="18"/>
          <w:szCs w:val="18"/>
        </w:rPr>
        <w:t xml:space="preserve"> The submitted NBSAPs and national targets are </w:t>
      </w:r>
      <w:r w:rsidR="009E677E" w:rsidRPr="00D77FED">
        <w:rPr>
          <w:sz w:val="18"/>
          <w:szCs w:val="18"/>
        </w:rPr>
        <w:t xml:space="preserve">available </w:t>
      </w:r>
      <w:r w:rsidR="00571B3C" w:rsidRPr="00D77FED">
        <w:rPr>
          <w:sz w:val="18"/>
          <w:szCs w:val="18"/>
        </w:rPr>
        <w:t xml:space="preserve">at </w:t>
      </w:r>
      <w:hyperlink r:id="rId7" w:history="1">
        <w:r w:rsidRPr="00D77FED">
          <w:rPr>
            <w:rStyle w:val="Hyperlink"/>
            <w:sz w:val="18"/>
            <w:szCs w:val="18"/>
          </w:rPr>
          <w:t>https://ort.cbd.int/</w:t>
        </w:r>
      </w:hyperlink>
      <w:r w:rsidR="00571B3C" w:rsidRPr="00D77FED">
        <w:rPr>
          <w:sz w:val="18"/>
          <w:szCs w:val="18"/>
        </w:rPr>
        <w:t>.</w:t>
      </w:r>
    </w:p>
  </w:footnote>
  <w:footnote w:id="11">
    <w:p w14:paraId="46075030" w14:textId="43DACD42" w:rsidR="006C45D2" w:rsidRPr="00D77FED" w:rsidRDefault="006C45D2" w:rsidP="00D77FED">
      <w:pPr>
        <w:pStyle w:val="FootnoteText"/>
        <w:tabs>
          <w:tab w:val="left" w:pos="624"/>
        </w:tabs>
        <w:spacing w:before="20" w:after="40"/>
        <w:ind w:left="1247"/>
        <w:rPr>
          <w:sz w:val="18"/>
          <w:szCs w:val="18"/>
        </w:rPr>
      </w:pPr>
      <w:r w:rsidRPr="00D77FED">
        <w:rPr>
          <w:rStyle w:val="FootnoteReference"/>
          <w:sz w:val="18"/>
        </w:rPr>
        <w:footnoteRef/>
      </w:r>
      <w:r w:rsidRPr="00D77FED">
        <w:rPr>
          <w:sz w:val="18"/>
          <w:szCs w:val="18"/>
        </w:rPr>
        <w:t xml:space="preserve"> </w:t>
      </w:r>
      <w:r w:rsidR="000E1E9B" w:rsidRPr="00D77FED">
        <w:rPr>
          <w:sz w:val="18"/>
          <w:szCs w:val="18"/>
        </w:rPr>
        <w:t>D</w:t>
      </w:r>
      <w:r w:rsidRPr="00D77FED">
        <w:rPr>
          <w:sz w:val="18"/>
          <w:szCs w:val="18"/>
        </w:rPr>
        <w:t xml:space="preserve">ocument </w:t>
      </w:r>
      <w:r w:rsidR="000E1E9B" w:rsidRPr="00D77FED">
        <w:rPr>
          <w:sz w:val="18"/>
          <w:szCs w:val="18"/>
        </w:rPr>
        <w:t xml:space="preserve">UNEP/MC/COP.6/INF/27, </w:t>
      </w:r>
      <w:r w:rsidRPr="00D77FED">
        <w:rPr>
          <w:sz w:val="18"/>
          <w:szCs w:val="18"/>
        </w:rPr>
        <w:t xml:space="preserve">on </w:t>
      </w:r>
      <w:r w:rsidR="000E1E9B" w:rsidRPr="00D77FED">
        <w:rPr>
          <w:sz w:val="18"/>
          <w:szCs w:val="18"/>
        </w:rPr>
        <w:t>i</w:t>
      </w:r>
      <w:r w:rsidRPr="00D77FED">
        <w:rPr>
          <w:sz w:val="18"/>
          <w:szCs w:val="18"/>
        </w:rPr>
        <w:t>ntegrating action to reduce mercury pollution from artisanal and small-scale gold mining into the Kunming-Montréal Global Biodiversity Framework National Biodiversity Strategies and Action Plans</w:t>
      </w:r>
      <w:r w:rsidR="000E1E9B" w:rsidRPr="00D77FED">
        <w:rPr>
          <w:sz w:val="18"/>
          <w:szCs w:val="18"/>
        </w:rPr>
        <w:t>,</w:t>
      </w:r>
      <w:r w:rsidRPr="00D77FED">
        <w:rPr>
          <w:sz w:val="18"/>
          <w:szCs w:val="18"/>
        </w:rPr>
        <w:t xml:space="preserve"> identifies mercury</w:t>
      </w:r>
      <w:r w:rsidR="000E1E9B" w:rsidRPr="00D77FED">
        <w:rPr>
          <w:sz w:val="18"/>
          <w:szCs w:val="18"/>
        </w:rPr>
        <w:t>-</w:t>
      </w:r>
      <w:r w:rsidRPr="00D77FED">
        <w:rPr>
          <w:sz w:val="18"/>
          <w:szCs w:val="18"/>
        </w:rPr>
        <w:t>related activities and targets for possible use in countries.</w:t>
      </w:r>
    </w:p>
  </w:footnote>
  <w:footnote w:id="12">
    <w:p w14:paraId="174259C8" w14:textId="38348049" w:rsidR="00A96155" w:rsidRPr="00D77FED" w:rsidRDefault="00A96155" w:rsidP="00D77FED">
      <w:pPr>
        <w:pStyle w:val="FootnoteText"/>
        <w:tabs>
          <w:tab w:val="left" w:pos="624"/>
        </w:tabs>
        <w:spacing w:before="20" w:after="40"/>
        <w:ind w:left="1247"/>
        <w:rPr>
          <w:sz w:val="18"/>
          <w:szCs w:val="18"/>
          <w:lang w:val="en-US"/>
        </w:rPr>
      </w:pPr>
      <w:r w:rsidRPr="00D77FED">
        <w:rPr>
          <w:rStyle w:val="FootnoteReference"/>
          <w:sz w:val="18"/>
        </w:rPr>
        <w:footnoteRef/>
      </w:r>
      <w:r w:rsidRPr="00D77FED">
        <w:rPr>
          <w:sz w:val="18"/>
          <w:szCs w:val="18"/>
        </w:rPr>
        <w:t xml:space="preserve"> </w:t>
      </w:r>
      <w:r w:rsidR="009E677E" w:rsidRPr="00D77FED">
        <w:rPr>
          <w:sz w:val="18"/>
          <w:szCs w:val="18"/>
          <w:lang w:val="en-US"/>
        </w:rPr>
        <w:t xml:space="preserve">See </w:t>
      </w:r>
      <w:hyperlink r:id="rId8" w:history="1">
        <w:r w:rsidR="009E677E" w:rsidRPr="00D77FED">
          <w:rPr>
            <w:rStyle w:val="Hyperlink"/>
            <w:sz w:val="18"/>
            <w:szCs w:val="18"/>
            <w:lang w:val="en-US"/>
          </w:rPr>
          <w:t>https://www.unep.org/events/conference/bern-iii-conference-cooperation-among-biodiversity-related-conventions</w:t>
        </w:r>
      </w:hyperlink>
      <w:r w:rsidR="009E677E" w:rsidRPr="00D77FED">
        <w:rPr>
          <w:sz w:val="18"/>
          <w:szCs w:val="18"/>
          <w:lang w:val="en-US"/>
        </w:rPr>
        <w:t>.</w:t>
      </w:r>
      <w:r w:rsidRPr="00D77FED">
        <w:rPr>
          <w:sz w:val="18"/>
          <w:szCs w:val="18"/>
          <w:lang w:val="en-US"/>
        </w:rPr>
        <w:t> </w:t>
      </w:r>
    </w:p>
  </w:footnote>
  <w:footnote w:id="13">
    <w:p w14:paraId="27DB5FF9" w14:textId="00D25CBE" w:rsidR="00B1215E" w:rsidRPr="00D77FED" w:rsidRDefault="00B1215E" w:rsidP="00D77FED">
      <w:pPr>
        <w:pStyle w:val="FootnoteText"/>
        <w:tabs>
          <w:tab w:val="clear" w:pos="1247"/>
          <w:tab w:val="clear" w:pos="1814"/>
          <w:tab w:val="clear" w:pos="2381"/>
          <w:tab w:val="clear" w:pos="2948"/>
          <w:tab w:val="clear" w:pos="3515"/>
          <w:tab w:val="left" w:pos="624"/>
        </w:tabs>
        <w:spacing w:before="20" w:after="40"/>
        <w:ind w:left="1247"/>
        <w:rPr>
          <w:sz w:val="18"/>
          <w:szCs w:val="18"/>
        </w:rPr>
      </w:pPr>
      <w:r w:rsidRPr="00D77FED">
        <w:rPr>
          <w:rStyle w:val="FootnoteReference"/>
          <w:sz w:val="18"/>
        </w:rPr>
        <w:footnoteRef/>
      </w:r>
      <w:r w:rsidRPr="00D77FED">
        <w:rPr>
          <w:sz w:val="18"/>
          <w:szCs w:val="18"/>
        </w:rPr>
        <w:t xml:space="preserve"> As presented in section III of document UNEP/MC/COP.6/20</w:t>
      </w:r>
      <w:r w:rsidR="00B87658" w:rsidRPr="00D77FED">
        <w:rPr>
          <w:sz w:val="18"/>
          <w:szCs w:val="18"/>
        </w:rPr>
        <w:t>.</w:t>
      </w:r>
    </w:p>
  </w:footnote>
  <w:footnote w:id="14">
    <w:p w14:paraId="0A8D2C3B" w14:textId="3C0144AE" w:rsidR="00B1215E" w:rsidRPr="00D77FED" w:rsidRDefault="00B1215E" w:rsidP="00D77FED">
      <w:pPr>
        <w:pStyle w:val="FootnoteText"/>
        <w:tabs>
          <w:tab w:val="clear" w:pos="1247"/>
          <w:tab w:val="clear" w:pos="1814"/>
          <w:tab w:val="clear" w:pos="2381"/>
          <w:tab w:val="clear" w:pos="2948"/>
          <w:tab w:val="clear" w:pos="3515"/>
          <w:tab w:val="left" w:pos="624"/>
        </w:tabs>
        <w:spacing w:before="20" w:after="40"/>
        <w:ind w:left="1247"/>
        <w:rPr>
          <w:sz w:val="18"/>
          <w:szCs w:val="18"/>
        </w:rPr>
      </w:pPr>
      <w:r w:rsidRPr="00D77FED">
        <w:rPr>
          <w:rStyle w:val="FootnoteReference"/>
          <w:sz w:val="18"/>
        </w:rPr>
        <w:footnoteRef/>
      </w:r>
      <w:r w:rsidRPr="00D77FED">
        <w:rPr>
          <w:sz w:val="18"/>
          <w:szCs w:val="18"/>
        </w:rPr>
        <w:t xml:space="preserve"> C</w:t>
      </w:r>
      <w:r w:rsidR="00B87658" w:rsidRPr="00D77FED">
        <w:rPr>
          <w:sz w:val="18"/>
          <w:szCs w:val="18"/>
        </w:rPr>
        <w:t xml:space="preserve">onvention on </w:t>
      </w:r>
      <w:r w:rsidRPr="00D77FED">
        <w:rPr>
          <w:sz w:val="18"/>
          <w:szCs w:val="18"/>
        </w:rPr>
        <w:t>B</w:t>
      </w:r>
      <w:r w:rsidR="00B87658" w:rsidRPr="00D77FED">
        <w:rPr>
          <w:sz w:val="18"/>
          <w:szCs w:val="18"/>
        </w:rPr>
        <w:t xml:space="preserve">iological </w:t>
      </w:r>
      <w:r w:rsidRPr="00D77FED">
        <w:rPr>
          <w:sz w:val="18"/>
          <w:szCs w:val="18"/>
        </w:rPr>
        <w:t>D</w:t>
      </w:r>
      <w:r w:rsidR="00B87658" w:rsidRPr="00D77FED">
        <w:rPr>
          <w:sz w:val="18"/>
          <w:szCs w:val="18"/>
        </w:rPr>
        <w:t>iversity</w:t>
      </w:r>
      <w:r w:rsidRPr="00D77FED">
        <w:rPr>
          <w:sz w:val="18"/>
          <w:szCs w:val="18"/>
        </w:rPr>
        <w:t xml:space="preserve"> decision </w:t>
      </w:r>
      <w:r w:rsidRPr="00D77FED">
        <w:rPr>
          <w:rFonts w:asciiTheme="majorBidi" w:hAnsiTheme="majorBidi" w:cstheme="majorBidi"/>
          <w:sz w:val="18"/>
          <w:szCs w:val="18"/>
          <w:shd w:val="clear" w:color="auto" w:fill="FFFFFF"/>
        </w:rPr>
        <w:t>16/11</w:t>
      </w:r>
      <w:r w:rsidR="00B87658" w:rsidRPr="00D77FED">
        <w:rPr>
          <w:rFonts w:asciiTheme="majorBidi" w:hAnsiTheme="majorBidi" w:cstheme="majorBidi"/>
          <w:sz w:val="18"/>
          <w:szCs w:val="18"/>
          <w:shd w:val="clear" w:color="auto" w:fill="FFFFFF"/>
        </w:rPr>
        <w:t>,</w:t>
      </w:r>
      <w:r w:rsidRPr="00D77FED">
        <w:rPr>
          <w:rFonts w:asciiTheme="majorBidi" w:hAnsiTheme="majorBidi" w:cstheme="majorBidi"/>
          <w:sz w:val="18"/>
          <w:szCs w:val="18"/>
          <w:shd w:val="clear" w:color="auto" w:fill="FFFFFF"/>
        </w:rPr>
        <w:t xml:space="preserve"> para</w:t>
      </w:r>
      <w:r w:rsidR="001915B2" w:rsidRPr="00D77FED">
        <w:rPr>
          <w:rFonts w:asciiTheme="majorBidi" w:hAnsiTheme="majorBidi" w:cstheme="majorBidi"/>
          <w:sz w:val="18"/>
          <w:szCs w:val="18"/>
          <w:shd w:val="clear" w:color="auto" w:fill="FFFFFF"/>
        </w:rPr>
        <w:t>.</w:t>
      </w:r>
      <w:r w:rsidRPr="00D77FED">
        <w:rPr>
          <w:rFonts w:asciiTheme="majorBidi" w:hAnsiTheme="majorBidi" w:cstheme="majorBidi"/>
          <w:sz w:val="18"/>
          <w:szCs w:val="18"/>
          <w:shd w:val="clear" w:color="auto" w:fill="FFFFFF"/>
        </w:rPr>
        <w:t xml:space="preserve"> 3</w:t>
      </w:r>
      <w:r w:rsidR="00B87658" w:rsidRPr="00D77FED">
        <w:rPr>
          <w:rFonts w:asciiTheme="majorBidi" w:hAnsiTheme="majorBidi" w:cstheme="majorBidi"/>
          <w:sz w:val="18"/>
          <w:szCs w:val="18"/>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697EB" w14:textId="126EFD4E" w:rsidR="00B1215E" w:rsidRPr="00B1215E" w:rsidRDefault="00B1215E" w:rsidP="00B1215E">
    <w:pPr>
      <w:pStyle w:val="Header-pool"/>
    </w:pPr>
    <w:r>
      <w:fldChar w:fldCharType="begin"/>
    </w:r>
    <w:r>
      <w:instrText xml:space="preserve"> StyleRef A_Symbol </w:instrText>
    </w:r>
    <w:r>
      <w:fldChar w:fldCharType="separate"/>
    </w:r>
    <w:r w:rsidR="00251213">
      <w:rPr>
        <w:noProof/>
      </w:rPr>
      <w:t>UNEP/MC/COP.6/20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63FF" w14:textId="5DA69587" w:rsidR="00B1215E" w:rsidRPr="00B1215E" w:rsidRDefault="00B1215E" w:rsidP="00B1215E">
    <w:pPr>
      <w:pStyle w:val="Header-pool"/>
      <w:jc w:val="right"/>
    </w:pPr>
    <w:r>
      <w:fldChar w:fldCharType="begin"/>
    </w:r>
    <w:r>
      <w:instrText xml:space="preserve"> StyleRef A_Symbol </w:instrText>
    </w:r>
    <w:r>
      <w:fldChar w:fldCharType="separate"/>
    </w:r>
    <w:r w:rsidR="00251213">
      <w:rPr>
        <w:noProof/>
      </w:rPr>
      <w:t>UNEP/MC/COP.6/20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A02D" w14:textId="77777777" w:rsidR="00B1215E" w:rsidRDefault="00B1215E" w:rsidP="00934AF4">
    <w:pPr>
      <w:pStyle w:val="Header-pool"/>
      <w:jc w:val="right"/>
    </w:pPr>
    <w:r w:rsidRPr="00F96910">
      <w:t>UNEP/MC</w:t>
    </w:r>
    <w:r>
      <w:t>/</w:t>
    </w:r>
    <w:r w:rsidRPr="00F96910">
      <w:t>COP.</w:t>
    </w:r>
    <w:r>
      <w:t>6</w:t>
    </w:r>
    <w:r w:rsidRPr="00F96910">
      <w:t>/</w:t>
    </w:r>
    <w: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2C6C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30B37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476AA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C2625A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C2D7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60CD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5482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FE2E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1657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6808E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37E0E98"/>
    <w:multiLevelType w:val="hybridMultilevel"/>
    <w:tmpl w:val="36B2B6FC"/>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tentative="1">
      <w:start w:val="1"/>
      <w:numFmt w:val="lowerRoman"/>
      <w:lvlText w:val="%3."/>
      <w:lvlJc w:val="right"/>
      <w:pPr>
        <w:ind w:left="4031" w:hanging="180"/>
      </w:pPr>
    </w:lvl>
    <w:lvl w:ilvl="3" w:tplc="0809000F">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A31203F"/>
    <w:multiLevelType w:val="hybridMultilevel"/>
    <w:tmpl w:val="898E6FF4"/>
    <w:lvl w:ilvl="0" w:tplc="6F4E616C">
      <w:start w:val="1"/>
      <w:numFmt w:val="decimal"/>
      <w:lvlText w:val="%1."/>
      <w:lvlJc w:val="left"/>
      <w:pPr>
        <w:ind w:left="1020" w:hanging="360"/>
      </w:pPr>
    </w:lvl>
    <w:lvl w:ilvl="1" w:tplc="C7BE509A">
      <w:start w:val="1"/>
      <w:numFmt w:val="decimal"/>
      <w:lvlText w:val="%2."/>
      <w:lvlJc w:val="left"/>
      <w:pPr>
        <w:ind w:left="1020" w:hanging="360"/>
      </w:pPr>
    </w:lvl>
    <w:lvl w:ilvl="2" w:tplc="B82AB5AE">
      <w:start w:val="1"/>
      <w:numFmt w:val="decimal"/>
      <w:lvlText w:val="%3."/>
      <w:lvlJc w:val="left"/>
      <w:pPr>
        <w:ind w:left="1020" w:hanging="360"/>
      </w:pPr>
    </w:lvl>
    <w:lvl w:ilvl="3" w:tplc="4B2C3898">
      <w:start w:val="1"/>
      <w:numFmt w:val="decimal"/>
      <w:lvlText w:val="%4."/>
      <w:lvlJc w:val="left"/>
      <w:pPr>
        <w:ind w:left="1020" w:hanging="360"/>
      </w:pPr>
    </w:lvl>
    <w:lvl w:ilvl="4" w:tplc="7F346568">
      <w:start w:val="1"/>
      <w:numFmt w:val="decimal"/>
      <w:lvlText w:val="%5."/>
      <w:lvlJc w:val="left"/>
      <w:pPr>
        <w:ind w:left="1020" w:hanging="360"/>
      </w:pPr>
    </w:lvl>
    <w:lvl w:ilvl="5" w:tplc="C62C188E">
      <w:start w:val="1"/>
      <w:numFmt w:val="decimal"/>
      <w:lvlText w:val="%6."/>
      <w:lvlJc w:val="left"/>
      <w:pPr>
        <w:ind w:left="1020" w:hanging="360"/>
      </w:pPr>
    </w:lvl>
    <w:lvl w:ilvl="6" w:tplc="6362FF8C">
      <w:start w:val="1"/>
      <w:numFmt w:val="decimal"/>
      <w:lvlText w:val="%7."/>
      <w:lvlJc w:val="left"/>
      <w:pPr>
        <w:ind w:left="1020" w:hanging="360"/>
      </w:pPr>
    </w:lvl>
    <w:lvl w:ilvl="7" w:tplc="62722FD0">
      <w:start w:val="1"/>
      <w:numFmt w:val="decimal"/>
      <w:lvlText w:val="%8."/>
      <w:lvlJc w:val="left"/>
      <w:pPr>
        <w:ind w:left="1020" w:hanging="360"/>
      </w:pPr>
    </w:lvl>
    <w:lvl w:ilvl="8" w:tplc="90A0BB2A">
      <w:start w:val="1"/>
      <w:numFmt w:val="decimal"/>
      <w:lvlText w:val="%9."/>
      <w:lvlJc w:val="left"/>
      <w:pPr>
        <w:ind w:left="1020" w:hanging="360"/>
      </w:pPr>
    </w:lvl>
  </w:abstractNum>
  <w:abstractNum w:abstractNumId="15" w15:restartNumberingAfterBreak="0">
    <w:nsid w:val="3BA310FE"/>
    <w:multiLevelType w:val="hybridMultilevel"/>
    <w:tmpl w:val="0246862A"/>
    <w:lvl w:ilvl="0" w:tplc="915E6A02">
      <w:start w:val="1"/>
      <w:numFmt w:val="decimal"/>
      <w:lvlText w:val="%1."/>
      <w:lvlJc w:val="left"/>
      <w:pPr>
        <w:ind w:left="1020" w:hanging="360"/>
      </w:pPr>
    </w:lvl>
    <w:lvl w:ilvl="1" w:tplc="3F1ED264">
      <w:start w:val="1"/>
      <w:numFmt w:val="decimal"/>
      <w:lvlText w:val="%2."/>
      <w:lvlJc w:val="left"/>
      <w:pPr>
        <w:ind w:left="1020" w:hanging="360"/>
      </w:pPr>
    </w:lvl>
    <w:lvl w:ilvl="2" w:tplc="CAEC565A">
      <w:start w:val="1"/>
      <w:numFmt w:val="decimal"/>
      <w:lvlText w:val="%3."/>
      <w:lvlJc w:val="left"/>
      <w:pPr>
        <w:ind w:left="1020" w:hanging="360"/>
      </w:pPr>
    </w:lvl>
    <w:lvl w:ilvl="3" w:tplc="16844E00">
      <w:start w:val="1"/>
      <w:numFmt w:val="decimal"/>
      <w:lvlText w:val="%4."/>
      <w:lvlJc w:val="left"/>
      <w:pPr>
        <w:ind w:left="1020" w:hanging="360"/>
      </w:pPr>
    </w:lvl>
    <w:lvl w:ilvl="4" w:tplc="B574904C">
      <w:start w:val="1"/>
      <w:numFmt w:val="decimal"/>
      <w:lvlText w:val="%5."/>
      <w:lvlJc w:val="left"/>
      <w:pPr>
        <w:ind w:left="1020" w:hanging="360"/>
      </w:pPr>
    </w:lvl>
    <w:lvl w:ilvl="5" w:tplc="4DE841A0">
      <w:start w:val="1"/>
      <w:numFmt w:val="decimal"/>
      <w:lvlText w:val="%6."/>
      <w:lvlJc w:val="left"/>
      <w:pPr>
        <w:ind w:left="1020" w:hanging="360"/>
      </w:pPr>
    </w:lvl>
    <w:lvl w:ilvl="6" w:tplc="E722BADC">
      <w:start w:val="1"/>
      <w:numFmt w:val="decimal"/>
      <w:lvlText w:val="%7."/>
      <w:lvlJc w:val="left"/>
      <w:pPr>
        <w:ind w:left="1020" w:hanging="360"/>
      </w:pPr>
    </w:lvl>
    <w:lvl w:ilvl="7" w:tplc="2D70A5AE">
      <w:start w:val="1"/>
      <w:numFmt w:val="decimal"/>
      <w:lvlText w:val="%8."/>
      <w:lvlJc w:val="left"/>
      <w:pPr>
        <w:ind w:left="1020" w:hanging="360"/>
      </w:pPr>
    </w:lvl>
    <w:lvl w:ilvl="8" w:tplc="8A92868C">
      <w:start w:val="1"/>
      <w:numFmt w:val="decimal"/>
      <w:lvlText w:val="%9."/>
      <w:lvlJc w:val="left"/>
      <w:pPr>
        <w:ind w:left="1020" w:hanging="360"/>
      </w:pPr>
    </w:lvl>
  </w:abstractNum>
  <w:abstractNum w:abstractNumId="16" w15:restartNumberingAfterBreak="0">
    <w:nsid w:val="4AB12D20"/>
    <w:multiLevelType w:val="hybridMultilevel"/>
    <w:tmpl w:val="ACF60F6C"/>
    <w:lvl w:ilvl="0" w:tplc="F502E310">
      <w:start w:val="1"/>
      <w:numFmt w:val="decimal"/>
      <w:lvlText w:val="%1."/>
      <w:lvlJc w:val="left"/>
      <w:pPr>
        <w:ind w:left="720" w:hanging="360"/>
      </w:pPr>
    </w:lvl>
    <w:lvl w:ilvl="1" w:tplc="9E5A6312">
      <w:start w:val="1"/>
      <w:numFmt w:val="decimal"/>
      <w:lvlText w:val="%2."/>
      <w:lvlJc w:val="left"/>
      <w:pPr>
        <w:ind w:left="720" w:hanging="360"/>
      </w:pPr>
    </w:lvl>
    <w:lvl w:ilvl="2" w:tplc="22FCA4FE">
      <w:start w:val="1"/>
      <w:numFmt w:val="decimal"/>
      <w:lvlText w:val="%3."/>
      <w:lvlJc w:val="left"/>
      <w:pPr>
        <w:ind w:left="720" w:hanging="360"/>
      </w:pPr>
    </w:lvl>
    <w:lvl w:ilvl="3" w:tplc="404640CE">
      <w:start w:val="1"/>
      <w:numFmt w:val="decimal"/>
      <w:lvlText w:val="%4."/>
      <w:lvlJc w:val="left"/>
      <w:pPr>
        <w:ind w:left="720" w:hanging="360"/>
      </w:pPr>
    </w:lvl>
    <w:lvl w:ilvl="4" w:tplc="A8C06FD8">
      <w:start w:val="1"/>
      <w:numFmt w:val="decimal"/>
      <w:lvlText w:val="%5."/>
      <w:lvlJc w:val="left"/>
      <w:pPr>
        <w:ind w:left="720" w:hanging="360"/>
      </w:pPr>
    </w:lvl>
    <w:lvl w:ilvl="5" w:tplc="274C111E">
      <w:start w:val="1"/>
      <w:numFmt w:val="decimal"/>
      <w:lvlText w:val="%6."/>
      <w:lvlJc w:val="left"/>
      <w:pPr>
        <w:ind w:left="720" w:hanging="360"/>
      </w:pPr>
    </w:lvl>
    <w:lvl w:ilvl="6" w:tplc="214E2CAA">
      <w:start w:val="1"/>
      <w:numFmt w:val="decimal"/>
      <w:lvlText w:val="%7."/>
      <w:lvlJc w:val="left"/>
      <w:pPr>
        <w:ind w:left="720" w:hanging="360"/>
      </w:pPr>
    </w:lvl>
    <w:lvl w:ilvl="7" w:tplc="ED1A8C14">
      <w:start w:val="1"/>
      <w:numFmt w:val="decimal"/>
      <w:lvlText w:val="%8."/>
      <w:lvlJc w:val="left"/>
      <w:pPr>
        <w:ind w:left="720" w:hanging="360"/>
      </w:pPr>
    </w:lvl>
    <w:lvl w:ilvl="8" w:tplc="6FDE158A">
      <w:start w:val="1"/>
      <w:numFmt w:val="decimal"/>
      <w:lvlText w:val="%9."/>
      <w:lvlJc w:val="left"/>
      <w:pPr>
        <w:ind w:left="720" w:hanging="360"/>
      </w:pPr>
    </w:lvl>
  </w:abstractNum>
  <w:abstractNum w:abstractNumId="17"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8" w15:restartNumberingAfterBreak="0">
    <w:nsid w:val="55F30DD9"/>
    <w:multiLevelType w:val="hybridMultilevel"/>
    <w:tmpl w:val="CAA267CC"/>
    <w:lvl w:ilvl="0" w:tplc="5512FEBC">
      <w:start w:val="1"/>
      <w:numFmt w:val="decimal"/>
      <w:lvlText w:val="%1."/>
      <w:lvlJc w:val="left"/>
      <w:pPr>
        <w:ind w:left="720" w:hanging="360"/>
      </w:pPr>
    </w:lvl>
    <w:lvl w:ilvl="1" w:tplc="180009F6">
      <w:start w:val="1"/>
      <w:numFmt w:val="decimal"/>
      <w:lvlText w:val="%2."/>
      <w:lvlJc w:val="left"/>
      <w:pPr>
        <w:ind w:left="720" w:hanging="360"/>
      </w:pPr>
    </w:lvl>
    <w:lvl w:ilvl="2" w:tplc="76A4E3E0">
      <w:start w:val="1"/>
      <w:numFmt w:val="decimal"/>
      <w:lvlText w:val="%3."/>
      <w:lvlJc w:val="left"/>
      <w:pPr>
        <w:ind w:left="720" w:hanging="360"/>
      </w:pPr>
    </w:lvl>
    <w:lvl w:ilvl="3" w:tplc="CB9CAD88">
      <w:start w:val="1"/>
      <w:numFmt w:val="decimal"/>
      <w:lvlText w:val="%4."/>
      <w:lvlJc w:val="left"/>
      <w:pPr>
        <w:ind w:left="720" w:hanging="360"/>
      </w:pPr>
    </w:lvl>
    <w:lvl w:ilvl="4" w:tplc="EFC299C2">
      <w:start w:val="1"/>
      <w:numFmt w:val="decimal"/>
      <w:lvlText w:val="%5."/>
      <w:lvlJc w:val="left"/>
      <w:pPr>
        <w:ind w:left="720" w:hanging="360"/>
      </w:pPr>
    </w:lvl>
    <w:lvl w:ilvl="5" w:tplc="4808B114">
      <w:start w:val="1"/>
      <w:numFmt w:val="decimal"/>
      <w:lvlText w:val="%6."/>
      <w:lvlJc w:val="left"/>
      <w:pPr>
        <w:ind w:left="720" w:hanging="360"/>
      </w:pPr>
    </w:lvl>
    <w:lvl w:ilvl="6" w:tplc="BA4EC694">
      <w:start w:val="1"/>
      <w:numFmt w:val="decimal"/>
      <w:lvlText w:val="%7."/>
      <w:lvlJc w:val="left"/>
      <w:pPr>
        <w:ind w:left="720" w:hanging="360"/>
      </w:pPr>
    </w:lvl>
    <w:lvl w:ilvl="7" w:tplc="D67830E2">
      <w:start w:val="1"/>
      <w:numFmt w:val="decimal"/>
      <w:lvlText w:val="%8."/>
      <w:lvlJc w:val="left"/>
      <w:pPr>
        <w:ind w:left="720" w:hanging="360"/>
      </w:pPr>
    </w:lvl>
    <w:lvl w:ilvl="8" w:tplc="B088EA22">
      <w:start w:val="1"/>
      <w:numFmt w:val="decimal"/>
      <w:lvlText w:val="%9."/>
      <w:lvlJc w:val="left"/>
      <w:pPr>
        <w:ind w:left="720" w:hanging="360"/>
      </w:pPr>
    </w:lvl>
  </w:abstractNum>
  <w:abstractNum w:abstractNumId="19" w15:restartNumberingAfterBreak="0">
    <w:nsid w:val="5F83712D"/>
    <w:multiLevelType w:val="hybridMultilevel"/>
    <w:tmpl w:val="50CE7ED0"/>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0" w15:restartNumberingAfterBreak="0">
    <w:nsid w:val="6A4F1CC0"/>
    <w:multiLevelType w:val="hybridMultilevel"/>
    <w:tmpl w:val="3A762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EE44FB"/>
    <w:multiLevelType w:val="hybridMultilevel"/>
    <w:tmpl w:val="2956464C"/>
    <w:lvl w:ilvl="0" w:tplc="650CEACA">
      <w:start w:val="1"/>
      <w:numFmt w:val="decimal"/>
      <w:lvlText w:val="%1."/>
      <w:lvlJc w:val="left"/>
      <w:pPr>
        <w:ind w:left="1020" w:hanging="360"/>
      </w:pPr>
    </w:lvl>
    <w:lvl w:ilvl="1" w:tplc="FC38A41A">
      <w:start w:val="1"/>
      <w:numFmt w:val="decimal"/>
      <w:lvlText w:val="%2."/>
      <w:lvlJc w:val="left"/>
      <w:pPr>
        <w:ind w:left="1020" w:hanging="360"/>
      </w:pPr>
    </w:lvl>
    <w:lvl w:ilvl="2" w:tplc="0ADE4EA0">
      <w:start w:val="1"/>
      <w:numFmt w:val="decimal"/>
      <w:lvlText w:val="%3."/>
      <w:lvlJc w:val="left"/>
      <w:pPr>
        <w:ind w:left="1020" w:hanging="360"/>
      </w:pPr>
    </w:lvl>
    <w:lvl w:ilvl="3" w:tplc="C604345E">
      <w:start w:val="1"/>
      <w:numFmt w:val="decimal"/>
      <w:lvlText w:val="%4."/>
      <w:lvlJc w:val="left"/>
      <w:pPr>
        <w:ind w:left="1020" w:hanging="360"/>
      </w:pPr>
    </w:lvl>
    <w:lvl w:ilvl="4" w:tplc="51E07170">
      <w:start w:val="1"/>
      <w:numFmt w:val="decimal"/>
      <w:lvlText w:val="%5."/>
      <w:lvlJc w:val="left"/>
      <w:pPr>
        <w:ind w:left="1020" w:hanging="360"/>
      </w:pPr>
    </w:lvl>
    <w:lvl w:ilvl="5" w:tplc="3692CEC2">
      <w:start w:val="1"/>
      <w:numFmt w:val="decimal"/>
      <w:lvlText w:val="%6."/>
      <w:lvlJc w:val="left"/>
      <w:pPr>
        <w:ind w:left="1020" w:hanging="360"/>
      </w:pPr>
    </w:lvl>
    <w:lvl w:ilvl="6" w:tplc="7D6899D6">
      <w:start w:val="1"/>
      <w:numFmt w:val="decimal"/>
      <w:lvlText w:val="%7."/>
      <w:lvlJc w:val="left"/>
      <w:pPr>
        <w:ind w:left="1020" w:hanging="360"/>
      </w:pPr>
    </w:lvl>
    <w:lvl w:ilvl="7" w:tplc="135E4294">
      <w:start w:val="1"/>
      <w:numFmt w:val="decimal"/>
      <w:lvlText w:val="%8."/>
      <w:lvlJc w:val="left"/>
      <w:pPr>
        <w:ind w:left="1020" w:hanging="360"/>
      </w:pPr>
    </w:lvl>
    <w:lvl w:ilvl="8" w:tplc="9AFC2220">
      <w:start w:val="1"/>
      <w:numFmt w:val="decimal"/>
      <w:lvlText w:val="%9."/>
      <w:lvlJc w:val="left"/>
      <w:pPr>
        <w:ind w:left="1020" w:hanging="360"/>
      </w:pPr>
    </w:lvl>
  </w:abstractNum>
  <w:abstractNum w:abstractNumId="22"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7"/>
  </w:num>
  <w:num w:numId="2" w16cid:durableId="1242644713">
    <w:abstractNumId w:val="22"/>
  </w:num>
  <w:num w:numId="3" w16cid:durableId="1933662228">
    <w:abstractNumId w:val="13"/>
  </w:num>
  <w:num w:numId="4" w16cid:durableId="1991909117">
    <w:abstractNumId w:val="10"/>
  </w:num>
  <w:num w:numId="5" w16cid:durableId="1138956019">
    <w:abstractNumId w:val="12"/>
  </w:num>
  <w:num w:numId="6" w16cid:durableId="472599129">
    <w:abstractNumId w:val="9"/>
  </w:num>
  <w:num w:numId="7" w16cid:durableId="1949265553">
    <w:abstractNumId w:val="7"/>
  </w:num>
  <w:num w:numId="8" w16cid:durableId="243228207">
    <w:abstractNumId w:val="6"/>
  </w:num>
  <w:num w:numId="9" w16cid:durableId="567225649">
    <w:abstractNumId w:val="5"/>
  </w:num>
  <w:num w:numId="10" w16cid:durableId="878207073">
    <w:abstractNumId w:val="4"/>
  </w:num>
  <w:num w:numId="11" w16cid:durableId="158546332">
    <w:abstractNumId w:val="8"/>
  </w:num>
  <w:num w:numId="12" w16cid:durableId="116266497">
    <w:abstractNumId w:val="3"/>
  </w:num>
  <w:num w:numId="13" w16cid:durableId="2057583288">
    <w:abstractNumId w:val="2"/>
  </w:num>
  <w:num w:numId="14" w16cid:durableId="1602296358">
    <w:abstractNumId w:val="1"/>
  </w:num>
  <w:num w:numId="15" w16cid:durableId="1179806361">
    <w:abstractNumId w:val="0"/>
  </w:num>
  <w:num w:numId="16" w16cid:durableId="1672561967">
    <w:abstractNumId w:val="17"/>
    <w:lvlOverride w:ilvl="0">
      <w:lvl w:ilvl="0">
        <w:start w:val="1"/>
        <w:numFmt w:val="decimal"/>
        <w:pStyle w:val="Normalnumber"/>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838037566">
    <w:abstractNumId w:val="11"/>
  </w:num>
  <w:num w:numId="18" w16cid:durableId="1073742313">
    <w:abstractNumId w:val="20"/>
  </w:num>
  <w:num w:numId="19" w16cid:durableId="1955868527">
    <w:abstractNumId w:val="14"/>
  </w:num>
  <w:num w:numId="20" w16cid:durableId="1702434057">
    <w:abstractNumId w:val="18"/>
  </w:num>
  <w:num w:numId="21" w16cid:durableId="1365328429">
    <w:abstractNumId w:val="21"/>
  </w:num>
  <w:num w:numId="22" w16cid:durableId="1348368575">
    <w:abstractNumId w:val="16"/>
  </w:num>
  <w:num w:numId="23" w16cid:durableId="509025435">
    <w:abstractNumId w:val="15"/>
  </w:num>
  <w:num w:numId="24" w16cid:durableId="800348599">
    <w:abstractNumId w:val="17"/>
  </w:num>
  <w:num w:numId="25" w16cid:durableId="1913075697">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28"/>
    <w:rsid w:val="00006D47"/>
    <w:rsid w:val="000149E6"/>
    <w:rsid w:val="00016AF3"/>
    <w:rsid w:val="000208C8"/>
    <w:rsid w:val="000247B0"/>
    <w:rsid w:val="00026997"/>
    <w:rsid w:val="00033E0B"/>
    <w:rsid w:val="000356CD"/>
    <w:rsid w:val="00035EDE"/>
    <w:rsid w:val="00036F08"/>
    <w:rsid w:val="00047C16"/>
    <w:rsid w:val="000509B4"/>
    <w:rsid w:val="00051077"/>
    <w:rsid w:val="0005361C"/>
    <w:rsid w:val="00056B2C"/>
    <w:rsid w:val="0006035B"/>
    <w:rsid w:val="0006378B"/>
    <w:rsid w:val="00067B62"/>
    <w:rsid w:val="0007166E"/>
    <w:rsid w:val="00071886"/>
    <w:rsid w:val="000742BC"/>
    <w:rsid w:val="0008041D"/>
    <w:rsid w:val="00082A0C"/>
    <w:rsid w:val="00082DCD"/>
    <w:rsid w:val="00083504"/>
    <w:rsid w:val="0008710B"/>
    <w:rsid w:val="00092B4B"/>
    <w:rsid w:val="0009640C"/>
    <w:rsid w:val="00097C4A"/>
    <w:rsid w:val="000A04D8"/>
    <w:rsid w:val="000A5E90"/>
    <w:rsid w:val="000B0F04"/>
    <w:rsid w:val="000B21D5"/>
    <w:rsid w:val="000B22A2"/>
    <w:rsid w:val="000B451A"/>
    <w:rsid w:val="000C2A52"/>
    <w:rsid w:val="000C2A7C"/>
    <w:rsid w:val="000C46A9"/>
    <w:rsid w:val="000D33C0"/>
    <w:rsid w:val="000D5884"/>
    <w:rsid w:val="000D6941"/>
    <w:rsid w:val="000D71B6"/>
    <w:rsid w:val="000E0405"/>
    <w:rsid w:val="000E1E9B"/>
    <w:rsid w:val="000E72A2"/>
    <w:rsid w:val="000F6CFF"/>
    <w:rsid w:val="00102FC6"/>
    <w:rsid w:val="0011373D"/>
    <w:rsid w:val="00114D35"/>
    <w:rsid w:val="00115F73"/>
    <w:rsid w:val="00116653"/>
    <w:rsid w:val="001202E3"/>
    <w:rsid w:val="00121D72"/>
    <w:rsid w:val="00123699"/>
    <w:rsid w:val="00124180"/>
    <w:rsid w:val="0013059D"/>
    <w:rsid w:val="0013248C"/>
    <w:rsid w:val="0014083A"/>
    <w:rsid w:val="00141A55"/>
    <w:rsid w:val="00141F2F"/>
    <w:rsid w:val="00142AFC"/>
    <w:rsid w:val="001446A3"/>
    <w:rsid w:val="00154124"/>
    <w:rsid w:val="00154AAC"/>
    <w:rsid w:val="00155395"/>
    <w:rsid w:val="0016059C"/>
    <w:rsid w:val="001619D7"/>
    <w:rsid w:val="00172E6C"/>
    <w:rsid w:val="00173D27"/>
    <w:rsid w:val="00174739"/>
    <w:rsid w:val="00176991"/>
    <w:rsid w:val="001776DC"/>
    <w:rsid w:val="00180B64"/>
    <w:rsid w:val="0018127C"/>
    <w:rsid w:val="00181EC8"/>
    <w:rsid w:val="00181FC0"/>
    <w:rsid w:val="00184349"/>
    <w:rsid w:val="001915B2"/>
    <w:rsid w:val="0019161E"/>
    <w:rsid w:val="00195F33"/>
    <w:rsid w:val="00197C63"/>
    <w:rsid w:val="001A3816"/>
    <w:rsid w:val="001A5EE1"/>
    <w:rsid w:val="001A7FF9"/>
    <w:rsid w:val="001B00C2"/>
    <w:rsid w:val="001B1617"/>
    <w:rsid w:val="001B504B"/>
    <w:rsid w:val="001C29FC"/>
    <w:rsid w:val="001D3874"/>
    <w:rsid w:val="001D5344"/>
    <w:rsid w:val="001D7E75"/>
    <w:rsid w:val="001E22D1"/>
    <w:rsid w:val="001E56D2"/>
    <w:rsid w:val="001E6F04"/>
    <w:rsid w:val="001E7D56"/>
    <w:rsid w:val="001F2584"/>
    <w:rsid w:val="001F75DE"/>
    <w:rsid w:val="00200D58"/>
    <w:rsid w:val="002013BE"/>
    <w:rsid w:val="00201609"/>
    <w:rsid w:val="00204B05"/>
    <w:rsid w:val="00204D0B"/>
    <w:rsid w:val="002063A4"/>
    <w:rsid w:val="00206F97"/>
    <w:rsid w:val="0021145B"/>
    <w:rsid w:val="00214277"/>
    <w:rsid w:val="002166A4"/>
    <w:rsid w:val="00220CD7"/>
    <w:rsid w:val="0022762D"/>
    <w:rsid w:val="00230F4C"/>
    <w:rsid w:val="002322F1"/>
    <w:rsid w:val="00232303"/>
    <w:rsid w:val="00234806"/>
    <w:rsid w:val="002378D6"/>
    <w:rsid w:val="00240704"/>
    <w:rsid w:val="00243D36"/>
    <w:rsid w:val="00247707"/>
    <w:rsid w:val="00251213"/>
    <w:rsid w:val="00253D47"/>
    <w:rsid w:val="0025454F"/>
    <w:rsid w:val="00263171"/>
    <w:rsid w:val="00271604"/>
    <w:rsid w:val="00277919"/>
    <w:rsid w:val="00286740"/>
    <w:rsid w:val="00286D72"/>
    <w:rsid w:val="00287B42"/>
    <w:rsid w:val="00292657"/>
    <w:rsid w:val="002929D8"/>
    <w:rsid w:val="002935C2"/>
    <w:rsid w:val="002A237D"/>
    <w:rsid w:val="002A4C53"/>
    <w:rsid w:val="002B0672"/>
    <w:rsid w:val="002B1B4C"/>
    <w:rsid w:val="002B247F"/>
    <w:rsid w:val="002C145D"/>
    <w:rsid w:val="002C2C3E"/>
    <w:rsid w:val="002C4DAB"/>
    <w:rsid w:val="002C533E"/>
    <w:rsid w:val="002C5525"/>
    <w:rsid w:val="002D027F"/>
    <w:rsid w:val="002D046E"/>
    <w:rsid w:val="002D7A85"/>
    <w:rsid w:val="002D7B60"/>
    <w:rsid w:val="002E19D4"/>
    <w:rsid w:val="002E608F"/>
    <w:rsid w:val="002E7777"/>
    <w:rsid w:val="002F0362"/>
    <w:rsid w:val="002F0514"/>
    <w:rsid w:val="002F1C73"/>
    <w:rsid w:val="002F4761"/>
    <w:rsid w:val="002F5C79"/>
    <w:rsid w:val="003019E2"/>
    <w:rsid w:val="003061BE"/>
    <w:rsid w:val="0031413F"/>
    <w:rsid w:val="003148BB"/>
    <w:rsid w:val="00317976"/>
    <w:rsid w:val="00323885"/>
    <w:rsid w:val="0032551A"/>
    <w:rsid w:val="00325A54"/>
    <w:rsid w:val="003273F5"/>
    <w:rsid w:val="00331475"/>
    <w:rsid w:val="00351A93"/>
    <w:rsid w:val="00355EA9"/>
    <w:rsid w:val="003578DE"/>
    <w:rsid w:val="00365F6B"/>
    <w:rsid w:val="00370442"/>
    <w:rsid w:val="00370BF9"/>
    <w:rsid w:val="00371340"/>
    <w:rsid w:val="00371EB7"/>
    <w:rsid w:val="003753F8"/>
    <w:rsid w:val="003759E2"/>
    <w:rsid w:val="00386999"/>
    <w:rsid w:val="00390145"/>
    <w:rsid w:val="00394379"/>
    <w:rsid w:val="003953F0"/>
    <w:rsid w:val="00396257"/>
    <w:rsid w:val="0039717B"/>
    <w:rsid w:val="00397EB8"/>
    <w:rsid w:val="003A07AB"/>
    <w:rsid w:val="003A086E"/>
    <w:rsid w:val="003A15D2"/>
    <w:rsid w:val="003A2F59"/>
    <w:rsid w:val="003A37B8"/>
    <w:rsid w:val="003A42A1"/>
    <w:rsid w:val="003A4FD0"/>
    <w:rsid w:val="003A69D1"/>
    <w:rsid w:val="003A7705"/>
    <w:rsid w:val="003B1545"/>
    <w:rsid w:val="003B5250"/>
    <w:rsid w:val="003C00B4"/>
    <w:rsid w:val="003C035E"/>
    <w:rsid w:val="003C3267"/>
    <w:rsid w:val="003C409D"/>
    <w:rsid w:val="003C5BA6"/>
    <w:rsid w:val="003C72EB"/>
    <w:rsid w:val="003D6D1C"/>
    <w:rsid w:val="003E7D0B"/>
    <w:rsid w:val="003F0E85"/>
    <w:rsid w:val="003F7F1C"/>
    <w:rsid w:val="00404CB5"/>
    <w:rsid w:val="00405251"/>
    <w:rsid w:val="00410C55"/>
    <w:rsid w:val="0041604D"/>
    <w:rsid w:val="00416854"/>
    <w:rsid w:val="00417725"/>
    <w:rsid w:val="0041779A"/>
    <w:rsid w:val="00417B99"/>
    <w:rsid w:val="004243EA"/>
    <w:rsid w:val="004304A2"/>
    <w:rsid w:val="004312E4"/>
    <w:rsid w:val="00437498"/>
    <w:rsid w:val="00437F26"/>
    <w:rsid w:val="00444097"/>
    <w:rsid w:val="00445487"/>
    <w:rsid w:val="00451C4C"/>
    <w:rsid w:val="00454769"/>
    <w:rsid w:val="00456AA6"/>
    <w:rsid w:val="00456D58"/>
    <w:rsid w:val="004575C7"/>
    <w:rsid w:val="00466991"/>
    <w:rsid w:val="00466A6A"/>
    <w:rsid w:val="0047064C"/>
    <w:rsid w:val="00474D90"/>
    <w:rsid w:val="00477AFF"/>
    <w:rsid w:val="00481AE0"/>
    <w:rsid w:val="00481F0B"/>
    <w:rsid w:val="004842C4"/>
    <w:rsid w:val="00490436"/>
    <w:rsid w:val="00495BFE"/>
    <w:rsid w:val="004A1A75"/>
    <w:rsid w:val="004A3A45"/>
    <w:rsid w:val="004A42E1"/>
    <w:rsid w:val="004B162C"/>
    <w:rsid w:val="004C0EF8"/>
    <w:rsid w:val="004C3DBE"/>
    <w:rsid w:val="004C582B"/>
    <w:rsid w:val="004C5C96"/>
    <w:rsid w:val="004D06A4"/>
    <w:rsid w:val="004D3E25"/>
    <w:rsid w:val="004D60EA"/>
    <w:rsid w:val="004E1E3D"/>
    <w:rsid w:val="004E1FFB"/>
    <w:rsid w:val="004E59D4"/>
    <w:rsid w:val="004E79AC"/>
    <w:rsid w:val="004F0D6D"/>
    <w:rsid w:val="004F1A81"/>
    <w:rsid w:val="005058BB"/>
    <w:rsid w:val="00517C73"/>
    <w:rsid w:val="005218D9"/>
    <w:rsid w:val="00530404"/>
    <w:rsid w:val="00532E47"/>
    <w:rsid w:val="00535445"/>
    <w:rsid w:val="00536186"/>
    <w:rsid w:val="00536826"/>
    <w:rsid w:val="00544CBB"/>
    <w:rsid w:val="005470A7"/>
    <w:rsid w:val="005477C1"/>
    <w:rsid w:val="00550518"/>
    <w:rsid w:val="00552CD6"/>
    <w:rsid w:val="00571B3C"/>
    <w:rsid w:val="0057315F"/>
    <w:rsid w:val="00575DF1"/>
    <w:rsid w:val="00576104"/>
    <w:rsid w:val="0058149C"/>
    <w:rsid w:val="005940BC"/>
    <w:rsid w:val="00594A58"/>
    <w:rsid w:val="00594BA0"/>
    <w:rsid w:val="005A6D4C"/>
    <w:rsid w:val="005A79DC"/>
    <w:rsid w:val="005B299A"/>
    <w:rsid w:val="005B5E96"/>
    <w:rsid w:val="005C67C8"/>
    <w:rsid w:val="005D0249"/>
    <w:rsid w:val="005D6E8C"/>
    <w:rsid w:val="005E508D"/>
    <w:rsid w:val="005F0688"/>
    <w:rsid w:val="005F100C"/>
    <w:rsid w:val="005F1ADC"/>
    <w:rsid w:val="005F68DA"/>
    <w:rsid w:val="005F7283"/>
    <w:rsid w:val="005F75E6"/>
    <w:rsid w:val="006014DD"/>
    <w:rsid w:val="006024CB"/>
    <w:rsid w:val="0060773B"/>
    <w:rsid w:val="00607D94"/>
    <w:rsid w:val="006157B5"/>
    <w:rsid w:val="006229E2"/>
    <w:rsid w:val="00626FC6"/>
    <w:rsid w:val="006303B4"/>
    <w:rsid w:val="00630BB7"/>
    <w:rsid w:val="00633CEB"/>
    <w:rsid w:val="00633D3D"/>
    <w:rsid w:val="00633F3A"/>
    <w:rsid w:val="00641703"/>
    <w:rsid w:val="006431A6"/>
    <w:rsid w:val="006459F6"/>
    <w:rsid w:val="006501AD"/>
    <w:rsid w:val="00651BFA"/>
    <w:rsid w:val="006533B3"/>
    <w:rsid w:val="00654B63"/>
    <w:rsid w:val="00663A80"/>
    <w:rsid w:val="0066456D"/>
    <w:rsid w:val="00665A4B"/>
    <w:rsid w:val="006731FE"/>
    <w:rsid w:val="00680F74"/>
    <w:rsid w:val="00692E2A"/>
    <w:rsid w:val="00693DE9"/>
    <w:rsid w:val="006A76F2"/>
    <w:rsid w:val="006B5716"/>
    <w:rsid w:val="006C061E"/>
    <w:rsid w:val="006C3DDA"/>
    <w:rsid w:val="006C45D2"/>
    <w:rsid w:val="006D3277"/>
    <w:rsid w:val="006D4F5D"/>
    <w:rsid w:val="006D7EFB"/>
    <w:rsid w:val="006E6672"/>
    <w:rsid w:val="006E6722"/>
    <w:rsid w:val="006F10F1"/>
    <w:rsid w:val="006F7DCC"/>
    <w:rsid w:val="007027B9"/>
    <w:rsid w:val="00706C3E"/>
    <w:rsid w:val="00713D8F"/>
    <w:rsid w:val="00715E88"/>
    <w:rsid w:val="0071630A"/>
    <w:rsid w:val="0072508B"/>
    <w:rsid w:val="00732257"/>
    <w:rsid w:val="00734CAA"/>
    <w:rsid w:val="00736583"/>
    <w:rsid w:val="007473B3"/>
    <w:rsid w:val="00747DCA"/>
    <w:rsid w:val="007537F1"/>
    <w:rsid w:val="0075473A"/>
    <w:rsid w:val="00755106"/>
    <w:rsid w:val="0075533C"/>
    <w:rsid w:val="00755C63"/>
    <w:rsid w:val="00757581"/>
    <w:rsid w:val="007611A0"/>
    <w:rsid w:val="0076338B"/>
    <w:rsid w:val="007658A0"/>
    <w:rsid w:val="00766073"/>
    <w:rsid w:val="00771992"/>
    <w:rsid w:val="00774422"/>
    <w:rsid w:val="00775EC8"/>
    <w:rsid w:val="00781AC6"/>
    <w:rsid w:val="00783907"/>
    <w:rsid w:val="00791058"/>
    <w:rsid w:val="007942A5"/>
    <w:rsid w:val="00796D3F"/>
    <w:rsid w:val="007A1683"/>
    <w:rsid w:val="007A190D"/>
    <w:rsid w:val="007A36F8"/>
    <w:rsid w:val="007A5C12"/>
    <w:rsid w:val="007A6CF3"/>
    <w:rsid w:val="007A7CB0"/>
    <w:rsid w:val="007B68A3"/>
    <w:rsid w:val="007C2541"/>
    <w:rsid w:val="007C624F"/>
    <w:rsid w:val="007D66A8"/>
    <w:rsid w:val="007D6818"/>
    <w:rsid w:val="007D773D"/>
    <w:rsid w:val="007D7A2E"/>
    <w:rsid w:val="007E003F"/>
    <w:rsid w:val="007E2407"/>
    <w:rsid w:val="007E6693"/>
    <w:rsid w:val="007F682E"/>
    <w:rsid w:val="008017CB"/>
    <w:rsid w:val="00802E72"/>
    <w:rsid w:val="00803454"/>
    <w:rsid w:val="0080362E"/>
    <w:rsid w:val="00805F1D"/>
    <w:rsid w:val="008164F2"/>
    <w:rsid w:val="00817C76"/>
    <w:rsid w:val="00821395"/>
    <w:rsid w:val="00824789"/>
    <w:rsid w:val="00830E26"/>
    <w:rsid w:val="00832D13"/>
    <w:rsid w:val="00835662"/>
    <w:rsid w:val="00835766"/>
    <w:rsid w:val="00843576"/>
    <w:rsid w:val="00843B64"/>
    <w:rsid w:val="008470BD"/>
    <w:rsid w:val="008478FC"/>
    <w:rsid w:val="00847BAB"/>
    <w:rsid w:val="008553CB"/>
    <w:rsid w:val="00860562"/>
    <w:rsid w:val="0086758B"/>
    <w:rsid w:val="00867BFF"/>
    <w:rsid w:val="00870138"/>
    <w:rsid w:val="0088480A"/>
    <w:rsid w:val="0088757A"/>
    <w:rsid w:val="008932F4"/>
    <w:rsid w:val="008957DD"/>
    <w:rsid w:val="008973D6"/>
    <w:rsid w:val="00897D98"/>
    <w:rsid w:val="008A2231"/>
    <w:rsid w:val="008A26B4"/>
    <w:rsid w:val="008A6DF2"/>
    <w:rsid w:val="008A7807"/>
    <w:rsid w:val="008B0D6B"/>
    <w:rsid w:val="008B3832"/>
    <w:rsid w:val="008B4CC9"/>
    <w:rsid w:val="008C13F0"/>
    <w:rsid w:val="008C1B8B"/>
    <w:rsid w:val="008D3AE0"/>
    <w:rsid w:val="008D3F86"/>
    <w:rsid w:val="008D5BB3"/>
    <w:rsid w:val="008D7C99"/>
    <w:rsid w:val="008E0FCB"/>
    <w:rsid w:val="008E1268"/>
    <w:rsid w:val="008E33C3"/>
    <w:rsid w:val="008E614A"/>
    <w:rsid w:val="00905A52"/>
    <w:rsid w:val="00907D78"/>
    <w:rsid w:val="009210D2"/>
    <w:rsid w:val="0092178C"/>
    <w:rsid w:val="0092493F"/>
    <w:rsid w:val="009309D8"/>
    <w:rsid w:val="00930B88"/>
    <w:rsid w:val="00934AF4"/>
    <w:rsid w:val="009378DC"/>
    <w:rsid w:val="00940DCC"/>
    <w:rsid w:val="0094179A"/>
    <w:rsid w:val="0094459E"/>
    <w:rsid w:val="00944DBC"/>
    <w:rsid w:val="00950977"/>
    <w:rsid w:val="00951A7B"/>
    <w:rsid w:val="00954F2F"/>
    <w:rsid w:val="009564A6"/>
    <w:rsid w:val="00961A33"/>
    <w:rsid w:val="009628B9"/>
    <w:rsid w:val="00967621"/>
    <w:rsid w:val="00967E6A"/>
    <w:rsid w:val="00980797"/>
    <w:rsid w:val="009935AC"/>
    <w:rsid w:val="009A19AC"/>
    <w:rsid w:val="009A4BCE"/>
    <w:rsid w:val="009A6054"/>
    <w:rsid w:val="009B0CC6"/>
    <w:rsid w:val="009B4A0F"/>
    <w:rsid w:val="009B6450"/>
    <w:rsid w:val="009C0FEC"/>
    <w:rsid w:val="009C11D2"/>
    <w:rsid w:val="009C1A48"/>
    <w:rsid w:val="009C6C70"/>
    <w:rsid w:val="009D0922"/>
    <w:rsid w:val="009D0B63"/>
    <w:rsid w:val="009D61B2"/>
    <w:rsid w:val="009D6BEF"/>
    <w:rsid w:val="009D73A5"/>
    <w:rsid w:val="009E1A50"/>
    <w:rsid w:val="009E307E"/>
    <w:rsid w:val="009E3FE4"/>
    <w:rsid w:val="009E47E3"/>
    <w:rsid w:val="009E52C0"/>
    <w:rsid w:val="009E677E"/>
    <w:rsid w:val="00A03A4A"/>
    <w:rsid w:val="00A07870"/>
    <w:rsid w:val="00A07F19"/>
    <w:rsid w:val="00A1164A"/>
    <w:rsid w:val="00A1348D"/>
    <w:rsid w:val="00A142D1"/>
    <w:rsid w:val="00A1489E"/>
    <w:rsid w:val="00A16C79"/>
    <w:rsid w:val="00A232EE"/>
    <w:rsid w:val="00A3155C"/>
    <w:rsid w:val="00A3456A"/>
    <w:rsid w:val="00A4175F"/>
    <w:rsid w:val="00A44411"/>
    <w:rsid w:val="00A469FA"/>
    <w:rsid w:val="00A50E81"/>
    <w:rsid w:val="00A50E94"/>
    <w:rsid w:val="00A55B01"/>
    <w:rsid w:val="00A56B5B"/>
    <w:rsid w:val="00A603FF"/>
    <w:rsid w:val="00A657DD"/>
    <w:rsid w:val="00A666A6"/>
    <w:rsid w:val="00A675FD"/>
    <w:rsid w:val="00A71160"/>
    <w:rsid w:val="00A72437"/>
    <w:rsid w:val="00A7469D"/>
    <w:rsid w:val="00A74ED2"/>
    <w:rsid w:val="00A80611"/>
    <w:rsid w:val="00A84B15"/>
    <w:rsid w:val="00A87016"/>
    <w:rsid w:val="00A87C7D"/>
    <w:rsid w:val="00A91CE3"/>
    <w:rsid w:val="00A9526A"/>
    <w:rsid w:val="00A96155"/>
    <w:rsid w:val="00AA02B1"/>
    <w:rsid w:val="00AA11DA"/>
    <w:rsid w:val="00AB1F69"/>
    <w:rsid w:val="00AB5340"/>
    <w:rsid w:val="00AC010E"/>
    <w:rsid w:val="00AC01CC"/>
    <w:rsid w:val="00AC16B8"/>
    <w:rsid w:val="00AC51E7"/>
    <w:rsid w:val="00AC7C96"/>
    <w:rsid w:val="00AE1A45"/>
    <w:rsid w:val="00AE237D"/>
    <w:rsid w:val="00AE2A3D"/>
    <w:rsid w:val="00AE35BB"/>
    <w:rsid w:val="00AE502A"/>
    <w:rsid w:val="00AF0DF7"/>
    <w:rsid w:val="00AF7C07"/>
    <w:rsid w:val="00B1215E"/>
    <w:rsid w:val="00B22C93"/>
    <w:rsid w:val="00B25D23"/>
    <w:rsid w:val="00B27589"/>
    <w:rsid w:val="00B308B6"/>
    <w:rsid w:val="00B310E3"/>
    <w:rsid w:val="00B32F89"/>
    <w:rsid w:val="00B37EF9"/>
    <w:rsid w:val="00B405B7"/>
    <w:rsid w:val="00B43904"/>
    <w:rsid w:val="00B45719"/>
    <w:rsid w:val="00B45E6D"/>
    <w:rsid w:val="00B52222"/>
    <w:rsid w:val="00B523A2"/>
    <w:rsid w:val="00B54FE7"/>
    <w:rsid w:val="00B56220"/>
    <w:rsid w:val="00B57C47"/>
    <w:rsid w:val="00B606F4"/>
    <w:rsid w:val="00B61801"/>
    <w:rsid w:val="00B619A9"/>
    <w:rsid w:val="00B66901"/>
    <w:rsid w:val="00B71E6D"/>
    <w:rsid w:val="00B72070"/>
    <w:rsid w:val="00B76BAC"/>
    <w:rsid w:val="00B77333"/>
    <w:rsid w:val="00B779E1"/>
    <w:rsid w:val="00B859A3"/>
    <w:rsid w:val="00B87658"/>
    <w:rsid w:val="00B91EE1"/>
    <w:rsid w:val="00B96B84"/>
    <w:rsid w:val="00BA0090"/>
    <w:rsid w:val="00BA162F"/>
    <w:rsid w:val="00BA1A67"/>
    <w:rsid w:val="00BB0AE0"/>
    <w:rsid w:val="00BB49DE"/>
    <w:rsid w:val="00BB639D"/>
    <w:rsid w:val="00BC07FE"/>
    <w:rsid w:val="00BD0163"/>
    <w:rsid w:val="00BD159E"/>
    <w:rsid w:val="00BD287D"/>
    <w:rsid w:val="00BD408F"/>
    <w:rsid w:val="00BD42A1"/>
    <w:rsid w:val="00BE15BF"/>
    <w:rsid w:val="00BE19F5"/>
    <w:rsid w:val="00BE5B5F"/>
    <w:rsid w:val="00BF517A"/>
    <w:rsid w:val="00C07F07"/>
    <w:rsid w:val="00C15FC6"/>
    <w:rsid w:val="00C26F55"/>
    <w:rsid w:val="00C27F0A"/>
    <w:rsid w:val="00C30C63"/>
    <w:rsid w:val="00C32B37"/>
    <w:rsid w:val="00C33ED7"/>
    <w:rsid w:val="00C36B8B"/>
    <w:rsid w:val="00C44269"/>
    <w:rsid w:val="00C47DBF"/>
    <w:rsid w:val="00C53666"/>
    <w:rsid w:val="00C552FF"/>
    <w:rsid w:val="00C558DA"/>
    <w:rsid w:val="00C55AF3"/>
    <w:rsid w:val="00C5757C"/>
    <w:rsid w:val="00C60713"/>
    <w:rsid w:val="00C70B49"/>
    <w:rsid w:val="00C75C7C"/>
    <w:rsid w:val="00C81951"/>
    <w:rsid w:val="00C83A8F"/>
    <w:rsid w:val="00C842EA"/>
    <w:rsid w:val="00C84759"/>
    <w:rsid w:val="00C91C32"/>
    <w:rsid w:val="00C97578"/>
    <w:rsid w:val="00CA6C7F"/>
    <w:rsid w:val="00CA78AF"/>
    <w:rsid w:val="00CB6F8C"/>
    <w:rsid w:val="00CB7A0A"/>
    <w:rsid w:val="00CC0260"/>
    <w:rsid w:val="00CC10A6"/>
    <w:rsid w:val="00CC61FE"/>
    <w:rsid w:val="00CD5EB8"/>
    <w:rsid w:val="00CD6AC7"/>
    <w:rsid w:val="00CD7044"/>
    <w:rsid w:val="00CE08B9"/>
    <w:rsid w:val="00CE0DA0"/>
    <w:rsid w:val="00CE524C"/>
    <w:rsid w:val="00CF141F"/>
    <w:rsid w:val="00CF2438"/>
    <w:rsid w:val="00CF4777"/>
    <w:rsid w:val="00CF5AF8"/>
    <w:rsid w:val="00D03F67"/>
    <w:rsid w:val="00D067BB"/>
    <w:rsid w:val="00D070CC"/>
    <w:rsid w:val="00D1352A"/>
    <w:rsid w:val="00D13EDE"/>
    <w:rsid w:val="00D154BD"/>
    <w:rsid w:val="00D15AC5"/>
    <w:rsid w:val="00D169AF"/>
    <w:rsid w:val="00D21613"/>
    <w:rsid w:val="00D2514B"/>
    <w:rsid w:val="00D25249"/>
    <w:rsid w:val="00D255A7"/>
    <w:rsid w:val="00D3180D"/>
    <w:rsid w:val="00D44172"/>
    <w:rsid w:val="00D44EE1"/>
    <w:rsid w:val="00D47A5D"/>
    <w:rsid w:val="00D526D8"/>
    <w:rsid w:val="00D5456D"/>
    <w:rsid w:val="00D561E9"/>
    <w:rsid w:val="00D62C28"/>
    <w:rsid w:val="00D63B8C"/>
    <w:rsid w:val="00D6660A"/>
    <w:rsid w:val="00D712FD"/>
    <w:rsid w:val="00D72CB6"/>
    <w:rsid w:val="00D739CC"/>
    <w:rsid w:val="00D77FED"/>
    <w:rsid w:val="00D8093D"/>
    <w:rsid w:val="00D8108C"/>
    <w:rsid w:val="00D83895"/>
    <w:rsid w:val="00D842AE"/>
    <w:rsid w:val="00D9211C"/>
    <w:rsid w:val="00D92DE0"/>
    <w:rsid w:val="00D92FEF"/>
    <w:rsid w:val="00D93A0F"/>
    <w:rsid w:val="00D93ACF"/>
    <w:rsid w:val="00D97617"/>
    <w:rsid w:val="00D979B1"/>
    <w:rsid w:val="00DA18CB"/>
    <w:rsid w:val="00DA1BCA"/>
    <w:rsid w:val="00DA3FFA"/>
    <w:rsid w:val="00DA7299"/>
    <w:rsid w:val="00DA78C3"/>
    <w:rsid w:val="00DB36B7"/>
    <w:rsid w:val="00DB3E23"/>
    <w:rsid w:val="00DB6D45"/>
    <w:rsid w:val="00DC0530"/>
    <w:rsid w:val="00DC0FD8"/>
    <w:rsid w:val="00DC46FF"/>
    <w:rsid w:val="00DC5254"/>
    <w:rsid w:val="00DC7868"/>
    <w:rsid w:val="00DC7BA3"/>
    <w:rsid w:val="00DD1A4F"/>
    <w:rsid w:val="00DD2B9C"/>
    <w:rsid w:val="00DD3107"/>
    <w:rsid w:val="00DD5EFF"/>
    <w:rsid w:val="00DD7C2C"/>
    <w:rsid w:val="00DE3DD3"/>
    <w:rsid w:val="00DE6E55"/>
    <w:rsid w:val="00DF5660"/>
    <w:rsid w:val="00E03DCE"/>
    <w:rsid w:val="00E0574F"/>
    <w:rsid w:val="00E06797"/>
    <w:rsid w:val="00E122BC"/>
    <w:rsid w:val="00E1265B"/>
    <w:rsid w:val="00E13B48"/>
    <w:rsid w:val="00E1404F"/>
    <w:rsid w:val="00E165DA"/>
    <w:rsid w:val="00E212EF"/>
    <w:rsid w:val="00E21C83"/>
    <w:rsid w:val="00E24ADA"/>
    <w:rsid w:val="00E256F6"/>
    <w:rsid w:val="00E32F59"/>
    <w:rsid w:val="00E37F15"/>
    <w:rsid w:val="00E440CD"/>
    <w:rsid w:val="00E46D9A"/>
    <w:rsid w:val="00E509D1"/>
    <w:rsid w:val="00E565FF"/>
    <w:rsid w:val="00E568E9"/>
    <w:rsid w:val="00E600D6"/>
    <w:rsid w:val="00E63C75"/>
    <w:rsid w:val="00E65388"/>
    <w:rsid w:val="00E6716B"/>
    <w:rsid w:val="00E67833"/>
    <w:rsid w:val="00E74ACB"/>
    <w:rsid w:val="00E85B7D"/>
    <w:rsid w:val="00E9121B"/>
    <w:rsid w:val="00E94B48"/>
    <w:rsid w:val="00E96614"/>
    <w:rsid w:val="00EA0AE2"/>
    <w:rsid w:val="00EA292F"/>
    <w:rsid w:val="00EA39E5"/>
    <w:rsid w:val="00EB3106"/>
    <w:rsid w:val="00EB3268"/>
    <w:rsid w:val="00EB406B"/>
    <w:rsid w:val="00EC00B3"/>
    <w:rsid w:val="00EC5A46"/>
    <w:rsid w:val="00EC63E2"/>
    <w:rsid w:val="00ED0087"/>
    <w:rsid w:val="00ED1F3E"/>
    <w:rsid w:val="00ED65CF"/>
    <w:rsid w:val="00EE1BA8"/>
    <w:rsid w:val="00EE1E98"/>
    <w:rsid w:val="00EE397B"/>
    <w:rsid w:val="00EE4483"/>
    <w:rsid w:val="00EE4C19"/>
    <w:rsid w:val="00EE5261"/>
    <w:rsid w:val="00EF22B3"/>
    <w:rsid w:val="00EF469A"/>
    <w:rsid w:val="00F03B69"/>
    <w:rsid w:val="00F07A50"/>
    <w:rsid w:val="00F113DA"/>
    <w:rsid w:val="00F15019"/>
    <w:rsid w:val="00F16ABA"/>
    <w:rsid w:val="00F22DC4"/>
    <w:rsid w:val="00F23184"/>
    <w:rsid w:val="00F25F15"/>
    <w:rsid w:val="00F319FC"/>
    <w:rsid w:val="00F32001"/>
    <w:rsid w:val="00F3361A"/>
    <w:rsid w:val="00F36E4C"/>
    <w:rsid w:val="00F37A1E"/>
    <w:rsid w:val="00F37DC8"/>
    <w:rsid w:val="00F439B3"/>
    <w:rsid w:val="00F45AA8"/>
    <w:rsid w:val="00F466DD"/>
    <w:rsid w:val="00F47796"/>
    <w:rsid w:val="00F47A44"/>
    <w:rsid w:val="00F47A5C"/>
    <w:rsid w:val="00F502DD"/>
    <w:rsid w:val="00F511D5"/>
    <w:rsid w:val="00F52A1B"/>
    <w:rsid w:val="00F638FC"/>
    <w:rsid w:val="00F650C3"/>
    <w:rsid w:val="00F6570E"/>
    <w:rsid w:val="00F658D9"/>
    <w:rsid w:val="00F65D85"/>
    <w:rsid w:val="00F7203C"/>
    <w:rsid w:val="00F75453"/>
    <w:rsid w:val="00F8091E"/>
    <w:rsid w:val="00F8615C"/>
    <w:rsid w:val="00F87B40"/>
    <w:rsid w:val="00F969E5"/>
    <w:rsid w:val="00F97AEE"/>
    <w:rsid w:val="00F97E54"/>
    <w:rsid w:val="00FA1C95"/>
    <w:rsid w:val="00FA6BB0"/>
    <w:rsid w:val="00FB057E"/>
    <w:rsid w:val="00FB11AE"/>
    <w:rsid w:val="00FB1DFB"/>
    <w:rsid w:val="00FD2D77"/>
    <w:rsid w:val="00FD5860"/>
    <w:rsid w:val="00FE352D"/>
    <w:rsid w:val="00FE381E"/>
    <w:rsid w:val="00FE40EB"/>
    <w:rsid w:val="00FE4D02"/>
    <w:rsid w:val="00FE51C9"/>
    <w:rsid w:val="00FE626B"/>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20DB4"/>
  <w15:chartTrackingRefBased/>
  <w15:docId w15:val="{21810EC4-C7CA-4682-A97E-1813C718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D62C28"/>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D62C28"/>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D62C28"/>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D62C28"/>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D62C28"/>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D62C28"/>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D62C28"/>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D62C28"/>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D62C28"/>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D62C28"/>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D62C28"/>
    <w:rPr>
      <w:rFonts w:ascii="Times New Roman" w:hAnsi="Times New Roman"/>
      <w:b/>
      <w:sz w:val="18"/>
      <w:lang w:val="en-GB"/>
    </w:rPr>
  </w:style>
  <w:style w:type="table" w:customStyle="1" w:styleId="Tabledocright">
    <w:name w:val="Table_doc_right"/>
    <w:basedOn w:val="TableNormal"/>
    <w:rsid w:val="00D62C28"/>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D62C28"/>
    <w:pPr>
      <w:ind w:left="1000"/>
    </w:pPr>
    <w:rPr>
      <w:sz w:val="18"/>
      <w:szCs w:val="18"/>
    </w:rPr>
  </w:style>
  <w:style w:type="paragraph" w:styleId="TOC7">
    <w:name w:val="toc 7"/>
    <w:basedOn w:val="Normal"/>
    <w:next w:val="Normal"/>
    <w:autoRedefine/>
    <w:semiHidden/>
    <w:rsid w:val="00D62C28"/>
    <w:pPr>
      <w:ind w:left="1200"/>
    </w:pPr>
    <w:rPr>
      <w:sz w:val="18"/>
      <w:szCs w:val="18"/>
    </w:rPr>
  </w:style>
  <w:style w:type="paragraph" w:styleId="TOC8">
    <w:name w:val="toc 8"/>
    <w:basedOn w:val="Normal"/>
    <w:next w:val="Normal"/>
    <w:autoRedefine/>
    <w:semiHidden/>
    <w:rsid w:val="00D62C28"/>
    <w:pPr>
      <w:ind w:left="1400"/>
    </w:pPr>
    <w:rPr>
      <w:sz w:val="18"/>
      <w:szCs w:val="18"/>
    </w:rPr>
  </w:style>
  <w:style w:type="paragraph" w:styleId="TOC9">
    <w:name w:val="toc 9"/>
    <w:basedOn w:val="Normal"/>
    <w:next w:val="Normal"/>
    <w:autoRedefine/>
    <w:semiHidden/>
    <w:rsid w:val="00D62C28"/>
    <w:pPr>
      <w:ind w:left="1600"/>
    </w:pPr>
    <w:rPr>
      <w:sz w:val="18"/>
      <w:szCs w:val="18"/>
    </w:rPr>
  </w:style>
  <w:style w:type="paragraph" w:customStyle="1" w:styleId="Titlefigure">
    <w:name w:val="Title_figure"/>
    <w:basedOn w:val="Titletable"/>
    <w:next w:val="NormalNonumber"/>
    <w:rsid w:val="00D62C28"/>
    <w:pPr>
      <w:tabs>
        <w:tab w:val="clear" w:pos="4990"/>
      </w:tabs>
    </w:pPr>
    <w:rPr>
      <w:bCs w:val="0"/>
    </w:rPr>
  </w:style>
  <w:style w:type="paragraph" w:styleId="TableofFigures">
    <w:name w:val="table of figures"/>
    <w:basedOn w:val="Normal"/>
    <w:next w:val="Normal"/>
    <w:autoRedefine/>
    <w:semiHidden/>
    <w:rsid w:val="00D62C28"/>
    <w:pPr>
      <w:ind w:left="1814" w:hanging="567"/>
    </w:pPr>
  </w:style>
  <w:style w:type="paragraph" w:customStyle="1" w:styleId="CH1">
    <w:name w:val="CH1"/>
    <w:basedOn w:val="Normal-pool"/>
    <w:next w:val="CH2"/>
    <w:qFormat/>
    <w:rsid w:val="00D62C28"/>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D62C28"/>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D62C28"/>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D62C28"/>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D62C28"/>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D62C28"/>
    <w:pPr>
      <w:tabs>
        <w:tab w:val="left" w:pos="4321"/>
        <w:tab w:val="right" w:pos="8641"/>
      </w:tabs>
      <w:spacing w:before="60"/>
    </w:pPr>
    <w:rPr>
      <w:b/>
      <w:sz w:val="18"/>
    </w:rPr>
  </w:style>
  <w:style w:type="paragraph" w:customStyle="1" w:styleId="Footer-pool">
    <w:name w:val="Footer-pool"/>
    <w:basedOn w:val="Normal-pool"/>
    <w:next w:val="Normal-pool"/>
    <w:rsid w:val="00D62C28"/>
    <w:pPr>
      <w:tabs>
        <w:tab w:val="right" w:pos="8641"/>
      </w:tabs>
      <w:spacing w:after="120"/>
    </w:pPr>
    <w:rPr>
      <w:b/>
      <w:sz w:val="18"/>
    </w:rPr>
  </w:style>
  <w:style w:type="paragraph" w:customStyle="1" w:styleId="Header-pool">
    <w:name w:val="Header-pool"/>
    <w:basedOn w:val="Normal"/>
    <w:next w:val="Normal"/>
    <w:rsid w:val="00D62C28"/>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D62C28"/>
    <w:rPr>
      <w:rFonts w:ascii="Times New Roman" w:hAnsi="Times New Roman"/>
      <w:color w:val="auto"/>
      <w:sz w:val="20"/>
      <w:szCs w:val="18"/>
      <w:vertAlign w:val="superscript"/>
      <w:lang w:val="en-GB"/>
    </w:rPr>
  </w:style>
  <w:style w:type="table" w:customStyle="1" w:styleId="AATable">
    <w:name w:val="AA_Table"/>
    <w:basedOn w:val="TableNormal"/>
    <w:semiHidden/>
    <w:rsid w:val="00D62C28"/>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D62C28"/>
    <w:pPr>
      <w:keepNext/>
      <w:keepLines/>
      <w:suppressAutoHyphens/>
    </w:pPr>
    <w:rPr>
      <w:b/>
    </w:rPr>
  </w:style>
  <w:style w:type="paragraph" w:customStyle="1" w:styleId="AATitle2">
    <w:name w:val="AA_Title2"/>
    <w:basedOn w:val="AATitle"/>
    <w:rsid w:val="00D62C28"/>
    <w:pPr>
      <w:keepNext w:val="0"/>
      <w:keepLines w:val="0"/>
      <w:tabs>
        <w:tab w:val="clear" w:pos="4990"/>
      </w:tabs>
      <w:spacing w:before="120" w:after="120"/>
    </w:pPr>
  </w:style>
  <w:style w:type="paragraph" w:customStyle="1" w:styleId="BBTitle">
    <w:name w:val="BB_Title"/>
    <w:basedOn w:val="Normal-pool"/>
    <w:qFormat/>
    <w:rsid w:val="00D62C28"/>
    <w:pPr>
      <w:keepNext/>
      <w:keepLines/>
      <w:suppressAutoHyphens/>
      <w:spacing w:before="320" w:after="240"/>
      <w:ind w:left="1247" w:right="567"/>
    </w:pPr>
    <w:rPr>
      <w:b/>
      <w:sz w:val="28"/>
      <w:szCs w:val="28"/>
    </w:rPr>
  </w:style>
  <w:style w:type="paragraph" w:customStyle="1" w:styleId="CH4">
    <w:name w:val="CH4"/>
    <w:basedOn w:val="Normal-pool"/>
    <w:next w:val="Normalnumber"/>
    <w:rsid w:val="00D62C28"/>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semiHidden/>
    <w:rsid w:val="00D62C28"/>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D62C28"/>
    <w:rPr>
      <w:color w:val="0000FF"/>
      <w:u w:val="none"/>
      <w:lang w:val="en-GB"/>
    </w:rPr>
  </w:style>
  <w:style w:type="numbering" w:customStyle="1" w:styleId="Normallist">
    <w:name w:val="Normal_list"/>
    <w:basedOn w:val="NoList"/>
    <w:rsid w:val="00D62C28"/>
    <w:pPr>
      <w:numPr>
        <w:numId w:val="1"/>
      </w:numPr>
    </w:pPr>
  </w:style>
  <w:style w:type="paragraph" w:customStyle="1" w:styleId="NormalNonumber">
    <w:name w:val="Normal_No_number"/>
    <w:basedOn w:val="Normal-pool"/>
    <w:qFormat/>
    <w:rsid w:val="00D62C28"/>
    <w:pPr>
      <w:spacing w:after="120"/>
      <w:ind w:left="1247"/>
    </w:pPr>
  </w:style>
  <w:style w:type="paragraph" w:customStyle="1" w:styleId="Normalnumber">
    <w:name w:val="Normal_number"/>
    <w:basedOn w:val="Normal"/>
    <w:link w:val="NormalnumberChar"/>
    <w:rsid w:val="00D62C28"/>
    <w:pPr>
      <w:numPr>
        <w:numId w:val="1"/>
      </w:numPr>
      <w:spacing w:after="120"/>
    </w:pPr>
  </w:style>
  <w:style w:type="paragraph" w:customStyle="1" w:styleId="Titletable">
    <w:name w:val="Title_table"/>
    <w:basedOn w:val="Normal-pool"/>
    <w:next w:val="NormalNonumber"/>
    <w:rsid w:val="00D62C28"/>
    <w:pPr>
      <w:keepNext/>
      <w:keepLines/>
      <w:suppressAutoHyphens/>
      <w:spacing w:after="60"/>
      <w:ind w:left="1247"/>
    </w:pPr>
    <w:rPr>
      <w:b/>
      <w:bCs/>
    </w:rPr>
  </w:style>
  <w:style w:type="paragraph" w:styleId="TOC1">
    <w:name w:val="toc 1"/>
    <w:basedOn w:val="Normal"/>
    <w:next w:val="Normal"/>
    <w:autoRedefine/>
    <w:uiPriority w:val="39"/>
    <w:unhideWhenUsed/>
    <w:rsid w:val="00D62C28"/>
    <w:pPr>
      <w:tabs>
        <w:tab w:val="right" w:leader="dot" w:pos="9486"/>
      </w:tabs>
      <w:spacing w:before="240"/>
      <w:ind w:left="1984" w:hanging="737"/>
    </w:pPr>
    <w:rPr>
      <w:bCs/>
    </w:rPr>
  </w:style>
  <w:style w:type="paragraph" w:styleId="TOC2">
    <w:name w:val="toc 2"/>
    <w:basedOn w:val="Normal"/>
    <w:next w:val="Normal"/>
    <w:uiPriority w:val="39"/>
    <w:unhideWhenUsed/>
    <w:rsid w:val="00D62C28"/>
    <w:pPr>
      <w:tabs>
        <w:tab w:val="right" w:leader="dot" w:pos="9486"/>
      </w:tabs>
      <w:spacing w:before="60"/>
      <w:ind w:left="2608" w:hanging="737"/>
    </w:pPr>
  </w:style>
  <w:style w:type="paragraph" w:styleId="TOC3">
    <w:name w:val="toc 3"/>
    <w:basedOn w:val="Normal"/>
    <w:next w:val="Normal"/>
    <w:uiPriority w:val="39"/>
    <w:unhideWhenUsed/>
    <w:rsid w:val="00D62C28"/>
    <w:pPr>
      <w:tabs>
        <w:tab w:val="right" w:leader="dot" w:pos="9486"/>
      </w:tabs>
      <w:ind w:left="3232" w:hanging="737"/>
    </w:pPr>
    <w:rPr>
      <w:iCs/>
    </w:rPr>
  </w:style>
  <w:style w:type="paragraph" w:styleId="TOC4">
    <w:name w:val="toc 4"/>
    <w:basedOn w:val="Normal"/>
    <w:next w:val="Normal"/>
    <w:uiPriority w:val="39"/>
    <w:unhideWhenUsed/>
    <w:rsid w:val="00D62C28"/>
    <w:pPr>
      <w:tabs>
        <w:tab w:val="left" w:pos="1000"/>
        <w:tab w:val="right" w:leader="dot" w:pos="9486"/>
      </w:tabs>
      <w:ind w:left="3856" w:hanging="737"/>
    </w:pPr>
    <w:rPr>
      <w:szCs w:val="18"/>
    </w:rPr>
  </w:style>
  <w:style w:type="paragraph" w:styleId="TOC5">
    <w:name w:val="toc 5"/>
    <w:basedOn w:val="Normal"/>
    <w:next w:val="Normal"/>
    <w:uiPriority w:val="39"/>
    <w:rsid w:val="00D62C28"/>
    <w:pPr>
      <w:tabs>
        <w:tab w:val="right" w:leader="dot" w:pos="9486"/>
      </w:tabs>
      <w:ind w:left="4479" w:hanging="737"/>
    </w:pPr>
    <w:rPr>
      <w:sz w:val="18"/>
      <w:szCs w:val="18"/>
    </w:rPr>
  </w:style>
  <w:style w:type="paragraph" w:customStyle="1" w:styleId="ZZAnxheader">
    <w:name w:val="ZZ_Anx_header"/>
    <w:basedOn w:val="Normal-pool"/>
    <w:link w:val="ZZAnxheaderChar"/>
    <w:rsid w:val="00D62C28"/>
    <w:rPr>
      <w:b/>
      <w:bCs/>
      <w:sz w:val="28"/>
      <w:szCs w:val="22"/>
    </w:rPr>
  </w:style>
  <w:style w:type="paragraph" w:customStyle="1" w:styleId="ZZAnxtitle">
    <w:name w:val="ZZ_Anx_title"/>
    <w:basedOn w:val="Normal-pool"/>
    <w:link w:val="ZZAnxtitleChar"/>
    <w:rsid w:val="00D62C28"/>
    <w:pPr>
      <w:spacing w:before="360" w:after="120"/>
      <w:ind w:left="1247"/>
    </w:pPr>
    <w:rPr>
      <w:b/>
      <w:bCs/>
      <w:sz w:val="28"/>
      <w:szCs w:val="26"/>
    </w:rPr>
  </w:style>
  <w:style w:type="paragraph" w:styleId="NormalWeb">
    <w:name w:val="Normal (Web)"/>
    <w:basedOn w:val="Normal"/>
    <w:uiPriority w:val="99"/>
    <w:semiHidden/>
    <w:unhideWhenUsed/>
    <w:rsid w:val="00D62C28"/>
    <w:pPr>
      <w:spacing w:before="100" w:beforeAutospacing="1" w:after="100" w:afterAutospacing="1"/>
    </w:pPr>
    <w:rPr>
      <w:rFonts w:eastAsiaTheme="minorEastAsia"/>
      <w:sz w:val="24"/>
      <w:szCs w:val="24"/>
    </w:rPr>
  </w:style>
  <w:style w:type="paragraph" w:customStyle="1" w:styleId="Normal-pool-Table">
    <w:name w:val="Normal-pool-Table"/>
    <w:basedOn w:val="Normal-pool"/>
    <w:rsid w:val="00D62C28"/>
    <w:pPr>
      <w:spacing w:before="40" w:after="40"/>
    </w:pPr>
    <w:rPr>
      <w:sz w:val="18"/>
    </w:rPr>
  </w:style>
  <w:style w:type="paragraph" w:customStyle="1" w:styleId="Footnote-Text">
    <w:name w:val="Footnote-Text"/>
    <w:basedOn w:val="Normal-pool"/>
    <w:rsid w:val="00D62C28"/>
    <w:pPr>
      <w:spacing w:before="20" w:after="40"/>
      <w:ind w:left="1247"/>
    </w:pPr>
    <w:rPr>
      <w:sz w:val="18"/>
    </w:rPr>
  </w:style>
  <w:style w:type="paragraph" w:customStyle="1" w:styleId="AConvName">
    <w:name w:val="A_ConvName"/>
    <w:basedOn w:val="Normal-pool"/>
    <w:next w:val="Normal-pool"/>
    <w:rsid w:val="00D62C28"/>
    <w:pPr>
      <w:spacing w:before="120" w:after="240"/>
    </w:pPr>
    <w:rPr>
      <w:rFonts w:ascii="Arial" w:hAnsi="Arial"/>
      <w:b/>
      <w:sz w:val="28"/>
    </w:rPr>
  </w:style>
  <w:style w:type="paragraph" w:customStyle="1" w:styleId="ASymbol">
    <w:name w:val="A_Symbol"/>
    <w:basedOn w:val="Normal-pool"/>
    <w:rsid w:val="00D62C28"/>
    <w:pPr>
      <w:tabs>
        <w:tab w:val="clear" w:pos="624"/>
        <w:tab w:val="clear" w:pos="1247"/>
        <w:tab w:val="right" w:pos="2920"/>
      </w:tabs>
    </w:pPr>
    <w:rPr>
      <w:rFonts w:eastAsia="SimSun"/>
    </w:rPr>
  </w:style>
  <w:style w:type="paragraph" w:customStyle="1" w:styleId="AText">
    <w:name w:val="A_Text"/>
    <w:basedOn w:val="Normal-pool"/>
    <w:rsid w:val="00D62C28"/>
    <w:pPr>
      <w:spacing w:before="120"/>
    </w:pPr>
  </w:style>
  <w:style w:type="paragraph" w:customStyle="1" w:styleId="ATwoLetters">
    <w:name w:val="A_TwoLetters"/>
    <w:basedOn w:val="Normal-pool"/>
    <w:next w:val="Normal-pool"/>
    <w:rsid w:val="00D62C28"/>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D62C28"/>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D62C28"/>
    <w:rPr>
      <w:rFonts w:ascii="Tahoma" w:hAnsi="Tahoma" w:cs="Tahoma"/>
      <w:sz w:val="16"/>
      <w:szCs w:val="16"/>
    </w:rPr>
  </w:style>
  <w:style w:type="character" w:customStyle="1" w:styleId="BalloonTextChar">
    <w:name w:val="Balloon Text Char"/>
    <w:basedOn w:val="DefaultParagraphFont"/>
    <w:link w:val="BalloonText"/>
    <w:rsid w:val="00D62C28"/>
    <w:rPr>
      <w:rFonts w:ascii="Tahoma" w:eastAsia="Times New Roman" w:hAnsi="Tahoma" w:cs="Tahoma"/>
      <w:sz w:val="16"/>
      <w:szCs w:val="16"/>
      <w:lang w:val="en-GB" w:eastAsia="en-US"/>
    </w:rPr>
  </w:style>
  <w:style w:type="character" w:styleId="CommentReference">
    <w:name w:val="annotation reference"/>
    <w:basedOn w:val="DefaultParagraphFont"/>
    <w:uiPriority w:val="99"/>
    <w:unhideWhenUsed/>
    <w:rsid w:val="00D62C28"/>
    <w:rPr>
      <w:sz w:val="16"/>
      <w:szCs w:val="16"/>
      <w:lang w:val="en-GB"/>
    </w:rPr>
  </w:style>
  <w:style w:type="paragraph" w:styleId="CommentText">
    <w:name w:val="annotation text"/>
    <w:basedOn w:val="Normal"/>
    <w:link w:val="CommentTextChar"/>
    <w:uiPriority w:val="99"/>
    <w:unhideWhenUsed/>
    <w:rsid w:val="00D62C28"/>
  </w:style>
  <w:style w:type="character" w:customStyle="1" w:styleId="CommentTextChar">
    <w:name w:val="Comment Text Char"/>
    <w:basedOn w:val="DefaultParagraphFont"/>
    <w:link w:val="CommentText"/>
    <w:uiPriority w:val="99"/>
    <w:rsid w:val="00D62C28"/>
    <w:rPr>
      <w:rFonts w:eastAsia="Times New Roman"/>
      <w:lang w:val="en-GB" w:eastAsia="en-US"/>
    </w:rPr>
  </w:style>
  <w:style w:type="paragraph" w:styleId="CommentSubject">
    <w:name w:val="annotation subject"/>
    <w:basedOn w:val="CommentText"/>
    <w:next w:val="CommentText"/>
    <w:link w:val="CommentSubjectChar"/>
    <w:semiHidden/>
    <w:unhideWhenUsed/>
    <w:rsid w:val="00D62C28"/>
    <w:rPr>
      <w:b/>
      <w:bCs/>
    </w:rPr>
  </w:style>
  <w:style w:type="character" w:customStyle="1" w:styleId="CommentSubjectChar">
    <w:name w:val="Comment Subject Char"/>
    <w:basedOn w:val="CommentTextChar"/>
    <w:link w:val="CommentSubject"/>
    <w:semiHidden/>
    <w:rsid w:val="00D62C28"/>
    <w:rPr>
      <w:rFonts w:eastAsia="Times New Roman"/>
      <w:b/>
      <w:bCs/>
      <w:lang w:val="en-GB" w:eastAsia="en-US"/>
    </w:rPr>
  </w:style>
  <w:style w:type="character" w:styleId="FollowedHyperlink">
    <w:name w:val="FollowedHyperlink"/>
    <w:uiPriority w:val="99"/>
    <w:semiHidden/>
    <w:rsid w:val="00D62C28"/>
    <w:rPr>
      <w:color w:val="0000FF"/>
      <w:u w:val="none"/>
      <w:lang w:val="en-GB"/>
    </w:rPr>
  </w:style>
  <w:style w:type="character" w:customStyle="1" w:styleId="FooterChar">
    <w:name w:val="Footer Char"/>
    <w:basedOn w:val="DefaultParagraphFont"/>
    <w:link w:val="Footer"/>
    <w:uiPriority w:val="99"/>
    <w:rsid w:val="00D62C28"/>
    <w:rPr>
      <w:rFonts w:eastAsia="Times New Roman"/>
      <w:lang w:val="en-GB" w:eastAsia="en-US"/>
    </w:rPr>
  </w:style>
  <w:style w:type="character" w:customStyle="1" w:styleId="HeaderChar">
    <w:name w:val="Header Char"/>
    <w:basedOn w:val="DefaultParagraphFont"/>
    <w:link w:val="Header"/>
    <w:semiHidden/>
    <w:rsid w:val="00D62C28"/>
    <w:rPr>
      <w:rFonts w:eastAsia="Times New Roman"/>
      <w:lang w:val="en-GB" w:eastAsia="en-US"/>
    </w:rPr>
  </w:style>
  <w:style w:type="character" w:customStyle="1" w:styleId="Heading1Char">
    <w:name w:val="Heading 1 Char"/>
    <w:basedOn w:val="DefaultParagraphFont"/>
    <w:link w:val="Heading1"/>
    <w:rsid w:val="00D62C28"/>
    <w:rPr>
      <w:rFonts w:eastAsia="Times New Roman"/>
      <w:b/>
      <w:sz w:val="28"/>
      <w:szCs w:val="28"/>
      <w:lang w:val="en-GB" w:eastAsia="en-US"/>
    </w:rPr>
  </w:style>
  <w:style w:type="character" w:customStyle="1" w:styleId="Heading2Char">
    <w:name w:val="Heading 2 Char"/>
    <w:basedOn w:val="DefaultParagraphFont"/>
    <w:link w:val="Heading2"/>
    <w:rsid w:val="00D62C28"/>
    <w:rPr>
      <w:rFonts w:eastAsia="Times New Roman"/>
      <w:b/>
      <w:sz w:val="24"/>
      <w:szCs w:val="24"/>
      <w:lang w:val="en-GB" w:eastAsia="en-US"/>
    </w:rPr>
  </w:style>
  <w:style w:type="character" w:customStyle="1" w:styleId="Heading3Char">
    <w:name w:val="Heading 3 Char"/>
    <w:basedOn w:val="DefaultParagraphFont"/>
    <w:link w:val="Heading3"/>
    <w:rsid w:val="00D62C28"/>
    <w:rPr>
      <w:rFonts w:eastAsia="Times New Roman"/>
      <w:b/>
      <w:lang w:val="en-GB" w:eastAsia="en-US"/>
    </w:rPr>
  </w:style>
  <w:style w:type="character" w:customStyle="1" w:styleId="Heading4Char">
    <w:name w:val="Heading 4 Char"/>
    <w:basedOn w:val="DefaultParagraphFont"/>
    <w:link w:val="Heading4"/>
    <w:rsid w:val="00D62C28"/>
    <w:rPr>
      <w:rFonts w:eastAsia="Times New Roman"/>
      <w:b/>
      <w:lang w:val="en-GB" w:eastAsia="en-US"/>
    </w:rPr>
  </w:style>
  <w:style w:type="character" w:customStyle="1" w:styleId="Heading5Char">
    <w:name w:val="Heading 5 Char"/>
    <w:basedOn w:val="DefaultParagraphFont"/>
    <w:link w:val="Heading5"/>
    <w:rsid w:val="00D62C28"/>
    <w:rPr>
      <w:rFonts w:eastAsia="Times New Roman"/>
      <w:b/>
      <w:lang w:val="en-GB" w:eastAsia="en-US"/>
    </w:rPr>
  </w:style>
  <w:style w:type="character" w:customStyle="1" w:styleId="Heading6Char">
    <w:name w:val="Heading 6 Char"/>
    <w:basedOn w:val="DefaultParagraphFont"/>
    <w:link w:val="Heading6"/>
    <w:semiHidden/>
    <w:rsid w:val="00D62C28"/>
    <w:rPr>
      <w:rFonts w:eastAsia="Times New Roman"/>
      <w:bCs/>
      <w:sz w:val="24"/>
      <w:lang w:val="en-GB" w:eastAsia="en-US"/>
    </w:rPr>
  </w:style>
  <w:style w:type="character" w:customStyle="1" w:styleId="Heading7Char">
    <w:name w:val="Heading 7 Char"/>
    <w:basedOn w:val="DefaultParagraphFont"/>
    <w:link w:val="Heading7"/>
    <w:semiHidden/>
    <w:rsid w:val="00D62C28"/>
    <w:rPr>
      <w:rFonts w:eastAsia="Times New Roman"/>
      <w:b/>
      <w:snapToGrid w:val="0"/>
      <w:u w:val="single"/>
      <w:lang w:val="en-GB" w:eastAsia="en-US"/>
    </w:rPr>
  </w:style>
  <w:style w:type="character" w:customStyle="1" w:styleId="Heading8Char">
    <w:name w:val="Heading 8 Char"/>
    <w:basedOn w:val="DefaultParagraphFont"/>
    <w:link w:val="Heading8"/>
    <w:semiHidden/>
    <w:rsid w:val="00D62C28"/>
    <w:rPr>
      <w:rFonts w:eastAsia="Times New Roman"/>
      <w:b/>
      <w:snapToGrid w:val="0"/>
      <w:u w:val="single"/>
      <w:lang w:val="en-GB" w:eastAsia="en-US"/>
    </w:rPr>
  </w:style>
  <w:style w:type="character" w:customStyle="1" w:styleId="Heading9Char">
    <w:name w:val="Heading 9 Char"/>
    <w:basedOn w:val="DefaultParagraphFont"/>
    <w:link w:val="Heading9"/>
    <w:semiHidden/>
    <w:rsid w:val="00D62C28"/>
    <w:rPr>
      <w:rFonts w:eastAsia="Times New Roman"/>
      <w:snapToGrid w:val="0"/>
      <w:u w:val="single"/>
      <w:lang w:val="en-GB" w:eastAsia="en-US"/>
    </w:rPr>
  </w:style>
  <w:style w:type="paragraph" w:styleId="ListParagraph">
    <w:name w:val="List Paragraph"/>
    <w:basedOn w:val="Normal"/>
    <w:uiPriority w:val="34"/>
    <w:qFormat/>
    <w:rsid w:val="00D62C28"/>
    <w:pPr>
      <w:ind w:left="720"/>
      <w:contextualSpacing/>
    </w:pPr>
  </w:style>
  <w:style w:type="paragraph" w:styleId="NoSpacing">
    <w:name w:val="No Spacing"/>
    <w:uiPriority w:val="1"/>
    <w:semiHidden/>
    <w:qFormat/>
    <w:rsid w:val="00D62C28"/>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D62C28"/>
    <w:rPr>
      <w:rFonts w:eastAsia="Times New Roman"/>
      <w:lang w:val="en-GB" w:eastAsia="en-US"/>
    </w:rPr>
  </w:style>
  <w:style w:type="character" w:styleId="PlaceholderText">
    <w:name w:val="Placeholder Text"/>
    <w:basedOn w:val="DefaultParagraphFont"/>
    <w:uiPriority w:val="99"/>
    <w:semiHidden/>
    <w:rsid w:val="00D62C28"/>
    <w:rPr>
      <w:color w:val="808080"/>
      <w:lang w:val="en-GB"/>
    </w:rPr>
  </w:style>
  <w:style w:type="table" w:styleId="TableGrid">
    <w:name w:val="Table Grid"/>
    <w:basedOn w:val="TableNormal"/>
    <w:rsid w:val="00D62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D62C28"/>
    <w:pPr>
      <w:spacing w:before="120" w:after="240"/>
    </w:pPr>
  </w:style>
  <w:style w:type="character" w:customStyle="1" w:styleId="ALogoChar">
    <w:name w:val="A_Logo Char"/>
    <w:basedOn w:val="DefaultParagraphFont"/>
    <w:link w:val="ALogo"/>
    <w:rsid w:val="00D62C28"/>
    <w:rPr>
      <w:rFonts w:eastAsia="Times New Roman"/>
      <w:lang w:val="en-GB" w:eastAsia="en-US"/>
    </w:rPr>
  </w:style>
  <w:style w:type="paragraph" w:customStyle="1" w:styleId="ASpacer">
    <w:name w:val="A_Spacer"/>
    <w:basedOn w:val="Normal-pool"/>
    <w:link w:val="ASpacerChar"/>
    <w:rsid w:val="00D62C28"/>
    <w:rPr>
      <w:sz w:val="2"/>
    </w:rPr>
  </w:style>
  <w:style w:type="character" w:customStyle="1" w:styleId="ASpacerChar">
    <w:name w:val="A_Spacer Char"/>
    <w:basedOn w:val="DefaultParagraphFont"/>
    <w:link w:val="ASpacer"/>
    <w:rsid w:val="00D62C28"/>
    <w:rPr>
      <w:rFonts w:eastAsia="Times New Roman"/>
      <w:sz w:val="2"/>
      <w:lang w:val="en-GB" w:eastAsia="en-US"/>
    </w:rPr>
  </w:style>
  <w:style w:type="paragraph" w:customStyle="1" w:styleId="AATitle1">
    <w:name w:val="AA_Title1"/>
    <w:basedOn w:val="Normal-pool"/>
    <w:rsid w:val="00D62C28"/>
  </w:style>
  <w:style w:type="character" w:styleId="UnresolvedMention">
    <w:name w:val="Unresolved Mention"/>
    <w:basedOn w:val="DefaultParagraphFont"/>
    <w:uiPriority w:val="99"/>
    <w:semiHidden/>
    <w:rsid w:val="00D62C28"/>
    <w:rPr>
      <w:color w:val="605E5C"/>
      <w:shd w:val="clear" w:color="auto" w:fill="E1DFDD"/>
      <w:lang w:val="en-GB"/>
    </w:rPr>
  </w:style>
  <w:style w:type="paragraph" w:customStyle="1" w:styleId="ANormal">
    <w:name w:val="A_Normal"/>
    <w:basedOn w:val="Normal-pool"/>
    <w:rsid w:val="00D62C28"/>
  </w:style>
  <w:style w:type="paragraph" w:customStyle="1" w:styleId="AText0">
    <w:name w:val="A_Text0"/>
    <w:basedOn w:val="AText"/>
    <w:next w:val="AText"/>
    <w:rsid w:val="00D62C28"/>
    <w:pPr>
      <w:tabs>
        <w:tab w:val="clear" w:pos="4990"/>
      </w:tabs>
      <w:spacing w:before="0" w:after="120"/>
    </w:pPr>
  </w:style>
  <w:style w:type="paragraph" w:styleId="Footer">
    <w:name w:val="footer"/>
    <w:basedOn w:val="Normal"/>
    <w:link w:val="FooterChar"/>
    <w:uiPriority w:val="99"/>
    <w:rsid w:val="00D62C28"/>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D62C28"/>
    <w:rPr>
      <w:rFonts w:eastAsia="Times New Roman"/>
      <w:b/>
      <w:sz w:val="18"/>
      <w:lang w:val="en-GB" w:eastAsia="en-US"/>
    </w:rPr>
  </w:style>
  <w:style w:type="paragraph" w:customStyle="1" w:styleId="Normal-pool">
    <w:name w:val="Normal-pool"/>
    <w:link w:val="Normal-poolChar"/>
    <w:qFormat/>
    <w:rsid w:val="00D62C28"/>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D62C28"/>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D62C28"/>
    <w:pPr>
      <w:spacing w:before="60"/>
      <w:ind w:left="624"/>
    </w:pPr>
    <w:rPr>
      <w:rFonts w:eastAsiaTheme="minorEastAsia"/>
      <w:sz w:val="18"/>
    </w:rPr>
  </w:style>
  <w:style w:type="paragraph" w:styleId="Bibliography">
    <w:name w:val="Bibliography"/>
    <w:basedOn w:val="Normal"/>
    <w:next w:val="Normal"/>
    <w:uiPriority w:val="37"/>
    <w:semiHidden/>
    <w:rsid w:val="00D62C28"/>
  </w:style>
  <w:style w:type="paragraph" w:styleId="BlockText">
    <w:name w:val="Block Text"/>
    <w:basedOn w:val="Normal"/>
    <w:semiHidden/>
    <w:unhideWhenUsed/>
    <w:rsid w:val="00D62C2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D62C28"/>
    <w:pPr>
      <w:spacing w:after="120"/>
    </w:pPr>
  </w:style>
  <w:style w:type="character" w:customStyle="1" w:styleId="BodyTextChar">
    <w:name w:val="Body Text Char"/>
    <w:basedOn w:val="DefaultParagraphFont"/>
    <w:link w:val="BodyText"/>
    <w:semiHidden/>
    <w:rsid w:val="00D62C28"/>
    <w:rPr>
      <w:rFonts w:eastAsia="Times New Roman"/>
      <w:lang w:val="en-GB" w:eastAsia="en-US"/>
    </w:rPr>
  </w:style>
  <w:style w:type="paragraph" w:styleId="BodyText2">
    <w:name w:val="Body Text 2"/>
    <w:basedOn w:val="Normal"/>
    <w:link w:val="BodyText2Char"/>
    <w:semiHidden/>
    <w:unhideWhenUsed/>
    <w:rsid w:val="00D62C28"/>
    <w:pPr>
      <w:spacing w:after="120" w:line="480" w:lineRule="auto"/>
    </w:pPr>
  </w:style>
  <w:style w:type="character" w:customStyle="1" w:styleId="BodyText2Char">
    <w:name w:val="Body Text 2 Char"/>
    <w:basedOn w:val="DefaultParagraphFont"/>
    <w:link w:val="BodyText2"/>
    <w:semiHidden/>
    <w:rsid w:val="00D62C28"/>
    <w:rPr>
      <w:rFonts w:eastAsia="Times New Roman"/>
      <w:lang w:val="en-GB" w:eastAsia="en-US"/>
    </w:rPr>
  </w:style>
  <w:style w:type="paragraph" w:styleId="BodyText3">
    <w:name w:val="Body Text 3"/>
    <w:basedOn w:val="Normal"/>
    <w:link w:val="BodyText3Char"/>
    <w:semiHidden/>
    <w:unhideWhenUsed/>
    <w:rsid w:val="00D62C28"/>
    <w:pPr>
      <w:spacing w:after="120"/>
    </w:pPr>
    <w:rPr>
      <w:sz w:val="16"/>
      <w:szCs w:val="16"/>
    </w:rPr>
  </w:style>
  <w:style w:type="character" w:customStyle="1" w:styleId="BodyText3Char">
    <w:name w:val="Body Text 3 Char"/>
    <w:basedOn w:val="DefaultParagraphFont"/>
    <w:link w:val="BodyText3"/>
    <w:semiHidden/>
    <w:rsid w:val="00D62C28"/>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D62C28"/>
    <w:pPr>
      <w:spacing w:after="0"/>
      <w:ind w:firstLine="360"/>
    </w:pPr>
  </w:style>
  <w:style w:type="character" w:customStyle="1" w:styleId="BodyTextFirstIndentChar">
    <w:name w:val="Body Text First Indent Char"/>
    <w:basedOn w:val="BodyTextChar"/>
    <w:link w:val="BodyTextFirstIndent"/>
    <w:semiHidden/>
    <w:rsid w:val="00D62C28"/>
    <w:rPr>
      <w:rFonts w:eastAsia="Times New Roman"/>
      <w:lang w:val="en-GB" w:eastAsia="en-US"/>
    </w:rPr>
  </w:style>
  <w:style w:type="paragraph" w:styleId="BodyTextIndent">
    <w:name w:val="Body Text Indent"/>
    <w:basedOn w:val="Normal"/>
    <w:link w:val="BodyTextIndentChar"/>
    <w:semiHidden/>
    <w:unhideWhenUsed/>
    <w:rsid w:val="00D62C28"/>
    <w:pPr>
      <w:spacing w:after="120"/>
      <w:ind w:left="283"/>
    </w:pPr>
  </w:style>
  <w:style w:type="character" w:customStyle="1" w:styleId="BodyTextIndentChar">
    <w:name w:val="Body Text Indent Char"/>
    <w:basedOn w:val="DefaultParagraphFont"/>
    <w:link w:val="BodyTextIndent"/>
    <w:semiHidden/>
    <w:rsid w:val="00D62C28"/>
    <w:rPr>
      <w:rFonts w:eastAsia="Times New Roman"/>
      <w:lang w:val="en-GB" w:eastAsia="en-US"/>
    </w:rPr>
  </w:style>
  <w:style w:type="paragraph" w:styleId="BodyTextFirstIndent2">
    <w:name w:val="Body Text First Indent 2"/>
    <w:basedOn w:val="BodyTextIndent"/>
    <w:link w:val="BodyTextFirstIndent2Char"/>
    <w:semiHidden/>
    <w:unhideWhenUsed/>
    <w:rsid w:val="00D62C28"/>
    <w:pPr>
      <w:spacing w:after="0"/>
      <w:ind w:left="360" w:firstLine="360"/>
    </w:pPr>
  </w:style>
  <w:style w:type="character" w:customStyle="1" w:styleId="BodyTextFirstIndent2Char">
    <w:name w:val="Body Text First Indent 2 Char"/>
    <w:basedOn w:val="BodyTextIndentChar"/>
    <w:link w:val="BodyTextFirstIndent2"/>
    <w:semiHidden/>
    <w:rsid w:val="00D62C28"/>
    <w:rPr>
      <w:rFonts w:eastAsia="Times New Roman"/>
      <w:lang w:val="en-GB" w:eastAsia="en-US"/>
    </w:rPr>
  </w:style>
  <w:style w:type="paragraph" w:styleId="BodyTextIndent2">
    <w:name w:val="Body Text Indent 2"/>
    <w:basedOn w:val="Normal"/>
    <w:link w:val="BodyTextIndent2Char"/>
    <w:semiHidden/>
    <w:unhideWhenUsed/>
    <w:rsid w:val="00D62C28"/>
    <w:pPr>
      <w:spacing w:after="120" w:line="480" w:lineRule="auto"/>
      <w:ind w:left="283"/>
    </w:pPr>
  </w:style>
  <w:style w:type="character" w:customStyle="1" w:styleId="BodyTextIndent2Char">
    <w:name w:val="Body Text Indent 2 Char"/>
    <w:basedOn w:val="DefaultParagraphFont"/>
    <w:link w:val="BodyTextIndent2"/>
    <w:semiHidden/>
    <w:rsid w:val="00D62C28"/>
    <w:rPr>
      <w:rFonts w:eastAsia="Times New Roman"/>
      <w:lang w:val="en-GB" w:eastAsia="en-US"/>
    </w:rPr>
  </w:style>
  <w:style w:type="paragraph" w:styleId="BodyTextIndent3">
    <w:name w:val="Body Text Indent 3"/>
    <w:basedOn w:val="Normal"/>
    <w:link w:val="BodyTextIndent3Char"/>
    <w:semiHidden/>
    <w:unhideWhenUsed/>
    <w:rsid w:val="00D62C28"/>
    <w:pPr>
      <w:spacing w:after="120"/>
      <w:ind w:left="283"/>
    </w:pPr>
    <w:rPr>
      <w:sz w:val="16"/>
      <w:szCs w:val="16"/>
    </w:rPr>
  </w:style>
  <w:style w:type="character" w:customStyle="1" w:styleId="BodyTextIndent3Char">
    <w:name w:val="Body Text Indent 3 Char"/>
    <w:basedOn w:val="DefaultParagraphFont"/>
    <w:link w:val="BodyTextIndent3"/>
    <w:semiHidden/>
    <w:rsid w:val="00D62C28"/>
    <w:rPr>
      <w:rFonts w:eastAsia="Times New Roman"/>
      <w:sz w:val="16"/>
      <w:szCs w:val="16"/>
      <w:lang w:val="en-GB" w:eastAsia="en-US"/>
    </w:rPr>
  </w:style>
  <w:style w:type="character" w:styleId="BookTitle">
    <w:name w:val="Book Title"/>
    <w:basedOn w:val="DefaultParagraphFont"/>
    <w:uiPriority w:val="33"/>
    <w:semiHidden/>
    <w:qFormat/>
    <w:rsid w:val="00D62C28"/>
    <w:rPr>
      <w:b/>
      <w:bCs/>
      <w:i/>
      <w:iCs/>
      <w:spacing w:val="5"/>
      <w:lang w:val="en-GB"/>
    </w:rPr>
  </w:style>
  <w:style w:type="paragraph" w:styleId="Caption">
    <w:name w:val="caption"/>
    <w:basedOn w:val="Normal"/>
    <w:next w:val="Normal"/>
    <w:semiHidden/>
    <w:unhideWhenUsed/>
    <w:qFormat/>
    <w:rsid w:val="00D62C28"/>
    <w:pPr>
      <w:spacing w:after="200"/>
    </w:pPr>
    <w:rPr>
      <w:i/>
      <w:iCs/>
      <w:color w:val="1F497D" w:themeColor="text2"/>
      <w:sz w:val="18"/>
      <w:szCs w:val="18"/>
    </w:rPr>
  </w:style>
  <w:style w:type="paragraph" w:styleId="Closing">
    <w:name w:val="Closing"/>
    <w:basedOn w:val="Normal"/>
    <w:link w:val="ClosingChar"/>
    <w:semiHidden/>
    <w:unhideWhenUsed/>
    <w:rsid w:val="00D62C28"/>
    <w:pPr>
      <w:ind w:left="4252"/>
    </w:pPr>
  </w:style>
  <w:style w:type="character" w:customStyle="1" w:styleId="ClosingChar">
    <w:name w:val="Closing Char"/>
    <w:basedOn w:val="DefaultParagraphFont"/>
    <w:link w:val="Closing"/>
    <w:semiHidden/>
    <w:rsid w:val="00D62C28"/>
    <w:rPr>
      <w:rFonts w:eastAsia="Times New Roman"/>
      <w:lang w:val="en-GB" w:eastAsia="en-US"/>
    </w:rPr>
  </w:style>
  <w:style w:type="table" w:styleId="ColorfulGrid">
    <w:name w:val="Colorful Grid"/>
    <w:basedOn w:val="TableNormal"/>
    <w:uiPriority w:val="73"/>
    <w:semiHidden/>
    <w:unhideWhenUsed/>
    <w:rsid w:val="00D62C2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62C2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62C2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62C2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62C2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62C2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62C2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62C2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62C2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62C2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62C2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62C2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62C2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62C2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62C2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62C2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62C2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62C2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62C2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62C2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62C2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D62C2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62C2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62C2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62C2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62C2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62C2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62C2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D62C28"/>
  </w:style>
  <w:style w:type="character" w:customStyle="1" w:styleId="DateChar">
    <w:name w:val="Date Char"/>
    <w:basedOn w:val="DefaultParagraphFont"/>
    <w:link w:val="Date"/>
    <w:semiHidden/>
    <w:rsid w:val="00D62C28"/>
    <w:rPr>
      <w:rFonts w:eastAsia="Times New Roman"/>
      <w:lang w:val="en-GB" w:eastAsia="en-US"/>
    </w:rPr>
  </w:style>
  <w:style w:type="paragraph" w:styleId="DocumentMap">
    <w:name w:val="Document Map"/>
    <w:basedOn w:val="Normal"/>
    <w:link w:val="DocumentMapChar"/>
    <w:semiHidden/>
    <w:unhideWhenUsed/>
    <w:rsid w:val="00D62C28"/>
    <w:rPr>
      <w:rFonts w:ascii="Segoe UI" w:hAnsi="Segoe UI" w:cs="Segoe UI"/>
      <w:sz w:val="16"/>
      <w:szCs w:val="16"/>
    </w:rPr>
  </w:style>
  <w:style w:type="character" w:customStyle="1" w:styleId="DocumentMapChar">
    <w:name w:val="Document Map Char"/>
    <w:basedOn w:val="DefaultParagraphFont"/>
    <w:link w:val="DocumentMap"/>
    <w:semiHidden/>
    <w:rsid w:val="00D62C28"/>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D62C28"/>
  </w:style>
  <w:style w:type="character" w:customStyle="1" w:styleId="E-mailSignatureChar">
    <w:name w:val="E-mail Signature Char"/>
    <w:basedOn w:val="DefaultParagraphFont"/>
    <w:link w:val="E-mailSignature"/>
    <w:semiHidden/>
    <w:rsid w:val="00D62C28"/>
    <w:rPr>
      <w:rFonts w:eastAsia="Times New Roman"/>
      <w:lang w:val="en-GB" w:eastAsia="en-US"/>
    </w:rPr>
  </w:style>
  <w:style w:type="character" w:styleId="Emphasis">
    <w:name w:val="Emphasis"/>
    <w:basedOn w:val="DefaultParagraphFont"/>
    <w:semiHidden/>
    <w:qFormat/>
    <w:rsid w:val="00D62C28"/>
    <w:rPr>
      <w:i/>
      <w:iCs/>
      <w:lang w:val="en-GB"/>
    </w:rPr>
  </w:style>
  <w:style w:type="character" w:styleId="EndnoteReference">
    <w:name w:val="endnote reference"/>
    <w:basedOn w:val="DefaultParagraphFont"/>
    <w:semiHidden/>
    <w:unhideWhenUsed/>
    <w:rsid w:val="00D62C28"/>
    <w:rPr>
      <w:vertAlign w:val="superscript"/>
      <w:lang w:val="en-GB"/>
    </w:rPr>
  </w:style>
  <w:style w:type="paragraph" w:styleId="EndnoteText">
    <w:name w:val="endnote text"/>
    <w:basedOn w:val="Normal"/>
    <w:link w:val="EndnoteTextChar"/>
    <w:semiHidden/>
    <w:unhideWhenUsed/>
    <w:rsid w:val="00D62C28"/>
  </w:style>
  <w:style w:type="character" w:customStyle="1" w:styleId="EndnoteTextChar">
    <w:name w:val="Endnote Text Char"/>
    <w:basedOn w:val="DefaultParagraphFont"/>
    <w:link w:val="EndnoteText"/>
    <w:semiHidden/>
    <w:rsid w:val="00D62C28"/>
    <w:rPr>
      <w:rFonts w:eastAsia="Times New Roman"/>
      <w:lang w:val="en-GB" w:eastAsia="en-US"/>
    </w:rPr>
  </w:style>
  <w:style w:type="paragraph" w:styleId="EnvelopeAddress">
    <w:name w:val="envelope address"/>
    <w:basedOn w:val="Normal"/>
    <w:semiHidden/>
    <w:unhideWhenUsed/>
    <w:rsid w:val="00D62C2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62C28"/>
    <w:rPr>
      <w:rFonts w:asciiTheme="majorHAnsi" w:eastAsiaTheme="majorEastAsia" w:hAnsiTheme="majorHAnsi" w:cstheme="majorBidi"/>
    </w:rPr>
  </w:style>
  <w:style w:type="paragraph" w:styleId="FootnoteText">
    <w:name w:val="footnote text"/>
    <w:basedOn w:val="Normal"/>
    <w:link w:val="FootnoteTextChar"/>
    <w:unhideWhenUsed/>
    <w:rsid w:val="00D62C28"/>
  </w:style>
  <w:style w:type="character" w:customStyle="1" w:styleId="FootnoteTextChar">
    <w:name w:val="Footnote Text Char"/>
    <w:basedOn w:val="DefaultParagraphFont"/>
    <w:link w:val="FootnoteText"/>
    <w:rsid w:val="00D62C28"/>
    <w:rPr>
      <w:rFonts w:eastAsia="Times New Roman"/>
      <w:lang w:val="en-GB" w:eastAsia="en-US"/>
    </w:rPr>
  </w:style>
  <w:style w:type="table" w:styleId="GridTable1Light">
    <w:name w:val="Grid Table 1 Light"/>
    <w:basedOn w:val="TableNormal"/>
    <w:uiPriority w:val="46"/>
    <w:rsid w:val="00D62C2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62C2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62C2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62C2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62C2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62C2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62C2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62C2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62C2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62C2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62C2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62C2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62C2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62C2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62C2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62C2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62C2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62C2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62C2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62C2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62C2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62C2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62C2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62C2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62C2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62C2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62C2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62C2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62C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62C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62C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62C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62C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62C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62C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62C2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62C2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62C2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62C2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62C2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62C2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62C2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62C2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62C2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62C2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62C2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62C2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62C2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62C2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D62C28"/>
    <w:rPr>
      <w:color w:val="2B579A"/>
      <w:shd w:val="clear" w:color="auto" w:fill="E1DFDD"/>
      <w:lang w:val="en-GB"/>
    </w:rPr>
  </w:style>
  <w:style w:type="character" w:styleId="HTMLAcronym">
    <w:name w:val="HTML Acronym"/>
    <w:basedOn w:val="DefaultParagraphFont"/>
    <w:semiHidden/>
    <w:unhideWhenUsed/>
    <w:rsid w:val="00D62C28"/>
    <w:rPr>
      <w:lang w:val="en-GB"/>
    </w:rPr>
  </w:style>
  <w:style w:type="paragraph" w:styleId="HTMLAddress">
    <w:name w:val="HTML Address"/>
    <w:basedOn w:val="Normal"/>
    <w:link w:val="HTMLAddressChar"/>
    <w:semiHidden/>
    <w:unhideWhenUsed/>
    <w:rsid w:val="00D62C28"/>
    <w:rPr>
      <w:i/>
      <w:iCs/>
    </w:rPr>
  </w:style>
  <w:style w:type="character" w:customStyle="1" w:styleId="HTMLAddressChar">
    <w:name w:val="HTML Address Char"/>
    <w:basedOn w:val="DefaultParagraphFont"/>
    <w:link w:val="HTMLAddress"/>
    <w:semiHidden/>
    <w:rsid w:val="00D62C28"/>
    <w:rPr>
      <w:rFonts w:eastAsia="Times New Roman"/>
      <w:i/>
      <w:iCs/>
      <w:lang w:val="en-GB" w:eastAsia="en-US"/>
    </w:rPr>
  </w:style>
  <w:style w:type="character" w:styleId="HTMLCite">
    <w:name w:val="HTML Cite"/>
    <w:basedOn w:val="DefaultParagraphFont"/>
    <w:semiHidden/>
    <w:unhideWhenUsed/>
    <w:rsid w:val="00D62C28"/>
    <w:rPr>
      <w:i/>
      <w:iCs/>
      <w:lang w:val="en-GB"/>
    </w:rPr>
  </w:style>
  <w:style w:type="character" w:styleId="HTMLCode">
    <w:name w:val="HTML Code"/>
    <w:basedOn w:val="DefaultParagraphFont"/>
    <w:semiHidden/>
    <w:unhideWhenUsed/>
    <w:rsid w:val="00D62C28"/>
    <w:rPr>
      <w:rFonts w:ascii="Consolas" w:hAnsi="Consolas"/>
      <w:sz w:val="20"/>
      <w:szCs w:val="20"/>
      <w:lang w:val="en-GB"/>
    </w:rPr>
  </w:style>
  <w:style w:type="character" w:styleId="HTMLDefinition">
    <w:name w:val="HTML Definition"/>
    <w:basedOn w:val="DefaultParagraphFont"/>
    <w:semiHidden/>
    <w:unhideWhenUsed/>
    <w:rsid w:val="00D62C28"/>
    <w:rPr>
      <w:i/>
      <w:iCs/>
      <w:lang w:val="en-GB"/>
    </w:rPr>
  </w:style>
  <w:style w:type="character" w:styleId="HTMLKeyboard">
    <w:name w:val="HTML Keyboard"/>
    <w:basedOn w:val="DefaultParagraphFont"/>
    <w:semiHidden/>
    <w:unhideWhenUsed/>
    <w:rsid w:val="00D62C28"/>
    <w:rPr>
      <w:rFonts w:ascii="Consolas" w:hAnsi="Consolas"/>
      <w:sz w:val="20"/>
      <w:szCs w:val="20"/>
      <w:lang w:val="en-GB"/>
    </w:rPr>
  </w:style>
  <w:style w:type="paragraph" w:styleId="HTMLPreformatted">
    <w:name w:val="HTML Preformatted"/>
    <w:basedOn w:val="Normal"/>
    <w:link w:val="HTMLPreformattedChar"/>
    <w:semiHidden/>
    <w:unhideWhenUsed/>
    <w:rsid w:val="00D62C28"/>
    <w:rPr>
      <w:rFonts w:ascii="Consolas" w:hAnsi="Consolas"/>
    </w:rPr>
  </w:style>
  <w:style w:type="character" w:customStyle="1" w:styleId="HTMLPreformattedChar">
    <w:name w:val="HTML Preformatted Char"/>
    <w:basedOn w:val="DefaultParagraphFont"/>
    <w:link w:val="HTMLPreformatted"/>
    <w:semiHidden/>
    <w:rsid w:val="00D62C28"/>
    <w:rPr>
      <w:rFonts w:ascii="Consolas" w:eastAsia="Times New Roman" w:hAnsi="Consolas"/>
      <w:lang w:val="en-GB" w:eastAsia="en-US"/>
    </w:rPr>
  </w:style>
  <w:style w:type="character" w:styleId="HTMLSample">
    <w:name w:val="HTML Sample"/>
    <w:basedOn w:val="DefaultParagraphFont"/>
    <w:semiHidden/>
    <w:unhideWhenUsed/>
    <w:rsid w:val="00D62C28"/>
    <w:rPr>
      <w:rFonts w:ascii="Consolas" w:hAnsi="Consolas"/>
      <w:sz w:val="24"/>
      <w:szCs w:val="24"/>
      <w:lang w:val="en-GB"/>
    </w:rPr>
  </w:style>
  <w:style w:type="character" w:styleId="HTMLTypewriter">
    <w:name w:val="HTML Typewriter"/>
    <w:basedOn w:val="DefaultParagraphFont"/>
    <w:semiHidden/>
    <w:unhideWhenUsed/>
    <w:rsid w:val="00D62C28"/>
    <w:rPr>
      <w:rFonts w:ascii="Consolas" w:hAnsi="Consolas"/>
      <w:sz w:val="20"/>
      <w:szCs w:val="20"/>
      <w:lang w:val="en-GB"/>
    </w:rPr>
  </w:style>
  <w:style w:type="character" w:styleId="HTMLVariable">
    <w:name w:val="HTML Variable"/>
    <w:basedOn w:val="DefaultParagraphFont"/>
    <w:semiHidden/>
    <w:unhideWhenUsed/>
    <w:rsid w:val="00D62C28"/>
    <w:rPr>
      <w:i/>
      <w:iCs/>
      <w:lang w:val="en-GB"/>
    </w:rPr>
  </w:style>
  <w:style w:type="paragraph" w:styleId="Index1">
    <w:name w:val="index 1"/>
    <w:basedOn w:val="Normal"/>
    <w:next w:val="Normal"/>
    <w:autoRedefine/>
    <w:semiHidden/>
    <w:unhideWhenUsed/>
    <w:rsid w:val="00D62C28"/>
    <w:pPr>
      <w:tabs>
        <w:tab w:val="clear" w:pos="1247"/>
      </w:tabs>
      <w:ind w:left="200" w:hanging="200"/>
    </w:pPr>
  </w:style>
  <w:style w:type="paragraph" w:styleId="Index2">
    <w:name w:val="index 2"/>
    <w:basedOn w:val="Normal"/>
    <w:next w:val="Normal"/>
    <w:autoRedefine/>
    <w:semiHidden/>
    <w:unhideWhenUsed/>
    <w:rsid w:val="00D62C28"/>
    <w:pPr>
      <w:tabs>
        <w:tab w:val="clear" w:pos="1247"/>
      </w:tabs>
      <w:ind w:left="400" w:hanging="200"/>
    </w:pPr>
  </w:style>
  <w:style w:type="paragraph" w:styleId="Index3">
    <w:name w:val="index 3"/>
    <w:basedOn w:val="Normal"/>
    <w:next w:val="Normal"/>
    <w:autoRedefine/>
    <w:semiHidden/>
    <w:unhideWhenUsed/>
    <w:rsid w:val="00D62C28"/>
    <w:pPr>
      <w:tabs>
        <w:tab w:val="clear" w:pos="1247"/>
      </w:tabs>
      <w:ind w:left="600" w:hanging="200"/>
    </w:pPr>
  </w:style>
  <w:style w:type="paragraph" w:styleId="Index4">
    <w:name w:val="index 4"/>
    <w:basedOn w:val="Normal"/>
    <w:next w:val="Normal"/>
    <w:autoRedefine/>
    <w:semiHidden/>
    <w:unhideWhenUsed/>
    <w:rsid w:val="00D62C28"/>
    <w:pPr>
      <w:tabs>
        <w:tab w:val="clear" w:pos="1247"/>
      </w:tabs>
      <w:ind w:left="800" w:hanging="200"/>
    </w:pPr>
  </w:style>
  <w:style w:type="paragraph" w:styleId="Index5">
    <w:name w:val="index 5"/>
    <w:basedOn w:val="Normal"/>
    <w:next w:val="Normal"/>
    <w:autoRedefine/>
    <w:semiHidden/>
    <w:unhideWhenUsed/>
    <w:rsid w:val="00D62C28"/>
    <w:pPr>
      <w:tabs>
        <w:tab w:val="clear" w:pos="1247"/>
      </w:tabs>
      <w:ind w:left="1000" w:hanging="200"/>
    </w:pPr>
  </w:style>
  <w:style w:type="paragraph" w:styleId="Index6">
    <w:name w:val="index 6"/>
    <w:basedOn w:val="Normal"/>
    <w:next w:val="Normal"/>
    <w:autoRedefine/>
    <w:semiHidden/>
    <w:unhideWhenUsed/>
    <w:rsid w:val="00D62C28"/>
    <w:pPr>
      <w:tabs>
        <w:tab w:val="clear" w:pos="1247"/>
      </w:tabs>
      <w:ind w:left="1200" w:hanging="200"/>
    </w:pPr>
  </w:style>
  <w:style w:type="paragraph" w:styleId="Index7">
    <w:name w:val="index 7"/>
    <w:basedOn w:val="Normal"/>
    <w:next w:val="Normal"/>
    <w:autoRedefine/>
    <w:semiHidden/>
    <w:unhideWhenUsed/>
    <w:rsid w:val="00D62C28"/>
    <w:pPr>
      <w:tabs>
        <w:tab w:val="clear" w:pos="1247"/>
      </w:tabs>
      <w:ind w:left="1400" w:hanging="200"/>
    </w:pPr>
  </w:style>
  <w:style w:type="paragraph" w:styleId="Index8">
    <w:name w:val="index 8"/>
    <w:basedOn w:val="Normal"/>
    <w:next w:val="Normal"/>
    <w:autoRedefine/>
    <w:semiHidden/>
    <w:unhideWhenUsed/>
    <w:rsid w:val="00D62C28"/>
    <w:pPr>
      <w:tabs>
        <w:tab w:val="clear" w:pos="1247"/>
      </w:tabs>
      <w:ind w:left="1600" w:hanging="200"/>
    </w:pPr>
  </w:style>
  <w:style w:type="paragraph" w:styleId="Index9">
    <w:name w:val="index 9"/>
    <w:basedOn w:val="Normal"/>
    <w:next w:val="Normal"/>
    <w:autoRedefine/>
    <w:semiHidden/>
    <w:unhideWhenUsed/>
    <w:rsid w:val="00D62C28"/>
    <w:pPr>
      <w:tabs>
        <w:tab w:val="clear" w:pos="1247"/>
      </w:tabs>
      <w:ind w:left="1800" w:hanging="200"/>
    </w:pPr>
  </w:style>
  <w:style w:type="paragraph" w:styleId="IndexHeading">
    <w:name w:val="index heading"/>
    <w:basedOn w:val="Normal"/>
    <w:next w:val="Index1"/>
    <w:semiHidden/>
    <w:unhideWhenUsed/>
    <w:rsid w:val="00D62C2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D62C28"/>
    <w:rPr>
      <w:i/>
      <w:iCs/>
      <w:color w:val="4F81BD" w:themeColor="accent1"/>
      <w:lang w:val="en-GB"/>
    </w:rPr>
  </w:style>
  <w:style w:type="paragraph" w:styleId="IntenseQuote">
    <w:name w:val="Intense Quote"/>
    <w:basedOn w:val="Normal"/>
    <w:next w:val="Normal"/>
    <w:link w:val="IntenseQuoteChar"/>
    <w:uiPriority w:val="30"/>
    <w:semiHidden/>
    <w:qFormat/>
    <w:rsid w:val="00D62C2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D62C28"/>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D62C28"/>
    <w:rPr>
      <w:b/>
      <w:bCs/>
      <w:smallCaps/>
      <w:color w:val="4F81BD" w:themeColor="accent1"/>
      <w:spacing w:val="5"/>
      <w:lang w:val="en-GB"/>
    </w:rPr>
  </w:style>
  <w:style w:type="table" w:styleId="LightGrid">
    <w:name w:val="Light Grid"/>
    <w:basedOn w:val="TableNormal"/>
    <w:uiPriority w:val="62"/>
    <w:semiHidden/>
    <w:unhideWhenUsed/>
    <w:rsid w:val="00D62C2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62C2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62C2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62C2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62C2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62C2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62C2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62C2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62C2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62C2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62C2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62C2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62C2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62C2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62C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62C2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62C2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62C2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62C2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62C2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62C2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D62C28"/>
    <w:rPr>
      <w:lang w:val="en-GB"/>
    </w:rPr>
  </w:style>
  <w:style w:type="paragraph" w:styleId="List">
    <w:name w:val="List"/>
    <w:basedOn w:val="Normal"/>
    <w:semiHidden/>
    <w:unhideWhenUsed/>
    <w:rsid w:val="00D62C28"/>
    <w:pPr>
      <w:ind w:left="283" w:hanging="283"/>
      <w:contextualSpacing/>
    </w:pPr>
  </w:style>
  <w:style w:type="paragraph" w:styleId="List2">
    <w:name w:val="List 2"/>
    <w:basedOn w:val="Normal"/>
    <w:semiHidden/>
    <w:unhideWhenUsed/>
    <w:rsid w:val="00D62C28"/>
    <w:pPr>
      <w:ind w:left="566" w:hanging="283"/>
      <w:contextualSpacing/>
    </w:pPr>
  </w:style>
  <w:style w:type="paragraph" w:styleId="List3">
    <w:name w:val="List 3"/>
    <w:basedOn w:val="Normal"/>
    <w:semiHidden/>
    <w:unhideWhenUsed/>
    <w:rsid w:val="00D62C28"/>
    <w:pPr>
      <w:ind w:left="849" w:hanging="283"/>
      <w:contextualSpacing/>
    </w:pPr>
  </w:style>
  <w:style w:type="paragraph" w:styleId="List4">
    <w:name w:val="List 4"/>
    <w:basedOn w:val="Normal"/>
    <w:semiHidden/>
    <w:unhideWhenUsed/>
    <w:rsid w:val="00D62C28"/>
    <w:pPr>
      <w:ind w:left="1132" w:hanging="283"/>
      <w:contextualSpacing/>
    </w:pPr>
  </w:style>
  <w:style w:type="paragraph" w:styleId="List5">
    <w:name w:val="List 5"/>
    <w:basedOn w:val="Normal"/>
    <w:semiHidden/>
    <w:unhideWhenUsed/>
    <w:rsid w:val="00D62C28"/>
    <w:pPr>
      <w:ind w:left="1415" w:hanging="283"/>
      <w:contextualSpacing/>
    </w:pPr>
  </w:style>
  <w:style w:type="paragraph" w:styleId="ListBullet">
    <w:name w:val="List Bullet"/>
    <w:basedOn w:val="Normal"/>
    <w:semiHidden/>
    <w:rsid w:val="00D62C28"/>
    <w:pPr>
      <w:numPr>
        <w:numId w:val="6"/>
      </w:numPr>
      <w:contextualSpacing/>
    </w:pPr>
  </w:style>
  <w:style w:type="paragraph" w:styleId="ListBullet2">
    <w:name w:val="List Bullet 2"/>
    <w:basedOn w:val="Normal"/>
    <w:semiHidden/>
    <w:unhideWhenUsed/>
    <w:rsid w:val="00D62C28"/>
    <w:pPr>
      <w:numPr>
        <w:numId w:val="7"/>
      </w:numPr>
      <w:contextualSpacing/>
    </w:pPr>
  </w:style>
  <w:style w:type="paragraph" w:styleId="ListBullet3">
    <w:name w:val="List Bullet 3"/>
    <w:basedOn w:val="Normal"/>
    <w:semiHidden/>
    <w:unhideWhenUsed/>
    <w:rsid w:val="00D62C28"/>
    <w:pPr>
      <w:numPr>
        <w:numId w:val="8"/>
      </w:numPr>
      <w:contextualSpacing/>
    </w:pPr>
  </w:style>
  <w:style w:type="paragraph" w:styleId="ListBullet4">
    <w:name w:val="List Bullet 4"/>
    <w:basedOn w:val="Normal"/>
    <w:semiHidden/>
    <w:unhideWhenUsed/>
    <w:rsid w:val="00D62C28"/>
    <w:pPr>
      <w:numPr>
        <w:numId w:val="9"/>
      </w:numPr>
      <w:contextualSpacing/>
    </w:pPr>
  </w:style>
  <w:style w:type="paragraph" w:styleId="ListBullet5">
    <w:name w:val="List Bullet 5"/>
    <w:basedOn w:val="Normal"/>
    <w:semiHidden/>
    <w:unhideWhenUsed/>
    <w:rsid w:val="00D62C28"/>
    <w:pPr>
      <w:numPr>
        <w:numId w:val="10"/>
      </w:numPr>
      <w:contextualSpacing/>
    </w:pPr>
  </w:style>
  <w:style w:type="paragraph" w:styleId="ListContinue">
    <w:name w:val="List Continue"/>
    <w:basedOn w:val="Normal"/>
    <w:semiHidden/>
    <w:unhideWhenUsed/>
    <w:rsid w:val="00D62C28"/>
    <w:pPr>
      <w:spacing w:after="120"/>
      <w:ind w:left="283"/>
      <w:contextualSpacing/>
    </w:pPr>
  </w:style>
  <w:style w:type="paragraph" w:styleId="ListContinue2">
    <w:name w:val="List Continue 2"/>
    <w:basedOn w:val="Normal"/>
    <w:semiHidden/>
    <w:unhideWhenUsed/>
    <w:rsid w:val="00D62C28"/>
    <w:pPr>
      <w:spacing w:after="120"/>
      <w:ind w:left="566"/>
      <w:contextualSpacing/>
    </w:pPr>
  </w:style>
  <w:style w:type="paragraph" w:styleId="ListContinue3">
    <w:name w:val="List Continue 3"/>
    <w:basedOn w:val="Normal"/>
    <w:semiHidden/>
    <w:rsid w:val="00D62C28"/>
    <w:pPr>
      <w:spacing w:after="120"/>
      <w:ind w:left="849"/>
      <w:contextualSpacing/>
    </w:pPr>
  </w:style>
  <w:style w:type="paragraph" w:styleId="ListContinue4">
    <w:name w:val="List Continue 4"/>
    <w:basedOn w:val="Normal"/>
    <w:semiHidden/>
    <w:rsid w:val="00D62C28"/>
    <w:pPr>
      <w:spacing w:after="120"/>
      <w:ind w:left="1132"/>
      <w:contextualSpacing/>
    </w:pPr>
  </w:style>
  <w:style w:type="paragraph" w:styleId="ListContinue5">
    <w:name w:val="List Continue 5"/>
    <w:basedOn w:val="Normal"/>
    <w:semiHidden/>
    <w:rsid w:val="00D62C28"/>
    <w:pPr>
      <w:spacing w:after="120"/>
      <w:ind w:left="1415"/>
      <w:contextualSpacing/>
    </w:pPr>
  </w:style>
  <w:style w:type="paragraph" w:styleId="ListNumber">
    <w:name w:val="List Number"/>
    <w:basedOn w:val="Normal"/>
    <w:semiHidden/>
    <w:rsid w:val="00D62C28"/>
    <w:pPr>
      <w:numPr>
        <w:numId w:val="11"/>
      </w:numPr>
      <w:contextualSpacing/>
    </w:pPr>
  </w:style>
  <w:style w:type="paragraph" w:styleId="ListNumber2">
    <w:name w:val="List Number 2"/>
    <w:basedOn w:val="Normal"/>
    <w:semiHidden/>
    <w:unhideWhenUsed/>
    <w:rsid w:val="00D62C28"/>
    <w:pPr>
      <w:numPr>
        <w:numId w:val="12"/>
      </w:numPr>
      <w:contextualSpacing/>
    </w:pPr>
  </w:style>
  <w:style w:type="paragraph" w:styleId="ListNumber3">
    <w:name w:val="List Number 3"/>
    <w:basedOn w:val="Normal"/>
    <w:semiHidden/>
    <w:unhideWhenUsed/>
    <w:rsid w:val="00D62C28"/>
    <w:pPr>
      <w:numPr>
        <w:numId w:val="13"/>
      </w:numPr>
      <w:contextualSpacing/>
    </w:pPr>
  </w:style>
  <w:style w:type="paragraph" w:styleId="ListNumber4">
    <w:name w:val="List Number 4"/>
    <w:basedOn w:val="Normal"/>
    <w:semiHidden/>
    <w:unhideWhenUsed/>
    <w:rsid w:val="00D62C28"/>
    <w:pPr>
      <w:numPr>
        <w:numId w:val="14"/>
      </w:numPr>
      <w:contextualSpacing/>
    </w:pPr>
  </w:style>
  <w:style w:type="paragraph" w:styleId="ListNumber5">
    <w:name w:val="List Number 5"/>
    <w:basedOn w:val="Normal"/>
    <w:semiHidden/>
    <w:unhideWhenUsed/>
    <w:rsid w:val="00D62C28"/>
    <w:pPr>
      <w:numPr>
        <w:numId w:val="15"/>
      </w:numPr>
      <w:contextualSpacing/>
    </w:pPr>
  </w:style>
  <w:style w:type="table" w:styleId="ListTable1Light">
    <w:name w:val="List Table 1 Light"/>
    <w:basedOn w:val="TableNormal"/>
    <w:uiPriority w:val="46"/>
    <w:rsid w:val="00D62C2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62C2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62C2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62C2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62C2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62C2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62C2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62C2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62C2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62C2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62C2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62C2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62C2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62C2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62C2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62C2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62C2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62C2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62C2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62C2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62C2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62C2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62C2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62C2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62C2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62C2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62C2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62C2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62C2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62C2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62C2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62C2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62C2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62C2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62C2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62C2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62C2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62C2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62C2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62C2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62C2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62C2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62C2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62C2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62C2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62C2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62C2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62C2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62C2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D62C28"/>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D62C28"/>
    <w:rPr>
      <w:rFonts w:ascii="Consolas" w:eastAsia="Times New Roman" w:hAnsi="Consolas"/>
      <w:lang w:val="en-GB" w:eastAsia="en-US"/>
    </w:rPr>
  </w:style>
  <w:style w:type="table" w:styleId="MediumGrid1">
    <w:name w:val="Medium Grid 1"/>
    <w:basedOn w:val="TableNormal"/>
    <w:uiPriority w:val="67"/>
    <w:semiHidden/>
    <w:unhideWhenUsed/>
    <w:rsid w:val="00D62C2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62C2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62C2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62C2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62C2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62C2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62C2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62C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62C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62C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62C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62C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62C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62C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62C2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62C2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62C2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62C2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62C2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62C2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62C2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62C2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62C2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62C2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62C2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62C2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62C2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62C2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62C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62C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62C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62C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62C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62C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62C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D62C28"/>
    <w:rPr>
      <w:color w:val="2B579A"/>
      <w:shd w:val="clear" w:color="auto" w:fill="E1DFDD"/>
      <w:lang w:val="en-GB"/>
    </w:rPr>
  </w:style>
  <w:style w:type="paragraph" w:styleId="MessageHeader">
    <w:name w:val="Message Header"/>
    <w:basedOn w:val="Normal"/>
    <w:link w:val="MessageHeaderChar"/>
    <w:semiHidden/>
    <w:rsid w:val="00D62C2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62C28"/>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D62C28"/>
    <w:pPr>
      <w:ind w:left="720"/>
    </w:pPr>
  </w:style>
  <w:style w:type="paragraph" w:styleId="NoteHeading">
    <w:name w:val="Note Heading"/>
    <w:basedOn w:val="Normal"/>
    <w:next w:val="Normal"/>
    <w:link w:val="NoteHeadingChar"/>
    <w:semiHidden/>
    <w:unhideWhenUsed/>
    <w:rsid w:val="00D62C28"/>
  </w:style>
  <w:style w:type="character" w:customStyle="1" w:styleId="NoteHeadingChar">
    <w:name w:val="Note Heading Char"/>
    <w:basedOn w:val="DefaultParagraphFont"/>
    <w:link w:val="NoteHeading"/>
    <w:semiHidden/>
    <w:rsid w:val="00D62C28"/>
    <w:rPr>
      <w:rFonts w:eastAsia="Times New Roman"/>
      <w:lang w:val="en-GB" w:eastAsia="en-US"/>
    </w:rPr>
  </w:style>
  <w:style w:type="table" w:styleId="PlainTable1">
    <w:name w:val="Plain Table 1"/>
    <w:basedOn w:val="TableNormal"/>
    <w:uiPriority w:val="41"/>
    <w:rsid w:val="00D62C2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62C2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62C2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62C2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62C2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D62C28"/>
    <w:rPr>
      <w:rFonts w:ascii="Consolas" w:hAnsi="Consolas"/>
      <w:sz w:val="21"/>
      <w:szCs w:val="21"/>
    </w:rPr>
  </w:style>
  <w:style w:type="character" w:customStyle="1" w:styleId="PlainTextChar">
    <w:name w:val="Plain Text Char"/>
    <w:basedOn w:val="DefaultParagraphFont"/>
    <w:link w:val="PlainText"/>
    <w:semiHidden/>
    <w:rsid w:val="00D62C28"/>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D62C2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62C28"/>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D62C28"/>
  </w:style>
  <w:style w:type="character" w:customStyle="1" w:styleId="SalutationChar">
    <w:name w:val="Salutation Char"/>
    <w:basedOn w:val="DefaultParagraphFont"/>
    <w:link w:val="Salutation"/>
    <w:semiHidden/>
    <w:rsid w:val="00D62C28"/>
    <w:rPr>
      <w:rFonts w:eastAsia="Times New Roman"/>
      <w:lang w:val="en-GB" w:eastAsia="en-US"/>
    </w:rPr>
  </w:style>
  <w:style w:type="paragraph" w:styleId="Signature">
    <w:name w:val="Signature"/>
    <w:basedOn w:val="Normal"/>
    <w:link w:val="SignatureChar"/>
    <w:semiHidden/>
    <w:unhideWhenUsed/>
    <w:rsid w:val="00D62C28"/>
    <w:pPr>
      <w:ind w:left="4252"/>
    </w:pPr>
  </w:style>
  <w:style w:type="character" w:customStyle="1" w:styleId="SignatureChar">
    <w:name w:val="Signature Char"/>
    <w:basedOn w:val="DefaultParagraphFont"/>
    <w:link w:val="Signature"/>
    <w:semiHidden/>
    <w:rsid w:val="00D62C28"/>
    <w:rPr>
      <w:rFonts w:eastAsia="Times New Roman"/>
      <w:lang w:val="en-GB" w:eastAsia="en-US"/>
    </w:rPr>
  </w:style>
  <w:style w:type="character" w:styleId="SmartHyperlink">
    <w:name w:val="Smart Hyperlink"/>
    <w:basedOn w:val="DefaultParagraphFont"/>
    <w:uiPriority w:val="99"/>
    <w:semiHidden/>
    <w:rsid w:val="00D62C28"/>
    <w:rPr>
      <w:u w:val="dotted"/>
      <w:lang w:val="en-GB"/>
    </w:rPr>
  </w:style>
  <w:style w:type="character" w:styleId="SmartLink">
    <w:name w:val="Smart Link"/>
    <w:basedOn w:val="DefaultParagraphFont"/>
    <w:uiPriority w:val="99"/>
    <w:semiHidden/>
    <w:unhideWhenUsed/>
    <w:rsid w:val="00D62C28"/>
    <w:rPr>
      <w:color w:val="0000FF"/>
      <w:u w:val="single"/>
      <w:shd w:val="clear" w:color="auto" w:fill="F3F2F1"/>
      <w:lang w:val="en-GB"/>
    </w:rPr>
  </w:style>
  <w:style w:type="character" w:styleId="Strong">
    <w:name w:val="Strong"/>
    <w:basedOn w:val="DefaultParagraphFont"/>
    <w:semiHidden/>
    <w:qFormat/>
    <w:rsid w:val="00D62C28"/>
    <w:rPr>
      <w:b/>
      <w:bCs/>
      <w:lang w:val="en-GB"/>
    </w:rPr>
  </w:style>
  <w:style w:type="paragraph" w:styleId="Subtitle">
    <w:name w:val="Subtitle"/>
    <w:basedOn w:val="Normal"/>
    <w:next w:val="Normal"/>
    <w:link w:val="SubtitleChar"/>
    <w:semiHidden/>
    <w:qFormat/>
    <w:rsid w:val="00D62C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D62C28"/>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D62C28"/>
    <w:rPr>
      <w:i/>
      <w:iCs/>
      <w:color w:val="404040" w:themeColor="text1" w:themeTint="BF"/>
      <w:lang w:val="en-GB"/>
    </w:rPr>
  </w:style>
  <w:style w:type="character" w:styleId="SubtleReference">
    <w:name w:val="Subtle Reference"/>
    <w:basedOn w:val="DefaultParagraphFont"/>
    <w:uiPriority w:val="31"/>
    <w:semiHidden/>
    <w:qFormat/>
    <w:rsid w:val="00D62C28"/>
    <w:rPr>
      <w:smallCaps/>
      <w:color w:val="5A5A5A" w:themeColor="text1" w:themeTint="A5"/>
      <w:lang w:val="en-GB"/>
    </w:rPr>
  </w:style>
  <w:style w:type="table" w:styleId="Table3Deffects1">
    <w:name w:val="Table 3D effects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62C2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D62C28"/>
    <w:pPr>
      <w:tabs>
        <w:tab w:val="clear" w:pos="1247"/>
      </w:tabs>
      <w:ind w:left="200" w:hanging="200"/>
    </w:pPr>
  </w:style>
  <w:style w:type="table" w:styleId="TableProfessional">
    <w:name w:val="Table Professional"/>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D62C2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D62C2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D62C2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62C28"/>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ZZAnxheaderChar">
    <w:name w:val="ZZ_Anx_header Char"/>
    <w:link w:val="ZZAnxheader"/>
    <w:locked/>
    <w:rsid w:val="00B1215E"/>
    <w:rPr>
      <w:rFonts w:eastAsia="Times New Roman"/>
      <w:b/>
      <w:bCs/>
      <w:sz w:val="28"/>
      <w:szCs w:val="22"/>
      <w:lang w:val="en-GB" w:eastAsia="en-US"/>
    </w:rPr>
  </w:style>
  <w:style w:type="character" w:customStyle="1" w:styleId="ZZAnxtitleChar">
    <w:name w:val="ZZ_Anx_title Char"/>
    <w:link w:val="ZZAnxtitle"/>
    <w:rsid w:val="00B1215E"/>
    <w:rPr>
      <w:rFonts w:eastAsia="Times New Roman"/>
      <w:b/>
      <w:bCs/>
      <w:sz w:val="28"/>
      <w:szCs w:val="26"/>
      <w:lang w:val="en-GB" w:eastAsia="en-US"/>
    </w:rPr>
  </w:style>
  <w:style w:type="character" w:customStyle="1" w:styleId="Normal-poolChar">
    <w:name w:val="Normal-pool Char"/>
    <w:link w:val="Normal-pool"/>
    <w:locked/>
    <w:rsid w:val="00B1215E"/>
    <w:rPr>
      <w:rFonts w:eastAsia="Times New Roman"/>
      <w:lang w:val="en-GB" w:eastAsia="en-US"/>
    </w:rPr>
  </w:style>
  <w:style w:type="character" w:customStyle="1" w:styleId="CH2Char">
    <w:name w:val="CH2 Char"/>
    <w:link w:val="CH2"/>
    <w:rsid w:val="00B1215E"/>
    <w:rPr>
      <w:rFonts w:eastAsia="Times New Roman"/>
      <w:b/>
      <w:sz w:val="24"/>
      <w:szCs w:val="24"/>
      <w:lang w:val="en-GB" w:eastAsia="en-US"/>
    </w:rPr>
  </w:style>
  <w:style w:type="character" w:customStyle="1" w:styleId="normaltextrun">
    <w:name w:val="normaltextrun"/>
    <w:basedOn w:val="DefaultParagraphFont"/>
    <w:rsid w:val="00B1215E"/>
    <w:rPr>
      <w:lang w:val="en-GB"/>
    </w:rPr>
  </w:style>
  <w:style w:type="paragraph" w:styleId="Revision">
    <w:name w:val="Revision"/>
    <w:hidden/>
    <w:uiPriority w:val="99"/>
    <w:semiHidden/>
    <w:rsid w:val="000A04D8"/>
    <w:rPr>
      <w:rFonts w:eastAsia="Times New Roman"/>
      <w:lang w:val="en-GB" w:eastAsia="en-US"/>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6C45D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amataconvention.org/sites/default/files/documents/decision/UNEP-MC-COP.5-Dec.17_KM-Biodiversity_Framework_English.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s://www.unep.org/events/conference/bern-iii-conference-cooperation-among-biodiversity-related-conventions" TargetMode="External"/><Relationship Id="rId3" Type="http://schemas.openxmlformats.org/officeDocument/2006/relationships/hyperlink" Target="https://www.cbd.int/meetings/COP-16" TargetMode="External"/><Relationship Id="rId7" Type="http://schemas.openxmlformats.org/officeDocument/2006/relationships/hyperlink" Target="https://ort.cbd.int/" TargetMode="External"/><Relationship Id="rId2" Type="http://schemas.openxmlformats.org/officeDocument/2006/relationships/hyperlink" Target="https://www.cbd.int/gbf/targets/7" TargetMode="External"/><Relationship Id="rId1" Type="http://schemas.openxmlformats.org/officeDocument/2006/relationships/hyperlink" Target="https://minamataconvention.org/en/news/decision-mercury-and-kunming-montreal-global-biodiversity-framework-adopted-conference-parties" TargetMode="External"/><Relationship Id="rId6" Type="http://schemas.openxmlformats.org/officeDocument/2006/relationships/hyperlink" Target="https://minamataconvention.org/en/news/information-development-indicators-metrics-and-progress-measurement-tools-biodiversity-and" TargetMode="External"/><Relationship Id="rId5" Type="http://schemas.openxmlformats.org/officeDocument/2006/relationships/hyperlink" Target="https://minamataconvention.org/en/news/information-inclusion-additional-headline-component-and-complementary-indicators-monitoring" TargetMode="External"/><Relationship Id="rId4" Type="http://schemas.openxmlformats.org/officeDocument/2006/relationships/hyperlink" Target="https://minamataconvention.org/en/node/106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890CC2DA-8676-4380-BA6F-DD79B5A9C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 ds:uri="822da31b-d518-49e2-88cd-1351ccd720a8"/>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3</TotalTime>
  <Pages>11</Pages>
  <Words>5219</Words>
  <Characters>31011</Characters>
  <Application>Microsoft Office Word</Application>
  <DocSecurity>0</DocSecurity>
  <PresentationFormat/>
  <Lines>258</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36158</CharactersWithSpaces>
  <SharedDoc>false</SharedDoc>
  <HyperlinkBase/>
  <HLinks>
    <vt:vector size="36" baseType="variant">
      <vt:variant>
        <vt:i4>4522058</vt:i4>
      </vt:variant>
      <vt:variant>
        <vt:i4>6</vt:i4>
      </vt:variant>
      <vt:variant>
        <vt:i4>0</vt:i4>
      </vt:variant>
      <vt:variant>
        <vt:i4>5</vt:i4>
      </vt:variant>
      <vt:variant>
        <vt:lpwstr>https://minamataconvention.org/en/news/information-development-indicators-metrics-and-progress-measurement-tools-biodiversity-and</vt:lpwstr>
      </vt:variant>
      <vt:variant>
        <vt:lpwstr/>
      </vt:variant>
      <vt:variant>
        <vt:i4>1966105</vt:i4>
      </vt:variant>
      <vt:variant>
        <vt:i4>3</vt:i4>
      </vt:variant>
      <vt:variant>
        <vt:i4>0</vt:i4>
      </vt:variant>
      <vt:variant>
        <vt:i4>5</vt:i4>
      </vt:variant>
      <vt:variant>
        <vt:lpwstr>https://minamataconvention.org/en/node/10688/</vt:lpwstr>
      </vt:variant>
      <vt:variant>
        <vt:lpwstr/>
      </vt:variant>
      <vt:variant>
        <vt:i4>5111913</vt:i4>
      </vt:variant>
      <vt:variant>
        <vt:i4>0</vt:i4>
      </vt:variant>
      <vt:variant>
        <vt:i4>0</vt:i4>
      </vt:variant>
      <vt:variant>
        <vt:i4>5</vt:i4>
      </vt:variant>
      <vt:variant>
        <vt:lpwstr>https://minamataconvention.org/sites/default/files/documents/decision/UNEP-MC-COP.5-Dec.17_KM-Biodiversity_Framework_English.pdf</vt:lpwstr>
      </vt:variant>
      <vt:variant>
        <vt:lpwstr/>
      </vt:variant>
      <vt:variant>
        <vt:i4>852048</vt:i4>
      </vt:variant>
      <vt:variant>
        <vt:i4>6</vt:i4>
      </vt:variant>
      <vt:variant>
        <vt:i4>0</vt:i4>
      </vt:variant>
      <vt:variant>
        <vt:i4>5</vt:i4>
      </vt:variant>
      <vt:variant>
        <vt:lpwstr>https://www.unep.org/events/conference/bern-iii-conference-cooperation-among-biodiversity-related-conventions</vt:lpwstr>
      </vt:variant>
      <vt:variant>
        <vt:lpwstr/>
      </vt:variant>
      <vt:variant>
        <vt:i4>4194369</vt:i4>
      </vt:variant>
      <vt:variant>
        <vt:i4>3</vt:i4>
      </vt:variant>
      <vt:variant>
        <vt:i4>0</vt:i4>
      </vt:variant>
      <vt:variant>
        <vt:i4>5</vt:i4>
      </vt:variant>
      <vt:variant>
        <vt:lpwstr>https://ort.cbd.int/</vt:lpwstr>
      </vt:variant>
      <vt:variant>
        <vt:lpwstr/>
      </vt:variant>
      <vt:variant>
        <vt:i4>5570635</vt:i4>
      </vt:variant>
      <vt:variant>
        <vt:i4>0</vt:i4>
      </vt:variant>
      <vt:variant>
        <vt:i4>0</vt:i4>
      </vt:variant>
      <vt:variant>
        <vt:i4>5</vt:i4>
      </vt:variant>
      <vt:variant>
        <vt:lpwstr>https://www.cbd.int/gbf/targets/7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My Linh Doan</cp:lastModifiedBy>
  <cp:revision>5</cp:revision>
  <cp:lastPrinted>2025-08-12T16:42:00Z</cp:lastPrinted>
  <dcterms:created xsi:type="dcterms:W3CDTF">2025-08-12T16:42:00Z</dcterms:created>
  <dcterms:modified xsi:type="dcterms:W3CDTF">2025-09-22T08:04:00Z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ies>
</file>