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701"/>
        <w:gridCol w:w="6378"/>
        <w:gridCol w:w="1417"/>
      </w:tblGrid>
      <w:tr w:rsidR="0005233A" w:rsidRPr="0005233A" w14:paraId="53B9D010" w14:textId="77777777" w:rsidTr="000B448D">
        <w:trPr>
          <w:trHeight w:val="850"/>
        </w:trPr>
        <w:tc>
          <w:tcPr>
            <w:tcW w:w="1701" w:type="dxa"/>
          </w:tcPr>
          <w:p w14:paraId="25D31E97" w14:textId="77777777" w:rsidR="0005233A" w:rsidRPr="0005233A" w:rsidRDefault="0005233A" w:rsidP="0005233A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20" w:after="20"/>
              <w:rPr>
                <w:rFonts w:ascii="Arial" w:hAnsi="Arial" w:cs="Times New Roman Bold"/>
                <w:b/>
                <w:caps/>
                <w:color w:val="000000" w:themeColor="text1"/>
                <w:sz w:val="27"/>
                <w:lang w:val="es-ES_tradnl"/>
              </w:rPr>
            </w:pPr>
            <w:r w:rsidRPr="0005233A">
              <w:rPr>
                <w:rFonts w:ascii="Arial" w:hAnsi="Arial" w:cs="Times New Roman Bold"/>
                <w:b/>
                <w:caps/>
                <w:color w:val="000000" w:themeColor="text1"/>
                <w:sz w:val="27"/>
                <w:lang w:val="es-ES_tradnl"/>
              </w:rPr>
              <w:t xml:space="preserve">Naciones </w:t>
            </w:r>
            <w:r w:rsidRPr="0005233A">
              <w:rPr>
                <w:rFonts w:ascii="Arial" w:hAnsi="Arial" w:cs="Times New Roman Bold"/>
                <w:b/>
                <w:caps/>
                <w:color w:val="000000" w:themeColor="text1"/>
                <w:sz w:val="27"/>
                <w:lang w:val="es-ES_tradnl"/>
              </w:rPr>
              <w:br/>
              <w:t>Unidas</w:t>
            </w:r>
          </w:p>
        </w:tc>
        <w:tc>
          <w:tcPr>
            <w:tcW w:w="6378" w:type="dxa"/>
          </w:tcPr>
          <w:p w14:paraId="2F495203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  <w:r w:rsidRPr="0005233A">
              <w:rPr>
                <w:noProof/>
                <w:lang w:val="es-ES_tradnl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3AA4064" wp14:editId="0825952E">
                  <wp:simplePos x="0" y="0"/>
                  <wp:positionH relativeFrom="column">
                    <wp:posOffset>-2631</wp:posOffset>
                  </wp:positionH>
                  <wp:positionV relativeFrom="paragraph">
                    <wp:posOffset>998</wp:posOffset>
                  </wp:positionV>
                  <wp:extent cx="1305763" cy="573559"/>
                  <wp:effectExtent l="0" t="0" r="8890" b="0"/>
                  <wp:wrapNone/>
                  <wp:docPr id="722694892" name="Picture 3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94892" name="Picture 3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2ADBF7AF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</w:tr>
    </w:tbl>
    <w:p w14:paraId="1A6FC756" w14:textId="77777777" w:rsidR="0005233A" w:rsidRPr="0005233A" w:rsidRDefault="0005233A" w:rsidP="0005233A">
      <w:pPr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sz w:val="2"/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5233A" w:rsidRPr="0005233A" w14:paraId="4124FB5B" w14:textId="77777777" w:rsidTr="000B448D">
        <w:trPr>
          <w:trHeight w:val="340"/>
        </w:trPr>
        <w:tc>
          <w:tcPr>
            <w:tcW w:w="3358" w:type="pct"/>
            <w:vAlign w:val="bottom"/>
          </w:tcPr>
          <w:p w14:paraId="4D3EF9B2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03FDF823" w14:textId="43120204" w:rsidR="0005233A" w:rsidRPr="0005233A" w:rsidRDefault="0005233A" w:rsidP="0005233A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right" w:pos="2920"/>
                <w:tab w:val="left" w:pos="3119"/>
                <w:tab w:val="left" w:pos="3742"/>
                <w:tab w:val="left" w:pos="4366"/>
              </w:tabs>
              <w:rPr>
                <w:rFonts w:eastAsia="SimSun"/>
                <w:lang w:val="es-ES_tradnl"/>
              </w:rPr>
            </w:pPr>
            <w:r w:rsidRPr="0005233A">
              <w:rPr>
                <w:rFonts w:eastAsia="SimSun"/>
                <w:b/>
                <w:sz w:val="28"/>
                <w:lang w:val="es-ES_tradnl"/>
              </w:rPr>
              <w:t>UNEP</w:t>
            </w:r>
            <w:r w:rsidRPr="0005233A">
              <w:rPr>
                <w:rFonts w:eastAsia="SimSun"/>
                <w:lang w:val="es-ES_tradnl"/>
              </w:rPr>
              <w:t>/MC/COP.6/</w:t>
            </w:r>
            <w:r>
              <w:rPr>
                <w:rFonts w:eastAsia="SimSun"/>
                <w:lang w:val="es-ES_tradnl"/>
              </w:rPr>
              <w:t>18</w:t>
            </w:r>
          </w:p>
        </w:tc>
      </w:tr>
    </w:tbl>
    <w:p w14:paraId="42CBA514" w14:textId="77777777" w:rsidR="0005233A" w:rsidRPr="0005233A" w:rsidRDefault="0005233A" w:rsidP="0005233A">
      <w:pPr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sz w:val="2"/>
          <w:lang w:val="es-ES_tradnl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5233A" w:rsidRPr="0005233A" w14:paraId="491EC945" w14:textId="77777777" w:rsidTr="000B448D">
        <w:trPr>
          <w:trHeight w:val="2098"/>
        </w:trPr>
        <w:tc>
          <w:tcPr>
            <w:tcW w:w="3685" w:type="dxa"/>
          </w:tcPr>
          <w:p w14:paraId="1988D3FF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 w:after="240"/>
              <w:rPr>
                <w:lang w:val="es-ES_tradnl"/>
              </w:rPr>
            </w:pPr>
            <w:r w:rsidRPr="0005233A">
              <w:rPr>
                <w:noProof/>
                <w:lang w:val="es-ES_tradnl"/>
                <w14:ligatures w14:val="standardContextual"/>
              </w:rPr>
              <w:drawing>
                <wp:inline distT="0" distB="0" distL="0" distR="0" wp14:anchorId="3A4A457D" wp14:editId="24D8B07F">
                  <wp:extent cx="2202815" cy="1028700"/>
                  <wp:effectExtent l="0" t="0" r="6985" b="0"/>
                  <wp:docPr id="47242973" name="Picture 4" descr="A logo with text on i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2973" name="Picture 4" descr="A logo with text on i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233A">
              <w:rPr>
                <w:lang w:val="es-ES_tradnl"/>
              </w:rPr>
              <w:t xml:space="preserve"> </w:t>
            </w:r>
          </w:p>
          <w:p w14:paraId="3139AE69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 w:after="240"/>
              <w:rPr>
                <w:lang w:val="es-ES_tradnl"/>
              </w:rPr>
            </w:pPr>
          </w:p>
        </w:tc>
        <w:tc>
          <w:tcPr>
            <w:tcW w:w="2693" w:type="dxa"/>
          </w:tcPr>
          <w:p w14:paraId="0CE4C4A5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  <w:tc>
          <w:tcPr>
            <w:tcW w:w="3118" w:type="dxa"/>
          </w:tcPr>
          <w:p w14:paraId="05C2D344" w14:textId="77777777" w:rsidR="0005233A" w:rsidRPr="007B2763" w:rsidRDefault="0005233A" w:rsidP="0005233A">
            <w:pPr>
              <w:pStyle w:val="AText"/>
              <w:rPr>
                <w:lang w:val="es-ES_tradnl"/>
              </w:rPr>
            </w:pPr>
            <w:r w:rsidRPr="0005233A">
              <w:rPr>
                <w:lang w:val="es-ES_tradnl"/>
              </w:rPr>
              <w:t xml:space="preserve">Distr. </w:t>
            </w:r>
            <w:r w:rsidRPr="007B2763">
              <w:rPr>
                <w:color w:val="000000"/>
                <w:lang w:val="es-ES_tradnl"/>
              </w:rPr>
              <w:t xml:space="preserve">general </w:t>
            </w:r>
          </w:p>
          <w:p w14:paraId="1E2F9B11" w14:textId="77777777" w:rsidR="0005233A" w:rsidRPr="007B2763" w:rsidRDefault="0005233A" w:rsidP="0005233A">
            <w:pPr>
              <w:pStyle w:val="AText0"/>
              <w:rPr>
                <w:lang w:val="es-ES_tradnl"/>
              </w:rPr>
            </w:pPr>
            <w:r w:rsidRPr="007B2763">
              <w:rPr>
                <w:color w:val="000000"/>
                <w:lang w:val="es-ES_tradnl"/>
              </w:rPr>
              <w:t xml:space="preserve">7 de julio de 2025 </w:t>
            </w:r>
          </w:p>
          <w:p w14:paraId="037F63A8" w14:textId="235C99F8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/>
              <w:rPr>
                <w:lang w:val="es-ES_tradnl"/>
              </w:rPr>
            </w:pPr>
            <w:r w:rsidRPr="0005233A">
              <w:rPr>
                <w:lang w:val="es-ES_tradnl"/>
              </w:rPr>
              <w:t xml:space="preserve">Español </w:t>
            </w:r>
            <w:r w:rsidRPr="0005233A">
              <w:rPr>
                <w:lang w:val="es-ES_tradnl"/>
              </w:rPr>
              <w:br/>
              <w:t>Original: inglés</w:t>
            </w:r>
          </w:p>
        </w:tc>
      </w:tr>
    </w:tbl>
    <w:p w14:paraId="3D1C4079" w14:textId="77777777" w:rsidR="0005233A" w:rsidRPr="0005233A" w:rsidRDefault="0005233A" w:rsidP="0005233A">
      <w:pPr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sz w:val="2"/>
          <w:lang w:val="es-ES_tradnl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5233A" w:rsidRPr="00FA6A98" w14:paraId="12C9FE48" w14:textId="77777777" w:rsidTr="000B448D">
        <w:trPr>
          <w:trHeight w:val="57"/>
        </w:trPr>
        <w:tc>
          <w:tcPr>
            <w:tcW w:w="5301" w:type="dxa"/>
          </w:tcPr>
          <w:p w14:paraId="7FE224B7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b/>
                <w:lang w:val="es-ES_tradnl"/>
              </w:rPr>
            </w:pPr>
            <w:r w:rsidRPr="0005233A">
              <w:rPr>
                <w:b/>
                <w:lang w:val="es-ES_tradnl"/>
              </w:rPr>
              <w:t xml:space="preserve">Conferencia de las Partes en el Convenio </w:t>
            </w:r>
            <w:r w:rsidRPr="0005233A">
              <w:rPr>
                <w:b/>
                <w:lang w:val="es-ES_tradnl"/>
              </w:rPr>
              <w:br/>
              <w:t>de Minamata sobre el Mercurio</w:t>
            </w:r>
          </w:p>
          <w:p w14:paraId="21A77A9E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b/>
                <w:lang w:val="es-ES_tradnl"/>
              </w:rPr>
            </w:pPr>
            <w:r w:rsidRPr="0005233A">
              <w:rPr>
                <w:b/>
                <w:lang w:val="es-ES_tradnl"/>
              </w:rPr>
              <w:t xml:space="preserve">Sexta reunión </w:t>
            </w:r>
          </w:p>
          <w:p w14:paraId="3117B5DF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  <w:r w:rsidRPr="0005233A">
              <w:rPr>
                <w:lang w:val="es-ES_tradnl"/>
              </w:rPr>
              <w:t xml:space="preserve">Ginebra, 3 a 7 de noviembre de 2025 </w:t>
            </w:r>
          </w:p>
          <w:p w14:paraId="2C5DA0CC" w14:textId="3037583A" w:rsidR="0005233A" w:rsidRPr="007B2763" w:rsidRDefault="0005233A" w:rsidP="0005233A">
            <w:pPr>
              <w:pStyle w:val="AATitle1"/>
              <w:rPr>
                <w:lang w:val="es-ES_tradnl"/>
              </w:rPr>
            </w:pPr>
            <w:r w:rsidRPr="007B2763">
              <w:rPr>
                <w:color w:val="000000"/>
                <w:lang w:val="es-ES_tradnl"/>
              </w:rPr>
              <w:t>Tema 4 j) ii) del programa provisional</w:t>
            </w:r>
            <w:r>
              <w:rPr>
                <w:color w:val="000000"/>
                <w:lang w:val="es-ES_tradnl"/>
              </w:rPr>
              <w:t>*</w:t>
            </w:r>
            <w:r w:rsidRPr="007B2763">
              <w:rPr>
                <w:color w:val="000000"/>
                <w:lang w:val="es-ES_tradnl"/>
              </w:rPr>
              <w:t xml:space="preserve"> </w:t>
            </w:r>
          </w:p>
          <w:p w14:paraId="709FEA5F" w14:textId="007E3DC4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 w:after="120"/>
              <w:rPr>
                <w:b/>
                <w:lang w:val="es-ES_tradnl"/>
              </w:rPr>
            </w:pPr>
            <w:r w:rsidRPr="0005233A">
              <w:rPr>
                <w:b/>
                <w:color w:val="000000"/>
                <w:lang w:val="es-ES_tradnl"/>
              </w:rPr>
              <w:footnoteReference w:customMarkFollows="1" w:id="2"/>
              <w:t>Cuestiones para el examen o la adopción de medidas por la</w:t>
            </w:r>
            <w:r>
              <w:rPr>
                <w:b/>
                <w:color w:val="000000"/>
                <w:lang w:val="es-ES_tradnl"/>
              </w:rPr>
              <w:t> </w:t>
            </w:r>
            <w:r w:rsidRPr="0005233A">
              <w:rPr>
                <w:b/>
                <w:color w:val="000000"/>
                <w:lang w:val="es-ES_tradnl"/>
              </w:rPr>
              <w:t>Conferencia de las Partes: cuestiones transversales: aplicación de la decisión MC-5/15</w:t>
            </w:r>
          </w:p>
        </w:tc>
        <w:tc>
          <w:tcPr>
            <w:tcW w:w="4195" w:type="dxa"/>
          </w:tcPr>
          <w:p w14:paraId="41EF4229" w14:textId="77777777" w:rsidR="0005233A" w:rsidRPr="0005233A" w:rsidRDefault="0005233A" w:rsidP="0005233A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</w:tr>
    </w:tbl>
    <w:p w14:paraId="75733177" w14:textId="234BEB90" w:rsidR="00CA6081" w:rsidRPr="007B2763" w:rsidRDefault="00CA6081" w:rsidP="00CA6081">
      <w:pPr>
        <w:pStyle w:val="BBTitle"/>
        <w:rPr>
          <w:lang w:val="es-ES_tradnl"/>
        </w:rPr>
      </w:pPr>
      <w:r w:rsidRPr="007B2763">
        <w:rPr>
          <w:bCs/>
          <w:lang w:val="es-ES_tradnl"/>
        </w:rPr>
        <w:t>Actividades para abordar los problemas de salud de las mujeres y los niños en el bienio 2026-2027</w:t>
      </w:r>
    </w:p>
    <w:p w14:paraId="5F3D9AB7" w14:textId="77777777" w:rsidR="00CA6081" w:rsidRPr="007B2763" w:rsidRDefault="00CA6081" w:rsidP="00CA6081">
      <w:pPr>
        <w:pStyle w:val="CH2"/>
        <w:rPr>
          <w:lang w:val="es-ES_tradnl"/>
        </w:rPr>
      </w:pPr>
      <w:r w:rsidRPr="007B2763">
        <w:rPr>
          <w:lang w:val="es-ES_tradnl"/>
        </w:rPr>
        <w:tab/>
      </w:r>
      <w:r w:rsidRPr="007B2763">
        <w:rPr>
          <w:lang w:val="es-ES_tradnl"/>
        </w:rPr>
        <w:tab/>
      </w:r>
      <w:r w:rsidRPr="007B2763">
        <w:rPr>
          <w:bCs/>
          <w:lang w:val="es-ES_tradnl"/>
        </w:rPr>
        <w:t>Nota de la Secretaría</w:t>
      </w:r>
    </w:p>
    <w:p w14:paraId="59653B51" w14:textId="4993A04B" w:rsidR="00CA6081" w:rsidRPr="007B2763" w:rsidRDefault="00152D24" w:rsidP="00CA6081">
      <w:pPr>
        <w:pStyle w:val="CH1"/>
        <w:rPr>
          <w:lang w:val="es-ES_tradnl"/>
        </w:rPr>
      </w:pPr>
      <w:r w:rsidRPr="007B2763">
        <w:rPr>
          <w:bCs/>
          <w:lang w:val="es-ES_tradnl"/>
        </w:rPr>
        <w:tab/>
      </w:r>
      <w:r w:rsidR="00CA6081" w:rsidRPr="007B2763">
        <w:rPr>
          <w:bCs/>
          <w:lang w:val="es-ES_tradnl"/>
        </w:rPr>
        <w:t>I.</w:t>
      </w:r>
      <w:r w:rsidR="00CA6081" w:rsidRPr="007B2763">
        <w:rPr>
          <w:lang w:val="es-ES_tradnl"/>
        </w:rPr>
        <w:tab/>
      </w:r>
      <w:r w:rsidR="00CA6081" w:rsidRPr="007B2763">
        <w:rPr>
          <w:bCs/>
          <w:lang w:val="es-ES_tradnl"/>
        </w:rPr>
        <w:t>Introducción</w:t>
      </w:r>
    </w:p>
    <w:p w14:paraId="1BA16E4A" w14:textId="31FF4C86" w:rsidR="00CA6081" w:rsidRPr="007B2763" w:rsidRDefault="002432DF" w:rsidP="0031395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es-ES_tradnl"/>
        </w:rPr>
      </w:pPr>
      <w:r w:rsidRPr="007B2763">
        <w:rPr>
          <w:lang w:val="es-ES_tradnl"/>
        </w:rPr>
        <w:t xml:space="preserve">En varias partes del Convenio de Minamata sobre el Mercurio se presta especial atención a las necesidades de las poblaciones vulnerables, especialmente las mujeres y los niños. En el preámbulo del Convenio se ponen de relieve </w:t>
      </w:r>
      <w:r w:rsidR="00152D24" w:rsidRPr="007B2763">
        <w:rPr>
          <w:lang w:val="es-ES_tradnl"/>
        </w:rPr>
        <w:t>“</w:t>
      </w:r>
      <w:r w:rsidRPr="007B2763">
        <w:rPr>
          <w:lang w:val="es-ES_tradnl"/>
        </w:rPr>
        <w:t>los problemas de salud, especialmente en los países en desarrollo, derivados de la exposición al mercurio de las poblaciones vulnerables, en particular las mujeres, los niños y, a través de ellos, las generaciones venideras</w:t>
      </w:r>
      <w:r w:rsidR="00152D24" w:rsidRPr="007B2763">
        <w:rPr>
          <w:lang w:val="es-ES_tradnl"/>
        </w:rPr>
        <w:t>”</w:t>
      </w:r>
      <w:r w:rsidRPr="007B2763">
        <w:rPr>
          <w:lang w:val="es-ES_tradnl"/>
        </w:rPr>
        <w:t>. Además, varios artículos se refieren a las necesidades de los grupos y las poblaciones vulnerables, a saber: el artículo 16, sobre los aspectos relacionados con la salud; el artículo 18, sobre información, sensibilización y formación del público; el</w:t>
      </w:r>
      <w:r w:rsidR="0005233A">
        <w:rPr>
          <w:lang w:val="es-ES_tradnl"/>
        </w:rPr>
        <w:t> </w:t>
      </w:r>
      <w:r w:rsidRPr="007B2763">
        <w:rPr>
          <w:lang w:val="es-ES_tradnl"/>
        </w:rPr>
        <w:t>artículo 19, sobre investigación, desarrollo y vigilancia, y el artículo 22, sobre evaluación de la eficacia. Asimismo, en el anexo C del Convenio se establece que los planes nacionales de acción sobre la extracción de oro artesanal y en pequeña escala deben incluir estrategias para prevenir la exposición de las poblaciones vulnerables, en particular los niños y las mujeres en edad fértil (especialmente las embarazadas), al mercurio utilizado en ese tipo de extracción.</w:t>
      </w:r>
    </w:p>
    <w:p w14:paraId="1B10DAE3" w14:textId="55543143" w:rsidR="00CA6081" w:rsidRPr="007B2763" w:rsidRDefault="00CA6081" w:rsidP="0031395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es-ES_tradnl"/>
        </w:rPr>
      </w:pPr>
      <w:r w:rsidRPr="007B2763">
        <w:rPr>
          <w:lang w:val="es-ES_tradnl"/>
        </w:rPr>
        <w:t>En la decisión MC-5/15, relativa al plan de acción sobre el género, la Conferencia de las Partes invitó a las Partes a que llevasen a cabo actividades para abordar los problemas de salud de las mujeres y los niños durante el bienio 2024-2025, y solicitó a la Secretaría que</w:t>
      </w:r>
      <w:r w:rsidR="00152D24" w:rsidRPr="007B2763">
        <w:rPr>
          <w:lang w:val="es-ES_tradnl"/>
        </w:rPr>
        <w:t xml:space="preserve"> </w:t>
      </w:r>
      <w:r w:rsidRPr="007B2763">
        <w:rPr>
          <w:lang w:val="es-ES_tradnl"/>
        </w:rPr>
        <w:t>llevase a cabo actividades en ese sentido durante el mismo período. En el anexo I del documento UNEP/MC/COP.5/18 figura una lista de las posibles actividades que podrían llevarse a cabo con este fin. En la misma decisión, la Conferencia solicitó también a la Secretaría que examinase la aplicación del plan de acción sobre el género y propusiese actividades que podrían realizar la Secretaría, las Partes y otros interesados durante el bienio 2026-2027, según procediese, para que la Conferencia de las Partes las examinase en</w:t>
      </w:r>
      <w:r w:rsidR="00633C42">
        <w:rPr>
          <w:lang w:val="es-ES_tradnl"/>
        </w:rPr>
        <w:t> </w:t>
      </w:r>
      <w:r w:rsidRPr="007B2763">
        <w:rPr>
          <w:lang w:val="es-ES_tradnl"/>
        </w:rPr>
        <w:t>su sexta reunión.</w:t>
      </w:r>
      <w:bookmarkStart w:id="0" w:name="_Hlk203643755"/>
      <w:bookmarkEnd w:id="0"/>
    </w:p>
    <w:p w14:paraId="70A9ED4F" w14:textId="3F793D4E" w:rsidR="00CA6081" w:rsidRPr="007B2763" w:rsidRDefault="00152D24" w:rsidP="00CA6081">
      <w:pPr>
        <w:pStyle w:val="CH1"/>
        <w:rPr>
          <w:lang w:val="es-ES_tradnl"/>
        </w:rPr>
      </w:pPr>
      <w:r w:rsidRPr="007B2763">
        <w:rPr>
          <w:bCs/>
          <w:lang w:val="es-ES_tradnl"/>
        </w:rPr>
        <w:lastRenderedPageBreak/>
        <w:tab/>
      </w:r>
      <w:r w:rsidR="00CA6081" w:rsidRPr="007B2763">
        <w:rPr>
          <w:bCs/>
          <w:lang w:val="es-ES_tradnl"/>
        </w:rPr>
        <w:t>II.</w:t>
      </w:r>
      <w:r w:rsidR="00CA6081" w:rsidRPr="007B2763">
        <w:rPr>
          <w:lang w:val="es-ES_tradnl"/>
        </w:rPr>
        <w:tab/>
      </w:r>
      <w:r w:rsidR="00CA6081" w:rsidRPr="007B2763">
        <w:rPr>
          <w:bCs/>
          <w:lang w:val="es-ES_tradnl"/>
        </w:rPr>
        <w:t>Aplicación</w:t>
      </w:r>
    </w:p>
    <w:p w14:paraId="4201EE67" w14:textId="0F449AB9" w:rsidR="00CA6081" w:rsidRPr="007B2763" w:rsidRDefault="00CA6081" w:rsidP="00B6101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es-ES_tradnl"/>
        </w:rPr>
      </w:pPr>
      <w:r w:rsidRPr="007B2763">
        <w:rPr>
          <w:lang w:val="es-ES_tradnl"/>
        </w:rPr>
        <w:t>En el documento UNEP/MC/COP.6/INF/25 figura un examen de las actividades llevadas a cabo durante el bienio 2024-2025 para abordar los problemas de salud de las mujeres y los niños.</w:t>
      </w:r>
      <w:r w:rsidR="00152D24" w:rsidRPr="007B2763">
        <w:rPr>
          <w:lang w:val="es-ES_tradnl"/>
        </w:rPr>
        <w:t xml:space="preserve"> </w:t>
      </w:r>
      <w:r w:rsidRPr="007B2763">
        <w:rPr>
          <w:lang w:val="es-ES_tradnl"/>
        </w:rPr>
        <w:t>Sobre la base de los progresos alcanzados, la Secretaría ha determinado, para su examen por la Conferencia de las Partes en su sexta reunión, las actividades que podrían llevar a cabo la Secretaría y</w:t>
      </w:r>
      <w:r w:rsidR="00633C42">
        <w:rPr>
          <w:lang w:val="es-ES_tradnl"/>
        </w:rPr>
        <w:t> </w:t>
      </w:r>
      <w:r w:rsidRPr="007B2763">
        <w:rPr>
          <w:lang w:val="es-ES_tradnl"/>
        </w:rPr>
        <w:t xml:space="preserve">las Partes durante el bienio 2026-2027. En el párrafo 2 anexo I de la presente nota figura la lista de las actividades propuestas. </w:t>
      </w:r>
    </w:p>
    <w:p w14:paraId="5F23C540" w14:textId="0D61FF38" w:rsidR="00CA6081" w:rsidRPr="007B2763" w:rsidRDefault="00152D24" w:rsidP="00CA6081">
      <w:pPr>
        <w:pStyle w:val="CH1"/>
        <w:rPr>
          <w:lang w:val="es-ES_tradnl"/>
        </w:rPr>
      </w:pPr>
      <w:r w:rsidRPr="007B2763">
        <w:rPr>
          <w:bCs/>
          <w:lang w:val="es-ES_tradnl"/>
        </w:rPr>
        <w:tab/>
      </w:r>
      <w:r w:rsidR="00CA6081" w:rsidRPr="007B2763">
        <w:rPr>
          <w:bCs/>
          <w:lang w:val="es-ES_tradnl"/>
        </w:rPr>
        <w:t>III.</w:t>
      </w:r>
      <w:r w:rsidR="00CA6081" w:rsidRPr="007B2763">
        <w:rPr>
          <w:lang w:val="es-ES_tradnl"/>
        </w:rPr>
        <w:tab/>
      </w:r>
      <w:r w:rsidR="00CA6081" w:rsidRPr="007B2763">
        <w:rPr>
          <w:bCs/>
          <w:lang w:val="es-ES_tradnl"/>
        </w:rPr>
        <w:t>Medidas que podría adoptar la Conferencia de las Partes</w:t>
      </w:r>
    </w:p>
    <w:p w14:paraId="7A530E4D" w14:textId="77777777" w:rsidR="00CA6081" w:rsidRPr="007B2763" w:rsidRDefault="00CA6081" w:rsidP="00A70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es-ES_tradnl"/>
        </w:rPr>
      </w:pPr>
      <w:r w:rsidRPr="007B2763">
        <w:rPr>
          <w:lang w:val="es-ES_tradnl"/>
        </w:rPr>
        <w:t>La Conferencia de las Partes tal vez deseará examinar la información contenida en la presente nota y adoptar una decisión del tenor del texto que figura en su anexo II.</w:t>
      </w:r>
    </w:p>
    <w:p w14:paraId="5F5888F2" w14:textId="77777777" w:rsidR="00CA6081" w:rsidRPr="007B2763" w:rsidRDefault="00CA6081" w:rsidP="00CA6081">
      <w:pPr>
        <w:pStyle w:val="Normal-pool"/>
        <w:rPr>
          <w:lang w:val="es-ES_tradnl"/>
        </w:rPr>
        <w:sectPr w:rsidR="00CA6081" w:rsidRPr="007B2763" w:rsidSect="0031395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39" w:code="9"/>
          <w:pgMar w:top="907" w:right="992" w:bottom="1418" w:left="1418" w:header="539" w:footer="975" w:gutter="0"/>
          <w:cols w:space="539"/>
          <w:titlePg/>
          <w:docGrid w:linePitch="360"/>
        </w:sectPr>
      </w:pPr>
      <w:r w:rsidRPr="007B2763">
        <w:rPr>
          <w:lang w:val="es-ES_tradnl"/>
        </w:rPr>
        <w:br w:type="page"/>
      </w:r>
    </w:p>
    <w:p w14:paraId="628A982F" w14:textId="77777777" w:rsidR="00CA6081" w:rsidRPr="007B2763" w:rsidRDefault="00CA6081" w:rsidP="00CA6081">
      <w:pPr>
        <w:pStyle w:val="ZZAnxheader"/>
        <w:rPr>
          <w:lang w:val="es-ES_tradnl"/>
        </w:rPr>
      </w:pPr>
      <w:r w:rsidRPr="007B2763">
        <w:rPr>
          <w:lang w:val="es-ES_tradnl"/>
        </w:rPr>
        <w:lastRenderedPageBreak/>
        <w:t>Anexo I</w:t>
      </w:r>
    </w:p>
    <w:p w14:paraId="79FD2EF8" w14:textId="77777777" w:rsidR="00CA6081" w:rsidRPr="007B2763" w:rsidRDefault="00380364" w:rsidP="00CA6081">
      <w:pPr>
        <w:pStyle w:val="ZZAnxtitle"/>
        <w:rPr>
          <w:lang w:val="es-ES_tradnl"/>
        </w:rPr>
      </w:pPr>
      <w:r w:rsidRPr="007B2763">
        <w:rPr>
          <w:lang w:val="es-ES_tradnl"/>
        </w:rPr>
        <w:t>Actividades que la Secretaría y las Partes podrían llevar a cabo para abordar los problemas de salud de las mujeres y los niños durante el bienio 2026-2027</w:t>
      </w:r>
    </w:p>
    <w:p w14:paraId="00FFCF84" w14:textId="77777777" w:rsidR="00CA6081" w:rsidRPr="0005233A" w:rsidRDefault="00D7195C" w:rsidP="0005233A">
      <w:pPr>
        <w:pStyle w:val="Normalnumber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es-ES_tradnl"/>
        </w:rPr>
      </w:pPr>
      <w:r w:rsidRPr="0005233A">
        <w:rPr>
          <w:lang w:val="es-ES_tradnl"/>
        </w:rPr>
        <w:t xml:space="preserve">A </w:t>
      </w:r>
      <w:proofErr w:type="gramStart"/>
      <w:r w:rsidRPr="0005233A">
        <w:rPr>
          <w:lang w:val="es-ES_tradnl"/>
        </w:rPr>
        <w:t>continuación</w:t>
      </w:r>
      <w:proofErr w:type="gramEnd"/>
      <w:r w:rsidRPr="0005233A">
        <w:rPr>
          <w:lang w:val="es-ES_tradnl"/>
        </w:rPr>
        <w:t xml:space="preserve"> figura una lista de actividades que la Secretaría y las Partes podrían llevar a cabo para abordar los problemas de salud de las mujeres y los niños en el marco del programa de trabajo para el bienio 2026-2027, con sujeción a la disponibilidad de recursos procedentes de contribuciones básicas y voluntarias.</w:t>
      </w:r>
    </w:p>
    <w:p w14:paraId="70C8B253" w14:textId="77777777" w:rsidR="00CA6081" w:rsidRPr="007B2763" w:rsidRDefault="002433C9" w:rsidP="00313955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es-ES_tradnl"/>
        </w:rPr>
      </w:pPr>
      <w:r w:rsidRPr="007B2763">
        <w:rPr>
          <w:lang w:val="es-ES_tradnl"/>
        </w:rPr>
        <w:t>Entre las actividades que la Secretaría podría llevar a cabo se cuentan las siguientes:</w:t>
      </w:r>
    </w:p>
    <w:p w14:paraId="5E6DFCE8" w14:textId="77777777" w:rsidR="00CA6081" w:rsidRPr="007B2763" w:rsidRDefault="00CA6081" w:rsidP="00152D2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lang w:val="es-ES_tradnl"/>
        </w:rPr>
      </w:pPr>
      <w:r w:rsidRPr="007B2763">
        <w:rPr>
          <w:lang w:val="es-ES_tradnl"/>
        </w:rPr>
        <w:t>Apoyo a la integración y el seguimiento de estrategias para prevenir la exposición de las poblaciones vulnerables, en particular los niños y las mujeres en edad fértil (especialmente las embarazadas) al mercurio utilizado en la extracción de oro artesanal y en pequeña escala, según proceda, en los exámenes de los planes de acción nacionales que presenten las Partes de conformidad con el párrafo 3 c) del artículo 7, en colaboración con la Subdivisión de Productos Químicos y Salud del Programa de las Naciones Unidas para el Medio Ambiente;</w:t>
      </w:r>
    </w:p>
    <w:p w14:paraId="3C8C4518" w14:textId="1B92D29E" w:rsidR="00CA6081" w:rsidRPr="007B2763" w:rsidRDefault="00CA6081" w:rsidP="00152D2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lang w:val="es-ES_tradnl"/>
        </w:rPr>
      </w:pPr>
      <w:r w:rsidRPr="007B2763">
        <w:rPr>
          <w:lang w:val="es-ES_tradnl"/>
        </w:rPr>
        <w:t>Apoyo a la coordinación del grupo de mujeres del Convenio de Minamata sobre el</w:t>
      </w:r>
      <w:r w:rsidR="0005233A">
        <w:rPr>
          <w:lang w:val="es-ES_tradnl"/>
        </w:rPr>
        <w:t> </w:t>
      </w:r>
      <w:r w:rsidRPr="007B2763">
        <w:rPr>
          <w:lang w:val="es-ES_tradnl"/>
        </w:rPr>
        <w:t>Mercurio para avanzar en la igualdad y el empoderamiento de las mujeres en la aplicación del Convenio;</w:t>
      </w:r>
    </w:p>
    <w:p w14:paraId="6C438A60" w14:textId="77777777" w:rsidR="00CA6081" w:rsidRPr="007B2763" w:rsidRDefault="00CA6081" w:rsidP="00152D2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lang w:val="es-ES_tradnl"/>
        </w:rPr>
      </w:pPr>
      <w:r w:rsidRPr="007B2763">
        <w:rPr>
          <w:lang w:val="es-ES_tradnl"/>
        </w:rPr>
        <w:t xml:space="preserve">Recopilación de información de las Partes y otros interesados sobre las necesidades e intereses en materia de creación de capacidad con respecto a la exposición al mercurio de las mujeres y los niños. </w:t>
      </w:r>
    </w:p>
    <w:p w14:paraId="76206AD9" w14:textId="77777777" w:rsidR="00CA6081" w:rsidRPr="007B2763" w:rsidRDefault="00380364" w:rsidP="00313955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es-ES_tradnl"/>
        </w:rPr>
      </w:pPr>
      <w:r w:rsidRPr="007B2763">
        <w:rPr>
          <w:lang w:val="es-ES_tradnl"/>
        </w:rPr>
        <w:t>Entre las actividades que las Partes podrían llevar a cabo, en el ámbito de sus respectivas capacidades, se cuentan las siguientes:</w:t>
      </w:r>
    </w:p>
    <w:p w14:paraId="54B00F47" w14:textId="61137A1C" w:rsidR="00CA6081" w:rsidRPr="007B2763" w:rsidRDefault="00CA6081" w:rsidP="00152D2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lang w:val="es-ES_tradnl"/>
        </w:rPr>
      </w:pPr>
      <w:r w:rsidRPr="007B2763">
        <w:rPr>
          <w:lang w:val="es-ES_tradnl"/>
        </w:rPr>
        <w:t>Integración y seguimiento de estrategias para prevenir la exposición de las poblaciones vulnerables, en particular los niños y las mujeres en edad fértil (especialmente las embarazadas)</w:t>
      </w:r>
      <w:r w:rsidR="007B2763" w:rsidRPr="007B2763">
        <w:rPr>
          <w:lang w:val="es-ES_tradnl"/>
        </w:rPr>
        <w:t>,</w:t>
      </w:r>
      <w:r w:rsidRPr="007B2763">
        <w:rPr>
          <w:lang w:val="es-ES_tradnl"/>
        </w:rPr>
        <w:t xml:space="preserve"> al </w:t>
      </w:r>
      <w:r w:rsidRPr="0005233A">
        <w:rPr>
          <w:spacing w:val="-2"/>
          <w:lang w:val="es-ES_tradnl"/>
        </w:rPr>
        <w:t>mercurio utilizado en la extracción de oro artesanal y en pequeña escala, según proceda, en los exámenes de los planes de acción nacionales que presenten las Partes de conformidad con el párrafo 3</w:t>
      </w:r>
      <w:r w:rsidR="0005233A" w:rsidRPr="0005233A">
        <w:rPr>
          <w:spacing w:val="-2"/>
          <w:lang w:val="es-ES_tradnl"/>
        </w:rPr>
        <w:t> </w:t>
      </w:r>
      <w:r w:rsidRPr="0005233A">
        <w:rPr>
          <w:spacing w:val="-2"/>
          <w:lang w:val="es-ES_tradnl"/>
        </w:rPr>
        <w:t>c)</w:t>
      </w:r>
      <w:r w:rsidRPr="007B2763">
        <w:rPr>
          <w:lang w:val="es-ES_tradnl"/>
        </w:rPr>
        <w:t xml:space="preserve"> del artículo 7;</w:t>
      </w:r>
    </w:p>
    <w:p w14:paraId="0146E7CB" w14:textId="77777777" w:rsidR="00CA6081" w:rsidRPr="007B2763" w:rsidRDefault="00CA6081" w:rsidP="00152D2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lang w:val="es-ES_tradnl"/>
        </w:rPr>
      </w:pPr>
      <w:r w:rsidRPr="007B2763">
        <w:rPr>
          <w:lang w:val="es-ES_tradnl"/>
        </w:rPr>
        <w:t>Provisión de recursos financieros en apoyo de la participación de representantes del grupo de mujeres en las reuniones de la Conferencia de las Partes para avanzar en la igualdad y el empoderamiento de las mujeres en la aplicación del Convenio;</w:t>
      </w:r>
    </w:p>
    <w:p w14:paraId="183717C9" w14:textId="77777777" w:rsidR="00CA6081" w:rsidRPr="007B2763" w:rsidRDefault="00CA6081" w:rsidP="00152D2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lang w:val="es-ES_tradnl"/>
        </w:rPr>
      </w:pPr>
      <w:r w:rsidRPr="007B2763">
        <w:rPr>
          <w:lang w:val="es-ES_tradnl"/>
        </w:rPr>
        <w:t>Provisión de respuestas a las solicitudes de información para que la Secretaría pueda identificar las necesidades de creación de capacidad y los intereses de las Partes con respecto a la aplicación de la decisión MC-5/15, incluida la exposición de las mujeres y los niños al mercurio.</w:t>
      </w:r>
    </w:p>
    <w:p w14:paraId="149846FA" w14:textId="77777777" w:rsidR="00CA6081" w:rsidRPr="007B2763" w:rsidRDefault="00CA6081" w:rsidP="00313955">
      <w:pPr>
        <w:pStyle w:val="Normal-pool"/>
        <w:rPr>
          <w:lang w:val="es-ES_tradnl"/>
        </w:rPr>
      </w:pPr>
    </w:p>
    <w:p w14:paraId="30E79257" w14:textId="77777777" w:rsidR="00CA6081" w:rsidRPr="007B2763" w:rsidRDefault="00CA6081" w:rsidP="00CA6081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es-ES_tradnl"/>
        </w:rPr>
        <w:sectPr w:rsidR="00CA6081" w:rsidRPr="007B2763" w:rsidSect="00313955">
          <w:footnotePr>
            <w:numRestart w:val="eachSect"/>
          </w:footnotePr>
          <w:pgSz w:w="11907" w:h="16839" w:code="9"/>
          <w:pgMar w:top="907" w:right="992" w:bottom="1418" w:left="1418" w:header="539" w:footer="975" w:gutter="0"/>
          <w:cols w:space="539"/>
          <w:docGrid w:linePitch="360"/>
        </w:sectPr>
      </w:pPr>
    </w:p>
    <w:p w14:paraId="3EE5E790" w14:textId="77777777" w:rsidR="00CA6081" w:rsidRPr="007B2763" w:rsidRDefault="00CA6081" w:rsidP="00CA6081">
      <w:pPr>
        <w:pStyle w:val="ZZAnxheader"/>
        <w:rPr>
          <w:lang w:val="es-ES_tradnl"/>
        </w:rPr>
      </w:pPr>
      <w:r w:rsidRPr="007B2763">
        <w:rPr>
          <w:lang w:val="es-ES_tradnl"/>
        </w:rPr>
        <w:lastRenderedPageBreak/>
        <w:t>Anexo II</w:t>
      </w:r>
    </w:p>
    <w:p w14:paraId="14F15A3E" w14:textId="77777777" w:rsidR="00CA6081" w:rsidRPr="007B2763" w:rsidRDefault="00CA6081" w:rsidP="00CA6081">
      <w:pPr>
        <w:pStyle w:val="ZZAnxtitle"/>
        <w:rPr>
          <w:i/>
          <w:iCs/>
          <w:lang w:val="es-ES_tradnl"/>
        </w:rPr>
      </w:pPr>
      <w:r w:rsidRPr="007B2763">
        <w:rPr>
          <w:lang w:val="es-ES_tradnl"/>
        </w:rPr>
        <w:t>Proyecto de decisión MC-6</w:t>
      </w:r>
      <w:proofErr w:type="gramStart"/>
      <w:r w:rsidRPr="007B2763">
        <w:rPr>
          <w:lang w:val="es-ES_tradnl"/>
        </w:rPr>
        <w:t>/[</w:t>
      </w:r>
      <w:proofErr w:type="gramEnd"/>
      <w:r w:rsidRPr="007B2763">
        <w:rPr>
          <w:lang w:val="es-ES_tradnl"/>
        </w:rPr>
        <w:t>--]: formas de abordar problemas de salud de las mujeres y los niños</w:t>
      </w:r>
    </w:p>
    <w:p w14:paraId="0A1FACEE" w14:textId="77777777" w:rsidR="00CA6081" w:rsidRPr="007B2763" w:rsidRDefault="00CA6081" w:rsidP="00CA6081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i/>
          <w:iCs/>
          <w:lang w:val="es-ES_tradnl"/>
        </w:rPr>
      </w:pPr>
      <w:r w:rsidRPr="007B2763">
        <w:rPr>
          <w:i/>
          <w:iCs/>
          <w:lang w:val="es-ES_tradnl"/>
        </w:rPr>
        <w:t>La Conferencia de las Partes</w:t>
      </w:r>
    </w:p>
    <w:p w14:paraId="7C39E6F9" w14:textId="2B761816" w:rsidR="00CA6081" w:rsidRPr="007B2763" w:rsidRDefault="00CA6081" w:rsidP="00CA6081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_tradnl"/>
        </w:rPr>
      </w:pPr>
      <w:r w:rsidRPr="007B2763">
        <w:rPr>
          <w:i/>
          <w:iCs/>
          <w:lang w:val="es-ES_tradnl"/>
        </w:rPr>
        <w:t xml:space="preserve">Toma nota con aprecio </w:t>
      </w:r>
      <w:r w:rsidRPr="007B2763">
        <w:rPr>
          <w:lang w:val="es-ES_tradnl"/>
        </w:rPr>
        <w:t>de las actividades llevadas a cabo por la Secretaría, las Partes y otros interesados durante el bienio 2024-2025 para abordar las preocupaciones en materia de salud de las mujeres y los niños, como se sugiere en la decisión MC-5/15;</w:t>
      </w:r>
      <w:r w:rsidR="00152D24" w:rsidRPr="007B2763">
        <w:rPr>
          <w:lang w:val="es-ES_tradnl"/>
        </w:rPr>
        <w:t xml:space="preserve"> </w:t>
      </w:r>
    </w:p>
    <w:p w14:paraId="545EC75B" w14:textId="77777777" w:rsidR="00CA6081" w:rsidRPr="007B2763" w:rsidRDefault="00CA6081" w:rsidP="00CA6081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_tradnl"/>
        </w:rPr>
      </w:pPr>
      <w:r w:rsidRPr="007B2763">
        <w:rPr>
          <w:i/>
          <w:iCs/>
          <w:lang w:val="es-ES_tradnl"/>
        </w:rPr>
        <w:t xml:space="preserve">Invita </w:t>
      </w:r>
      <w:r w:rsidRPr="007B2763">
        <w:rPr>
          <w:lang w:val="es-ES_tradnl"/>
        </w:rPr>
        <w:t>a las Partes a que lleven a cabo actividades para abordar los problemas de salud de las mujeres y los niños durante el bienio 2026-2027</w:t>
      </w:r>
      <w:r w:rsidR="002B3522" w:rsidRPr="007B2763">
        <w:rPr>
          <w:rStyle w:val="FootnoteReference"/>
          <w:lang w:val="es-ES_tradnl"/>
        </w:rPr>
        <w:footnoteReference w:id="3"/>
      </w:r>
      <w:r w:rsidRPr="007B2763">
        <w:rPr>
          <w:lang w:val="es-ES_tradnl"/>
        </w:rPr>
        <w:t>, y a que compartan con la Secretaría sus experiencias y buenas prácticas conexas;</w:t>
      </w:r>
    </w:p>
    <w:p w14:paraId="5312D349" w14:textId="4B649F2D" w:rsidR="00CA6081" w:rsidRPr="007B2763" w:rsidRDefault="00CA6081" w:rsidP="00CA6081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_tradnl"/>
        </w:rPr>
      </w:pPr>
      <w:r w:rsidRPr="007B2763">
        <w:rPr>
          <w:i/>
          <w:iCs/>
          <w:lang w:val="es-ES_tradnl"/>
        </w:rPr>
        <w:t xml:space="preserve">Invita también </w:t>
      </w:r>
      <w:r w:rsidRPr="007B2763">
        <w:rPr>
          <w:lang w:val="es-ES_tradnl"/>
        </w:rPr>
        <w:t>a las Partes a que formulen observaciones, según proceda, sobre actividades que podrían llevar a cabo la Secretaría, las Partes y otros interesados durante el bienio</w:t>
      </w:r>
      <w:r w:rsidR="0005233A">
        <w:rPr>
          <w:lang w:val="es-ES_tradnl"/>
        </w:rPr>
        <w:t> </w:t>
      </w:r>
      <w:r w:rsidRPr="007B2763">
        <w:rPr>
          <w:lang w:val="es-ES_tradnl"/>
        </w:rPr>
        <w:t>2028</w:t>
      </w:r>
      <w:r w:rsidR="0005233A">
        <w:rPr>
          <w:lang w:val="es-ES_tradnl"/>
        </w:rPr>
        <w:noBreakHyphen/>
      </w:r>
      <w:r w:rsidRPr="007B2763">
        <w:rPr>
          <w:lang w:val="es-ES_tradnl"/>
        </w:rPr>
        <w:t>2029;</w:t>
      </w:r>
    </w:p>
    <w:p w14:paraId="14408092" w14:textId="77777777" w:rsidR="00CA6081" w:rsidRPr="007B2763" w:rsidRDefault="00CA6081" w:rsidP="00CA6081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_tradnl"/>
        </w:rPr>
      </w:pPr>
      <w:r w:rsidRPr="007B2763">
        <w:rPr>
          <w:i/>
          <w:iCs/>
          <w:lang w:val="es-ES_tradnl"/>
        </w:rPr>
        <w:t xml:space="preserve">Solicita </w:t>
      </w:r>
      <w:r w:rsidRPr="007B2763">
        <w:rPr>
          <w:lang w:val="es-ES_tradnl"/>
        </w:rPr>
        <w:t>a la Secretaría que lleve a cabo actividades para abordar los problemas de salud de las mujeres y los niños, enumerados en el anexo I del documento UNEP/MC/COP.6/18, durante el bienio 2026-2027</w:t>
      </w:r>
      <w:r w:rsidR="00687BAB" w:rsidRPr="007B2763">
        <w:rPr>
          <w:rStyle w:val="FootnoteReference"/>
          <w:lang w:val="es-ES_tradnl"/>
        </w:rPr>
        <w:footnoteReference w:id="4"/>
      </w:r>
      <w:r w:rsidRPr="007B2763">
        <w:rPr>
          <w:lang w:val="es-ES_tradnl"/>
        </w:rPr>
        <w:t xml:space="preserve">, con sujeción a la disponibilidad de recursos; </w:t>
      </w:r>
    </w:p>
    <w:p w14:paraId="09912DD8" w14:textId="3346909A" w:rsidR="00CA6081" w:rsidRPr="007B2763" w:rsidRDefault="00CA6081" w:rsidP="00CA6081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_tradnl"/>
        </w:rPr>
      </w:pPr>
      <w:r w:rsidRPr="007B2763">
        <w:rPr>
          <w:i/>
          <w:iCs/>
          <w:lang w:val="es-ES_tradnl"/>
        </w:rPr>
        <w:t xml:space="preserve">Solicita también </w:t>
      </w:r>
      <w:r w:rsidRPr="007B2763">
        <w:rPr>
          <w:lang w:val="es-ES_tradnl"/>
        </w:rPr>
        <w:t>a la Secretaría que rinda informe a la Conferencia de las Partes sobre la aplicación de la presente decisión y proponga actividades que podrían realizar la Secretaría, las Partes y otros interesados durante el bienio 2028-2029, según proced</w:t>
      </w:r>
      <w:r w:rsidR="007B2763">
        <w:rPr>
          <w:lang w:val="es-ES_tradnl"/>
        </w:rPr>
        <w:t>a</w:t>
      </w:r>
      <w:r w:rsidRPr="007B2763">
        <w:rPr>
          <w:lang w:val="es-ES_tradnl"/>
        </w:rPr>
        <w:t>, para que la Conferencia las examine en su séptima reunión.</w:t>
      </w:r>
    </w:p>
    <w:p w14:paraId="219871EA" w14:textId="77777777" w:rsidR="00CA6081" w:rsidRPr="007B2763" w:rsidRDefault="00CA6081" w:rsidP="00A7090E">
      <w:pPr>
        <w:pStyle w:val="Normal-pool"/>
        <w:rPr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CA6081" w:rsidRPr="00FA6A98" w14:paraId="6F7688A5" w14:textId="77777777" w:rsidTr="00CE3246">
        <w:tc>
          <w:tcPr>
            <w:tcW w:w="1897" w:type="dxa"/>
          </w:tcPr>
          <w:p w14:paraId="7056EB8E" w14:textId="77777777" w:rsidR="00CA6081" w:rsidRPr="007B2763" w:rsidRDefault="00CA6081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7" w:type="dxa"/>
          </w:tcPr>
          <w:p w14:paraId="5197A6B6" w14:textId="77777777" w:rsidR="00CA6081" w:rsidRPr="007B2763" w:rsidRDefault="00CA6081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1E38556" w14:textId="77777777" w:rsidR="00CA6081" w:rsidRPr="007B2763" w:rsidRDefault="00CA6081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8" w:type="dxa"/>
          </w:tcPr>
          <w:p w14:paraId="507EF953" w14:textId="77777777" w:rsidR="00CA6081" w:rsidRPr="007B2763" w:rsidRDefault="00CA6081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1898" w:type="dxa"/>
          </w:tcPr>
          <w:p w14:paraId="322FD120" w14:textId="77777777" w:rsidR="00CA6081" w:rsidRPr="007B2763" w:rsidRDefault="00CA6081">
            <w:pPr>
              <w:pStyle w:val="Normal-pool"/>
              <w:spacing w:before="520"/>
              <w:rPr>
                <w:lang w:val="es-ES_tradnl"/>
              </w:rPr>
            </w:pPr>
          </w:p>
        </w:tc>
      </w:tr>
    </w:tbl>
    <w:p w14:paraId="316521D8" w14:textId="77777777" w:rsidR="00035D73" w:rsidRPr="007B2763" w:rsidRDefault="00035D73" w:rsidP="00035D73">
      <w:pPr>
        <w:pStyle w:val="Normal-pool"/>
        <w:rPr>
          <w:lang w:val="es-ES_tradnl"/>
        </w:rPr>
      </w:pPr>
    </w:p>
    <w:sectPr w:rsidR="00035D73" w:rsidRPr="007B2763" w:rsidSect="00313955">
      <w:footerReference w:type="first" r:id="rId19"/>
      <w:pgSz w:w="11907" w:h="16839"/>
      <w:pgMar w:top="907" w:right="992" w:bottom="1418" w:left="1418" w:header="53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8A9B" w14:textId="77777777" w:rsidR="006A67AC" w:rsidRPr="00035D73" w:rsidRDefault="006A67AC" w:rsidP="00035D73">
      <w:r w:rsidRPr="00035D73">
        <w:separator/>
      </w:r>
    </w:p>
  </w:endnote>
  <w:endnote w:type="continuationSeparator" w:id="0">
    <w:p w14:paraId="7588F1B6" w14:textId="77777777" w:rsidR="006A67AC" w:rsidRPr="00035D73" w:rsidRDefault="006A67AC" w:rsidP="00035D73">
      <w:r w:rsidRPr="00035D73">
        <w:continuationSeparator/>
      </w:r>
    </w:p>
  </w:endnote>
  <w:endnote w:type="continuationNotice" w:id="1">
    <w:p w14:paraId="24E41EB6" w14:textId="77777777" w:rsidR="006A67AC" w:rsidRDefault="006A6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76A4" w14:textId="77777777" w:rsidR="00CA6081" w:rsidRPr="00313955" w:rsidRDefault="00313955" w:rsidP="00313955">
    <w:pPr>
      <w:pStyle w:val="Footer-pool"/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0C0A" w14:textId="77777777" w:rsidR="00CA6081" w:rsidRPr="00313955" w:rsidRDefault="00313955" w:rsidP="00313955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FB2" w14:textId="02792EBA" w:rsidR="00313955" w:rsidRDefault="00313955" w:rsidP="00313955">
    <w:pPr>
      <w:pStyle w:val="Footer-jobnumber"/>
    </w:pPr>
    <w:bookmarkStart w:id="1" w:name="FooterJobDate"/>
    <w:r>
      <w:t>K</w:t>
    </w:r>
    <w:r w:rsidR="008566C8">
      <w:t>2511077</w:t>
    </w:r>
    <w:r>
      <w:t>[</w:t>
    </w:r>
    <w:r w:rsidR="0005233A">
      <w:t>S</w:t>
    </w:r>
    <w:r>
      <w:t>]</w:t>
    </w:r>
    <w:r>
      <w:tab/>
    </w:r>
    <w:r w:rsidR="00405FFF">
      <w:t>2608</w:t>
    </w:r>
    <w:r>
      <w:t>25</w:t>
    </w:r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FB71" w14:textId="77777777" w:rsidR="00035D73" w:rsidRPr="00035D73" w:rsidRDefault="002D1143" w:rsidP="00035D73">
    <w:pPr>
      <w:pStyle w:val="Footer-jobnumber"/>
    </w:pPr>
    <w:r>
      <w:t>K2511077[E]</w:t>
    </w:r>
    <w:r>
      <w:tab/>
      <w:t>XX0725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2A1A" w14:textId="77777777" w:rsidR="006A67AC" w:rsidRPr="00035D73" w:rsidRDefault="006A67AC" w:rsidP="0005233A">
      <w:pPr>
        <w:spacing w:before="20" w:after="40"/>
        <w:ind w:left="624"/>
      </w:pPr>
      <w:r w:rsidRPr="00035D73">
        <w:separator/>
      </w:r>
    </w:p>
  </w:footnote>
  <w:footnote w:type="continuationSeparator" w:id="0">
    <w:p w14:paraId="086386B6" w14:textId="77777777" w:rsidR="006A67AC" w:rsidRPr="00035D73" w:rsidRDefault="006A67AC" w:rsidP="00035D73">
      <w:r w:rsidRPr="00035D73">
        <w:continuationSeparator/>
      </w:r>
    </w:p>
  </w:footnote>
  <w:footnote w:type="continuationNotice" w:id="1">
    <w:p w14:paraId="73F5E9C4" w14:textId="77777777" w:rsidR="006A67AC" w:rsidRDefault="006A67AC"/>
  </w:footnote>
  <w:footnote w:id="2">
    <w:p w14:paraId="4AA2E858" w14:textId="078F32A3" w:rsidR="0005233A" w:rsidRPr="00313955" w:rsidRDefault="0005233A" w:rsidP="0005233A">
      <w:pPr>
        <w:pStyle w:val="Footnote-Text"/>
      </w:pPr>
      <w:r>
        <w:rPr>
          <w:lang w:val="es-ES"/>
        </w:rPr>
        <w:t>* UNEP/MC/COP.6/1</w:t>
      </w:r>
      <w:r w:rsidR="00405FFF">
        <w:rPr>
          <w:lang w:val="es-ES"/>
        </w:rPr>
        <w:t>/Rev.1</w:t>
      </w:r>
      <w:r>
        <w:rPr>
          <w:lang w:val="es-ES"/>
        </w:rPr>
        <w:t>.</w:t>
      </w:r>
    </w:p>
  </w:footnote>
  <w:footnote w:id="3">
    <w:p w14:paraId="2CAA77F1" w14:textId="77777777" w:rsidR="002B3522" w:rsidRPr="00687BAB" w:rsidRDefault="002B3522" w:rsidP="00405608">
      <w:pPr>
        <w:pStyle w:val="Footnote-Text"/>
      </w:pPr>
      <w:r w:rsidRPr="00687BAB">
        <w:rPr>
          <w:rStyle w:val="FootnoteReference"/>
          <w:sz w:val="18"/>
          <w:lang w:val="es-ES"/>
        </w:rPr>
        <w:footnoteRef/>
      </w:r>
      <w:r>
        <w:rPr>
          <w:lang w:val="es-ES"/>
        </w:rPr>
        <w:t xml:space="preserve"> Las actividades propuestas figuran en el párrafo 3 del anexo I del documento UNEP/MC/COP.6/18.</w:t>
      </w:r>
    </w:p>
  </w:footnote>
  <w:footnote w:id="4">
    <w:p w14:paraId="22C812EC" w14:textId="77777777" w:rsidR="00687BAB" w:rsidRPr="00687BAB" w:rsidRDefault="00687BAB" w:rsidP="00405608">
      <w:pPr>
        <w:pStyle w:val="Footnote-Text"/>
      </w:pPr>
      <w:r w:rsidRPr="00687BAB">
        <w:rPr>
          <w:rStyle w:val="FootnoteReference"/>
          <w:sz w:val="18"/>
          <w:lang w:val="es-ES"/>
        </w:rPr>
        <w:footnoteRef/>
      </w:r>
      <w:r>
        <w:rPr>
          <w:lang w:val="es-ES"/>
        </w:rPr>
        <w:t xml:space="preserve"> Las actividades propuestas figuran en el párrafo 2 del anexo I del documento UNEP/MC/COP.6/18.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0AE7" w14:textId="77777777" w:rsidR="00CA6081" w:rsidRPr="00313955" w:rsidRDefault="000E5BB1" w:rsidP="00313955">
    <w:pPr>
      <w:pStyle w:val="Header-pool"/>
    </w:pPr>
    <w:r>
      <w:rPr>
        <w:noProof/>
      </w:rPr>
      <w:t>UNEP/MC/COP.6/18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DE3F" w14:textId="77777777" w:rsidR="00CA6081" w:rsidRPr="00313955" w:rsidRDefault="000E5BB1" w:rsidP="00313955">
    <w:pPr>
      <w:pStyle w:val="Header-pool"/>
      <w:jc w:val="right"/>
    </w:pPr>
    <w:r>
      <w:rPr>
        <w:noProof/>
      </w:rPr>
      <w:t>UNEP/MC/COP.6/18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9DB2" w14:textId="77777777" w:rsidR="00FA6A98" w:rsidRDefault="00FA6A98" w:rsidP="00C6798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C5CDD"/>
    <w:multiLevelType w:val="hybridMultilevel"/>
    <w:tmpl w:val="99EA1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946697C4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31" w:hanging="360"/>
      </w:p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1353149319">
    <w:abstractNumId w:val="14"/>
  </w:num>
  <w:num w:numId="17" w16cid:durableId="1526795446">
    <w:abstractNumId w:val="13"/>
  </w:num>
  <w:num w:numId="18" w16cid:durableId="1756635280">
    <w:abstractNumId w:val="14"/>
  </w:num>
  <w:num w:numId="19" w16cid:durableId="27218681">
    <w:abstractNumId w:val="14"/>
  </w:num>
  <w:num w:numId="20" w16cid:durableId="2055426847">
    <w:abstractNumId w:val="14"/>
  </w:num>
  <w:num w:numId="21" w16cid:durableId="1424183300">
    <w:abstractNumId w:val="14"/>
  </w:num>
  <w:num w:numId="22" w16cid:durableId="452137099">
    <w:abstractNumId w:val="14"/>
  </w:num>
  <w:num w:numId="23" w16cid:durableId="987981034">
    <w:abstractNumId w:val="14"/>
  </w:num>
  <w:num w:numId="24" w16cid:durableId="1573200423">
    <w:abstractNumId w:val="14"/>
  </w:num>
  <w:num w:numId="25" w16cid:durableId="1288464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624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072F0"/>
    <w:rsid w:val="0003483D"/>
    <w:rsid w:val="00035D73"/>
    <w:rsid w:val="0005233A"/>
    <w:rsid w:val="00065D99"/>
    <w:rsid w:val="00087F25"/>
    <w:rsid w:val="00093338"/>
    <w:rsid w:val="000B58BA"/>
    <w:rsid w:val="000D082A"/>
    <w:rsid w:val="000E2AEA"/>
    <w:rsid w:val="000E3633"/>
    <w:rsid w:val="000E5BB1"/>
    <w:rsid w:val="0011199C"/>
    <w:rsid w:val="00114B0E"/>
    <w:rsid w:val="00133C6E"/>
    <w:rsid w:val="00152D24"/>
    <w:rsid w:val="001672BE"/>
    <w:rsid w:val="00193D2F"/>
    <w:rsid w:val="00195A61"/>
    <w:rsid w:val="001A118F"/>
    <w:rsid w:val="001E0389"/>
    <w:rsid w:val="001E1FD6"/>
    <w:rsid w:val="001E5C22"/>
    <w:rsid w:val="00221E2A"/>
    <w:rsid w:val="00231E32"/>
    <w:rsid w:val="002432DF"/>
    <w:rsid w:val="002433C9"/>
    <w:rsid w:val="00251EF6"/>
    <w:rsid w:val="002757B1"/>
    <w:rsid w:val="00295E84"/>
    <w:rsid w:val="002B3522"/>
    <w:rsid w:val="002C246E"/>
    <w:rsid w:val="002D01DE"/>
    <w:rsid w:val="002D1143"/>
    <w:rsid w:val="002D403D"/>
    <w:rsid w:val="0031291D"/>
    <w:rsid w:val="00313955"/>
    <w:rsid w:val="00355191"/>
    <w:rsid w:val="00363B7C"/>
    <w:rsid w:val="00380364"/>
    <w:rsid w:val="003816A7"/>
    <w:rsid w:val="00395336"/>
    <w:rsid w:val="003A089C"/>
    <w:rsid w:val="003B33C3"/>
    <w:rsid w:val="003C0A84"/>
    <w:rsid w:val="003E38D5"/>
    <w:rsid w:val="00405608"/>
    <w:rsid w:val="00405FFF"/>
    <w:rsid w:val="00423BB8"/>
    <w:rsid w:val="0047650D"/>
    <w:rsid w:val="00477B9B"/>
    <w:rsid w:val="00494E7D"/>
    <w:rsid w:val="004C4398"/>
    <w:rsid w:val="004D4AA8"/>
    <w:rsid w:val="004D6431"/>
    <w:rsid w:val="004D6BC6"/>
    <w:rsid w:val="00505201"/>
    <w:rsid w:val="00512F21"/>
    <w:rsid w:val="00532A1E"/>
    <w:rsid w:val="00542DC2"/>
    <w:rsid w:val="005545A0"/>
    <w:rsid w:val="00564389"/>
    <w:rsid w:val="00581ECC"/>
    <w:rsid w:val="00583C88"/>
    <w:rsid w:val="00595A5D"/>
    <w:rsid w:val="005B2DD1"/>
    <w:rsid w:val="005C50B4"/>
    <w:rsid w:val="005C6C81"/>
    <w:rsid w:val="00600C67"/>
    <w:rsid w:val="00600D2F"/>
    <w:rsid w:val="006023EB"/>
    <w:rsid w:val="00610DA0"/>
    <w:rsid w:val="0061272E"/>
    <w:rsid w:val="00633C42"/>
    <w:rsid w:val="00640666"/>
    <w:rsid w:val="00686964"/>
    <w:rsid w:val="00687BAB"/>
    <w:rsid w:val="00694786"/>
    <w:rsid w:val="006A67AC"/>
    <w:rsid w:val="006B31EA"/>
    <w:rsid w:val="006F4329"/>
    <w:rsid w:val="0070106F"/>
    <w:rsid w:val="007234B6"/>
    <w:rsid w:val="0073450D"/>
    <w:rsid w:val="007625B6"/>
    <w:rsid w:val="00763F6B"/>
    <w:rsid w:val="0077371B"/>
    <w:rsid w:val="00774B59"/>
    <w:rsid w:val="00776F81"/>
    <w:rsid w:val="00781C64"/>
    <w:rsid w:val="007943A8"/>
    <w:rsid w:val="00797C76"/>
    <w:rsid w:val="007B082E"/>
    <w:rsid w:val="007B2763"/>
    <w:rsid w:val="007F01DB"/>
    <w:rsid w:val="007F1709"/>
    <w:rsid w:val="007F5FA1"/>
    <w:rsid w:val="00831DD1"/>
    <w:rsid w:val="00841337"/>
    <w:rsid w:val="00844B86"/>
    <w:rsid w:val="008566C8"/>
    <w:rsid w:val="00870B79"/>
    <w:rsid w:val="008874B1"/>
    <w:rsid w:val="008A3ABF"/>
    <w:rsid w:val="008D3797"/>
    <w:rsid w:val="008D4AD7"/>
    <w:rsid w:val="008E56CB"/>
    <w:rsid w:val="008E7A7D"/>
    <w:rsid w:val="00901545"/>
    <w:rsid w:val="00907084"/>
    <w:rsid w:val="009143CB"/>
    <w:rsid w:val="00923B05"/>
    <w:rsid w:val="00936D96"/>
    <w:rsid w:val="009421F6"/>
    <w:rsid w:val="009443D7"/>
    <w:rsid w:val="00945CDF"/>
    <w:rsid w:val="00974C3D"/>
    <w:rsid w:val="00991490"/>
    <w:rsid w:val="009C2F5E"/>
    <w:rsid w:val="009D1041"/>
    <w:rsid w:val="009D24E6"/>
    <w:rsid w:val="009D3219"/>
    <w:rsid w:val="009E46ED"/>
    <w:rsid w:val="00A367C5"/>
    <w:rsid w:val="00A45771"/>
    <w:rsid w:val="00A4585A"/>
    <w:rsid w:val="00A46251"/>
    <w:rsid w:val="00A5099F"/>
    <w:rsid w:val="00A64CD1"/>
    <w:rsid w:val="00A7090E"/>
    <w:rsid w:val="00A73540"/>
    <w:rsid w:val="00A76C3F"/>
    <w:rsid w:val="00A85906"/>
    <w:rsid w:val="00A94C8E"/>
    <w:rsid w:val="00AA2551"/>
    <w:rsid w:val="00AA4280"/>
    <w:rsid w:val="00AA595F"/>
    <w:rsid w:val="00AA6C04"/>
    <w:rsid w:val="00AA6CC7"/>
    <w:rsid w:val="00AC05D4"/>
    <w:rsid w:val="00AE4966"/>
    <w:rsid w:val="00AE5346"/>
    <w:rsid w:val="00AE780A"/>
    <w:rsid w:val="00AF5B40"/>
    <w:rsid w:val="00B029ED"/>
    <w:rsid w:val="00B201AA"/>
    <w:rsid w:val="00B2116A"/>
    <w:rsid w:val="00B30546"/>
    <w:rsid w:val="00B33513"/>
    <w:rsid w:val="00B60542"/>
    <w:rsid w:val="00B6101E"/>
    <w:rsid w:val="00B71282"/>
    <w:rsid w:val="00B812C6"/>
    <w:rsid w:val="00BC288E"/>
    <w:rsid w:val="00BC655A"/>
    <w:rsid w:val="00BD1083"/>
    <w:rsid w:val="00BE0953"/>
    <w:rsid w:val="00BF7C37"/>
    <w:rsid w:val="00C3305E"/>
    <w:rsid w:val="00C43585"/>
    <w:rsid w:val="00C57D12"/>
    <w:rsid w:val="00C67986"/>
    <w:rsid w:val="00C7194C"/>
    <w:rsid w:val="00C86E0A"/>
    <w:rsid w:val="00CA6081"/>
    <w:rsid w:val="00CB7115"/>
    <w:rsid w:val="00CD047B"/>
    <w:rsid w:val="00CD38C0"/>
    <w:rsid w:val="00CE3246"/>
    <w:rsid w:val="00CE6E33"/>
    <w:rsid w:val="00CF59FC"/>
    <w:rsid w:val="00CF6AC9"/>
    <w:rsid w:val="00D0024C"/>
    <w:rsid w:val="00D05C84"/>
    <w:rsid w:val="00D36B1A"/>
    <w:rsid w:val="00D53C8E"/>
    <w:rsid w:val="00D66391"/>
    <w:rsid w:val="00D7195C"/>
    <w:rsid w:val="00D93C8D"/>
    <w:rsid w:val="00D950F3"/>
    <w:rsid w:val="00DA45B2"/>
    <w:rsid w:val="00DA5B81"/>
    <w:rsid w:val="00DA5D2D"/>
    <w:rsid w:val="00DB1586"/>
    <w:rsid w:val="00DC6170"/>
    <w:rsid w:val="00DC6E92"/>
    <w:rsid w:val="00DF376D"/>
    <w:rsid w:val="00E315C7"/>
    <w:rsid w:val="00E559DB"/>
    <w:rsid w:val="00E73787"/>
    <w:rsid w:val="00E75DE8"/>
    <w:rsid w:val="00E80BF4"/>
    <w:rsid w:val="00E8470E"/>
    <w:rsid w:val="00EA04C1"/>
    <w:rsid w:val="00EA4BD4"/>
    <w:rsid w:val="00EB1CF3"/>
    <w:rsid w:val="00EC1FCB"/>
    <w:rsid w:val="00ED0B0C"/>
    <w:rsid w:val="00ED0B98"/>
    <w:rsid w:val="00EE1EAD"/>
    <w:rsid w:val="00EE6025"/>
    <w:rsid w:val="00EF1732"/>
    <w:rsid w:val="00EF7E65"/>
    <w:rsid w:val="00F31243"/>
    <w:rsid w:val="00F7048E"/>
    <w:rsid w:val="00F92CEC"/>
    <w:rsid w:val="00F94D94"/>
    <w:rsid w:val="00FA51F5"/>
    <w:rsid w:val="00FA6A98"/>
    <w:rsid w:val="00FB7F54"/>
    <w:rsid w:val="00FC42D0"/>
    <w:rsid w:val="00FC4654"/>
    <w:rsid w:val="00FE0614"/>
    <w:rsid w:val="18B7E063"/>
    <w:rsid w:val="2333A7DC"/>
    <w:rsid w:val="2677F87F"/>
    <w:rsid w:val="283A36A6"/>
    <w:rsid w:val="44A09B17"/>
    <w:rsid w:val="4B3E2F47"/>
    <w:rsid w:val="57E2AC69"/>
    <w:rsid w:val="604DD408"/>
    <w:rsid w:val="77702006"/>
    <w:rsid w:val="7F14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CC278"/>
  <w15:chartTrackingRefBased/>
  <w15:docId w15:val="{4E2C0D24-334B-47CB-B4EC-7EB9A023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81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D73"/>
    <w:rPr>
      <w:rFonts w:ascii="Times New Roman" w:eastAsia="Times New Roman" w:hAnsi="Times New Roman" w:cs="Times New Roman"/>
      <w:b/>
      <w:kern w:val="0"/>
      <w:sz w:val="28"/>
      <w:szCs w:val="28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035D73"/>
    <w:rPr>
      <w:rFonts w:ascii="Times New Roman" w:eastAsia="Times New Roman" w:hAnsi="Times New Roman" w:cs="Times New Roman"/>
      <w:b/>
      <w:kern w:val="0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7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7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7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GB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035D73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35D73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uiPriority w:val="99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uiPriority w:val="39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035D73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035D73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CA608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BBTitleChar">
    <w:name w:val="BB_Title Char"/>
    <w:link w:val="BBTitle"/>
    <w:rsid w:val="00CA6081"/>
    <w:rPr>
      <w:rFonts w:ascii="Times New Roman" w:eastAsia="Times New Roman" w:hAnsi="Times New Roman" w:cs="Times New Roman"/>
      <w:b/>
      <w:kern w:val="0"/>
      <w:sz w:val="28"/>
      <w:szCs w:val="28"/>
      <w:lang w:eastAsia="en-US"/>
      <w14:ligatures w14:val="none"/>
    </w:rPr>
  </w:style>
  <w:style w:type="character" w:customStyle="1" w:styleId="CH2Char">
    <w:name w:val="CH2 Char"/>
    <w:link w:val="CH2"/>
    <w:rsid w:val="00CA6081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313955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B305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  <ds:schemaRef ds:uri="822da31b-d518-49e2-88cd-1351ccd720a8"/>
  </ds:schemaRefs>
</ds:datastoreItem>
</file>

<file path=customXml/itemProps2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41270-949B-4150-9B7B-B62F9465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4CBD0-3D7F-457C-90FC-AEC01F446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1086</Words>
  <Characters>6194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7</cp:revision>
  <cp:lastPrinted>2025-07-31T07:53:00Z</cp:lastPrinted>
  <dcterms:created xsi:type="dcterms:W3CDTF">2025-07-23T09:50:00Z</dcterms:created>
  <dcterms:modified xsi:type="dcterms:W3CDTF">2025-08-26T09:10:00Z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pablo.alvarez@un.org</vt:lpwstr>
  </property>
  <property fmtid="{D5CDD505-2E9C-101B-9397-08002B2CF9AE}" pid="14" name="GeneratedDate">
    <vt:lpwstr>07/23/2025 08:42:19</vt:lpwstr>
  </property>
  <property fmtid="{D5CDD505-2E9C-101B-9397-08002B2CF9AE}" pid="15" name="OriginalDocID">
    <vt:lpwstr>25cf4aab-7877-4e65-bdcb-b241682add4e</vt:lpwstr>
  </property>
</Properties>
</file>