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shd w:val="clear" w:color="auto" w:fill="auto"/>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shd w:val="clear" w:color="auto" w:fill="auto"/>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shd w:val="clear" w:color="auto" w:fill="auto"/>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2A978D24" w:rsidR="00061BBD" w:rsidRPr="00761D88" w:rsidRDefault="00F10E16" w:rsidP="00061BBD">
            <w:pPr>
              <w:pStyle w:val="ASymbol"/>
              <w:rPr>
                <w:lang w:val="en-US"/>
              </w:rPr>
            </w:pPr>
            <w:r w:rsidRPr="00F10E16">
              <w:rPr>
                <w:b/>
                <w:bCs/>
                <w:sz w:val="28"/>
                <w:szCs w:val="28"/>
              </w:rPr>
              <w:t>UNEP</w:t>
            </w:r>
            <w:r w:rsidRPr="00F10E16">
              <w:t>/MC/COP.</w:t>
            </w:r>
            <w:r w:rsidR="00761D88">
              <w:t>6/1</w:t>
            </w:r>
            <w:r w:rsidR="00D1639A">
              <w:t>8</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shd w:val="clear" w:color="auto" w:fill="auto"/>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shd w:val="clear" w:color="auto" w:fill="auto"/>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shd w:val="clear" w:color="auto" w:fill="auto"/>
          </w:tcPr>
          <w:p w14:paraId="126C65C8" w14:textId="4BAE629C" w:rsidR="00061BBD" w:rsidRDefault="00061BBD" w:rsidP="00061BBD">
            <w:pPr>
              <w:pStyle w:val="AText"/>
            </w:pPr>
            <w:r>
              <w:t xml:space="preserve">Distr.: </w:t>
            </w:r>
            <w:r w:rsidR="000B13FD">
              <w:t>General</w:t>
            </w:r>
            <w:r>
              <w:br/>
            </w:r>
            <w:r w:rsidR="00D1639A">
              <w:t>7 July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shd w:val="clear" w:color="auto" w:fill="auto"/>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466116A3" w14:textId="77777777" w:rsidR="00061BBD" w:rsidRDefault="00061BBD" w:rsidP="00C950C2">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6BFF9C56" w14:textId="4BF73FFE" w:rsidR="00C950C2" w:rsidRPr="00C950C2" w:rsidRDefault="00C950C2" w:rsidP="00C950C2">
            <w:pPr>
              <w:pStyle w:val="AATitle1"/>
              <w:tabs>
                <w:tab w:val="clear" w:pos="624"/>
                <w:tab w:val="clear" w:pos="1247"/>
                <w:tab w:val="clear" w:pos="1871"/>
                <w:tab w:val="clear" w:pos="2495"/>
                <w:tab w:val="clear" w:pos="3119"/>
                <w:tab w:val="clear" w:pos="3742"/>
                <w:tab w:val="clear" w:pos="4366"/>
              </w:tabs>
              <w:bidi/>
              <w:spacing w:line="340" w:lineRule="exact"/>
              <w:ind w:left="11"/>
              <w:jc w:val="both"/>
              <w:textDirection w:val="tbRlV"/>
              <w:rPr>
                <w:rFonts w:ascii="Simplified Arabic" w:hAnsi="Simplified Arabic" w:cs="Simplified Arabic"/>
                <w:sz w:val="28"/>
                <w:szCs w:val="28"/>
                <w:lang w:val="ar-SA" w:eastAsia="zh-TW" w:bidi="en-GB"/>
              </w:rPr>
            </w:pPr>
            <w:bookmarkStart w:id="3" w:name="CorNot1AgItem"/>
            <w:r w:rsidRPr="00C950C2">
              <w:rPr>
                <w:rFonts w:ascii="Simplified Arabic" w:hAnsi="Simplified Arabic" w:cs="Simplified Arabic"/>
                <w:color w:val="000000"/>
                <w:sz w:val="24"/>
                <w:szCs w:val="24"/>
                <w:rtl/>
              </w:rPr>
              <w:t>البند 4 (ي)</w:t>
            </w:r>
            <w:r w:rsidRPr="00C950C2">
              <w:rPr>
                <w:rFonts w:ascii="Simplified Arabic" w:hAnsi="Simplified Arabic" w:cs="Simplified Arabic"/>
                <w:color w:val="000000"/>
                <w:sz w:val="24"/>
                <w:szCs w:val="24"/>
              </w:rPr>
              <w:t xml:space="preserve">’ </w:t>
            </w:r>
            <w:r w:rsidRPr="00C950C2">
              <w:rPr>
                <w:rFonts w:ascii="Simplified Arabic" w:hAnsi="Simplified Arabic" w:cs="Simplified Arabic"/>
                <w:color w:val="000000"/>
                <w:sz w:val="24"/>
                <w:szCs w:val="24"/>
                <w:rtl/>
              </w:rPr>
              <w:t>2‘ من جدول الأعمال المؤقت</w:t>
            </w:r>
            <w:bookmarkStart w:id="4" w:name="_Hlk76459712"/>
            <w:bookmarkEnd w:id="3"/>
            <w:bookmarkEnd w:id="4"/>
            <w:r w:rsidRPr="00C950C2">
              <w:rPr>
                <w:rStyle w:val="FootnoteReference"/>
                <w:rFonts w:ascii="Simplified Arabic" w:hAnsi="Simplified Arabic" w:cs="Simplified Arabic"/>
                <w:color w:val="000000"/>
                <w:sz w:val="28"/>
                <w:szCs w:val="28"/>
              </w:rPr>
              <w:footnoteReference w:customMarkFollows="1" w:id="2"/>
              <w:t>*</w:t>
            </w:r>
          </w:p>
          <w:p w14:paraId="35024D45" w14:textId="3CC121AE" w:rsidR="00C950C2" w:rsidRPr="00D64E4F" w:rsidRDefault="00B770C6" w:rsidP="00D64E4F">
            <w:pPr>
              <w:pStyle w:val="ARAATitle2"/>
              <w:tabs>
                <w:tab w:val="clear" w:pos="1247"/>
                <w:tab w:val="clear" w:pos="1871"/>
                <w:tab w:val="clear" w:pos="2495"/>
                <w:tab w:val="clear" w:pos="3119"/>
                <w:tab w:val="clear" w:pos="3742"/>
                <w:tab w:val="clear" w:pos="4366"/>
              </w:tabs>
              <w:spacing w:before="80" w:after="360" w:line="340" w:lineRule="exact"/>
              <w:ind w:left="11" w:right="1979"/>
              <w:jc w:val="both"/>
              <w:rPr>
                <w:sz w:val="22"/>
                <w:szCs w:val="22"/>
                <w:lang w:val="en-US"/>
              </w:rPr>
            </w:pPr>
            <w:bookmarkStart w:id="5" w:name="CorNot1AgTitle"/>
            <w:r>
              <w:rPr>
                <w:rFonts w:hint="cs"/>
                <w:color w:val="000000"/>
                <w:sz w:val="22"/>
                <w:szCs w:val="22"/>
                <w:rtl/>
              </w:rPr>
              <w:t xml:space="preserve">مسائل </w:t>
            </w:r>
            <w:r w:rsidR="00C950C2" w:rsidRPr="00D64E4F">
              <w:rPr>
                <w:color w:val="000000"/>
                <w:sz w:val="22"/>
                <w:szCs w:val="22"/>
                <w:rtl/>
              </w:rPr>
              <w:t>تُعرَض على مؤتمر الأطراف لكي ينظر فيها أو يتخذ إجراءً بشأنها: المسائل الشاملة: تنفيذ المقرر ا م-5/15</w:t>
            </w:r>
            <w:bookmarkEnd w:id="5"/>
          </w:p>
        </w:tc>
        <w:tc>
          <w:tcPr>
            <w:tcW w:w="4401" w:type="dxa"/>
            <w:shd w:val="clear" w:color="auto" w:fill="auto"/>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552E814D" w14:textId="5AA52338" w:rsidR="00B416A5" w:rsidRPr="009E4B42" w:rsidRDefault="00B416A5" w:rsidP="009E4B42">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lang w:val="ar-SA" w:eastAsia="zh-TW" w:bidi="en-GB"/>
        </w:rPr>
      </w:pPr>
      <w:r w:rsidRPr="009E4B42">
        <w:rPr>
          <w:rFonts w:ascii="Simplified Arabic" w:hAnsi="Simplified Arabic" w:cs="Simplified Arabic"/>
          <w:bCs/>
          <w:sz w:val="30"/>
          <w:szCs w:val="30"/>
          <w:rtl/>
        </w:rPr>
        <w:t>أنشطة لمعالجة الشواغل الصحية للنساء والأطفال في فترة السنتين 2026-2027</w:t>
      </w:r>
    </w:p>
    <w:p w14:paraId="74233F3C" w14:textId="50E2CB2E" w:rsidR="00B416A5" w:rsidRPr="009E4B42" w:rsidRDefault="00B416A5" w:rsidP="009E4B42">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lang w:val="ar-SA" w:eastAsia="zh-TW" w:bidi="en-GB"/>
        </w:rPr>
      </w:pPr>
      <w:r w:rsidRPr="009E4B42">
        <w:rPr>
          <w:rFonts w:ascii="Simplified Arabic" w:hAnsi="Simplified Arabic" w:cs="Simplified Arabic"/>
          <w:bCs/>
          <w:sz w:val="28"/>
          <w:szCs w:val="28"/>
          <w:rtl/>
        </w:rPr>
        <w:t>مذكرة من الأمانة</w:t>
      </w:r>
    </w:p>
    <w:p w14:paraId="073DDFF4" w14:textId="465E3CCD" w:rsidR="00B416A5" w:rsidRPr="009E4B42" w:rsidRDefault="00B416A5" w:rsidP="009E4B42">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6"/>
          <w:szCs w:val="26"/>
          <w:lang w:val="ar-SA" w:eastAsia="zh-TW" w:bidi="en-GB"/>
        </w:rPr>
      </w:pPr>
      <w:r w:rsidRPr="009E4B42">
        <w:rPr>
          <w:rFonts w:ascii="Simplified Arabic" w:hAnsi="Simplified Arabic" w:cs="Simplified Arabic"/>
          <w:bCs/>
          <w:sz w:val="26"/>
          <w:szCs w:val="26"/>
          <w:rtl/>
        </w:rPr>
        <w:t>أولا</w:t>
      </w:r>
      <w:r w:rsidR="00D5611A" w:rsidRPr="009E4B42">
        <w:rPr>
          <w:rFonts w:ascii="Simplified Arabic" w:hAnsi="Simplified Arabic" w:cs="Simplified Arabic" w:hint="cs"/>
          <w:bCs/>
          <w:sz w:val="26"/>
          <w:szCs w:val="26"/>
          <w:rtl/>
        </w:rPr>
        <w:t>ً</w:t>
      </w:r>
      <w:r w:rsidRPr="009E4B42">
        <w:rPr>
          <w:rFonts w:ascii="Simplified Arabic" w:hAnsi="Simplified Arabic" w:cs="Simplified Arabic"/>
          <w:bCs/>
          <w:sz w:val="26"/>
          <w:szCs w:val="26"/>
          <w:rtl/>
        </w:rPr>
        <w:t>-</w:t>
      </w:r>
      <w:r w:rsidRPr="009E4B42">
        <w:rPr>
          <w:rFonts w:ascii="Simplified Arabic" w:hAnsi="Simplified Arabic" w:cs="Simplified Arabic"/>
          <w:sz w:val="26"/>
          <w:szCs w:val="26"/>
          <w:rtl/>
        </w:rPr>
        <w:tab/>
      </w:r>
      <w:r w:rsidRPr="009E4B42">
        <w:rPr>
          <w:rFonts w:ascii="Simplified Arabic" w:hAnsi="Simplified Arabic" w:cs="Simplified Arabic"/>
          <w:bCs/>
          <w:sz w:val="26"/>
          <w:szCs w:val="26"/>
          <w:rtl/>
        </w:rPr>
        <w:t>مقدمة</w:t>
      </w:r>
    </w:p>
    <w:p w14:paraId="6BC5508E" w14:textId="150833DF" w:rsidR="00B416A5" w:rsidRPr="00B416A5" w:rsidRDefault="00B416A5" w:rsidP="006F1AC3">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في عدة أجزاء من اتفاقية ميناماتا بشأن الزئبق، يُولى اهتمام خاص لاحتياجات الفئات السكانية الضعيفة، وخصوصا النساء والأطفال. وتُسلط ديباجة الاتفاقية الضوء على</w:t>
      </w:r>
      <w:r w:rsidR="00B74A0B">
        <w:rPr>
          <w:rFonts w:ascii="Simplified Arabic" w:hAnsi="Simplified Arabic" w:cs="Simplified Arabic"/>
          <w:sz w:val="24"/>
          <w:szCs w:val="24"/>
        </w:rPr>
        <w:t xml:space="preserve">” </w:t>
      </w:r>
      <w:r w:rsidRPr="00B416A5">
        <w:rPr>
          <w:rFonts w:ascii="Simplified Arabic" w:hAnsi="Simplified Arabic" w:cs="Simplified Arabic"/>
          <w:sz w:val="24"/>
          <w:szCs w:val="24"/>
          <w:rtl/>
        </w:rPr>
        <w:t>الشواغل الصحية، خصوصاً في البلدان النامية، الناجمة عن التعرُّض للزئبق، بالنسبة للفئات السكانية الضعيفة، وخصوصاً الأطفال والنساء، ومن خلالهم الأجيال القادمة</w:t>
      </w:r>
      <w:r w:rsidR="00812B98" w:rsidRPr="00812B98">
        <w:rPr>
          <w:rFonts w:ascii="Simplified Arabic" w:hAnsi="Simplified Arabic" w:cs="Simplified Arabic"/>
          <w:sz w:val="24"/>
          <w:szCs w:val="24"/>
        </w:rPr>
        <w:t>“</w:t>
      </w:r>
      <w:r w:rsidRPr="00B416A5">
        <w:rPr>
          <w:rFonts w:ascii="Simplified Arabic" w:hAnsi="Simplified Arabic" w:cs="Simplified Arabic"/>
          <w:sz w:val="24"/>
          <w:szCs w:val="24"/>
          <w:rtl/>
        </w:rPr>
        <w:t>. وإضافةً إلى ذلك، فإن المادة 16 المتعلقة بالجوانب الصحية، والمادة 18، المتعلقة بإعلام الجمهور وتوعيته وتثقيفه، والمادة 19، المتعلقة بالبحوث والتطوير والرصد، والمادة 22، المتعلقة بتقييمات الفعالية، تشير جميعها إلى احتياجات المجموعات والفئات السكانية الضعيفة. وفضلا عن ذلك، ينص المرفق جيم للاتفاقية على أن خطط العمل الوطنية لتعدين الذهب الحرفي والضيق النطاق يتعين أن تُدرَج فيها استراتيجيات لمنع تعرض الفئات السكانية الضعيفة للزئبق المستخدم في ذلك التعدين، لا سيما الأطفال والنساء في سن الإنجاب، وبخاصة النساء الحوامل.</w:t>
      </w:r>
    </w:p>
    <w:p w14:paraId="0BB04B47" w14:textId="031140FB" w:rsidR="00B416A5" w:rsidRPr="00B416A5" w:rsidRDefault="00B416A5" w:rsidP="006F1AC3">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 xml:space="preserve">ودعا مؤتمر الأطراف، في المقرر ا م-5/15، بشأن خطة العمل الجنسانية، الأطراف إلى تنفيذ أنشطة لمعالجة الشواغل الصحية للنساء والأطفال خلال فترة السنتين 2024-2025، وطلب إلى الأمانة الاضطلاع بذلك. وترد في المرفق الأول للوثيقة </w:t>
      </w:r>
      <w:r w:rsidRPr="00D5611A">
        <w:rPr>
          <w:rFonts w:asciiTheme="majorBidi" w:hAnsiTheme="majorBidi" w:cstheme="majorBidi"/>
          <w:sz w:val="22"/>
          <w:szCs w:val="22"/>
        </w:rPr>
        <w:t>UNEP/MC/COP.5/18</w:t>
      </w:r>
      <w:r w:rsidRPr="00B416A5">
        <w:rPr>
          <w:rFonts w:ascii="Simplified Arabic" w:hAnsi="Simplified Arabic" w:cs="Simplified Arabic"/>
          <w:sz w:val="24"/>
          <w:szCs w:val="24"/>
          <w:rtl/>
        </w:rPr>
        <w:t xml:space="preserve"> قائمة بالأنشطة التي يمكن القيام بها لتحقيق هذه الغاية. وفي المقرر نفسه، طلب المؤتمر أيضاً إلى الأمانة، رهناً بتوافر الموارد، أن تقترح الأنشطة التي يمكن أن تضطلع </w:t>
      </w:r>
      <w:r w:rsidRPr="00B416A5">
        <w:rPr>
          <w:rFonts w:ascii="Simplified Arabic" w:hAnsi="Simplified Arabic" w:cs="Simplified Arabic"/>
          <w:sz w:val="24"/>
          <w:szCs w:val="24"/>
          <w:rtl/>
        </w:rPr>
        <w:lastRenderedPageBreak/>
        <w:t>بها الأمانة والأطراف وأصحاب المصلحة الآخرون خلال فترة السنتين 2026-2027، حسب الاقتضاء، لكي ينظر فيها المؤتمر في اجتماعه السادس.</w:t>
      </w:r>
      <w:bookmarkStart w:id="6" w:name="_Hlk203643755"/>
      <w:bookmarkEnd w:id="6"/>
    </w:p>
    <w:p w14:paraId="0544A7A8" w14:textId="284F5459" w:rsidR="00B416A5" w:rsidRPr="009E4B42" w:rsidRDefault="00B416A5" w:rsidP="009E4B42">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9E4B42">
        <w:rPr>
          <w:rFonts w:ascii="Simplified Arabic" w:hAnsi="Simplified Arabic" w:cs="Simplified Arabic"/>
          <w:bCs/>
          <w:sz w:val="26"/>
          <w:szCs w:val="26"/>
          <w:rtl/>
        </w:rPr>
        <w:t>ثانيا</w:t>
      </w:r>
      <w:r w:rsidR="00D5611A" w:rsidRPr="009E4B42">
        <w:rPr>
          <w:rFonts w:ascii="Simplified Arabic" w:hAnsi="Simplified Arabic" w:cs="Simplified Arabic" w:hint="cs"/>
          <w:bCs/>
          <w:sz w:val="26"/>
          <w:szCs w:val="26"/>
          <w:rtl/>
        </w:rPr>
        <w:t>ً</w:t>
      </w:r>
      <w:r w:rsidRPr="009E4B42">
        <w:rPr>
          <w:rFonts w:ascii="Simplified Arabic" w:hAnsi="Simplified Arabic" w:cs="Simplified Arabic"/>
          <w:bCs/>
          <w:sz w:val="26"/>
          <w:szCs w:val="26"/>
          <w:rtl/>
        </w:rPr>
        <w:t>-</w:t>
      </w:r>
      <w:r w:rsidRPr="009E4B42">
        <w:rPr>
          <w:rFonts w:ascii="Simplified Arabic" w:hAnsi="Simplified Arabic" w:cs="Simplified Arabic"/>
          <w:bCs/>
          <w:sz w:val="26"/>
          <w:szCs w:val="26"/>
          <w:rtl/>
        </w:rPr>
        <w:tab/>
        <w:t>التنفيذ</w:t>
      </w:r>
    </w:p>
    <w:p w14:paraId="35E088BC" w14:textId="4B25704A" w:rsidR="00B416A5" w:rsidRPr="00B416A5" w:rsidRDefault="00B416A5" w:rsidP="006F1AC3">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 xml:space="preserve">يرد في الوثيقة </w:t>
      </w:r>
      <w:r w:rsidRPr="009E4B42">
        <w:rPr>
          <w:rFonts w:asciiTheme="majorBidi" w:hAnsiTheme="majorBidi" w:cstheme="majorBidi"/>
          <w:sz w:val="22"/>
          <w:szCs w:val="22"/>
        </w:rPr>
        <w:t>UNEP/MC/COP.6/INF/25</w:t>
      </w:r>
      <w:r w:rsidRPr="00B416A5">
        <w:rPr>
          <w:rFonts w:ascii="Simplified Arabic" w:hAnsi="Simplified Arabic" w:cs="Simplified Arabic"/>
          <w:sz w:val="24"/>
          <w:szCs w:val="24"/>
          <w:rtl/>
        </w:rPr>
        <w:t xml:space="preserve"> استعراض للأنشطة التي نُفِّذت خلال فترة السنتين 2024-2025 لمعالجة الشواغل الصحية للنساء والأطفال. واستناداً إلى التقدم المحرز، حددت الأمانة الأنشطة التي يمكن أن تضطلع بها الأمانة والأطراف خلال فترة السنتين 2026-2027، لكي ينظر فيها مؤتمر الأطراف في اجتماعه السادس. وترد قائمة بالأنشطة المقترحة في الفقرة 2 من المرفق الأول لهذه المذكرة.</w:t>
      </w:r>
    </w:p>
    <w:p w14:paraId="01EA70B0" w14:textId="0663A5F0" w:rsidR="00B416A5" w:rsidRPr="009E4B42" w:rsidRDefault="00B416A5" w:rsidP="009E4B42">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9E4B42">
        <w:rPr>
          <w:rFonts w:ascii="Simplified Arabic" w:hAnsi="Simplified Arabic" w:cs="Simplified Arabic"/>
          <w:bCs/>
          <w:sz w:val="26"/>
          <w:szCs w:val="26"/>
          <w:rtl/>
        </w:rPr>
        <w:t>ثالثا</w:t>
      </w:r>
      <w:r w:rsidR="00D5611A" w:rsidRPr="009E4B42">
        <w:rPr>
          <w:rFonts w:ascii="Simplified Arabic" w:hAnsi="Simplified Arabic" w:cs="Simplified Arabic" w:hint="cs"/>
          <w:bCs/>
          <w:sz w:val="26"/>
          <w:szCs w:val="26"/>
          <w:rtl/>
        </w:rPr>
        <w:t>ً</w:t>
      </w:r>
      <w:r w:rsidRPr="009E4B42">
        <w:rPr>
          <w:rFonts w:ascii="Simplified Arabic" w:hAnsi="Simplified Arabic" w:cs="Simplified Arabic"/>
          <w:bCs/>
          <w:sz w:val="26"/>
          <w:szCs w:val="26"/>
          <w:rtl/>
        </w:rPr>
        <w:t>-</w:t>
      </w:r>
      <w:r w:rsidRPr="009E4B42">
        <w:rPr>
          <w:rFonts w:ascii="Simplified Arabic" w:hAnsi="Simplified Arabic" w:cs="Simplified Arabic"/>
          <w:bCs/>
          <w:sz w:val="26"/>
          <w:szCs w:val="26"/>
          <w:rtl/>
        </w:rPr>
        <w:tab/>
        <w:t>الإجراء الذي يُقترح أن يتخذه مؤتمر الأطراف</w:t>
      </w:r>
    </w:p>
    <w:p w14:paraId="19F1C1FE" w14:textId="77777777" w:rsidR="00B416A5" w:rsidRPr="00B416A5" w:rsidRDefault="00B416A5" w:rsidP="006F1AC3">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قد يرغب مؤتمر الأطراف في النظر في المعلومات الواردة في هذه المذكرة واعتماد مقرر على النحو المقترح في المرفق الثاني.</w:t>
      </w:r>
    </w:p>
    <w:p w14:paraId="43A640E0" w14:textId="77777777" w:rsidR="00D5611A" w:rsidRDefault="00D5611A">
      <w:pPr>
        <w:tabs>
          <w:tab w:val="clear" w:pos="1247"/>
          <w:tab w:val="clear" w:pos="1814"/>
          <w:tab w:val="clear" w:pos="2381"/>
          <w:tab w:val="clear" w:pos="2948"/>
          <w:tab w:val="clear" w:pos="3515"/>
        </w:tabs>
        <w:spacing w:after="160" w:line="259" w:lineRule="auto"/>
        <w:rPr>
          <w:rFonts w:ascii="Simplified Arabic" w:hAnsi="Simplified Arabic" w:cs="Simplified Arabic"/>
          <w:b/>
          <w:bCs/>
          <w:sz w:val="24"/>
          <w:szCs w:val="24"/>
          <w:rtl/>
          <w:lang w:val="en-US"/>
        </w:rPr>
      </w:pPr>
      <w:r>
        <w:rPr>
          <w:rFonts w:ascii="Simplified Arabic" w:hAnsi="Simplified Arabic" w:cs="Simplified Arabic"/>
          <w:sz w:val="24"/>
          <w:szCs w:val="24"/>
        </w:rPr>
        <w:br w:type="page"/>
      </w:r>
    </w:p>
    <w:p w14:paraId="60C8782E" w14:textId="237B1375" w:rsidR="00B416A5" w:rsidRPr="009E4B42" w:rsidRDefault="00B416A5" w:rsidP="009E4B42">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lang w:val="ar-SA" w:eastAsia="zh-TW" w:bidi="en-GB"/>
        </w:rPr>
      </w:pPr>
      <w:r w:rsidRPr="009E4B42">
        <w:rPr>
          <w:rFonts w:ascii="Simplified Arabic" w:hAnsi="Simplified Arabic" w:cs="Simplified Arabic"/>
          <w:sz w:val="30"/>
          <w:szCs w:val="30"/>
          <w:rtl/>
        </w:rPr>
        <w:lastRenderedPageBreak/>
        <w:t>المرفق الأول</w:t>
      </w:r>
    </w:p>
    <w:p w14:paraId="05B7611E" w14:textId="66B2E831" w:rsidR="00B416A5" w:rsidRPr="009E4B42" w:rsidRDefault="00B416A5" w:rsidP="009E4B42">
      <w:pPr>
        <w:pStyle w:val="ZZAnxtitle"/>
        <w:tabs>
          <w:tab w:val="clear" w:pos="624"/>
          <w:tab w:val="clear" w:pos="1247"/>
          <w:tab w:val="clear" w:pos="1871"/>
          <w:tab w:val="clear" w:pos="2495"/>
          <w:tab w:val="clear" w:pos="3119"/>
          <w:tab w:val="clear" w:pos="3742"/>
          <w:tab w:val="clear" w:pos="4366"/>
        </w:tabs>
        <w:bidi/>
        <w:spacing w:before="0" w:after="240" w:line="400" w:lineRule="exact"/>
        <w:ind w:left="1134"/>
        <w:jc w:val="both"/>
        <w:textDirection w:val="tbRlV"/>
        <w:rPr>
          <w:rFonts w:ascii="Simplified Arabic" w:hAnsi="Simplified Arabic" w:cs="Simplified Arabic"/>
          <w:szCs w:val="28"/>
        </w:rPr>
      </w:pPr>
      <w:r w:rsidRPr="009E4B42">
        <w:rPr>
          <w:rFonts w:ascii="Simplified Arabic" w:hAnsi="Simplified Arabic" w:cs="Simplified Arabic"/>
          <w:szCs w:val="28"/>
          <w:rtl/>
        </w:rPr>
        <w:t>الأنشطة التي يمكن أن تضطلع بها الأمانة والأطراف لمعالجة الشواغل الصحية للنساء والأطفال خلال فترة السنتين 2026-2027</w:t>
      </w:r>
    </w:p>
    <w:p w14:paraId="67157EA8" w14:textId="77777777" w:rsidR="00B416A5" w:rsidRPr="00B416A5" w:rsidRDefault="00B416A5" w:rsidP="006F1AC3">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ترد فيما يلي قائمة بالأنشطة التي يمكن أن تضطلع بها الأمانة والأطراف لمعالجة الشواغل الصحية للنساء والأطفال في إطار برنامج العمل لفترة السنتين 2026-2027، رهناً بتوافر الموارد من المساهمات الأساسية والتبرعات.</w:t>
      </w:r>
    </w:p>
    <w:p w14:paraId="3EA8ED2A" w14:textId="77777777" w:rsidR="00B416A5" w:rsidRPr="00B416A5" w:rsidRDefault="00B416A5" w:rsidP="006F1AC3">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وتشمل الأنشطة التي يمكن أن تضطلع بها الأمانة ما يلي:</w:t>
      </w:r>
    </w:p>
    <w:p w14:paraId="719F40F1" w14:textId="3BB00F67" w:rsidR="00B416A5" w:rsidRPr="00B416A5" w:rsidRDefault="00B416A5" w:rsidP="006F1AC3">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دعم إدماج ورصد الاستراتيجيات الرامية إلى منع تعرض السكان المعرضين للخطر، ولا سيما الأطفال والنساء في سن الإنجاب، وبخاصة الحوامل، للزئبق المستخدم في تعدين الذهب الحرفي والضيق النطاق، حسب الاقتضاء، في استعراضات خطط العمل الوطنية التي ستقدمها الأطراف عملاً بالفقرة 3 (ج) من المادة 7، وذلك بالتعاون مع فرع المواد الكيميائية والصحة التابع لبرنامج الأمم المتحدة للبيئة؛</w:t>
      </w:r>
    </w:p>
    <w:p w14:paraId="058B51D8" w14:textId="1B82C199" w:rsidR="00B416A5" w:rsidRPr="00B416A5" w:rsidRDefault="00B416A5" w:rsidP="006F1AC3">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دعم تنسيق التجمع النسائي لاتفاقية ميناماتا بشأن الزئبق للنهوض بالمساواة وتمكين المرأة في تنفيذ الاتفاقية؛</w:t>
      </w:r>
    </w:p>
    <w:p w14:paraId="4CCF7B59" w14:textId="70C7E0F7" w:rsidR="00B416A5" w:rsidRPr="00B416A5" w:rsidRDefault="00B416A5" w:rsidP="006F1AC3">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جمع المعلومات من الأطراف وأصحاب المصلحة الآخرين بشأن احتياجاتها ومصالحها الخاصة ببناء القدرات فيما يتعلق بتعرض النساء والأطفال للزئبق.</w:t>
      </w:r>
    </w:p>
    <w:p w14:paraId="4EBBE1CB" w14:textId="77777777" w:rsidR="00B416A5" w:rsidRPr="00B416A5" w:rsidRDefault="00B416A5" w:rsidP="006F1AC3">
      <w:pPr>
        <w:pStyle w:val="Normalnumber"/>
        <w:numPr>
          <w:ilvl w:val="0"/>
          <w:numId w:val="1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وتشمل الأنشطة التي يمكن للأطراف الاضطلاع بها، في نطاق قدرات كل منها، ما يلي:</w:t>
      </w:r>
    </w:p>
    <w:p w14:paraId="18D20822" w14:textId="210C9073" w:rsidR="00B416A5" w:rsidRPr="00B416A5" w:rsidRDefault="00B416A5" w:rsidP="006F1AC3">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إدماج ورصد تنفيذ الاستراتيجيات الرامية إلى منع تعرض السكان المعرضين للخطر، ولا سيما الأطفال والنساء في سن الإنجاب، وبخاصة الحوامل، للزئبق المستخدم في تعدين الذهب الحرفي والضيق النطاق، حسب الاقتضاء، في استعراضات خطط العمل الوطنية التي ستقدم عملاً بالفقرة 3 (ج) من المادة 7؛</w:t>
      </w:r>
    </w:p>
    <w:p w14:paraId="4C8EBC98" w14:textId="2B33D110" w:rsidR="00B416A5" w:rsidRPr="00B416A5" w:rsidRDefault="00B416A5" w:rsidP="006F1AC3">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توفير الموارد المالية لدعم مشاركة ممثلات التجمع النسائي في اجتماعات مؤتمر الأطراف للنهوض بالمساواة وتمكين المرأة في تنفيذ الاتفاقية؛</w:t>
      </w:r>
    </w:p>
    <w:p w14:paraId="1AE5EE8F" w14:textId="0B4F7918" w:rsidR="00B416A5" w:rsidRPr="00B416A5" w:rsidRDefault="00B416A5" w:rsidP="006F1AC3">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416A5">
        <w:rPr>
          <w:rFonts w:ascii="Simplified Arabic" w:hAnsi="Simplified Arabic" w:cs="Simplified Arabic"/>
          <w:sz w:val="24"/>
          <w:szCs w:val="24"/>
          <w:rtl/>
        </w:rPr>
        <w:t>الاستجابة لطلبات الحصول على معلومات لتمكين الأمانة من تحديد احتياجات ومصالح الأطراف الخاصة ببناء فيما يتعلق بتنفيذ المقرر ا م-5/15، بما يشمل تعرض النساء والأطفال للزئبق.</w:t>
      </w:r>
    </w:p>
    <w:p w14:paraId="7869F6B5" w14:textId="77777777" w:rsidR="00D5611A" w:rsidRDefault="00D5611A">
      <w:pPr>
        <w:tabs>
          <w:tab w:val="clear" w:pos="1247"/>
          <w:tab w:val="clear" w:pos="1814"/>
          <w:tab w:val="clear" w:pos="2381"/>
          <w:tab w:val="clear" w:pos="2948"/>
          <w:tab w:val="clear" w:pos="3515"/>
        </w:tabs>
        <w:spacing w:after="160" w:line="259" w:lineRule="auto"/>
        <w:rPr>
          <w:rFonts w:ascii="Simplified Arabic" w:hAnsi="Simplified Arabic" w:cs="Simplified Arabic"/>
          <w:b/>
          <w:bCs/>
          <w:sz w:val="24"/>
          <w:szCs w:val="24"/>
          <w:rtl/>
          <w:lang w:val="en-US"/>
        </w:rPr>
      </w:pPr>
      <w:r>
        <w:rPr>
          <w:rFonts w:ascii="Simplified Arabic" w:hAnsi="Simplified Arabic" w:cs="Simplified Arabic"/>
          <w:sz w:val="24"/>
          <w:szCs w:val="24"/>
        </w:rPr>
        <w:br w:type="page"/>
      </w:r>
    </w:p>
    <w:p w14:paraId="5731D8F3" w14:textId="7F5B9B83" w:rsidR="00B416A5" w:rsidRPr="009E4B42" w:rsidRDefault="00B416A5" w:rsidP="009E4B42">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rPr>
      </w:pPr>
      <w:r w:rsidRPr="009E4B42">
        <w:rPr>
          <w:rFonts w:ascii="Simplified Arabic" w:hAnsi="Simplified Arabic" w:cs="Simplified Arabic"/>
          <w:sz w:val="30"/>
          <w:szCs w:val="30"/>
          <w:rtl/>
        </w:rPr>
        <w:lastRenderedPageBreak/>
        <w:t>المرفق الثاني</w:t>
      </w:r>
    </w:p>
    <w:p w14:paraId="2E5CCB67" w14:textId="42859E31" w:rsidR="00B416A5" w:rsidRPr="00D867D5" w:rsidRDefault="00B416A5" w:rsidP="009E4B42">
      <w:pPr>
        <w:pStyle w:val="ZZAnxtitle"/>
        <w:tabs>
          <w:tab w:val="clear" w:pos="624"/>
          <w:tab w:val="clear" w:pos="1247"/>
          <w:tab w:val="clear" w:pos="1871"/>
          <w:tab w:val="clear" w:pos="2495"/>
          <w:tab w:val="clear" w:pos="3119"/>
          <w:tab w:val="clear" w:pos="3742"/>
          <w:tab w:val="clear" w:pos="4366"/>
        </w:tabs>
        <w:bidi/>
        <w:spacing w:before="0" w:after="240" w:line="400" w:lineRule="exact"/>
        <w:ind w:left="1134"/>
        <w:jc w:val="both"/>
        <w:textDirection w:val="tbRlV"/>
        <w:rPr>
          <w:rFonts w:ascii="Simplified Arabic" w:hAnsi="Simplified Arabic" w:cs="Simplified Arabic"/>
          <w:szCs w:val="28"/>
          <w:lang w:val="ar-SA" w:eastAsia="zh-TW" w:bidi="en-GB"/>
        </w:rPr>
      </w:pPr>
      <w:r w:rsidRPr="009E4B42">
        <w:rPr>
          <w:rFonts w:ascii="Simplified Arabic" w:hAnsi="Simplified Arabic" w:cs="Simplified Arabic"/>
          <w:szCs w:val="28"/>
          <w:rtl/>
        </w:rPr>
        <w:t xml:space="preserve">مشروع المقرر </w:t>
      </w:r>
      <w:r w:rsidR="00F60D46" w:rsidRPr="006E09A1">
        <w:rPr>
          <w:rFonts w:ascii="Simplified Arabic" w:hAnsi="Simplified Arabic" w:cs="Simplified Arabic"/>
          <w:szCs w:val="28"/>
          <w:rtl/>
        </w:rPr>
        <w:t>ا</w:t>
      </w:r>
      <w:r w:rsidR="006E09A1">
        <w:rPr>
          <w:rFonts w:ascii="Simplified Arabic" w:hAnsi="Simplified Arabic" w:cs="Simplified Arabic" w:hint="cs"/>
          <w:szCs w:val="28"/>
          <w:rtl/>
        </w:rPr>
        <w:t xml:space="preserve"> </w:t>
      </w:r>
      <w:r w:rsidR="00F60D46" w:rsidRPr="006E09A1">
        <w:rPr>
          <w:rFonts w:ascii="Simplified Arabic" w:hAnsi="Simplified Arabic" w:cs="Simplified Arabic"/>
          <w:szCs w:val="28"/>
          <w:rtl/>
        </w:rPr>
        <w:t>م</w:t>
      </w:r>
      <w:r w:rsidRPr="009E4B42">
        <w:rPr>
          <w:rFonts w:ascii="Simplified Arabic" w:hAnsi="Simplified Arabic" w:cs="Simplified Arabic"/>
          <w:szCs w:val="28"/>
          <w:rtl/>
        </w:rPr>
        <w:t>-6/</w:t>
      </w:r>
      <w:r w:rsidR="00615785" w:rsidRPr="009E4B42">
        <w:rPr>
          <w:rFonts w:ascii="Simplified Arabic" w:hAnsi="Simplified Arabic" w:cs="Simplified Arabic"/>
          <w:szCs w:val="28"/>
        </w:rPr>
        <w:t>:</w:t>
      </w:r>
      <w:r w:rsidRPr="009E4B42">
        <w:rPr>
          <w:rFonts w:ascii="Simplified Arabic" w:hAnsi="Simplified Arabic" w:cs="Simplified Arabic"/>
          <w:szCs w:val="28"/>
        </w:rPr>
        <w:t>[--]</w:t>
      </w:r>
      <w:r w:rsidRPr="009E4B42">
        <w:rPr>
          <w:rFonts w:ascii="Simplified Arabic" w:hAnsi="Simplified Arabic" w:cs="Simplified Arabic"/>
          <w:szCs w:val="28"/>
          <w:rtl/>
        </w:rPr>
        <w:t xml:space="preserve"> معالجة الشواغل الصحية للنساء والأطفال</w:t>
      </w:r>
    </w:p>
    <w:p w14:paraId="38F40230" w14:textId="77777777" w:rsidR="00B416A5" w:rsidRPr="00B416A5" w:rsidRDefault="00B416A5" w:rsidP="009E4B42">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B416A5">
        <w:rPr>
          <w:rFonts w:ascii="Simplified Arabic" w:hAnsi="Simplified Arabic" w:cs="Simplified Arabic"/>
          <w:i/>
          <w:iCs/>
          <w:sz w:val="24"/>
          <w:szCs w:val="24"/>
          <w:rtl/>
        </w:rPr>
        <w:t>إن مؤتمر الأطراف،</w:t>
      </w:r>
    </w:p>
    <w:p w14:paraId="0404C821" w14:textId="4B12B2AF" w:rsidR="00B416A5" w:rsidRPr="00B416A5" w:rsidRDefault="00B416A5" w:rsidP="006F1AC3">
      <w:pPr>
        <w:pStyle w:val="Normal-pool"/>
        <w:numPr>
          <w:ilvl w:val="0"/>
          <w:numId w:val="17"/>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D92F7F">
        <w:rPr>
          <w:rFonts w:ascii="Simplified Arabic" w:hAnsi="Simplified Arabic" w:cs="Simplified Arabic"/>
          <w:i/>
          <w:iCs/>
          <w:sz w:val="24"/>
          <w:szCs w:val="24"/>
          <w:rtl/>
        </w:rPr>
        <w:t xml:space="preserve">يحيط </w:t>
      </w:r>
      <w:r w:rsidRPr="005E0798">
        <w:rPr>
          <w:rFonts w:ascii="Simplified Arabic" w:hAnsi="Simplified Arabic" w:cs="Simplified Arabic"/>
          <w:i/>
          <w:iCs/>
          <w:sz w:val="24"/>
          <w:szCs w:val="24"/>
          <w:rtl/>
        </w:rPr>
        <w:t>علماً مع التقدير</w:t>
      </w:r>
      <w:r w:rsidRPr="00B416A5">
        <w:rPr>
          <w:rFonts w:ascii="Simplified Arabic" w:hAnsi="Simplified Arabic" w:cs="Simplified Arabic"/>
          <w:sz w:val="24"/>
          <w:szCs w:val="24"/>
          <w:rtl/>
        </w:rPr>
        <w:t xml:space="preserve"> بالأنشطة التي اضطلعت بها الأمانة والأطراف وأصحاب المصلحة الآخرون خلال فترة السنتين 2024-2025 لمعالجة الشواغل الصحية للنساء والأطفال، على النحو المقترح في المقرر ا م-5/15؛</w:t>
      </w:r>
    </w:p>
    <w:p w14:paraId="467E418D" w14:textId="7FD052C8" w:rsidR="00B416A5" w:rsidRPr="00B416A5" w:rsidRDefault="00B416A5" w:rsidP="006F1AC3">
      <w:pPr>
        <w:pStyle w:val="Normal-pool"/>
        <w:numPr>
          <w:ilvl w:val="0"/>
          <w:numId w:val="17"/>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D92F7F">
        <w:rPr>
          <w:rFonts w:ascii="Simplified Arabic" w:hAnsi="Simplified Arabic" w:cs="Simplified Arabic"/>
          <w:i/>
          <w:iCs/>
          <w:sz w:val="24"/>
          <w:szCs w:val="24"/>
          <w:rtl/>
        </w:rPr>
        <w:t>يدعو</w:t>
      </w:r>
      <w:r w:rsidRPr="00B416A5">
        <w:rPr>
          <w:rFonts w:ascii="Simplified Arabic" w:hAnsi="Simplified Arabic" w:cs="Simplified Arabic"/>
          <w:sz w:val="24"/>
          <w:szCs w:val="24"/>
          <w:rtl/>
        </w:rPr>
        <w:t xml:space="preserve"> الأطراف إلى الاضطلاع بأنشطة لمعالجة الشواغل الصحية للنساء والأطفال خلال فترة السنتين 2026-2027</w:t>
      </w:r>
      <w:r w:rsidRPr="00B416A5">
        <w:rPr>
          <w:rFonts w:ascii="Simplified Arabic" w:hAnsi="Simplified Arabic" w:cs="Simplified Arabic"/>
          <w:sz w:val="24"/>
          <w:szCs w:val="24"/>
          <w:vertAlign w:val="superscript"/>
          <w:rtl/>
        </w:rPr>
        <w:t>(</w:t>
      </w:r>
      <w:r w:rsidRPr="00B416A5">
        <w:rPr>
          <w:rStyle w:val="FootnoteReference"/>
          <w:rFonts w:ascii="Simplified Arabic" w:hAnsi="Simplified Arabic" w:cs="Simplified Arabic"/>
          <w:sz w:val="24"/>
          <w:szCs w:val="24"/>
          <w:rtl/>
        </w:rPr>
        <w:footnoteReference w:id="3"/>
      </w:r>
      <w:r w:rsidRPr="00B416A5">
        <w:rPr>
          <w:rFonts w:ascii="Simplified Arabic" w:hAnsi="Simplified Arabic" w:cs="Simplified Arabic"/>
          <w:sz w:val="24"/>
          <w:szCs w:val="24"/>
          <w:vertAlign w:val="superscript"/>
          <w:rtl/>
        </w:rPr>
        <w:t>)</w:t>
      </w:r>
      <w:r w:rsidRPr="00B416A5">
        <w:rPr>
          <w:rFonts w:ascii="Simplified Arabic" w:hAnsi="Simplified Arabic" w:cs="Simplified Arabic"/>
          <w:sz w:val="24"/>
          <w:szCs w:val="24"/>
          <w:rtl/>
        </w:rPr>
        <w:t>، وإلى تبادل الخبرات والممارسات الجيدة ذات الصلة مع الأمانة؛</w:t>
      </w:r>
    </w:p>
    <w:p w14:paraId="74A59476" w14:textId="77777777" w:rsidR="00B416A5" w:rsidRPr="00B416A5" w:rsidRDefault="00B416A5" w:rsidP="006F1AC3">
      <w:pPr>
        <w:pStyle w:val="Normal-pool"/>
        <w:numPr>
          <w:ilvl w:val="0"/>
          <w:numId w:val="17"/>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5B3E7C">
        <w:rPr>
          <w:rFonts w:ascii="Simplified Arabic" w:hAnsi="Simplified Arabic" w:cs="Simplified Arabic"/>
          <w:i/>
          <w:iCs/>
          <w:sz w:val="24"/>
          <w:szCs w:val="24"/>
          <w:rtl/>
        </w:rPr>
        <w:t>يدعو أيضاً</w:t>
      </w:r>
      <w:r w:rsidRPr="00B416A5">
        <w:rPr>
          <w:rFonts w:ascii="Simplified Arabic" w:hAnsi="Simplified Arabic" w:cs="Simplified Arabic"/>
          <w:sz w:val="24"/>
          <w:szCs w:val="24"/>
          <w:rtl/>
        </w:rPr>
        <w:t xml:space="preserve"> الأطراف إلى تقديم تعليقات، حسب الاقتضاء، بشأن الأنشطة التي يمكن أن تضطلع بها الأمانة والأطراف وأصحاب المصلحة الآخرون خلال فترة السنتين 2028-2029؛</w:t>
      </w:r>
    </w:p>
    <w:p w14:paraId="0F3D75B2" w14:textId="636D813F" w:rsidR="00B416A5" w:rsidRPr="00B416A5" w:rsidRDefault="00B416A5" w:rsidP="006F1AC3">
      <w:pPr>
        <w:pStyle w:val="Normal-pool"/>
        <w:numPr>
          <w:ilvl w:val="0"/>
          <w:numId w:val="17"/>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5B3E7C">
        <w:rPr>
          <w:rFonts w:ascii="Simplified Arabic" w:hAnsi="Simplified Arabic" w:cs="Simplified Arabic"/>
          <w:i/>
          <w:iCs/>
          <w:sz w:val="24"/>
          <w:szCs w:val="24"/>
          <w:rtl/>
        </w:rPr>
        <w:t>يطلب</w:t>
      </w:r>
      <w:r w:rsidRPr="00B416A5">
        <w:rPr>
          <w:rFonts w:ascii="Simplified Arabic" w:hAnsi="Simplified Arabic" w:cs="Simplified Arabic"/>
          <w:sz w:val="24"/>
          <w:szCs w:val="24"/>
          <w:rtl/>
        </w:rPr>
        <w:t xml:space="preserve"> إلى الأمانة أن تضطلع بأنشطة لمعالجة الشواغل الصحية للنساء والأطفال، على النحو الوارد في المرفق الأول للوثيقة </w:t>
      </w:r>
      <w:r w:rsidRPr="005B3E7C">
        <w:rPr>
          <w:rFonts w:asciiTheme="majorBidi" w:hAnsiTheme="majorBidi" w:cstheme="majorBidi"/>
          <w:sz w:val="22"/>
          <w:szCs w:val="22"/>
        </w:rPr>
        <w:t>UNEP/MC/COP.6/18</w:t>
      </w:r>
      <w:r w:rsidRPr="00B416A5">
        <w:rPr>
          <w:rFonts w:ascii="Simplified Arabic" w:hAnsi="Simplified Arabic" w:cs="Simplified Arabic"/>
          <w:sz w:val="24"/>
          <w:szCs w:val="24"/>
          <w:rtl/>
        </w:rPr>
        <w:t>، خلال فترة السنتين 2026-2027</w:t>
      </w:r>
      <w:r w:rsidRPr="006F1AC3">
        <w:rPr>
          <w:rFonts w:ascii="Simplified Arabic" w:hAnsi="Simplified Arabic" w:cs="Simplified Arabic"/>
          <w:sz w:val="24"/>
          <w:szCs w:val="24"/>
          <w:vertAlign w:val="superscript"/>
          <w:rtl/>
        </w:rPr>
        <w:t>(</w:t>
      </w:r>
      <w:r w:rsidRPr="006F1AC3">
        <w:rPr>
          <w:rStyle w:val="FootnoteReference"/>
          <w:rFonts w:ascii="Simplified Arabic" w:hAnsi="Simplified Arabic" w:cs="Simplified Arabic"/>
          <w:sz w:val="24"/>
          <w:szCs w:val="24"/>
          <w:rtl/>
        </w:rPr>
        <w:footnoteReference w:id="4"/>
      </w:r>
      <w:r w:rsidRPr="006F1AC3">
        <w:rPr>
          <w:rFonts w:ascii="Simplified Arabic" w:hAnsi="Simplified Arabic" w:cs="Simplified Arabic"/>
          <w:sz w:val="24"/>
          <w:szCs w:val="24"/>
          <w:vertAlign w:val="superscript"/>
          <w:rtl/>
        </w:rPr>
        <w:t>)</w:t>
      </w:r>
      <w:r w:rsidRPr="00B416A5">
        <w:rPr>
          <w:rFonts w:ascii="Simplified Arabic" w:hAnsi="Simplified Arabic" w:cs="Simplified Arabic"/>
          <w:sz w:val="24"/>
          <w:szCs w:val="24"/>
          <w:rtl/>
        </w:rPr>
        <w:t xml:space="preserve">، رهناً بتوافر الموارد؛ </w:t>
      </w:r>
    </w:p>
    <w:p w14:paraId="43D8E6D6" w14:textId="1E7C04B6" w:rsidR="00B416A5" w:rsidRPr="00B416A5" w:rsidRDefault="00B416A5" w:rsidP="006F1AC3">
      <w:pPr>
        <w:pStyle w:val="Normal-pool"/>
        <w:numPr>
          <w:ilvl w:val="0"/>
          <w:numId w:val="17"/>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5B3E7C">
        <w:rPr>
          <w:rFonts w:ascii="Simplified Arabic" w:hAnsi="Simplified Arabic" w:cs="Simplified Arabic"/>
          <w:i/>
          <w:iCs/>
          <w:sz w:val="24"/>
          <w:szCs w:val="24"/>
          <w:rtl/>
        </w:rPr>
        <w:t>يطلب أيضاً</w:t>
      </w:r>
      <w:r w:rsidRPr="00B416A5">
        <w:rPr>
          <w:rFonts w:ascii="Simplified Arabic" w:hAnsi="Simplified Arabic" w:cs="Simplified Arabic"/>
          <w:sz w:val="24"/>
          <w:szCs w:val="24"/>
          <w:rtl/>
        </w:rPr>
        <w:t xml:space="preserve"> إلى الأمانة أن تقدم تقريراً إلى مؤتمر الأطراف عن تنفيذ هذا المقرر وأن تقترح الأنشطة التي يمكن أن تضطلع بها الأمانة والأطراف وأصحاب المصلحة الآخرون خلال فترة السنتين</w:t>
      </w:r>
      <w:r w:rsidR="005F6491">
        <w:rPr>
          <w:rFonts w:ascii="Simplified Arabic" w:hAnsi="Simplified Arabic" w:cs="Simplified Arabic" w:hint="cs"/>
          <w:sz w:val="24"/>
          <w:szCs w:val="24"/>
          <w:rtl/>
        </w:rPr>
        <w:t xml:space="preserve"> </w:t>
      </w:r>
      <w:r w:rsidR="004C464A">
        <w:rPr>
          <w:rFonts w:ascii="Simplified Arabic" w:hAnsi="Simplified Arabic" w:cs="Simplified Arabic"/>
          <w:sz w:val="24"/>
          <w:szCs w:val="24"/>
          <w:rtl/>
        </w:rPr>
        <w:br/>
      </w:r>
      <w:r w:rsidRPr="00B416A5">
        <w:rPr>
          <w:rFonts w:ascii="Simplified Arabic" w:hAnsi="Simplified Arabic" w:cs="Simplified Arabic"/>
          <w:sz w:val="24"/>
          <w:szCs w:val="24"/>
          <w:rtl/>
        </w:rPr>
        <w:t>2028-2029، حسب الاقتضاء، لينظر فيها المؤتمر في اجتماعه السابع.</w:t>
      </w:r>
    </w:p>
    <w:p w14:paraId="731C69EB" w14:textId="4905EC4D" w:rsidR="00B416A5" w:rsidRPr="00B416A5" w:rsidRDefault="00B416A5" w:rsidP="00D92F7F">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firstLine="709"/>
        <w:jc w:val="center"/>
        <w:rPr>
          <w:rFonts w:ascii="Simplified Arabic" w:hAnsi="Simplified Arabic" w:cs="Simplified Arabic"/>
          <w:sz w:val="24"/>
          <w:szCs w:val="24"/>
        </w:rPr>
      </w:pPr>
      <w:r>
        <w:rPr>
          <w:rFonts w:ascii="Simplified Arabic" w:hAnsi="Simplified Arabic" w:cs="Simplified Arabic"/>
          <w:sz w:val="24"/>
          <w:szCs w:val="24"/>
        </w:rPr>
        <w:t>____________</w:t>
      </w:r>
    </w:p>
    <w:sectPr w:rsidR="00B416A5" w:rsidRPr="00B416A5"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EED2" w14:textId="77777777" w:rsidR="00F77890" w:rsidRDefault="00F77890" w:rsidP="00061BBD">
      <w:r>
        <w:separator/>
      </w:r>
    </w:p>
  </w:endnote>
  <w:endnote w:type="continuationSeparator" w:id="0">
    <w:p w14:paraId="593EDCB7" w14:textId="77777777" w:rsidR="00F77890" w:rsidRDefault="00F77890" w:rsidP="00061BBD">
      <w:r>
        <w:continuationSeparator/>
      </w:r>
    </w:p>
  </w:endnote>
  <w:endnote w:type="continuationNotice" w:id="1">
    <w:p w14:paraId="3CA1B2B3" w14:textId="77777777" w:rsidR="0078572A" w:rsidRDefault="00785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377CD48E" w:rsidR="00061BBD" w:rsidRPr="00D5611A" w:rsidRDefault="00061BBD" w:rsidP="00D5611A">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D5611A">
      <w:rPr>
        <w:szCs w:val="18"/>
      </w:rPr>
      <w:fldChar w:fldCharType="begin"/>
    </w:r>
    <w:r w:rsidRPr="00D5611A">
      <w:rPr>
        <w:szCs w:val="18"/>
      </w:rPr>
      <w:instrText xml:space="preserve"> PAGE \* MERGEFORMAT </w:instrText>
    </w:r>
    <w:r w:rsidRPr="00D5611A">
      <w:rPr>
        <w:szCs w:val="18"/>
      </w:rPr>
      <w:fldChar w:fldCharType="separate"/>
    </w:r>
    <w:r w:rsidRPr="00D5611A">
      <w:rPr>
        <w:noProof/>
        <w:szCs w:val="18"/>
      </w:rPr>
      <w:t>1</w:t>
    </w:r>
    <w:r w:rsidRPr="00D5611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676F1B41" w:rsidR="00061BBD" w:rsidRDefault="00061BBD" w:rsidP="00C7595B">
    <w:pPr>
      <w:pStyle w:val="Normal-pool"/>
      <w:tabs>
        <w:tab w:val="clear" w:pos="624"/>
        <w:tab w:val="clear" w:pos="1247"/>
        <w:tab w:val="clear" w:pos="1871"/>
        <w:tab w:val="clear" w:pos="2495"/>
        <w:tab w:val="clear" w:pos="3119"/>
        <w:tab w:val="clear" w:pos="3742"/>
        <w:tab w:val="clear" w:pos="4366"/>
        <w:tab w:val="left" w:pos="1701"/>
      </w:tabs>
      <w:bidi/>
    </w:pPr>
    <w:bookmarkStart w:id="7" w:name="FooterJobDate"/>
    <w:r>
      <w:t>K</w:t>
    </w:r>
    <w:r w:rsidR="00867682">
      <w:t>25</w:t>
    </w:r>
    <w:r w:rsidR="00D5611A">
      <w:t>110</w:t>
    </w:r>
    <w:r w:rsidR="00DF4AD2">
      <w:t>77</w:t>
    </w:r>
    <w:r>
      <w:t>[A]</w:t>
    </w:r>
    <w:r>
      <w:tab/>
    </w:r>
    <w:bookmarkEnd w:id="7"/>
    <w:r w:rsidR="00C16E46">
      <w:t>26</w:t>
    </w:r>
    <w:r w:rsidR="00D5611A">
      <w:t>08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01D6" w14:textId="77777777" w:rsidR="00F77890" w:rsidRDefault="00F77890" w:rsidP="00630AC1">
      <w:pPr>
        <w:bidi/>
        <w:ind w:left="567"/>
      </w:pPr>
      <w:r>
        <w:separator/>
      </w:r>
    </w:p>
  </w:footnote>
  <w:footnote w:type="continuationSeparator" w:id="0">
    <w:p w14:paraId="6D3CA0A0" w14:textId="77777777" w:rsidR="00F77890" w:rsidRDefault="00F77890" w:rsidP="00061BBD">
      <w:r>
        <w:continuationSeparator/>
      </w:r>
    </w:p>
  </w:footnote>
  <w:footnote w:type="continuationNotice" w:id="1">
    <w:p w14:paraId="7A364CFB" w14:textId="77777777" w:rsidR="0078572A" w:rsidRDefault="0078572A"/>
  </w:footnote>
  <w:footnote w:id="2">
    <w:p w14:paraId="675ECEC2" w14:textId="7E8ED183" w:rsidR="00C950C2" w:rsidRPr="00B770C6" w:rsidRDefault="00B770C6" w:rsidP="00B770C6">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lang w:val="en-US"/>
        </w:rPr>
      </w:pPr>
      <w:r w:rsidRPr="00B770C6">
        <w:rPr>
          <w:rFonts w:ascii="Simplified Arabic" w:hAnsi="Simplified Arabic" w:cs="Simplified Arabic"/>
        </w:rPr>
        <w:t>.</w:t>
      </w:r>
      <w:r w:rsidR="00B416A5" w:rsidRPr="00D5611A">
        <w:rPr>
          <w:rFonts w:asciiTheme="majorBidi" w:hAnsiTheme="majorBidi" w:cstheme="majorBidi"/>
          <w:sz w:val="18"/>
          <w:szCs w:val="18"/>
        </w:rPr>
        <w:t>UNEP/MC/COP.6</w:t>
      </w:r>
      <w:r w:rsidRPr="00D5611A">
        <w:rPr>
          <w:rFonts w:asciiTheme="majorBidi" w:hAnsiTheme="majorBidi" w:cstheme="majorBidi"/>
          <w:sz w:val="18"/>
          <w:szCs w:val="18"/>
        </w:rPr>
        <w:t>/1</w:t>
      </w:r>
      <w:r w:rsidR="00C16E46">
        <w:rPr>
          <w:rFonts w:asciiTheme="majorBidi" w:hAnsiTheme="majorBidi" w:cstheme="majorBidi"/>
          <w:sz w:val="18"/>
          <w:szCs w:val="18"/>
        </w:rPr>
        <w:t>/Rev.1</w:t>
      </w:r>
      <w:r w:rsidR="00B416A5" w:rsidRPr="00B770C6">
        <w:rPr>
          <w:rStyle w:val="FootnoteReference"/>
          <w:rFonts w:ascii="Simplified Arabic" w:hAnsi="Simplified Arabic" w:cs="Simplified Arabic"/>
          <w:vertAlign w:val="baseline"/>
        </w:rPr>
        <w:t xml:space="preserve"> </w:t>
      </w:r>
      <w:r w:rsidR="00C950C2" w:rsidRPr="00B770C6">
        <w:rPr>
          <w:rStyle w:val="FootnoteReference"/>
          <w:rFonts w:ascii="Simplified Arabic" w:hAnsi="Simplified Arabic" w:cs="Simplified Arabic"/>
          <w:vertAlign w:val="baseline"/>
        </w:rPr>
        <w:t>*</w:t>
      </w:r>
    </w:p>
  </w:footnote>
  <w:footnote w:id="3">
    <w:p w14:paraId="4093178A" w14:textId="280343AF" w:rsidR="00B416A5" w:rsidRPr="00D867D5" w:rsidRDefault="00D867D5" w:rsidP="00D867D5">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B416A5" w:rsidRPr="00D867D5">
        <w:rPr>
          <w:rStyle w:val="FootnoteReference"/>
          <w:rFonts w:ascii="Simplified Arabic" w:hAnsi="Simplified Arabic" w:cs="Simplified Arabic"/>
          <w:vertAlign w:val="baseline"/>
          <w:rtl/>
        </w:rPr>
        <w:footnoteRef/>
      </w:r>
      <w:r>
        <w:rPr>
          <w:rFonts w:ascii="Simplified Arabic" w:hAnsi="Simplified Arabic" w:cs="Simplified Arabic"/>
        </w:rPr>
        <w:t>(</w:t>
      </w:r>
      <w:r w:rsidR="00B416A5" w:rsidRPr="00D867D5">
        <w:rPr>
          <w:rFonts w:ascii="Simplified Arabic" w:hAnsi="Simplified Arabic" w:cs="Simplified Arabic"/>
          <w:rtl/>
        </w:rPr>
        <w:t xml:space="preserve"> ترد الأنشطة المقترحة في الفقرة 3 من المرفق الأول للوثيقة </w:t>
      </w:r>
      <w:r w:rsidR="00B416A5" w:rsidRPr="00D867D5">
        <w:rPr>
          <w:rFonts w:asciiTheme="majorBidi" w:hAnsiTheme="majorBidi" w:cstheme="majorBidi"/>
          <w:szCs w:val="18"/>
        </w:rPr>
        <w:t>UNEP/MC/COP.6/18</w:t>
      </w:r>
      <w:r w:rsidR="00B416A5" w:rsidRPr="00D867D5">
        <w:rPr>
          <w:rFonts w:ascii="Simplified Arabic" w:hAnsi="Simplified Arabic" w:cs="Simplified Arabic"/>
          <w:rtl/>
        </w:rPr>
        <w:t>.</w:t>
      </w:r>
    </w:p>
  </w:footnote>
  <w:footnote w:id="4">
    <w:p w14:paraId="65FAE7FD" w14:textId="56301555" w:rsidR="00B416A5" w:rsidRPr="00D867D5" w:rsidRDefault="00D867D5" w:rsidP="00D867D5">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B416A5" w:rsidRPr="00D867D5">
        <w:rPr>
          <w:rStyle w:val="FootnoteReference"/>
          <w:rFonts w:ascii="Simplified Arabic" w:hAnsi="Simplified Arabic" w:cs="Simplified Arabic"/>
          <w:vertAlign w:val="baseline"/>
          <w:rtl/>
        </w:rPr>
        <w:footnoteRef/>
      </w:r>
      <w:r>
        <w:rPr>
          <w:rFonts w:ascii="Simplified Arabic" w:hAnsi="Simplified Arabic" w:cs="Simplified Arabic"/>
        </w:rPr>
        <w:t>(</w:t>
      </w:r>
      <w:r w:rsidR="00B416A5" w:rsidRPr="00D867D5">
        <w:rPr>
          <w:rFonts w:ascii="Simplified Arabic" w:hAnsi="Simplified Arabic" w:cs="Simplified Arabic"/>
          <w:rtl/>
        </w:rPr>
        <w:t xml:space="preserve"> ترد الأنشطة المقترحة في الفقرة 2 من المرفق الأول للوثيقة </w:t>
      </w:r>
      <w:r w:rsidR="00B416A5" w:rsidRPr="00D867D5">
        <w:rPr>
          <w:rFonts w:asciiTheme="majorBidi" w:hAnsiTheme="majorBidi" w:cstheme="majorBidi"/>
          <w:szCs w:val="18"/>
        </w:rPr>
        <w:t>UNEP/MC/COP.6/18</w:t>
      </w:r>
      <w:r w:rsidR="00B416A5" w:rsidRPr="00D867D5">
        <w:rPr>
          <w:rFonts w:ascii="Simplified Arabic" w:hAnsi="Simplified Arabic" w:cs="Simplified Arabic"/>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001305DA"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78572A">
      <w:rPr>
        <w:noProof/>
        <w:sz w:val="17"/>
        <w:szCs w:val="17"/>
      </w:rPr>
      <w:t>UNEP/MC/COP.6/18</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638D5A74"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78572A">
      <w:rPr>
        <w:noProof/>
        <w:sz w:val="17"/>
        <w:szCs w:val="17"/>
      </w:rPr>
      <w:t>UNEP/MC/COP.6/18</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3941B4"/>
    <w:multiLevelType w:val="hybridMultilevel"/>
    <w:tmpl w:val="0DDAB670"/>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3" w15:restartNumberingAfterBreak="0">
    <w:nsid w:val="4BCC1FCA"/>
    <w:multiLevelType w:val="hybridMultilevel"/>
    <w:tmpl w:val="7BE6B7E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9D04EC8"/>
    <w:multiLevelType w:val="hybridMultilevel"/>
    <w:tmpl w:val="CDFA7E6C"/>
    <w:lvl w:ilvl="0" w:tplc="4CFA9D46">
      <w:start w:val="1"/>
      <w:numFmt w:val="decimal"/>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7"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67E05665"/>
    <w:multiLevelType w:val="hybridMultilevel"/>
    <w:tmpl w:val="4712D28E"/>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061631639">
    <w:abstractNumId w:val="15"/>
  </w:num>
  <w:num w:numId="2" w16cid:durableId="1135835458">
    <w:abstractNumId w:val="11"/>
  </w:num>
  <w:num w:numId="3" w16cid:durableId="676426535">
    <w:abstractNumId w:val="8"/>
  </w:num>
  <w:num w:numId="4" w16cid:durableId="2137947824">
    <w:abstractNumId w:val="17"/>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7751792">
    <w:abstractNumId w:val="16"/>
  </w:num>
  <w:num w:numId="16" w16cid:durableId="1187409378">
    <w:abstractNumId w:val="10"/>
  </w:num>
  <w:num w:numId="17" w16cid:durableId="879778517">
    <w:abstractNumId w:val="12"/>
  </w:num>
  <w:num w:numId="18" w16cid:durableId="104204269">
    <w:abstractNumId w:val="13"/>
  </w:num>
  <w:num w:numId="19" w16cid:durableId="20637479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B52C8"/>
    <w:rsid w:val="000C3309"/>
    <w:rsid w:val="000C67C4"/>
    <w:rsid w:val="000D0119"/>
    <w:rsid w:val="000D242C"/>
    <w:rsid w:val="000D6C38"/>
    <w:rsid w:val="000E4EA0"/>
    <w:rsid w:val="000E7284"/>
    <w:rsid w:val="000F5D70"/>
    <w:rsid w:val="00100A98"/>
    <w:rsid w:val="00107C97"/>
    <w:rsid w:val="001142C0"/>
    <w:rsid w:val="00121494"/>
    <w:rsid w:val="00125209"/>
    <w:rsid w:val="001329BF"/>
    <w:rsid w:val="001359C1"/>
    <w:rsid w:val="00147834"/>
    <w:rsid w:val="00152B43"/>
    <w:rsid w:val="0015610C"/>
    <w:rsid w:val="001623EB"/>
    <w:rsid w:val="00166B99"/>
    <w:rsid w:val="00172FFB"/>
    <w:rsid w:val="001740BC"/>
    <w:rsid w:val="00183013"/>
    <w:rsid w:val="001A4241"/>
    <w:rsid w:val="001B6F5B"/>
    <w:rsid w:val="001C68F3"/>
    <w:rsid w:val="001D7E87"/>
    <w:rsid w:val="001E0389"/>
    <w:rsid w:val="001E08F2"/>
    <w:rsid w:val="001E4739"/>
    <w:rsid w:val="001F6558"/>
    <w:rsid w:val="00222030"/>
    <w:rsid w:val="00230E38"/>
    <w:rsid w:val="0023154F"/>
    <w:rsid w:val="00232571"/>
    <w:rsid w:val="00236154"/>
    <w:rsid w:val="002466ED"/>
    <w:rsid w:val="00253E26"/>
    <w:rsid w:val="00254A6F"/>
    <w:rsid w:val="00270CC9"/>
    <w:rsid w:val="0028484D"/>
    <w:rsid w:val="00285B0A"/>
    <w:rsid w:val="002A47EA"/>
    <w:rsid w:val="002B0E6F"/>
    <w:rsid w:val="002D1BC5"/>
    <w:rsid w:val="002D213D"/>
    <w:rsid w:val="002E6225"/>
    <w:rsid w:val="00301DDD"/>
    <w:rsid w:val="00315981"/>
    <w:rsid w:val="003259C7"/>
    <w:rsid w:val="00337004"/>
    <w:rsid w:val="00351547"/>
    <w:rsid w:val="00366C4C"/>
    <w:rsid w:val="00371CA2"/>
    <w:rsid w:val="00373026"/>
    <w:rsid w:val="00377723"/>
    <w:rsid w:val="00392E37"/>
    <w:rsid w:val="003B0118"/>
    <w:rsid w:val="003B20D1"/>
    <w:rsid w:val="003B2D9D"/>
    <w:rsid w:val="003B6ED5"/>
    <w:rsid w:val="003D748D"/>
    <w:rsid w:val="003E0323"/>
    <w:rsid w:val="003E1265"/>
    <w:rsid w:val="003F004E"/>
    <w:rsid w:val="003F0A98"/>
    <w:rsid w:val="003F4E0B"/>
    <w:rsid w:val="003F7A0C"/>
    <w:rsid w:val="004129CC"/>
    <w:rsid w:val="00421D9E"/>
    <w:rsid w:val="004273E7"/>
    <w:rsid w:val="00434547"/>
    <w:rsid w:val="00447E2C"/>
    <w:rsid w:val="004501DD"/>
    <w:rsid w:val="004623DA"/>
    <w:rsid w:val="0046257C"/>
    <w:rsid w:val="004649F8"/>
    <w:rsid w:val="00485026"/>
    <w:rsid w:val="00495600"/>
    <w:rsid w:val="004A0D2E"/>
    <w:rsid w:val="004A2E91"/>
    <w:rsid w:val="004B1129"/>
    <w:rsid w:val="004B1402"/>
    <w:rsid w:val="004C464A"/>
    <w:rsid w:val="004C7D5A"/>
    <w:rsid w:val="004D0345"/>
    <w:rsid w:val="004E4269"/>
    <w:rsid w:val="004F1968"/>
    <w:rsid w:val="005049BC"/>
    <w:rsid w:val="005225DB"/>
    <w:rsid w:val="0054056E"/>
    <w:rsid w:val="0055230B"/>
    <w:rsid w:val="0055505B"/>
    <w:rsid w:val="00567663"/>
    <w:rsid w:val="00567700"/>
    <w:rsid w:val="00570034"/>
    <w:rsid w:val="005708B2"/>
    <w:rsid w:val="00575A3F"/>
    <w:rsid w:val="00584F9D"/>
    <w:rsid w:val="005934B2"/>
    <w:rsid w:val="00595B2C"/>
    <w:rsid w:val="005963DB"/>
    <w:rsid w:val="005B1AFD"/>
    <w:rsid w:val="005B3E7C"/>
    <w:rsid w:val="005C613B"/>
    <w:rsid w:val="005E03C7"/>
    <w:rsid w:val="005E0798"/>
    <w:rsid w:val="005E1034"/>
    <w:rsid w:val="005F3CD5"/>
    <w:rsid w:val="005F6491"/>
    <w:rsid w:val="006062BF"/>
    <w:rsid w:val="00615244"/>
    <w:rsid w:val="00615785"/>
    <w:rsid w:val="00617123"/>
    <w:rsid w:val="0062591A"/>
    <w:rsid w:val="00630AC1"/>
    <w:rsid w:val="00654F2F"/>
    <w:rsid w:val="0065664E"/>
    <w:rsid w:val="006638A1"/>
    <w:rsid w:val="00683D35"/>
    <w:rsid w:val="006B6D3C"/>
    <w:rsid w:val="006C0EEA"/>
    <w:rsid w:val="006D54E7"/>
    <w:rsid w:val="006E09A1"/>
    <w:rsid w:val="006F1AC3"/>
    <w:rsid w:val="007008BE"/>
    <w:rsid w:val="0071712C"/>
    <w:rsid w:val="00721691"/>
    <w:rsid w:val="007378B1"/>
    <w:rsid w:val="00741121"/>
    <w:rsid w:val="00761D88"/>
    <w:rsid w:val="00773C83"/>
    <w:rsid w:val="007836D9"/>
    <w:rsid w:val="0078572A"/>
    <w:rsid w:val="007969EA"/>
    <w:rsid w:val="007A6CE3"/>
    <w:rsid w:val="007B018F"/>
    <w:rsid w:val="007B3991"/>
    <w:rsid w:val="007B56C5"/>
    <w:rsid w:val="007C34E8"/>
    <w:rsid w:val="007C5F55"/>
    <w:rsid w:val="007F3337"/>
    <w:rsid w:val="007F788F"/>
    <w:rsid w:val="00802A7E"/>
    <w:rsid w:val="00804624"/>
    <w:rsid w:val="00811E49"/>
    <w:rsid w:val="00812B98"/>
    <w:rsid w:val="00835DAE"/>
    <w:rsid w:val="00843EA2"/>
    <w:rsid w:val="00855FE8"/>
    <w:rsid w:val="00867682"/>
    <w:rsid w:val="0087078B"/>
    <w:rsid w:val="008750E6"/>
    <w:rsid w:val="008824D5"/>
    <w:rsid w:val="00896656"/>
    <w:rsid w:val="008A4793"/>
    <w:rsid w:val="008B214F"/>
    <w:rsid w:val="008B42FC"/>
    <w:rsid w:val="008E0EE8"/>
    <w:rsid w:val="008F1F85"/>
    <w:rsid w:val="009245D7"/>
    <w:rsid w:val="0093623B"/>
    <w:rsid w:val="00967E80"/>
    <w:rsid w:val="00971A6B"/>
    <w:rsid w:val="00974343"/>
    <w:rsid w:val="00977588"/>
    <w:rsid w:val="0098305F"/>
    <w:rsid w:val="00992854"/>
    <w:rsid w:val="00994CFA"/>
    <w:rsid w:val="009A7355"/>
    <w:rsid w:val="009C4F40"/>
    <w:rsid w:val="009C4FF4"/>
    <w:rsid w:val="009E4B42"/>
    <w:rsid w:val="009E555E"/>
    <w:rsid w:val="009E6974"/>
    <w:rsid w:val="009F1B3E"/>
    <w:rsid w:val="00A13CDF"/>
    <w:rsid w:val="00A17652"/>
    <w:rsid w:val="00A40553"/>
    <w:rsid w:val="00A5084E"/>
    <w:rsid w:val="00A6079D"/>
    <w:rsid w:val="00A62976"/>
    <w:rsid w:val="00A72397"/>
    <w:rsid w:val="00A81608"/>
    <w:rsid w:val="00A81876"/>
    <w:rsid w:val="00AB0DAB"/>
    <w:rsid w:val="00AC177B"/>
    <w:rsid w:val="00AE4FF2"/>
    <w:rsid w:val="00AE6364"/>
    <w:rsid w:val="00AE6BF6"/>
    <w:rsid w:val="00AF23D1"/>
    <w:rsid w:val="00B017CC"/>
    <w:rsid w:val="00B05999"/>
    <w:rsid w:val="00B36DD2"/>
    <w:rsid w:val="00B416A5"/>
    <w:rsid w:val="00B4449E"/>
    <w:rsid w:val="00B71603"/>
    <w:rsid w:val="00B74A0B"/>
    <w:rsid w:val="00B770C6"/>
    <w:rsid w:val="00B77196"/>
    <w:rsid w:val="00B77BD8"/>
    <w:rsid w:val="00B872EB"/>
    <w:rsid w:val="00B92456"/>
    <w:rsid w:val="00BA16BB"/>
    <w:rsid w:val="00BA36DE"/>
    <w:rsid w:val="00BB32D9"/>
    <w:rsid w:val="00BD30BD"/>
    <w:rsid w:val="00BE17B9"/>
    <w:rsid w:val="00C16E46"/>
    <w:rsid w:val="00C255CC"/>
    <w:rsid w:val="00C25F1C"/>
    <w:rsid w:val="00C27F65"/>
    <w:rsid w:val="00C52ADB"/>
    <w:rsid w:val="00C56378"/>
    <w:rsid w:val="00C56962"/>
    <w:rsid w:val="00C61773"/>
    <w:rsid w:val="00C620FE"/>
    <w:rsid w:val="00C739FA"/>
    <w:rsid w:val="00C7421A"/>
    <w:rsid w:val="00C7595B"/>
    <w:rsid w:val="00C842AD"/>
    <w:rsid w:val="00C84A47"/>
    <w:rsid w:val="00C87AFC"/>
    <w:rsid w:val="00C90C40"/>
    <w:rsid w:val="00C950C2"/>
    <w:rsid w:val="00CA0147"/>
    <w:rsid w:val="00CA19B3"/>
    <w:rsid w:val="00CD2F81"/>
    <w:rsid w:val="00CD77F6"/>
    <w:rsid w:val="00CE0AA5"/>
    <w:rsid w:val="00CE1AFB"/>
    <w:rsid w:val="00CE52D8"/>
    <w:rsid w:val="00CF1739"/>
    <w:rsid w:val="00CF2A4E"/>
    <w:rsid w:val="00CF6393"/>
    <w:rsid w:val="00D016A7"/>
    <w:rsid w:val="00D1639A"/>
    <w:rsid w:val="00D370C9"/>
    <w:rsid w:val="00D5611A"/>
    <w:rsid w:val="00D64E4F"/>
    <w:rsid w:val="00D867D5"/>
    <w:rsid w:val="00D92F7F"/>
    <w:rsid w:val="00DB0480"/>
    <w:rsid w:val="00DC6E6B"/>
    <w:rsid w:val="00DD44FB"/>
    <w:rsid w:val="00DD6B50"/>
    <w:rsid w:val="00DE2794"/>
    <w:rsid w:val="00DE4CF9"/>
    <w:rsid w:val="00DE6806"/>
    <w:rsid w:val="00DE683C"/>
    <w:rsid w:val="00DF0084"/>
    <w:rsid w:val="00DF3639"/>
    <w:rsid w:val="00DF4AD2"/>
    <w:rsid w:val="00E03F93"/>
    <w:rsid w:val="00E05571"/>
    <w:rsid w:val="00E130AB"/>
    <w:rsid w:val="00E226D0"/>
    <w:rsid w:val="00E40695"/>
    <w:rsid w:val="00E47E2D"/>
    <w:rsid w:val="00E54BA5"/>
    <w:rsid w:val="00E62DAA"/>
    <w:rsid w:val="00E64462"/>
    <w:rsid w:val="00E67E95"/>
    <w:rsid w:val="00E735A6"/>
    <w:rsid w:val="00EA5873"/>
    <w:rsid w:val="00EB04C6"/>
    <w:rsid w:val="00EB2DF2"/>
    <w:rsid w:val="00EB35B4"/>
    <w:rsid w:val="00EB653F"/>
    <w:rsid w:val="00EC3D1A"/>
    <w:rsid w:val="00ED4DD2"/>
    <w:rsid w:val="00EE12A0"/>
    <w:rsid w:val="00F006CC"/>
    <w:rsid w:val="00F02FED"/>
    <w:rsid w:val="00F079D9"/>
    <w:rsid w:val="00F10E16"/>
    <w:rsid w:val="00F153E9"/>
    <w:rsid w:val="00F36B17"/>
    <w:rsid w:val="00F4425D"/>
    <w:rsid w:val="00F507BF"/>
    <w:rsid w:val="00F5504A"/>
    <w:rsid w:val="00F60D46"/>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uiPriority w:val="39"/>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paragraph" w:customStyle="1" w:styleId="Footer-jobnumber">
    <w:name w:val="Footer-jobnumber"/>
    <w:basedOn w:val="Normal-pool"/>
    <w:qFormat/>
    <w:rsid w:val="00B416A5"/>
    <w:pPr>
      <w:tabs>
        <w:tab w:val="clear" w:pos="624"/>
        <w:tab w:val="clear" w:pos="1247"/>
        <w:tab w:val="clear" w:pos="1871"/>
        <w:tab w:val="clear" w:pos="2495"/>
        <w:tab w:val="clear" w:pos="3119"/>
        <w:tab w:val="clear" w:pos="3742"/>
        <w:tab w:val="clear" w:pos="4366"/>
        <w:tab w:val="left" w:pos="1701"/>
      </w:tabs>
    </w:pPr>
    <w:rPr>
      <w:lang w:val="en-GB" w:eastAsia="zh-CN"/>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semiHidden/>
    <w:rsid w:val="00B416A5"/>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2BB18C5B-CC99-477F-94FF-8CBD657520B6}">
  <ds:schemaRefs>
    <ds:schemaRef ds:uri="3db09683-50ee-412d-9d3f-013dd3b9fb66"/>
    <ds:schemaRef ds:uri="http://purl.org/dc/elements/1.1/"/>
    <ds:schemaRef ds:uri="http://schemas.microsoft.com/office/2006/metadata/properties"/>
    <ds:schemaRef ds:uri="http://purl.org/dc/terms/"/>
    <ds:schemaRef ds:uri="http://purl.org/dc/dcmitype/"/>
    <ds:schemaRef ds:uri="http://schemas.microsoft.com/office/infopath/2007/PartnerControls"/>
    <ds:schemaRef ds:uri="985ec44e-1bab-4c0b-9df0-6ba128686fc9"/>
    <ds:schemaRef ds:uri="http://schemas.microsoft.com/office/2006/documentManagement/types"/>
    <ds:schemaRef ds:uri="http://schemas.openxmlformats.org/package/2006/metadata/core-properties"/>
    <ds:schemaRef ds:uri="835e1463-96b8-4cc0-9914-ea16108bd78b"/>
    <ds:schemaRef ds:uri="http://www.w3.org/XML/1998/namespace"/>
    <ds:schemaRef ds:uri="822da31b-d518-49e2-88cd-1351ccd720a8"/>
  </ds:schemaRefs>
</ds:datastoreItem>
</file>

<file path=customXml/itemProps4.xml><?xml version="1.0" encoding="utf-8"?>
<ds:datastoreItem xmlns:ds="http://schemas.openxmlformats.org/officeDocument/2006/customXml" ds:itemID="{B464753A-A0DD-4164-B3A4-495C3D5C4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1408</TotalTime>
  <Pages>4</Pages>
  <Words>754</Words>
  <Characters>4299</Characters>
  <Application>Microsoft Office Word</Application>
  <DocSecurity>0</DocSecurity>
  <PresentationFormat/>
  <Lines>35</Lines>
  <Paragraphs>10</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5043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Sara Abousalama</cp:lastModifiedBy>
  <cp:revision>32</cp:revision>
  <cp:lastPrinted>2025-08-05T11:49:00Z</cp:lastPrinted>
  <dcterms:created xsi:type="dcterms:W3CDTF">2025-04-16T08:17:00Z</dcterms:created>
  <dcterms:modified xsi:type="dcterms:W3CDTF">2025-08-26T09:07:00Z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