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7635C2EF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DC1B6E">
              <w:t>/16</w:t>
            </w:r>
            <w:bookmarkEnd w:id="1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957CBD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792DDE10" w:rsidR="0086106E" w:rsidRPr="00DC1B6E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C1B6E">
              <w:rPr>
                <w:lang w:val="en-GB"/>
              </w:rPr>
              <w:t xml:space="preserve">Distr.: </w:t>
            </w:r>
            <w:bookmarkStart w:id="2" w:name="Distribution"/>
            <w:r w:rsidR="00DC1B6E" w:rsidRPr="00DC1B6E">
              <w:rPr>
                <w:lang w:val="en-GB"/>
              </w:rPr>
              <w:t>General</w:t>
            </w:r>
            <w:bookmarkEnd w:id="2"/>
            <w:r w:rsidRPr="00DC1B6E">
              <w:rPr>
                <w:lang w:val="en-GB"/>
              </w:rPr>
              <w:t xml:space="preserve"> </w:t>
            </w:r>
          </w:p>
          <w:p w14:paraId="543BDE68" w14:textId="5D148C30" w:rsidR="0086106E" w:rsidRPr="00DC1B6E" w:rsidRDefault="00DC1B6E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3" w:name="DistributionDate"/>
            <w:r w:rsidRPr="00DC1B6E">
              <w:rPr>
                <w:lang w:val="en-GB"/>
              </w:rPr>
              <w:t>6 August 2025</w:t>
            </w:r>
            <w:bookmarkEnd w:id="3"/>
            <w:r w:rsidR="0086106E" w:rsidRPr="00DC1B6E">
              <w:rPr>
                <w:lang w:val="en-GB"/>
              </w:rPr>
              <w:t xml:space="preserve"> </w:t>
            </w:r>
          </w:p>
          <w:p w14:paraId="5FBCCD5E" w14:textId="13EEB44A" w:rsidR="0086106E" w:rsidRPr="00DC1B6E" w:rsidRDefault="00DC1B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Lang"/>
            <w:r w:rsidRPr="00DC1B6E">
              <w:rPr>
                <w:lang w:val="en-GB"/>
              </w:rPr>
              <w:t xml:space="preserve">Russian </w:t>
            </w:r>
            <w:r w:rsidRPr="00DC1B6E">
              <w:rPr>
                <w:lang w:val="en-GB"/>
              </w:rPr>
              <w:br/>
              <w:t>Original: English</w:t>
            </w:r>
            <w:bookmarkEnd w:id="4"/>
          </w:p>
        </w:tc>
      </w:tr>
    </w:tbl>
    <w:p w14:paraId="700C0C6E" w14:textId="77777777" w:rsidR="0086106E" w:rsidRPr="00DC1B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9B664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9B664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5"/>
            <w:r w:rsidRPr="0086106E">
              <w:t xml:space="preserve"> </w:t>
            </w:r>
          </w:p>
          <w:p w14:paraId="42091996" w14:textId="46022C73" w:rsidR="0086106E" w:rsidRPr="008D104D" w:rsidRDefault="0086106E" w:rsidP="009B664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86106E">
              <w:t>Женева, 3–7 ноября 2025 года</w:t>
            </w:r>
            <w:bookmarkEnd w:id="6"/>
          </w:p>
          <w:p w14:paraId="5A9C9435" w14:textId="14A75DE8" w:rsidR="0086106E" w:rsidRPr="009B664F" w:rsidRDefault="009E2904" w:rsidP="009B664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7" w:name="CorNot1AgItem"/>
            <w:r>
              <w:rPr>
                <w:color w:val="000000"/>
              </w:rPr>
              <w:t>Пункт 4 i) предварительной повестки дня</w:t>
            </w:r>
            <w:bookmarkStart w:id="8" w:name="_Hlk76459712"/>
            <w:bookmarkEnd w:id="7"/>
            <w:bookmarkEnd w:id="8"/>
            <w:r w:rsidR="00265FB0" w:rsidRPr="009B664F">
              <w:rPr>
                <w:rStyle w:val="FootnoteReference"/>
                <w:vertAlign w:val="baseline"/>
              </w:rPr>
              <w:footnoteReference w:customMarkFollows="1" w:id="1"/>
              <w:t>*</w:t>
            </w:r>
          </w:p>
          <w:p w14:paraId="4E2A8B9F" w14:textId="4A49BB8E" w:rsidR="0086106E" w:rsidRPr="0086106E" w:rsidRDefault="00553494" w:rsidP="009B664F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9" w:name="CorNot1AgTitle"/>
            <w:r>
              <w:rPr>
                <w:bCs/>
                <w:color w:val="000000"/>
              </w:rPr>
              <w:t>Вопросы для рассмотрения или принятия мер Конференцией Сторон: оценка эффективности</w:t>
            </w:r>
            <w:bookmarkEnd w:id="9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9B60F13" w14:textId="77777777" w:rsidR="0012499A" w:rsidRPr="00301592" w:rsidRDefault="0012499A" w:rsidP="009B664F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Доклад о ходе работы по подготовке первой оценки эффективности Минаматской конвенции о ртути</w:t>
      </w:r>
    </w:p>
    <w:p w14:paraId="086D2CF0" w14:textId="6DBD2B9B" w:rsidR="0012499A" w:rsidRPr="00BD6DC8" w:rsidRDefault="0012499A" w:rsidP="009B664F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5F61AF47" w14:textId="6EB092AF" w:rsidR="0012499A" w:rsidRPr="00BD6DC8" w:rsidRDefault="009B664F" w:rsidP="00EB4385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12499A">
        <w:rPr>
          <w:bCs/>
        </w:rPr>
        <w:t>I.</w:t>
      </w:r>
      <w:r w:rsidR="0012499A">
        <w:tab/>
      </w:r>
      <w:r w:rsidR="0012499A">
        <w:rPr>
          <w:bCs/>
        </w:rPr>
        <w:t>Введение</w:t>
      </w:r>
    </w:p>
    <w:p w14:paraId="418E2A8F" w14:textId="1CE63206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В соответствии со статьей 22 Минаматской конвенции о ртути, касающейся оценки эффективности, Конференция Сторон должна оценить эффективность Конвенции не позднее чем через шесть лет после даты вступления Конвенции в силу и в дальнейшем периодически через интервалы, определяемые Конвенцией. </w:t>
      </w:r>
    </w:p>
    <w:p w14:paraId="06037BC8" w14:textId="1256926B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В решении МК-4/11 Конференция Сторон постановила начать первую оценку эффективности Минаматской конвенции о ртути. В том же решении Конференция Сторон учредила Научную группу открытого состава для работы в соответствии с положением о ней, изложенным в приложении II к </w:t>
      </w:r>
      <w:r w:rsidR="00AD5259">
        <w:t xml:space="preserve">этому </w:t>
      </w:r>
      <w:r w:rsidRPr="00C069F1">
        <w:t xml:space="preserve">решению. </w:t>
      </w:r>
    </w:p>
    <w:p w14:paraId="4EB0543D" w14:textId="0AD5898C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В решении МК-5/14 Конференция Сторон постановила рассмотреть результаты первой оценки эффективности Конвенции на своем седьмом совещании и учредила Группу по оценке эффективности для работы в соответствии с положением о ней, изложенным в приложении I к </w:t>
      </w:r>
      <w:r w:rsidR="00864D5E">
        <w:t xml:space="preserve">этому </w:t>
      </w:r>
      <w:r w:rsidRPr="00C069F1">
        <w:t xml:space="preserve">решению. В том же решении Конференция утвердила 36 показателей в поддержку оценки эффективности Конвенции, которые приведены в приложении II к </w:t>
      </w:r>
      <w:r w:rsidR="00AD5259">
        <w:t xml:space="preserve">этому </w:t>
      </w:r>
      <w:r w:rsidRPr="00C069F1">
        <w:t xml:space="preserve">решению. </w:t>
      </w:r>
    </w:p>
    <w:p w14:paraId="5D9C84EB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В настоящей записке приводится обновленная информация о подготовке первой оценки эффективности Минаматской конвенции о ртути. Записку следует рассматривать вместе с предварительным проектом аннотированного плана первого доклада об оценке эффективности (UNEP/MC/COP.6/INF/22) и обновленной информацией о работе Научной группы открытого состава (UNEP/MC/COP.6/INF/23). </w:t>
      </w:r>
    </w:p>
    <w:p w14:paraId="58A426A0" w14:textId="120BD9FB" w:rsidR="0012499A" w:rsidRPr="00301592" w:rsidRDefault="00EB4385" w:rsidP="00EB4385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12499A">
        <w:rPr>
          <w:bCs/>
        </w:rPr>
        <w:t>II.</w:t>
      </w:r>
      <w:r w:rsidR="0012499A">
        <w:tab/>
      </w:r>
      <w:r w:rsidR="0012499A">
        <w:rPr>
          <w:bCs/>
        </w:rPr>
        <w:t xml:space="preserve">Обзор работы, </w:t>
      </w:r>
      <w:r w:rsidR="00AD5259">
        <w:rPr>
          <w:bCs/>
        </w:rPr>
        <w:t xml:space="preserve">проведенной </w:t>
      </w:r>
      <w:r w:rsidR="0012499A">
        <w:rPr>
          <w:bCs/>
        </w:rPr>
        <w:t>после пятого совещания Конференции Сторон</w:t>
      </w:r>
    </w:p>
    <w:p w14:paraId="2C6AC09C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Обновленные сроки проведения первой оценки эффективности представлены в приложении II к настоящей записке.</w:t>
      </w:r>
    </w:p>
    <w:p w14:paraId="166BFD83" w14:textId="7B809D11" w:rsidR="0012499A" w:rsidRDefault="00EB4385" w:rsidP="00EB4385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lastRenderedPageBreak/>
        <w:tab/>
      </w:r>
      <w:r w:rsidR="0012499A">
        <w:rPr>
          <w:bCs/>
        </w:rPr>
        <w:t>A.</w:t>
      </w:r>
      <w:r w:rsidR="0012499A">
        <w:tab/>
      </w:r>
      <w:r w:rsidR="0012499A">
        <w:rPr>
          <w:bCs/>
        </w:rPr>
        <w:t>Группа по оценке эффективности</w:t>
      </w:r>
    </w:p>
    <w:p w14:paraId="47E94017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В соответствии с положением, изложенным в приложении I к решению MК-5/14, Группа по оценке эффективности отвечает за разработку и контролирует подготовку доклада об оценке эффективности, который должен быть представлен на рассмотрение Конференции Сторон вместе с рекомендациями по усовершенствованию, информацией о накопленном опыте и передовых методах.</w:t>
      </w:r>
      <w:bookmarkStart w:id="10" w:name="_Hlk200134952"/>
      <w:bookmarkEnd w:id="10"/>
    </w:p>
    <w:p w14:paraId="5A4C805B" w14:textId="2C30753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В состав Группы по оценке эффективности входят 25 участников от Сторон</w:t>
      </w:r>
      <w:r w:rsidR="00AD5259" w:rsidRPr="0000660D">
        <w:t>:</w:t>
      </w:r>
      <w:r w:rsidRPr="00C069F1">
        <w:t xml:space="preserve"> </w:t>
      </w:r>
      <w:r w:rsidR="00AD5259">
        <w:t>по</w:t>
      </w:r>
      <w:r w:rsidRPr="00C069F1">
        <w:t xml:space="preserve"> 5</w:t>
      </w:r>
      <w:r w:rsidR="004E19AD">
        <w:t> </w:t>
      </w:r>
      <w:r w:rsidRPr="00C069F1">
        <w:t xml:space="preserve">представителей Сторон от каждого из пяти регионов Организации Объединенных Наций, выдвинутых регионом. Группа по оценке эффективности также приглашает в качестве наблюдателей </w:t>
      </w:r>
      <w:r w:rsidR="00AD5259">
        <w:t>пять</w:t>
      </w:r>
      <w:r w:rsidRPr="00C069F1">
        <w:t xml:space="preserve"> участников из развитых и развивающихся стран, представляющих гражданское общество, организации коренных народов, организации местных общин, межправительственные организации, промышленные круги и Глобальное партнерство по ртути. Полный перечень членов и наблюдателей имеется на веб-сайте Конвенции</w:t>
      </w:r>
      <w:r w:rsidRPr="00EB4385">
        <w:rPr>
          <w:rFonts w:eastAsiaTheme="majorEastAsia"/>
          <w:vertAlign w:val="superscript"/>
        </w:rPr>
        <w:footnoteReference w:id="2"/>
      </w:r>
      <w:r w:rsidRPr="00C069F1">
        <w:t>.</w:t>
      </w:r>
    </w:p>
    <w:p w14:paraId="43E50045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На своем первом совещания Группа избрала </w:t>
      </w:r>
      <w:proofErr w:type="spellStart"/>
      <w:r w:rsidRPr="00C069F1">
        <w:t>Линроя</w:t>
      </w:r>
      <w:proofErr w:type="spellEnd"/>
      <w:r w:rsidRPr="00C069F1">
        <w:t xml:space="preserve"> Кристиана (Антигуа и Барбуда) и </w:t>
      </w:r>
      <w:proofErr w:type="spellStart"/>
      <w:r w:rsidRPr="00C069F1">
        <w:t>Ицуки</w:t>
      </w:r>
      <w:proofErr w:type="spellEnd"/>
      <w:r w:rsidRPr="00C069F1">
        <w:t xml:space="preserve"> Куроду (Япония)</w:t>
      </w:r>
      <w:r w:rsidRPr="00EB4385">
        <w:rPr>
          <w:rFonts w:eastAsiaTheme="majorEastAsia"/>
          <w:vertAlign w:val="superscript"/>
        </w:rPr>
        <w:footnoteReference w:id="3"/>
      </w:r>
      <w:r w:rsidRPr="00C069F1">
        <w:t xml:space="preserve"> на должности сопредседателей.</w:t>
      </w:r>
      <w:bookmarkStart w:id="11" w:name="_Hlk205889291"/>
      <w:bookmarkEnd w:id="11"/>
    </w:p>
    <w:p w14:paraId="43482F68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После пятого совещания Конференции Сторон Группа по оценке эффективности провела шесть совещаний в онлайновом режиме: 25 июня, 4 сентября и 5 декабря 2024 года, а также 24 марта, 19 июня и 23 июля 2025 года.</w:t>
      </w:r>
    </w:p>
    <w:p w14:paraId="434F888A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Сопредседатели Научной группы открытого состава и Председатель Комитета по осуществлению и соблюдению Минаматской конвенции о ртути регулярно предоставляют Группе по оценке эффективности обновленную информацию о работе своих соответствующих органов.</w:t>
      </w:r>
    </w:p>
    <w:p w14:paraId="5D35F537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Члены Группы по оценке эффективности и наблюдатели провели первоначальный анализ того, насколько эффективно выполняются отдельные положения Конвенции. Анализ проводился на основе имеющейся информации. Членам и наблюдателям было предложено обменяться мнениями о проведенном мероприятии, в том числе о возникших трудностях.</w:t>
      </w:r>
    </w:p>
    <w:p w14:paraId="7A0D2C13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Для содействия работе Группы по оценке эффективности были сформированы шесть подгрупп, которые сосредоточились на следующих областях:</w:t>
      </w:r>
    </w:p>
    <w:p w14:paraId="6660C0B9" w14:textId="77777777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>подгруппа А анализирует 10 показателей, связанных со статьями 3, 4 и 5;</w:t>
      </w:r>
    </w:p>
    <w:p w14:paraId="28CE61BC" w14:textId="4DE50D91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 xml:space="preserve">подгруппа B анализирует </w:t>
      </w:r>
      <w:r w:rsidR="00BF2173">
        <w:t>8</w:t>
      </w:r>
      <w:r w:rsidRPr="00EB4385">
        <w:t xml:space="preserve"> показателей, связанных со статьями 7, 8, 9 и 12;</w:t>
      </w:r>
    </w:p>
    <w:p w14:paraId="10882BB0" w14:textId="0A4A3331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 xml:space="preserve">подгруппа С анализирует </w:t>
      </w:r>
      <w:r w:rsidR="00BF2173">
        <w:t>4</w:t>
      </w:r>
      <w:r w:rsidRPr="00EB4385">
        <w:t xml:space="preserve"> показателя, связанные со статьями 10 и 11;</w:t>
      </w:r>
    </w:p>
    <w:p w14:paraId="5300AFDD" w14:textId="1A45009B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 xml:space="preserve">подгруппа D анализирует </w:t>
      </w:r>
      <w:r w:rsidR="009B1896">
        <w:t>7</w:t>
      </w:r>
      <w:r w:rsidRPr="00EB4385">
        <w:t xml:space="preserve"> показателей, связанных со статьями 16, 17, 18</w:t>
      </w:r>
      <w:r w:rsidR="00EB4385">
        <w:t> </w:t>
      </w:r>
      <w:r w:rsidRPr="00EB4385">
        <w:t>и</w:t>
      </w:r>
      <w:r w:rsidR="00EB4385">
        <w:t> </w:t>
      </w:r>
      <w:r w:rsidRPr="00EB4385">
        <w:t>19;</w:t>
      </w:r>
    </w:p>
    <w:p w14:paraId="5C67A293" w14:textId="44C6C7A4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 xml:space="preserve">подгруппа E анализирует </w:t>
      </w:r>
      <w:r w:rsidR="009B1896">
        <w:t>6</w:t>
      </w:r>
      <w:r w:rsidRPr="00EB4385">
        <w:t xml:space="preserve"> показателей, связанных со статьями 13, 14 и 21; </w:t>
      </w:r>
    </w:p>
    <w:p w14:paraId="0ED4D3D2" w14:textId="77777777" w:rsidR="0012499A" w:rsidRPr="00EB4385" w:rsidRDefault="0012499A" w:rsidP="00EB4385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EB4385">
        <w:t>подгруппа F разрабатывает аннотированный план доклада об оценке эффективности.</w:t>
      </w:r>
    </w:p>
    <w:p w14:paraId="15CEE0C7" w14:textId="4D831100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Подгруппа F, работавшая под руководством сопредседателей Группы по оценке эффективности, подготовила предварительный проект аннотированного плана для первого доклада об оценке эффективности, который обсуждался с Группой по оценке эффективности и содержится в документе UNEP/MC/COP.6/INF/22. </w:t>
      </w:r>
    </w:p>
    <w:p w14:paraId="3C9202B1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В дополнение к регулярным ежеквартальным совещаниям в онлайновом режиме Группа по оценке эффективности намерена дважды встретиться очно в 2026 году, чтобы разработать и завершить подготовку доклада об оценке эффективности для рассмотрения Конференцией</w:t>
      </w:r>
      <w:r>
        <w:t xml:space="preserve"> </w:t>
      </w:r>
      <w:r w:rsidRPr="00C069F1">
        <w:t xml:space="preserve">Сторон на ее седьмом совещании, которое состоится в 2027 году. Первое и второе очные совещания состоятся в январе и октябре 2026 года, соответственно. </w:t>
      </w:r>
    </w:p>
    <w:p w14:paraId="487E1651" w14:textId="1FAE58BB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Секретариат оказывает административную, материально-техническую, программную и основную поддержку совещаниям и работе Группы по оценке эффективности.</w:t>
      </w:r>
    </w:p>
    <w:p w14:paraId="282B0F59" w14:textId="3CEF4B0C" w:rsidR="0012499A" w:rsidRPr="00BD6DC8" w:rsidRDefault="00EB4385" w:rsidP="00EB4385">
      <w:pPr>
        <w:pStyle w:val="CH2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12499A">
        <w:rPr>
          <w:bCs/>
        </w:rPr>
        <w:t>B.</w:t>
      </w:r>
      <w:r w:rsidR="0012499A">
        <w:tab/>
      </w:r>
      <w:r w:rsidR="0012499A">
        <w:rPr>
          <w:bCs/>
        </w:rPr>
        <w:t>Научная группа открытого состава</w:t>
      </w:r>
    </w:p>
    <w:p w14:paraId="16F88EB8" w14:textId="0DAC28A2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Научная группа открытого состава разрабатывает научный доклад, включающий обобщение имеющихся данных мониторинга и данных о выбросах и высвобождениях, а также </w:t>
      </w:r>
      <w:r w:rsidRPr="00C069F1">
        <w:lastRenderedPageBreak/>
        <w:t xml:space="preserve">анализ доступных данных, связанных с наводящими вопросами, изложенными в Руководстве по проведению мониторинга, и </w:t>
      </w:r>
      <w:r w:rsidR="00030505">
        <w:t xml:space="preserve">анализ </w:t>
      </w:r>
      <w:r w:rsidRPr="00C069F1">
        <w:t>пробелов в данных и накопленном опыте. Группа состоит из 44</w:t>
      </w:r>
      <w:r w:rsidR="00EB4385">
        <w:t> </w:t>
      </w:r>
      <w:r w:rsidRPr="00C069F1">
        <w:t xml:space="preserve">членов, выдвинутых Сторонами, и получает поддержку экспертов из реестра, составленного на основе кандидатур, выдвинутых Сторонами и другими заинтересованными субъектами. Сопредседателями Группы с момента ее первого онлайнового совещания в июне 2022 года являются Доминик </w:t>
      </w:r>
      <w:proofErr w:type="spellStart"/>
      <w:r w:rsidRPr="00C069F1">
        <w:t>Балли</w:t>
      </w:r>
      <w:proofErr w:type="spellEnd"/>
      <w:r w:rsidRPr="00C069F1">
        <w:t xml:space="preserve"> </w:t>
      </w:r>
      <w:proofErr w:type="spellStart"/>
      <w:r w:rsidRPr="00C069F1">
        <w:t>Кпокро</w:t>
      </w:r>
      <w:proofErr w:type="spellEnd"/>
      <w:r w:rsidRPr="00C069F1">
        <w:t xml:space="preserve"> (Кот-д'Ивуар) и Терри Китинг (Соединенные Штаты Америки)</w:t>
      </w:r>
      <w:r w:rsidRPr="00EB4385">
        <w:rPr>
          <w:rFonts w:eastAsiaTheme="majorEastAsia"/>
          <w:vertAlign w:val="superscript"/>
        </w:rPr>
        <w:footnoteReference w:id="4"/>
      </w:r>
      <w:r w:rsidRPr="00C069F1">
        <w:t xml:space="preserve">. </w:t>
      </w:r>
    </w:p>
    <w:p w14:paraId="5887E3F6" w14:textId="6E3C11F4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В межсессионный период между пятым и шестым совещаниями Конференции Сторон</w:t>
      </w:r>
      <w:r w:rsidR="00701222" w:rsidRPr="00EB4385">
        <w:rPr>
          <w:rFonts w:eastAsiaTheme="majorEastAsia"/>
          <w:vertAlign w:val="superscript"/>
        </w:rPr>
        <w:footnoteReference w:id="5"/>
      </w:r>
      <w:r w:rsidRPr="00C069F1">
        <w:t xml:space="preserve"> Группа провела второе очное совещание, принимающей стороной которого выступила Япония, в Минамате 17</w:t>
      </w:r>
      <w:r w:rsidR="00EB4385">
        <w:t>–</w:t>
      </w:r>
      <w:r w:rsidRPr="00C069F1">
        <w:t>21 марта 2025 года, и 10 онлайновых совещаний – 29 ноября 2023 года, 12</w:t>
      </w:r>
      <w:r w:rsidR="00EB4385">
        <w:t> </w:t>
      </w:r>
      <w:r w:rsidRPr="00C069F1">
        <w:t>февраля, 20 марта, 22 мая, 2 июля, 2 октября и 4 декабря 2024 года, а также 5 февраля, 14</w:t>
      </w:r>
      <w:r w:rsidR="00EB4385">
        <w:t> </w:t>
      </w:r>
      <w:r w:rsidRPr="00C069F1">
        <w:t>мая и 2 июля 2025 года. Было сформировано семь небольших групп, которые работали в онлайновом режиме</w:t>
      </w:r>
      <w:r w:rsidR="00030505" w:rsidRPr="003162EC">
        <w:t>:</w:t>
      </w:r>
      <w:r w:rsidRPr="00C069F1">
        <w:t xml:space="preserve"> по вопросам мониторинга воздуха, мониторинга других абиотических сред, мониторинга биоты, биомониторинга воздействия на человека, выбросов и высвобождений, комплексного анализа и стратегического планирования. </w:t>
      </w:r>
    </w:p>
    <w:p w14:paraId="70413A44" w14:textId="77777777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При финансовой поддержке Европейского союза 18–19 июля 2024 года в Кейптауне (Южная Африка) был проведен глобальный семинар-практикум по вопросу сопоставимости данных о выбросах и высвобождениях ртути, приуроченный к Международной конференции «Ртуть как глобальный загрязнитель». </w:t>
      </w:r>
    </w:p>
    <w:p w14:paraId="1165441C" w14:textId="4DCB0348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 xml:space="preserve">Для сбора информации о мониторинге, выбросах и высвобождениях ртути Научная группа открытого состава предложила Сторонам и другим заинтересованным </w:t>
      </w:r>
      <w:r w:rsidR="003162EC">
        <w:t xml:space="preserve">субъектам </w:t>
      </w:r>
      <w:r w:rsidRPr="00C069F1">
        <w:t xml:space="preserve">представить данные; разработала форматы представления данных; создала онлайновое хранилище данных при поддержке Научно-исследовательского института по вопросам биоразнообразия; получила данные с использованием формата представления данных; и конвертировала данные, представленные в форматах, отличных от разработанных Группой. Также Группа проанализировала данные, имеющиеся в научной литературе и существующих базах данных. </w:t>
      </w:r>
    </w:p>
    <w:p w14:paraId="74F28DF5" w14:textId="792045A3" w:rsidR="0012499A" w:rsidRPr="00C069F1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C069F1">
        <w:t>Группа разработала проект обзора данных мониторинга и данных о выбросах и высвобождениях, разместила его на веб-сайте Конвенции</w:t>
      </w:r>
      <w:r w:rsidR="00003025" w:rsidRPr="004D4D7E">
        <w:rPr>
          <w:rFonts w:eastAsia="MS Mincho"/>
          <w:vertAlign w:val="superscript"/>
        </w:rPr>
        <w:footnoteReference w:id="6"/>
      </w:r>
      <w:r w:rsidRPr="00C069F1">
        <w:t xml:space="preserve"> 25 июня 2025 года и предложила Сторонам и Группе по оценке эффективности представить их замечания до 24 июля 2025 года. Научная группа открытого состава продолжила работу по анализу данных, выявлению пробелов и обобщению накопленного опыта с целью подготовки проекта научного доклада к шестому совещанию Конференции Сторон. Обновленная информация о ходе работы Научной группы открытого состава имеется в </w:t>
      </w:r>
      <w:r w:rsidR="00864D5E">
        <w:t>документе</w:t>
      </w:r>
      <w:r w:rsidRPr="00C069F1">
        <w:t xml:space="preserve"> </w:t>
      </w:r>
      <w:r w:rsidR="00030505" w:rsidRPr="00030505">
        <w:t>UNEP/MC/COP.6/INF/23</w:t>
      </w:r>
    </w:p>
    <w:p w14:paraId="183CDB27" w14:textId="1C89CBF5" w:rsidR="0012499A" w:rsidRPr="00301592" w:rsidRDefault="004D4D7E" w:rsidP="00EB4385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12499A">
        <w:rPr>
          <w:bCs/>
        </w:rPr>
        <w:t>III.</w:t>
      </w:r>
      <w:r w:rsidR="0012499A">
        <w:tab/>
      </w:r>
      <w:r w:rsidR="0012499A">
        <w:rPr>
          <w:bCs/>
        </w:rPr>
        <w:t>Предлагаемые меры для принятия Конференцией Сторон</w:t>
      </w:r>
      <w:r w:rsidR="0012499A">
        <w:t xml:space="preserve"> </w:t>
      </w:r>
    </w:p>
    <w:p w14:paraId="71B0376A" w14:textId="77777777" w:rsidR="0012499A" w:rsidRPr="00EB4385" w:rsidRDefault="0012499A" w:rsidP="00EB4385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rFonts w:eastAsia="MS Mincho"/>
        </w:rPr>
      </w:pPr>
      <w:r w:rsidRPr="00C069F1">
        <w:t xml:space="preserve">В свете информации, содержащейся в настоящей записке, Конференция Сторон может пожелать рассмотреть и принять решение в соответствии с проектом решения, содержащимся в приложении I к настоящей записке, на своем шестом совещании. </w:t>
      </w:r>
      <w:bookmarkStart w:id="12" w:name="_Toc99982088"/>
    </w:p>
    <w:p w14:paraId="104ACBF5" w14:textId="77777777" w:rsidR="0012499A" w:rsidRPr="00301592" w:rsidRDefault="0012499A" w:rsidP="0012499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rFonts w:eastAsia="MS Mincho"/>
          <w:lang w:eastAsia="ja-JP"/>
        </w:rPr>
      </w:pPr>
      <w:r w:rsidRPr="00301592">
        <w:rPr>
          <w:rFonts w:eastAsia="MS Mincho"/>
          <w:lang w:eastAsia="ja-JP"/>
        </w:rPr>
        <w:br w:type="page"/>
      </w:r>
    </w:p>
    <w:p w14:paraId="207F1F97" w14:textId="77777777" w:rsidR="0012499A" w:rsidRPr="004D4D7E" w:rsidRDefault="0012499A" w:rsidP="004D4D7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4D4D7E">
        <w:rPr>
          <w:b/>
          <w:bCs/>
          <w:sz w:val="24"/>
          <w:szCs w:val="24"/>
        </w:rPr>
        <w:lastRenderedPageBreak/>
        <w:t>Приложение I</w:t>
      </w:r>
      <w:bookmarkEnd w:id="12"/>
    </w:p>
    <w:p w14:paraId="47EBB66D" w14:textId="77777777" w:rsidR="0012499A" w:rsidRPr="00301592" w:rsidRDefault="0012499A" w:rsidP="004D4D7E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t>Проект решения MК-6/[--]: Ход работы по проведению первой оценки эффективности Минаматской конвенции о ртути</w:t>
      </w:r>
    </w:p>
    <w:p w14:paraId="38C253E2" w14:textId="77777777" w:rsidR="0012499A" w:rsidRPr="00301592" w:rsidRDefault="0012499A" w:rsidP="004D4D7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eastAsia="Calibri" w:hAnsiTheme="majorBidi" w:cstheme="majorBidi"/>
          <w:i/>
          <w:iCs/>
          <w:color w:val="000000"/>
        </w:rPr>
      </w:pPr>
      <w:r>
        <w:rPr>
          <w:i/>
          <w:iCs/>
        </w:rPr>
        <w:t>Конференция Сторон,</w:t>
      </w:r>
      <w:r>
        <w:t xml:space="preserve"> </w:t>
      </w:r>
    </w:p>
    <w:p w14:paraId="1218C83E" w14:textId="77777777" w:rsidR="0012499A" w:rsidRPr="00301592" w:rsidRDefault="0012499A" w:rsidP="004D4D7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4D4D7E">
        <w:rPr>
          <w:i/>
          <w:iCs/>
        </w:rPr>
        <w:t>ссылаясь</w:t>
      </w:r>
      <w:r>
        <w:t xml:space="preserve"> на решение MК-5/14, в котором она постановила рассмотреть результаты первой оценки эффективности Минаматской конвенции о ртути на своем седьмом совещании,</w:t>
      </w:r>
    </w:p>
    <w:p w14:paraId="5BC69C68" w14:textId="77777777" w:rsidR="0012499A" w:rsidRPr="004D4D7E" w:rsidRDefault="0012499A" w:rsidP="004D4D7E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rFonts w:eastAsia="Calibri"/>
        </w:rPr>
      </w:pPr>
      <w:r w:rsidRPr="004D4D7E">
        <w:rPr>
          <w:i/>
          <w:iCs/>
        </w:rPr>
        <w:t>принимает к сведению</w:t>
      </w:r>
      <w:r w:rsidRPr="004D4D7E">
        <w:t xml:space="preserve"> прогресс, достигнутый Группой по оценке эффективности и Научной группой открытого состава после пятого совещания, и просит обе группы продолжать работу по оказанию поддержки Конференции Сторон в проведении первой оценки эффективности в соответствии с положениями об их работе;</w:t>
      </w:r>
    </w:p>
    <w:p w14:paraId="6D6B3039" w14:textId="554FF4B8" w:rsidR="0012499A" w:rsidRPr="004D4D7E" w:rsidRDefault="0012499A" w:rsidP="004D4D7E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rFonts w:eastAsia="Calibri"/>
        </w:rPr>
      </w:pPr>
      <w:r w:rsidRPr="004D4D7E">
        <w:rPr>
          <w:i/>
          <w:iCs/>
        </w:rPr>
        <w:t>с признательностью отмечает</w:t>
      </w:r>
      <w:r w:rsidRPr="004D4D7E">
        <w:t xml:space="preserve"> вклад Сторон и прочих заинтересованных субъектов в оценку эффективности, включая представление данных мониторинга, данных о выбросах и высвобождениях, а также замечаний по проектам докладов, и предлагает Сторонам продолжать вносить такой вклад, включая замечания по проектам документов, разработанных Группой по оценке эффективности и Научной группой открытого состава; </w:t>
      </w:r>
    </w:p>
    <w:p w14:paraId="4425F0DE" w14:textId="77777777" w:rsidR="0012499A" w:rsidRPr="004D4D7E" w:rsidRDefault="0012499A" w:rsidP="004D4D7E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rFonts w:eastAsia="Calibri"/>
        </w:rPr>
      </w:pPr>
      <w:r w:rsidRPr="004D4D7E">
        <w:rPr>
          <w:i/>
          <w:iCs/>
        </w:rPr>
        <w:t>просит</w:t>
      </w:r>
      <w:r w:rsidRPr="004D4D7E">
        <w:t xml:space="preserve"> Стороны представить их полные национальные доклады в соответствии со статьей 21 Конвенции в секретариат до 31 декабря 2025 года, чтобы обеспечить доступность новейшей информации для первой оценки эффективности.</w:t>
      </w:r>
    </w:p>
    <w:p w14:paraId="7E965FB8" w14:textId="77777777" w:rsidR="0012499A" w:rsidRPr="00301592" w:rsidRDefault="0012499A" w:rsidP="0012499A">
      <w:pPr>
        <w:pStyle w:val="Normal-pool"/>
        <w:rPr>
          <w:rFonts w:eastAsia="Calibri"/>
        </w:rPr>
      </w:pPr>
      <w:r w:rsidRPr="00301592">
        <w:rPr>
          <w:rFonts w:eastAsia="Calibri"/>
        </w:rPr>
        <w:br w:type="page"/>
      </w:r>
    </w:p>
    <w:p w14:paraId="69E30556" w14:textId="77777777" w:rsidR="0012499A" w:rsidRPr="00301592" w:rsidRDefault="0012499A" w:rsidP="004D4D7E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  <w:rPr>
          <w:rFonts w:eastAsia="Calibri"/>
        </w:rPr>
      </w:pPr>
      <w:r>
        <w:lastRenderedPageBreak/>
        <w:t>Приложение II</w:t>
      </w:r>
    </w:p>
    <w:p w14:paraId="455098DF" w14:textId="77777777" w:rsidR="0012499A" w:rsidRPr="00301592" w:rsidRDefault="0012499A" w:rsidP="004D4D7E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rPr>
          <w:rFonts w:eastAsia="Calibri"/>
        </w:rPr>
      </w:pPr>
      <w:r>
        <w:t>График проведения первой оценки эффективности Минаматской конвенции о ртути</w:t>
      </w:r>
    </w:p>
    <w:p w14:paraId="40057AAE" w14:textId="2B108E73" w:rsidR="0012499A" w:rsidRPr="00FD7674" w:rsidRDefault="00397372" w:rsidP="0039737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397372">
        <w:rPr>
          <w:noProof/>
        </w:rPr>
        <w:drawing>
          <wp:inline distT="0" distB="0" distL="0" distR="0" wp14:anchorId="35358C86" wp14:editId="224E40AB">
            <wp:extent cx="6030595" cy="3228340"/>
            <wp:effectExtent l="0" t="0" r="8255" b="0"/>
            <wp:docPr id="1027804804" name="Picture 1" descr="A screenshot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04804" name="Picture 1" descr="A screenshot of a diagram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2C9E" w14:textId="2E208566" w:rsidR="0012499A" w:rsidRPr="008A66B2" w:rsidRDefault="0012499A" w:rsidP="00610508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60"/>
        <w:ind w:left="1247" w:firstLine="624"/>
        <w:rPr>
          <w:rFonts w:asciiTheme="majorBidi" w:eastAsia="Calibri" w:hAnsiTheme="majorBidi" w:cstheme="majorBidi"/>
          <w:color w:val="000000" w:themeColor="text1"/>
          <w:sz w:val="18"/>
          <w:szCs w:val="18"/>
        </w:rPr>
      </w:pPr>
      <w:r w:rsidRPr="00397372">
        <w:rPr>
          <w:i/>
          <w:iCs/>
        </w:rPr>
        <w:tab/>
      </w:r>
      <w:r w:rsidRPr="008A66B2">
        <w:rPr>
          <w:i/>
          <w:iCs/>
          <w:sz w:val="18"/>
          <w:szCs w:val="18"/>
        </w:rPr>
        <w:t>Сокращения</w:t>
      </w:r>
      <w:r w:rsidRPr="008A66B2">
        <w:rPr>
          <w:sz w:val="18"/>
          <w:szCs w:val="18"/>
        </w:rPr>
        <w:t>: КС – Конференция Сторон; ОЭ – оценка эффективности; ГОЭ – Группа по оценке эффективности; ИНФ – информационный документ; НГОС – Научная группа открытого состава</w:t>
      </w:r>
      <w:r w:rsidR="00397372" w:rsidRPr="008A66B2">
        <w:rPr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E26518" w:rsidRPr="005F522C" w14:paraId="75907CDB" w14:textId="77777777" w:rsidTr="00231C61">
        <w:tc>
          <w:tcPr>
            <w:tcW w:w="1897" w:type="dxa"/>
          </w:tcPr>
          <w:p w14:paraId="33A16EED" w14:textId="77777777" w:rsidR="00E26518" w:rsidRPr="00301592" w:rsidRDefault="00E26518" w:rsidP="0061050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53293690" w14:textId="77777777" w:rsidR="00E26518" w:rsidRPr="00301592" w:rsidRDefault="00E26518" w:rsidP="0061050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F1F228D" w14:textId="77777777" w:rsidR="00E26518" w:rsidRPr="00301592" w:rsidRDefault="00E26518" w:rsidP="0061050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187D7F2D" w14:textId="77777777" w:rsidR="00E26518" w:rsidRPr="00301592" w:rsidRDefault="00E26518" w:rsidP="0061050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1848FE1" w14:textId="77777777" w:rsidR="00E26518" w:rsidRPr="00301592" w:rsidRDefault="00E26518" w:rsidP="0061050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</w:tr>
    </w:tbl>
    <w:p w14:paraId="57F47CCD" w14:textId="75398183" w:rsidR="0086106E" w:rsidRPr="0086106E" w:rsidRDefault="0086106E" w:rsidP="00610508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86106E" w:rsidRPr="0086106E" w:rsidSect="0086106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1CBB" w14:textId="77777777" w:rsidR="00C6389C" w:rsidRPr="0086106E" w:rsidRDefault="00C6389C" w:rsidP="00660A66">
      <w:r w:rsidRPr="0086106E">
        <w:separator/>
      </w:r>
    </w:p>
  </w:endnote>
  <w:endnote w:type="continuationSeparator" w:id="0">
    <w:p w14:paraId="2ED2EE86" w14:textId="77777777" w:rsidR="00C6389C" w:rsidRPr="0086106E" w:rsidRDefault="00C6389C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EB438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EB438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3B5DD80A" w:rsidR="0076134B" w:rsidRPr="0086106E" w:rsidRDefault="00DC1B6E" w:rsidP="0086106E">
    <w:pPr>
      <w:pStyle w:val="Footer-jobnumber"/>
    </w:pPr>
    <w:bookmarkStart w:id="13" w:name="FooterJobDate"/>
    <w:r>
      <w:t>K2512281[R]</w:t>
    </w:r>
    <w:r>
      <w:tab/>
      <w:t>1</w:t>
    </w:r>
    <w:r w:rsidR="0000660D">
      <w:t>9</w:t>
    </w:r>
    <w:r>
      <w:t>0925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9E7F" w14:textId="77777777" w:rsidR="00C6389C" w:rsidRPr="0086106E" w:rsidRDefault="00C6389C" w:rsidP="00EB438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45973CD2" w14:textId="77777777" w:rsidR="00C6389C" w:rsidRPr="0086106E" w:rsidRDefault="00C6389C" w:rsidP="00660A66">
      <w:r w:rsidRPr="0086106E">
        <w:continuationSeparator/>
      </w:r>
    </w:p>
  </w:footnote>
  <w:footnote w:id="1">
    <w:p w14:paraId="73CA38F6" w14:textId="1C8A877C" w:rsidR="00265FB0" w:rsidRPr="00EB4385" w:rsidRDefault="00265FB0" w:rsidP="00EB4385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lang w:val="en-GB"/>
        </w:rPr>
      </w:pPr>
      <w:r w:rsidRPr="00EB4385">
        <w:rPr>
          <w:rStyle w:val="FootnoteReference"/>
          <w:sz w:val="18"/>
          <w:vertAlign w:val="baseline"/>
        </w:rPr>
        <w:t>*</w:t>
      </w:r>
      <w:r w:rsidRPr="00EB4385">
        <w:rPr>
          <w:szCs w:val="18"/>
        </w:rPr>
        <w:t xml:space="preserve"> </w:t>
      </w:r>
      <w:r w:rsidR="00EB4385">
        <w:rPr>
          <w:szCs w:val="18"/>
        </w:rPr>
        <w:tab/>
      </w:r>
      <w:r w:rsidRPr="00EB4385">
        <w:rPr>
          <w:szCs w:val="18"/>
          <w:lang w:val="en-GB"/>
        </w:rPr>
        <w:t>UNEP/MC/COP.6/1/Rev.1.</w:t>
      </w:r>
    </w:p>
  </w:footnote>
  <w:footnote w:id="2">
    <w:p w14:paraId="52128CF9" w14:textId="6C402D9F" w:rsidR="0012499A" w:rsidRPr="00EB4385" w:rsidRDefault="0012499A" w:rsidP="00EB4385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  <w:lang w:val="en-GB"/>
        </w:rPr>
      </w:pPr>
      <w:r w:rsidRPr="00EB4385">
        <w:rPr>
          <w:szCs w:val="18"/>
          <w:vertAlign w:val="superscript"/>
        </w:rPr>
        <w:footnoteRef/>
      </w:r>
      <w:r w:rsidRPr="00EB4385">
        <w:rPr>
          <w:szCs w:val="18"/>
          <w:lang w:val="en-GB"/>
        </w:rPr>
        <w:t xml:space="preserve"> </w:t>
      </w:r>
      <w:r w:rsidR="00EB4385" w:rsidRPr="00EB4385">
        <w:rPr>
          <w:szCs w:val="18"/>
          <w:lang w:val="en-GB"/>
        </w:rPr>
        <w:tab/>
      </w:r>
      <w:hyperlink r:id="rId1" w:history="1">
        <w:r w:rsidRPr="00EB4385">
          <w:rPr>
            <w:rStyle w:val="Hyperlink"/>
            <w:color w:val="0000FF"/>
            <w:szCs w:val="18"/>
            <w:lang w:val="en-GB"/>
          </w:rPr>
          <w:t>https://minamataconvention.org/en/intersessional-work-and-submissions-cop-6#sec2417</w:t>
        </w:r>
      </w:hyperlink>
      <w:r w:rsidRPr="00EB4385">
        <w:rPr>
          <w:szCs w:val="18"/>
          <w:lang w:val="en-GB"/>
        </w:rPr>
        <w:t>.</w:t>
      </w:r>
      <w:hyperlink r:id="rId2" w:anchor="sec2417" w:history="1"/>
    </w:p>
  </w:footnote>
  <w:footnote w:id="3">
    <w:p w14:paraId="2CB70E8A" w14:textId="05D2FCDC" w:rsidR="0012499A" w:rsidRPr="00EB4385" w:rsidRDefault="0012499A" w:rsidP="00EB4385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EB4385">
        <w:rPr>
          <w:rStyle w:val="FootnoteReference"/>
          <w:rFonts w:eastAsiaTheme="majorEastAsia"/>
          <w:sz w:val="18"/>
        </w:rPr>
        <w:footnoteRef/>
      </w:r>
      <w:r w:rsidRPr="00EB4385">
        <w:rPr>
          <w:szCs w:val="18"/>
        </w:rPr>
        <w:t xml:space="preserve"> </w:t>
      </w:r>
      <w:r w:rsidR="00EB4385">
        <w:rPr>
          <w:szCs w:val="18"/>
        </w:rPr>
        <w:tab/>
      </w:r>
      <w:proofErr w:type="spellStart"/>
      <w:r w:rsidRPr="00EB4385">
        <w:rPr>
          <w:szCs w:val="18"/>
        </w:rPr>
        <w:t>Ицуки</w:t>
      </w:r>
      <w:proofErr w:type="spellEnd"/>
      <w:r w:rsidRPr="00EB4385">
        <w:rPr>
          <w:szCs w:val="18"/>
        </w:rPr>
        <w:t xml:space="preserve"> Курода вышла из состава Группы по оценке эффективности в августе 2025 года. Ожидается, что группа изберет нового сопредседателя на онлайновом совещании в сентябре 2025 года.</w:t>
      </w:r>
    </w:p>
  </w:footnote>
  <w:footnote w:id="4">
    <w:p w14:paraId="05B5950F" w14:textId="352E6D6A" w:rsidR="0012499A" w:rsidRPr="00EB4385" w:rsidRDefault="0012499A" w:rsidP="00EB4385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EB4385">
        <w:rPr>
          <w:rStyle w:val="FootnoteReference"/>
          <w:sz w:val="18"/>
        </w:rPr>
        <w:footnoteRef/>
      </w:r>
      <w:r w:rsidRPr="00EB4385">
        <w:rPr>
          <w:szCs w:val="18"/>
        </w:rPr>
        <w:t xml:space="preserve"> </w:t>
      </w:r>
      <w:r w:rsidR="00EB4385">
        <w:rPr>
          <w:szCs w:val="18"/>
        </w:rPr>
        <w:tab/>
      </w:r>
      <w:r w:rsidRPr="00EB4385">
        <w:rPr>
          <w:szCs w:val="18"/>
        </w:rPr>
        <w:t xml:space="preserve">Терри Китинг вышел из Научной группы открытого состава в июле 2025 года. Ожидается, что группа изберет нового сопредседателя на </w:t>
      </w:r>
      <w:r w:rsidR="00030505">
        <w:rPr>
          <w:szCs w:val="18"/>
          <w:lang w:val="en-US"/>
        </w:rPr>
        <w:t>c</w:t>
      </w:r>
      <w:r w:rsidR="00030505">
        <w:rPr>
          <w:szCs w:val="18"/>
        </w:rPr>
        <w:t xml:space="preserve">воем </w:t>
      </w:r>
      <w:r w:rsidRPr="003162EC">
        <w:rPr>
          <w:szCs w:val="18"/>
        </w:rPr>
        <w:t>онлайновом</w:t>
      </w:r>
      <w:r w:rsidRPr="00EB4385">
        <w:rPr>
          <w:szCs w:val="18"/>
        </w:rPr>
        <w:t xml:space="preserve"> совещании в сентябре 2025 года.</w:t>
      </w:r>
    </w:p>
  </w:footnote>
  <w:footnote w:id="5">
    <w:p w14:paraId="38F39262" w14:textId="3A2EF86F" w:rsidR="00701222" w:rsidRPr="00EB4385" w:rsidRDefault="00701222" w:rsidP="00701222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rFonts w:eastAsia="MS Mincho"/>
          <w:szCs w:val="18"/>
        </w:rPr>
      </w:pPr>
      <w:r w:rsidRPr="00EB4385">
        <w:rPr>
          <w:rStyle w:val="FootnoteReference"/>
          <w:sz w:val="18"/>
        </w:rPr>
        <w:footnoteRef/>
      </w:r>
      <w:r w:rsidRPr="00EB4385">
        <w:rPr>
          <w:szCs w:val="18"/>
        </w:rPr>
        <w:t xml:space="preserve"> </w:t>
      </w:r>
      <w:r>
        <w:rPr>
          <w:szCs w:val="18"/>
        </w:rPr>
        <w:tab/>
      </w:r>
      <w:r w:rsidRPr="00EB4385">
        <w:rPr>
          <w:szCs w:val="18"/>
        </w:rPr>
        <w:t xml:space="preserve">Работа Научной группы открытого состава, </w:t>
      </w:r>
      <w:r w:rsidR="00030505">
        <w:rPr>
          <w:szCs w:val="18"/>
        </w:rPr>
        <w:t>проведенная</w:t>
      </w:r>
      <w:r w:rsidR="00030505" w:rsidRPr="00EB4385">
        <w:rPr>
          <w:szCs w:val="18"/>
        </w:rPr>
        <w:t xml:space="preserve"> </w:t>
      </w:r>
      <w:r w:rsidRPr="00EB4385">
        <w:rPr>
          <w:szCs w:val="18"/>
        </w:rPr>
        <w:t>до пятого совещания Конференции Сторон, описана в документах UNEP/MC/COP.5/16/Add.2, UNEP/MC/COP.5/INF/24 и UNEP/MC/COP.5/INF/37.</w:t>
      </w:r>
    </w:p>
  </w:footnote>
  <w:footnote w:id="6">
    <w:p w14:paraId="339F6437" w14:textId="77777777" w:rsidR="00003025" w:rsidRPr="00EB4385" w:rsidRDefault="00003025" w:rsidP="00003025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EB4385">
        <w:rPr>
          <w:rStyle w:val="FootnoteReference"/>
          <w:sz w:val="18"/>
        </w:rPr>
        <w:footnoteRef/>
      </w:r>
      <w:r w:rsidRPr="00EB4385">
        <w:rPr>
          <w:szCs w:val="18"/>
        </w:rPr>
        <w:t xml:space="preserve"> </w:t>
      </w:r>
      <w:r>
        <w:rPr>
          <w:szCs w:val="18"/>
        </w:rPr>
        <w:tab/>
      </w:r>
      <w:hyperlink r:id="rId3" w:history="1">
        <w:r w:rsidRPr="004D4D7E">
          <w:rPr>
            <w:rStyle w:val="Hyperlink"/>
            <w:color w:val="0000FF"/>
            <w:szCs w:val="18"/>
          </w:rPr>
          <w:t>https://minamataconvention.org/en/intersessional-work-and-submissions-cop-6#sec2417</w:t>
        </w:r>
      </w:hyperlink>
      <w:r w:rsidRPr="00EB4385">
        <w:rPr>
          <w:szCs w:val="18"/>
        </w:rPr>
        <w:t>.</w:t>
      </w:r>
      <w:hyperlink r:id="rId4" w:anchor="sec2417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5B01DE4D" w:rsidR="0076134B" w:rsidRPr="0086106E" w:rsidRDefault="0086106E" w:rsidP="00EB438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4E19AD">
      <w:rPr>
        <w:noProof/>
      </w:rPr>
      <w:t>UNEP/MC/COP.6/16</w:t>
    </w:r>
    <w:r w:rsidRPr="008610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084E0B4A" w:rsidR="0076134B" w:rsidRPr="0086106E" w:rsidRDefault="0086106E" w:rsidP="00EB4385">
    <w:pPr>
      <w:pStyle w:val="Header-pool"/>
      <w:tabs>
        <w:tab w:val="clear" w:pos="624"/>
      </w:tabs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4E19AD">
      <w:rPr>
        <w:noProof/>
      </w:rPr>
      <w:t>UNEP/MC/COP.6/16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B48269F"/>
    <w:multiLevelType w:val="hybridMultilevel"/>
    <w:tmpl w:val="992460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0B5C60"/>
    <w:multiLevelType w:val="hybridMultilevel"/>
    <w:tmpl w:val="AE964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8" w15:restartNumberingAfterBreak="0">
    <w:nsid w:val="56A37CE7"/>
    <w:multiLevelType w:val="hybridMultilevel"/>
    <w:tmpl w:val="F5BCC862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91BF8"/>
    <w:multiLevelType w:val="multilevel"/>
    <w:tmpl w:val="AD6EEF8E"/>
    <w:numStyleLink w:val="Normallist"/>
  </w:abstractNum>
  <w:abstractNum w:abstractNumId="20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9A704E1"/>
    <w:multiLevelType w:val="hybridMultilevel"/>
    <w:tmpl w:val="ACB4FA0E"/>
    <w:lvl w:ilvl="0" w:tplc="92BCBED6">
      <w:start w:val="1"/>
      <w:numFmt w:val="decimal"/>
      <w:lvlText w:val="%1."/>
      <w:lvlJc w:val="left"/>
      <w:pPr>
        <w:ind w:left="1960" w:hanging="360"/>
      </w:pPr>
    </w:lvl>
    <w:lvl w:ilvl="1" w:tplc="92540628">
      <w:start w:val="1"/>
      <w:numFmt w:val="decimal"/>
      <w:lvlText w:val="%2."/>
      <w:lvlJc w:val="left"/>
      <w:pPr>
        <w:ind w:left="1960" w:hanging="360"/>
      </w:pPr>
    </w:lvl>
    <w:lvl w:ilvl="2" w:tplc="7CFA1F9E">
      <w:start w:val="1"/>
      <w:numFmt w:val="decimal"/>
      <w:lvlText w:val="%3."/>
      <w:lvlJc w:val="left"/>
      <w:pPr>
        <w:ind w:left="1960" w:hanging="360"/>
      </w:pPr>
    </w:lvl>
    <w:lvl w:ilvl="3" w:tplc="695A1098">
      <w:start w:val="1"/>
      <w:numFmt w:val="decimal"/>
      <w:lvlText w:val="%4."/>
      <w:lvlJc w:val="left"/>
      <w:pPr>
        <w:ind w:left="1960" w:hanging="360"/>
      </w:pPr>
    </w:lvl>
    <w:lvl w:ilvl="4" w:tplc="19843C50">
      <w:start w:val="1"/>
      <w:numFmt w:val="decimal"/>
      <w:lvlText w:val="%5."/>
      <w:lvlJc w:val="left"/>
      <w:pPr>
        <w:ind w:left="1960" w:hanging="360"/>
      </w:pPr>
    </w:lvl>
    <w:lvl w:ilvl="5" w:tplc="3CB8C4A6">
      <w:start w:val="1"/>
      <w:numFmt w:val="decimal"/>
      <w:lvlText w:val="%6."/>
      <w:lvlJc w:val="left"/>
      <w:pPr>
        <w:ind w:left="1960" w:hanging="360"/>
      </w:pPr>
    </w:lvl>
    <w:lvl w:ilvl="6" w:tplc="912E2546">
      <w:start w:val="1"/>
      <w:numFmt w:val="decimal"/>
      <w:lvlText w:val="%7."/>
      <w:lvlJc w:val="left"/>
      <w:pPr>
        <w:ind w:left="1960" w:hanging="360"/>
      </w:pPr>
    </w:lvl>
    <w:lvl w:ilvl="7" w:tplc="6EDA0F9A">
      <w:start w:val="1"/>
      <w:numFmt w:val="decimal"/>
      <w:lvlText w:val="%8."/>
      <w:lvlJc w:val="left"/>
      <w:pPr>
        <w:ind w:left="1960" w:hanging="360"/>
      </w:pPr>
    </w:lvl>
    <w:lvl w:ilvl="8" w:tplc="0624E3AA">
      <w:start w:val="1"/>
      <w:numFmt w:val="decimal"/>
      <w:lvlText w:val="%9."/>
      <w:lvlJc w:val="left"/>
      <w:pPr>
        <w:ind w:left="1960" w:hanging="360"/>
      </w:pPr>
    </w:lvl>
  </w:abstractNum>
  <w:abstractNum w:abstractNumId="22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8F23E21"/>
    <w:multiLevelType w:val="hybridMultilevel"/>
    <w:tmpl w:val="75944616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81528">
    <w:abstractNumId w:val="12"/>
  </w:num>
  <w:num w:numId="2" w16cid:durableId="1446729671">
    <w:abstractNumId w:val="15"/>
  </w:num>
  <w:num w:numId="3" w16cid:durableId="1950089787">
    <w:abstractNumId w:val="17"/>
  </w:num>
  <w:num w:numId="4" w16cid:durableId="1378815003">
    <w:abstractNumId w:val="19"/>
  </w:num>
  <w:num w:numId="5" w16cid:durableId="1336691477">
    <w:abstractNumId w:val="20"/>
  </w:num>
  <w:num w:numId="6" w16cid:durableId="367265008">
    <w:abstractNumId w:val="22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3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2010134958">
    <w:abstractNumId w:val="16"/>
  </w:num>
  <w:num w:numId="22" w16cid:durableId="1370186019">
    <w:abstractNumId w:val="18"/>
  </w:num>
  <w:num w:numId="23" w16cid:durableId="374235139">
    <w:abstractNumId w:val="13"/>
  </w:num>
  <w:num w:numId="24" w16cid:durableId="260572109">
    <w:abstractNumId w:val="24"/>
  </w:num>
  <w:num w:numId="25" w16cid:durableId="1197818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03025"/>
    <w:rsid w:val="0000660D"/>
    <w:rsid w:val="00030505"/>
    <w:rsid w:val="000B5D2A"/>
    <w:rsid w:val="0012499A"/>
    <w:rsid w:val="00186BB4"/>
    <w:rsid w:val="001D415C"/>
    <w:rsid w:val="0021609B"/>
    <w:rsid w:val="00265FB0"/>
    <w:rsid w:val="0027657B"/>
    <w:rsid w:val="002B773B"/>
    <w:rsid w:val="003162EC"/>
    <w:rsid w:val="00380369"/>
    <w:rsid w:val="00397372"/>
    <w:rsid w:val="003A3BDF"/>
    <w:rsid w:val="003A7607"/>
    <w:rsid w:val="003D6845"/>
    <w:rsid w:val="003F6BB2"/>
    <w:rsid w:val="00452848"/>
    <w:rsid w:val="004550BB"/>
    <w:rsid w:val="004746FA"/>
    <w:rsid w:val="004A01CB"/>
    <w:rsid w:val="004D4D7E"/>
    <w:rsid w:val="004E19AD"/>
    <w:rsid w:val="00553494"/>
    <w:rsid w:val="005D0415"/>
    <w:rsid w:val="005F08DB"/>
    <w:rsid w:val="00610508"/>
    <w:rsid w:val="00660A66"/>
    <w:rsid w:val="0067023B"/>
    <w:rsid w:val="006F1024"/>
    <w:rsid w:val="00701222"/>
    <w:rsid w:val="0076134B"/>
    <w:rsid w:val="00780D20"/>
    <w:rsid w:val="007C22AE"/>
    <w:rsid w:val="008519B4"/>
    <w:rsid w:val="0086106E"/>
    <w:rsid w:val="00864D5E"/>
    <w:rsid w:val="008A66B2"/>
    <w:rsid w:val="008D104D"/>
    <w:rsid w:val="009143CB"/>
    <w:rsid w:val="00943489"/>
    <w:rsid w:val="009443D7"/>
    <w:rsid w:val="00957CBD"/>
    <w:rsid w:val="00966F62"/>
    <w:rsid w:val="00991490"/>
    <w:rsid w:val="009B1896"/>
    <w:rsid w:val="009B664F"/>
    <w:rsid w:val="009E2904"/>
    <w:rsid w:val="00A07EF2"/>
    <w:rsid w:val="00A31A40"/>
    <w:rsid w:val="00AD5259"/>
    <w:rsid w:val="00AD659E"/>
    <w:rsid w:val="00BF2173"/>
    <w:rsid w:val="00C069F1"/>
    <w:rsid w:val="00C53136"/>
    <w:rsid w:val="00C6389C"/>
    <w:rsid w:val="00C80E8E"/>
    <w:rsid w:val="00CA7E0A"/>
    <w:rsid w:val="00CD38C0"/>
    <w:rsid w:val="00D04628"/>
    <w:rsid w:val="00DC1B6E"/>
    <w:rsid w:val="00DC7725"/>
    <w:rsid w:val="00DD1DCD"/>
    <w:rsid w:val="00DF09FC"/>
    <w:rsid w:val="00E26518"/>
    <w:rsid w:val="00EB4385"/>
    <w:rsid w:val="00EC4115"/>
    <w:rsid w:val="00F42CB8"/>
    <w:rsid w:val="00F612E7"/>
    <w:rsid w:val="00F7048E"/>
    <w:rsid w:val="00F73237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qFormat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12499A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12499A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character" w:customStyle="1" w:styleId="Normal-poolChar">
    <w:name w:val="Normal-pool Char"/>
    <w:link w:val="Normal-pool"/>
    <w:locked/>
    <w:rsid w:val="0012499A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BBTitleChar">
    <w:name w:val="BB_Title Char"/>
    <w:link w:val="BBTitle"/>
    <w:rsid w:val="0012499A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CH2Char">
    <w:name w:val="CH2 Char"/>
    <w:link w:val="CH2"/>
    <w:rsid w:val="0012499A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paragraph" w:styleId="Revision">
    <w:name w:val="Revision"/>
    <w:hidden/>
    <w:uiPriority w:val="99"/>
    <w:semiHidden/>
    <w:rsid w:val="00AD5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amataconvention.org/en/intersessional-work-and-submissions-cop-6%23sec2417" TargetMode="External"/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en/intersessional-work-and-submissions-cop-6%23sec2417" TargetMode="External"/><Relationship Id="rId4" Type="http://schemas.openxmlformats.org/officeDocument/2006/relationships/hyperlink" Target="https://minamataconvention.org/en/intersessional-work-and-submissions-cop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3.xml><?xml version="1.0" encoding="utf-8"?>
<ds:datastoreItem xmlns:ds="http://schemas.openxmlformats.org/officeDocument/2006/customXml" ds:itemID="{17A70F1F-5884-46C1-A75E-28E971015AB7}"/>
</file>

<file path=customXml/itemProps4.xml><?xml version="1.0" encoding="utf-8"?>
<ds:datastoreItem xmlns:ds="http://schemas.openxmlformats.org/officeDocument/2006/customXml" ds:itemID="{8F5FF81B-F034-42BB-B5AB-3917A75810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1476</Words>
  <Characters>8416</Characters>
  <Application>Microsoft Office Word</Application>
  <DocSecurity>0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3</cp:revision>
  <dcterms:created xsi:type="dcterms:W3CDTF">2025-09-19T06:01:00Z</dcterms:created>
  <dcterms:modified xsi:type="dcterms:W3CDTF">2025-09-19T06:05:00Z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