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BF26E8" w:rsidRPr="00563FA9" w14:paraId="0586A398" w14:textId="77777777" w:rsidTr="00BF26E8">
        <w:trPr>
          <w:trHeight w:val="850"/>
        </w:trPr>
        <w:tc>
          <w:tcPr>
            <w:tcW w:w="1559" w:type="dxa"/>
          </w:tcPr>
          <w:p w14:paraId="62CBDB34" w14:textId="3E3D1793" w:rsidR="00BF26E8" w:rsidRPr="00563FA9" w:rsidRDefault="00BF26E8" w:rsidP="00BF26E8">
            <w:pPr>
              <w:pStyle w:val="AUnitedNations"/>
            </w:pPr>
            <w:r w:rsidRPr="00563FA9">
              <w:t xml:space="preserve">NATIONS </w:t>
            </w:r>
            <w:r w:rsidRPr="00563FA9">
              <w:br/>
              <w:t>UNIES</w:t>
            </w:r>
          </w:p>
        </w:tc>
        <w:tc>
          <w:tcPr>
            <w:tcW w:w="6520" w:type="dxa"/>
          </w:tcPr>
          <w:p w14:paraId="41A533CE" w14:textId="286A4BA6" w:rsidR="00BF26E8" w:rsidRPr="00563FA9" w:rsidRDefault="00BF26E8" w:rsidP="00BF26E8">
            <w:pPr>
              <w:pStyle w:val="Normal-pool"/>
            </w:pPr>
            <w:r w:rsidRPr="00563FA9">
              <w:rPr>
                <w:noProof/>
              </w:rPr>
              <w:drawing>
                <wp:anchor distT="0" distB="0" distL="114300" distR="114300" simplePos="0" relativeHeight="251657216" behindDoc="0" locked="0" layoutInCell="1" allowOverlap="1" wp14:anchorId="10E4E1FE" wp14:editId="689AF10D">
                  <wp:simplePos x="0" y="0"/>
                  <wp:positionH relativeFrom="column">
                    <wp:posOffset>-779</wp:posOffset>
                  </wp:positionH>
                  <wp:positionV relativeFrom="paragraph">
                    <wp:posOffset>2025</wp:posOffset>
                  </wp:positionV>
                  <wp:extent cx="1269153" cy="573559"/>
                  <wp:effectExtent l="0" t="0" r="7620" b="0"/>
                  <wp:wrapNone/>
                  <wp:docPr id="134559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98378"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79C13E79" w14:textId="77777777" w:rsidR="00BF26E8" w:rsidRPr="00563FA9" w:rsidRDefault="00BF26E8" w:rsidP="00BF26E8">
            <w:pPr>
              <w:pStyle w:val="Normal-pool"/>
            </w:pPr>
          </w:p>
        </w:tc>
      </w:tr>
    </w:tbl>
    <w:p w14:paraId="2803C93E" w14:textId="77777777" w:rsidR="00BF26E8" w:rsidRPr="00563FA9" w:rsidRDefault="00BF26E8" w:rsidP="00BF26E8">
      <w:pPr>
        <w:pStyle w:val="ASpacer"/>
      </w:pPr>
    </w:p>
    <w:tbl>
      <w:tblPr>
        <w:tblW w:w="9496" w:type="dxa"/>
        <w:tblLook w:val="0000" w:firstRow="0" w:lastRow="0" w:firstColumn="0" w:lastColumn="0" w:noHBand="0" w:noVBand="0"/>
      </w:tblPr>
      <w:tblGrid>
        <w:gridCol w:w="6378"/>
        <w:gridCol w:w="3118"/>
      </w:tblGrid>
      <w:tr w:rsidR="00BF26E8" w:rsidRPr="00563FA9" w14:paraId="14CDEBC6" w14:textId="77777777" w:rsidTr="00BF26E8">
        <w:trPr>
          <w:trHeight w:val="340"/>
        </w:trPr>
        <w:tc>
          <w:tcPr>
            <w:tcW w:w="3358" w:type="pct"/>
            <w:vAlign w:val="bottom"/>
          </w:tcPr>
          <w:p w14:paraId="60457C68" w14:textId="77777777" w:rsidR="00BF26E8" w:rsidRPr="00563FA9" w:rsidRDefault="00BF26E8" w:rsidP="00BF26E8">
            <w:pPr>
              <w:pStyle w:val="Normal-pool"/>
            </w:pPr>
          </w:p>
        </w:tc>
        <w:tc>
          <w:tcPr>
            <w:tcW w:w="1642" w:type="pct"/>
            <w:noWrap/>
            <w:vAlign w:val="bottom"/>
          </w:tcPr>
          <w:p w14:paraId="64C280A3" w14:textId="32B5CC88" w:rsidR="00BF26E8" w:rsidRPr="00563FA9" w:rsidRDefault="00BF26E8" w:rsidP="00BF26E8">
            <w:pPr>
              <w:pStyle w:val="ASymbol"/>
            </w:pPr>
            <w:r w:rsidRPr="00563FA9">
              <w:rPr>
                <w:b/>
                <w:sz w:val="28"/>
              </w:rPr>
              <w:t>UNEP</w:t>
            </w:r>
            <w:r w:rsidRPr="00563FA9">
              <w:t>/MC/COP.</w:t>
            </w:r>
            <w:bookmarkStart w:id="0" w:name="Symbol1A"/>
            <w:r w:rsidRPr="00563FA9">
              <w:t>6</w:t>
            </w:r>
            <w:bookmarkStart w:id="1" w:name="Symbol1B"/>
            <w:bookmarkEnd w:id="0"/>
            <w:r w:rsidRPr="00563FA9">
              <w:t>/</w:t>
            </w:r>
            <w:bookmarkEnd w:id="1"/>
            <w:r w:rsidR="000848BE" w:rsidRPr="00563FA9">
              <w:t>15</w:t>
            </w:r>
          </w:p>
        </w:tc>
      </w:tr>
    </w:tbl>
    <w:p w14:paraId="0837EA31" w14:textId="77777777" w:rsidR="00BF26E8" w:rsidRPr="00563FA9" w:rsidRDefault="00BF26E8" w:rsidP="00BF26E8">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BF26E8" w:rsidRPr="00563FA9" w14:paraId="2E64BD47" w14:textId="77777777" w:rsidTr="00BF26E8">
        <w:trPr>
          <w:trHeight w:val="2098"/>
        </w:trPr>
        <w:tc>
          <w:tcPr>
            <w:tcW w:w="3685" w:type="dxa"/>
          </w:tcPr>
          <w:p w14:paraId="5DBCFA0E" w14:textId="4B06AF12" w:rsidR="00BF26E8" w:rsidRPr="00563FA9" w:rsidRDefault="00BF26E8" w:rsidP="00BF26E8">
            <w:pPr>
              <w:pStyle w:val="ALogo"/>
            </w:pPr>
            <w:r w:rsidRPr="00563FA9">
              <w:rPr>
                <w:noProof/>
              </w:rPr>
              <w:drawing>
                <wp:inline distT="0" distB="0" distL="0" distR="0" wp14:anchorId="5A772E70" wp14:editId="242F873B">
                  <wp:extent cx="2202815" cy="1028700"/>
                  <wp:effectExtent l="0" t="0" r="6985" b="0"/>
                  <wp:docPr id="61674137" name="Picture 2"/>
                  <wp:cNvGraphicFramePr/>
                  <a:graphic xmlns:a="http://schemas.openxmlformats.org/drawingml/2006/main">
                    <a:graphicData uri="http://schemas.openxmlformats.org/drawingml/2006/picture">
                      <pic:pic xmlns:pic="http://schemas.openxmlformats.org/drawingml/2006/picture">
                        <pic:nvPicPr>
                          <pic:cNvPr id="6167413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563FA9">
              <w:t xml:space="preserve"> </w:t>
            </w:r>
          </w:p>
          <w:p w14:paraId="6A317813" w14:textId="5AD94F1D" w:rsidR="00BF26E8" w:rsidRPr="00563FA9" w:rsidRDefault="00BF26E8" w:rsidP="00BF26E8">
            <w:pPr>
              <w:pStyle w:val="ALogo"/>
            </w:pPr>
          </w:p>
        </w:tc>
        <w:tc>
          <w:tcPr>
            <w:tcW w:w="2693" w:type="dxa"/>
          </w:tcPr>
          <w:p w14:paraId="06D87049" w14:textId="77777777" w:rsidR="00BF26E8" w:rsidRPr="00563FA9" w:rsidRDefault="00BF26E8" w:rsidP="00BF26E8">
            <w:pPr>
              <w:pStyle w:val="Normal-pool"/>
            </w:pPr>
          </w:p>
        </w:tc>
        <w:tc>
          <w:tcPr>
            <w:tcW w:w="3118" w:type="dxa"/>
          </w:tcPr>
          <w:p w14:paraId="214A5FDB" w14:textId="635AB945" w:rsidR="00BF26E8" w:rsidRPr="00563FA9" w:rsidRDefault="00BF26E8" w:rsidP="00BF26E8">
            <w:pPr>
              <w:pStyle w:val="AText"/>
            </w:pPr>
            <w:r w:rsidRPr="00563FA9">
              <w:t xml:space="preserve">Distr. </w:t>
            </w:r>
            <w:bookmarkStart w:id="2" w:name="Distribution"/>
            <w:r w:rsidRPr="00563FA9">
              <w:t>générale</w:t>
            </w:r>
            <w:bookmarkEnd w:id="2"/>
            <w:r w:rsidRPr="00563FA9">
              <w:t xml:space="preserve"> </w:t>
            </w:r>
          </w:p>
          <w:p w14:paraId="7B210A39" w14:textId="5EF41CA0" w:rsidR="00BF26E8" w:rsidRPr="00563FA9" w:rsidRDefault="00BF26E8" w:rsidP="00BF26E8">
            <w:pPr>
              <w:pStyle w:val="AText0"/>
            </w:pPr>
            <w:bookmarkStart w:id="3" w:name="DistributionDate"/>
            <w:r w:rsidRPr="00563FA9">
              <w:t>21 juillet 2025</w:t>
            </w:r>
            <w:bookmarkEnd w:id="3"/>
            <w:r w:rsidRPr="00563FA9">
              <w:t xml:space="preserve"> </w:t>
            </w:r>
          </w:p>
          <w:p w14:paraId="38584BE7" w14:textId="6BA1BD50" w:rsidR="00BF26E8" w:rsidRPr="00563FA9" w:rsidRDefault="00BF26E8" w:rsidP="00BF26E8">
            <w:pPr>
              <w:pStyle w:val="AText"/>
            </w:pPr>
            <w:bookmarkStart w:id="4" w:name="DistributionLang"/>
            <w:r w:rsidRPr="00563FA9">
              <w:t xml:space="preserve">Français </w:t>
            </w:r>
            <w:r w:rsidRPr="00563FA9">
              <w:br/>
              <w:t>Original : anglais</w:t>
            </w:r>
            <w:bookmarkEnd w:id="4"/>
          </w:p>
        </w:tc>
      </w:tr>
    </w:tbl>
    <w:p w14:paraId="3F55E8F3" w14:textId="77777777" w:rsidR="00BF26E8" w:rsidRPr="00563FA9" w:rsidRDefault="00BF26E8" w:rsidP="00BF26E8">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BF26E8" w:rsidRPr="00563FA9" w14:paraId="31ECCDA2" w14:textId="77777777" w:rsidTr="00BF26E8">
        <w:trPr>
          <w:trHeight w:val="57"/>
        </w:trPr>
        <w:tc>
          <w:tcPr>
            <w:tcW w:w="5301" w:type="dxa"/>
          </w:tcPr>
          <w:p w14:paraId="6EC299A3" w14:textId="77777777" w:rsidR="00BF26E8" w:rsidRPr="00563FA9" w:rsidRDefault="00BF26E8" w:rsidP="00BF26E8">
            <w:pPr>
              <w:pStyle w:val="AATitle"/>
            </w:pPr>
            <w:bookmarkStart w:id="5" w:name="CorNot1Text"/>
            <w:r w:rsidRPr="00563FA9">
              <w:t xml:space="preserve">Conférence des Parties à la Convention de </w:t>
            </w:r>
            <w:r w:rsidRPr="00563FA9">
              <w:br/>
              <w:t xml:space="preserve">Minamata sur le mercure </w:t>
            </w:r>
          </w:p>
          <w:p w14:paraId="13B081C6" w14:textId="4E54F809" w:rsidR="00BF26E8" w:rsidRPr="00563FA9" w:rsidRDefault="00BF26E8" w:rsidP="00BF26E8">
            <w:pPr>
              <w:pStyle w:val="AATitle"/>
            </w:pPr>
            <w:r w:rsidRPr="00563FA9">
              <w:t>Sixième réunion</w:t>
            </w:r>
            <w:bookmarkEnd w:id="5"/>
            <w:r w:rsidRPr="00563FA9">
              <w:t xml:space="preserve"> </w:t>
            </w:r>
          </w:p>
          <w:p w14:paraId="75821A93" w14:textId="4DF66A37" w:rsidR="00BF26E8" w:rsidRPr="00563FA9" w:rsidRDefault="00BF26E8" w:rsidP="00BF26E8">
            <w:pPr>
              <w:pStyle w:val="AATitle1"/>
            </w:pPr>
            <w:bookmarkStart w:id="6" w:name="CorNot1VenueDate"/>
            <w:r w:rsidRPr="00563FA9">
              <w:t>Genève, 3-7 novembre 2025</w:t>
            </w:r>
            <w:bookmarkEnd w:id="6"/>
            <w:r w:rsidRPr="00563FA9">
              <w:t xml:space="preserve"> </w:t>
            </w:r>
          </w:p>
          <w:p w14:paraId="521A9613" w14:textId="1F340B92" w:rsidR="00BF26E8" w:rsidRPr="00563FA9" w:rsidRDefault="00BF26E8" w:rsidP="00BF26E8">
            <w:pPr>
              <w:pStyle w:val="AATitle1"/>
            </w:pPr>
            <w:bookmarkStart w:id="7" w:name="CorNot1AgItem"/>
            <w:r w:rsidRPr="00563FA9">
              <w:t>Point 4 h) de l</w:t>
            </w:r>
            <w:r w:rsidR="001542BB" w:rsidRPr="00563FA9">
              <w:t>’</w:t>
            </w:r>
            <w:r w:rsidRPr="00563FA9">
              <w:t>ordre du jour provisoire</w:t>
            </w:r>
            <w:bookmarkEnd w:id="7"/>
            <w:r w:rsidRPr="00563FA9">
              <w:rPr>
                <w:rStyle w:val="FootnoteReference"/>
                <w:rFonts w:eastAsia="SimSun"/>
                <w:bCs/>
                <w:vertAlign w:val="baseline"/>
              </w:rPr>
              <w:footnoteReference w:customMarkFollows="1" w:id="2"/>
              <w:t>*</w:t>
            </w:r>
            <w:r w:rsidRPr="00563FA9">
              <w:t xml:space="preserve"> </w:t>
            </w:r>
          </w:p>
          <w:p w14:paraId="5B6C5B77" w14:textId="47EF6AD6" w:rsidR="00BF26E8" w:rsidRPr="00563FA9" w:rsidRDefault="00BF26E8" w:rsidP="00BF26E8">
            <w:pPr>
              <w:pStyle w:val="AATitle2"/>
            </w:pPr>
            <w:r w:rsidRPr="00563FA9">
              <w:rPr>
                <w:rFonts w:eastAsiaTheme="minorEastAsia"/>
              </w:rPr>
              <w:t>Questions soumises à la Conférence des Parties pour examen ou décision : rapports nationaux</w:t>
            </w:r>
            <w:r w:rsidRPr="00563FA9">
              <w:t xml:space="preserve"> </w:t>
            </w:r>
          </w:p>
        </w:tc>
        <w:tc>
          <w:tcPr>
            <w:tcW w:w="4195" w:type="dxa"/>
          </w:tcPr>
          <w:p w14:paraId="66FDCEA0" w14:textId="77777777" w:rsidR="00BF26E8" w:rsidRPr="00563FA9" w:rsidRDefault="00BF26E8" w:rsidP="00BF26E8">
            <w:pPr>
              <w:pStyle w:val="Normal-pool"/>
            </w:pPr>
          </w:p>
        </w:tc>
      </w:tr>
    </w:tbl>
    <w:p w14:paraId="7DB46210" w14:textId="77777777" w:rsidR="00D92685" w:rsidRPr="00563FA9" w:rsidRDefault="00D92685" w:rsidP="00D92685">
      <w:pPr>
        <w:pStyle w:val="ASpacer"/>
      </w:pPr>
    </w:p>
    <w:p w14:paraId="36614925" w14:textId="34868413" w:rsidR="00DE24D9" w:rsidRPr="00563FA9" w:rsidRDefault="00DE24D9" w:rsidP="00546D20">
      <w:pPr>
        <w:pStyle w:val="BBTitle"/>
      </w:pPr>
      <w:r w:rsidRPr="00563FA9">
        <w:rPr>
          <w:bCs/>
        </w:rPr>
        <w:t>Rapports nationaux (article 21)</w:t>
      </w:r>
      <w:r w:rsidR="007E2DE8" w:rsidRPr="00563FA9">
        <w:rPr>
          <w:bCs/>
        </w:rPr>
        <w:t> :</w:t>
      </w:r>
      <w:r w:rsidRPr="00563FA9">
        <w:rPr>
          <w:bCs/>
        </w:rPr>
        <w:t xml:space="preserve"> deuxièmes rapports nationaux abrégés</w:t>
      </w:r>
      <w:r w:rsidR="00D92685" w:rsidRPr="00563FA9">
        <w:rPr>
          <w:bCs/>
          <w:color w:val="000000"/>
        </w:rPr>
        <w:t xml:space="preserve"> </w:t>
      </w:r>
    </w:p>
    <w:p w14:paraId="4D3FD560" w14:textId="77777777" w:rsidR="00DE24D9" w:rsidRPr="00563FA9" w:rsidRDefault="00DE24D9" w:rsidP="00546D20">
      <w:pPr>
        <w:pStyle w:val="CH2"/>
      </w:pPr>
      <w:r w:rsidRPr="00563FA9">
        <w:tab/>
      </w:r>
      <w:r w:rsidRPr="00563FA9">
        <w:tab/>
      </w:r>
      <w:r w:rsidRPr="00563FA9">
        <w:rPr>
          <w:bCs/>
        </w:rPr>
        <w:t>Note du secrétariat</w:t>
      </w:r>
    </w:p>
    <w:p w14:paraId="24E9A1E9" w14:textId="6C2AB3E6" w:rsidR="00DE24D9" w:rsidRPr="00563FA9" w:rsidRDefault="00D92685" w:rsidP="00D92685">
      <w:pPr>
        <w:pStyle w:val="CH1"/>
      </w:pPr>
      <w:bookmarkStart w:id="8" w:name="_Hlk192252242"/>
      <w:r w:rsidRPr="00563FA9">
        <w:tab/>
      </w:r>
      <w:r w:rsidR="007E4ECB" w:rsidRPr="00563FA9">
        <w:t>I.</w:t>
      </w:r>
      <w:r w:rsidRPr="00563FA9">
        <w:tab/>
      </w:r>
      <w:r w:rsidR="00DE24D9" w:rsidRPr="00563FA9">
        <w:t>Introduction</w:t>
      </w:r>
    </w:p>
    <w:bookmarkEnd w:id="8"/>
    <w:p w14:paraId="31F53FE9" w14:textId="295CB082" w:rsidR="00DE24D9" w:rsidRPr="00563FA9" w:rsidRDefault="00A2643F" w:rsidP="00546D20">
      <w:pPr>
        <w:pStyle w:val="Normalnumber"/>
        <w:tabs>
          <w:tab w:val="clear" w:pos="1247"/>
          <w:tab w:val="clear" w:pos="1814"/>
          <w:tab w:val="clear" w:pos="2381"/>
          <w:tab w:val="clear" w:pos="2948"/>
          <w:tab w:val="clear" w:pos="3515"/>
          <w:tab w:val="left" w:pos="624"/>
        </w:tabs>
      </w:pPr>
      <w:r w:rsidRPr="00563FA9">
        <w:t>Conformément au paragraphe</w:t>
      </w:r>
      <w:r w:rsidR="003C2820" w:rsidRPr="00563FA9">
        <w:t> </w:t>
      </w:r>
      <w:r w:rsidRPr="00563FA9">
        <w:t>1 de l</w:t>
      </w:r>
      <w:r w:rsidR="001542BB" w:rsidRPr="00563FA9">
        <w:t>’</w:t>
      </w:r>
      <w:r w:rsidRPr="00563FA9">
        <w:t>article</w:t>
      </w:r>
      <w:r w:rsidR="0022698C" w:rsidRPr="00563FA9">
        <w:t> </w:t>
      </w:r>
      <w:r w:rsidRPr="00563FA9">
        <w:t>21 de la Convention de</w:t>
      </w:r>
      <w:r w:rsidR="00124095" w:rsidRPr="00563FA9">
        <w:t> </w:t>
      </w:r>
      <w:r w:rsidRPr="00563FA9">
        <w:t>Minamata sur le mercure, chaque Partie fait rapport à la Conférence des Parties, par l</w:t>
      </w:r>
      <w:r w:rsidR="001542BB" w:rsidRPr="00563FA9">
        <w:t>’</w:t>
      </w:r>
      <w:r w:rsidRPr="00563FA9">
        <w:t>intermédiaire du secrétariat, sur les mesures qu</w:t>
      </w:r>
      <w:r w:rsidR="001542BB" w:rsidRPr="00563FA9">
        <w:t>’</w:t>
      </w:r>
      <w:r w:rsidRPr="00563FA9">
        <w:t>elle a prises pour mettre en œuvre les dispositions de la Convention et l</w:t>
      </w:r>
      <w:r w:rsidR="001542BB" w:rsidRPr="00563FA9">
        <w:t>’</w:t>
      </w:r>
      <w:r w:rsidRPr="00563FA9">
        <w:t>efficacité de ces mesures, ainsi que sur les éventuelles difficultés qu</w:t>
      </w:r>
      <w:r w:rsidR="001542BB" w:rsidRPr="00563FA9">
        <w:t>’</w:t>
      </w:r>
      <w:r w:rsidRPr="00563FA9">
        <w:t>elle a rencontrées dans la réalisation des objectifs de la Convention. Conformément à la décision MC-1/8 sur la périodicité et la présentation des rapports, les Parties devaient soumettre leur deuxième rapport national abrégé, couvrant la période allant du 1</w:t>
      </w:r>
      <w:r w:rsidRPr="00563FA9">
        <w:rPr>
          <w:vertAlign w:val="superscript"/>
        </w:rPr>
        <w:t>er</w:t>
      </w:r>
      <w:r w:rsidRPr="00563FA9">
        <w:t> janvier 2021 au 31 décembre 2022, le 31 décembre 2023 au plus tard.</w:t>
      </w:r>
    </w:p>
    <w:p w14:paraId="28A1A670" w14:textId="1FE842FE"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En application de l</w:t>
      </w:r>
      <w:r w:rsidR="001542BB" w:rsidRPr="00563FA9">
        <w:t>’</w:t>
      </w:r>
      <w:r w:rsidRPr="00563FA9">
        <w:t>alinéa e) du paragraphe 2 de l</w:t>
      </w:r>
      <w:r w:rsidR="001542BB" w:rsidRPr="00563FA9">
        <w:t>’</w:t>
      </w:r>
      <w:r w:rsidRPr="00563FA9">
        <w:t>article 24 de la Convention, la section II de la présente note contient un rapport périodique fondé sur les informations reçues en vertu des articles 15 et 21, ainsi que d</w:t>
      </w:r>
      <w:r w:rsidR="001542BB" w:rsidRPr="00563FA9">
        <w:t>’</w:t>
      </w:r>
      <w:r w:rsidRPr="00563FA9">
        <w:t>autres informations disponibles.</w:t>
      </w:r>
    </w:p>
    <w:p w14:paraId="5C7AD387" w14:textId="57143C14"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La section III décrit les travaux intersessions concernant l</w:t>
      </w:r>
      <w:r w:rsidR="001542BB" w:rsidRPr="00563FA9">
        <w:t>’</w:t>
      </w:r>
      <w:r w:rsidRPr="00563FA9">
        <w:t xml:space="preserve">outil </w:t>
      </w:r>
      <w:r w:rsidR="006F2A73" w:rsidRPr="00563FA9">
        <w:t>d</w:t>
      </w:r>
      <w:r w:rsidR="001542BB" w:rsidRPr="00563FA9">
        <w:t>’</w:t>
      </w:r>
      <w:r w:rsidR="006F2A73" w:rsidRPr="00563FA9">
        <w:t xml:space="preserve">établissement des rapports </w:t>
      </w:r>
      <w:r w:rsidRPr="00563FA9">
        <w:t>en ligne et le document d</w:t>
      </w:r>
      <w:r w:rsidR="001542BB" w:rsidRPr="00563FA9">
        <w:t>’</w:t>
      </w:r>
      <w:r w:rsidRPr="00563FA9">
        <w:t>orientation relatif à l</w:t>
      </w:r>
      <w:r w:rsidR="001542BB" w:rsidRPr="00563FA9">
        <w:t>’</w:t>
      </w:r>
      <w:r w:rsidRPr="00563FA9">
        <w:t xml:space="preserve">utilisation du </w:t>
      </w:r>
      <w:r w:rsidR="00BF4AFA" w:rsidRPr="00563FA9">
        <w:t>formulaire d</w:t>
      </w:r>
      <w:r w:rsidR="001542BB" w:rsidRPr="00563FA9">
        <w:t>’</w:t>
      </w:r>
      <w:r w:rsidR="00BF4AFA" w:rsidRPr="00563FA9">
        <w:t xml:space="preserve">établissement des rapports nationaux </w:t>
      </w:r>
      <w:r w:rsidRPr="00563FA9">
        <w:t>qui ont été menés en application de la décision MC-5/13. La version mise à jour du document d</w:t>
      </w:r>
      <w:r w:rsidR="001542BB" w:rsidRPr="00563FA9">
        <w:t>’</w:t>
      </w:r>
      <w:r w:rsidRPr="00563FA9">
        <w:t>orientation relatif à l</w:t>
      </w:r>
      <w:r w:rsidR="001542BB" w:rsidRPr="00563FA9">
        <w:t>’</w:t>
      </w:r>
      <w:r w:rsidRPr="00563FA9">
        <w:t xml:space="preserve">utilisation du </w:t>
      </w:r>
      <w:r w:rsidR="00BF4AFA" w:rsidRPr="00563FA9">
        <w:t>formulaire d</w:t>
      </w:r>
      <w:r w:rsidR="001542BB" w:rsidRPr="00563FA9">
        <w:t>’</w:t>
      </w:r>
      <w:r w:rsidR="00BF4AFA" w:rsidRPr="00563FA9">
        <w:t xml:space="preserve">établissement des rapports nationaux </w:t>
      </w:r>
      <w:r w:rsidRPr="00563FA9">
        <w:t>est reproduite dans le document UNEP/MC/COP.6/INF/21.</w:t>
      </w:r>
    </w:p>
    <w:p w14:paraId="6F11CEC3" w14:textId="37EC037D"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La section</w:t>
      </w:r>
      <w:r w:rsidR="00F8228E" w:rsidRPr="00563FA9">
        <w:t> </w:t>
      </w:r>
      <w:r w:rsidRPr="00563FA9">
        <w:t>IV présente les dispositions à prendre pour rendre compte des résultats de l</w:t>
      </w:r>
      <w:r w:rsidR="001542BB" w:rsidRPr="00563FA9">
        <w:t>’</w:t>
      </w:r>
      <w:r w:rsidRPr="00563FA9">
        <w:t>analyse par le secrétariat des deuxièmes rapports nationaux complets avant la septième</w:t>
      </w:r>
      <w:r w:rsidR="00F6647C" w:rsidRPr="00563FA9">
        <w:t> </w:t>
      </w:r>
      <w:r w:rsidRPr="00563FA9">
        <w:t>réunion de la Conférence des Parties.</w:t>
      </w:r>
    </w:p>
    <w:p w14:paraId="1935FE30" w14:textId="6E307F6E"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La section</w:t>
      </w:r>
      <w:r w:rsidR="00F8228E" w:rsidRPr="00563FA9">
        <w:t> </w:t>
      </w:r>
      <w:r w:rsidRPr="00563FA9">
        <w:t>V contient un projet de décision sur les rapports nationaux pour examen par la Conférence des Parties à la lumière des réponses communiquées par les Parties dans leur deuxième</w:t>
      </w:r>
      <w:r w:rsidR="004E3718" w:rsidRPr="00563FA9">
        <w:t> </w:t>
      </w:r>
      <w:r w:rsidRPr="00563FA9">
        <w:t>rapport national abrégé. Le texte du projet de décision est reproduit dans l</w:t>
      </w:r>
      <w:r w:rsidR="001542BB" w:rsidRPr="00563FA9">
        <w:t>’</w:t>
      </w:r>
      <w:r w:rsidRPr="00563FA9">
        <w:t>annexe de la présente note. Les mesures proposées relatives à l</w:t>
      </w:r>
      <w:r w:rsidR="001542BB" w:rsidRPr="00563FA9">
        <w:t>’</w:t>
      </w:r>
      <w:r w:rsidRPr="00563FA9">
        <w:t>extraction, aux stocks et aux sources de mercure primaire, ainsi qu</w:t>
      </w:r>
      <w:r w:rsidR="001542BB" w:rsidRPr="00563FA9">
        <w:t>’</w:t>
      </w:r>
      <w:r w:rsidRPr="00563FA9">
        <w:t>au commerce du mercure, sont présentées dans le document UNEP/MC/COP.6/5 et celles relatives aux déchets de mercure figurent dans le document UNEP/MC/COP.6/8.</w:t>
      </w:r>
    </w:p>
    <w:p w14:paraId="476527EA" w14:textId="5E7451D2" w:rsidR="00DE24D9" w:rsidRPr="00563FA9" w:rsidRDefault="00DE24D9" w:rsidP="004C7CF9">
      <w:pPr>
        <w:pStyle w:val="CH1"/>
      </w:pPr>
      <w:r w:rsidRPr="00563FA9">
        <w:lastRenderedPageBreak/>
        <w:tab/>
      </w:r>
      <w:r w:rsidR="00D66A5C" w:rsidRPr="00563FA9">
        <w:rPr>
          <w:bCs/>
        </w:rPr>
        <w:t>II.</w:t>
      </w:r>
      <w:r w:rsidR="00D92685" w:rsidRPr="00563FA9">
        <w:tab/>
      </w:r>
      <w:r w:rsidRPr="00563FA9">
        <w:rPr>
          <w:bCs/>
        </w:rPr>
        <w:t>Rapport périodique du secrétariat fondé sur les informations reçues en vertu des articles</w:t>
      </w:r>
      <w:r w:rsidR="00187195" w:rsidRPr="00563FA9">
        <w:rPr>
          <w:bCs/>
        </w:rPr>
        <w:t> </w:t>
      </w:r>
      <w:r w:rsidRPr="00563FA9">
        <w:rPr>
          <w:bCs/>
        </w:rPr>
        <w:t>15 et</w:t>
      </w:r>
      <w:r w:rsidR="00187195" w:rsidRPr="00563FA9">
        <w:rPr>
          <w:bCs/>
        </w:rPr>
        <w:t> </w:t>
      </w:r>
      <w:r w:rsidRPr="00563FA9">
        <w:rPr>
          <w:bCs/>
        </w:rPr>
        <w:t>21 de la Convention</w:t>
      </w:r>
    </w:p>
    <w:p w14:paraId="0EB929DB" w14:textId="442EE578"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En ce qui concerne les informations communiquées au titre de l</w:t>
      </w:r>
      <w:r w:rsidR="001542BB" w:rsidRPr="00563FA9">
        <w:t>’</w:t>
      </w:r>
      <w:r w:rsidRPr="00563FA9">
        <w:t>article 21, le secrétariat a examiné les réponses des Parties aux quatre</w:t>
      </w:r>
      <w:r w:rsidR="00F93372" w:rsidRPr="00563FA9">
        <w:t> </w:t>
      </w:r>
      <w:r w:rsidRPr="00563FA9">
        <w:t xml:space="preserve">questions récurrentes relatives aux mesures de mise en œuvre de la Convention et à leur efficacité. On trouvera ci-après a) un aperçu des rapports des Parties et b) les observations du secrétariat sur les réponses fournies dans les deuxièmes rapports </w:t>
      </w:r>
      <w:r w:rsidR="00B50E88" w:rsidRPr="00563FA9">
        <w:t xml:space="preserve">nationaux </w:t>
      </w:r>
      <w:r w:rsidRPr="00563FA9">
        <w:t>abrégés. Les rapports complets, tels que vérifiés par les Parties qui les ont soumis et par le secrétariat, sont publiés sur le site Web de la Convention</w:t>
      </w:r>
      <w:r w:rsidRPr="00563FA9">
        <w:rPr>
          <w:rStyle w:val="FootnoteReference"/>
        </w:rPr>
        <w:footnoteReference w:id="3"/>
      </w:r>
      <w:r w:rsidRPr="00563FA9">
        <w:t>.</w:t>
      </w:r>
    </w:p>
    <w:p w14:paraId="708774F9" w14:textId="6FD5C629"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Au 31 mai 2025, 118</w:t>
      </w:r>
      <w:r w:rsidR="00805C71" w:rsidRPr="00563FA9">
        <w:t> </w:t>
      </w:r>
      <w:r w:rsidRPr="00563FA9">
        <w:t>des 137</w:t>
      </w:r>
      <w:r w:rsidR="009729EF" w:rsidRPr="00563FA9">
        <w:t> </w:t>
      </w:r>
      <w:r w:rsidRPr="00563FA9">
        <w:t>Parties (86 %) avaient soumis leur deuxième rapport</w:t>
      </w:r>
      <w:r w:rsidR="00F52B6C" w:rsidRPr="00563FA9">
        <w:t xml:space="preserve"> national</w:t>
      </w:r>
      <w:r w:rsidRPr="00563FA9">
        <w:t xml:space="preserve"> abrégé, pour la période se terminant le 31 décembre 2022. Parmi celles-ci, 91</w:t>
      </w:r>
      <w:r w:rsidR="00B81F04" w:rsidRPr="00563FA9">
        <w:t> </w:t>
      </w:r>
      <w:r w:rsidRPr="00563FA9">
        <w:t>avaient soumis leur rapport avant la date limite et 27 l</w:t>
      </w:r>
      <w:r w:rsidR="001542BB" w:rsidRPr="00563FA9">
        <w:t>’</w:t>
      </w:r>
      <w:r w:rsidRPr="00563FA9">
        <w:t>avaient soumis ultérieurement</w:t>
      </w:r>
      <w:r w:rsidRPr="00563FA9">
        <w:rPr>
          <w:rStyle w:val="FootnoteReference"/>
        </w:rPr>
        <w:footnoteReference w:id="4"/>
      </w:r>
      <w:r w:rsidRPr="00563FA9">
        <w:t>.</w:t>
      </w:r>
    </w:p>
    <w:p w14:paraId="179F5A10" w14:textId="6B456C66"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Les taux de soumission des rapports par région étaient les suivants</w:t>
      </w:r>
      <w:r w:rsidR="007E2DE8" w:rsidRPr="00563FA9">
        <w:t> :</w:t>
      </w:r>
      <w:r w:rsidRPr="00563FA9">
        <w:t xml:space="preserve"> 31 sur 37 Parties du groupe des États d</w:t>
      </w:r>
      <w:r w:rsidR="001542BB" w:rsidRPr="00563FA9">
        <w:t>’</w:t>
      </w:r>
      <w:r w:rsidRPr="00563FA9">
        <w:t>Afrique (84 %), 26 sur 35 Parties du groupe des États d</w:t>
      </w:r>
      <w:r w:rsidR="001542BB" w:rsidRPr="00563FA9">
        <w:t>’</w:t>
      </w:r>
      <w:r w:rsidRPr="00563FA9">
        <w:t>Asie et du Pacifique (74 %), 16 sur 16 Parties du groupe des États d</w:t>
      </w:r>
      <w:r w:rsidR="001542BB" w:rsidRPr="00563FA9">
        <w:t>’</w:t>
      </w:r>
      <w:r w:rsidRPr="00563FA9">
        <w:t>Europe orientale (100 %), 20 sur 24 Parties du groupe des États d</w:t>
      </w:r>
      <w:r w:rsidR="001542BB" w:rsidRPr="00563FA9">
        <w:t>’</w:t>
      </w:r>
      <w:r w:rsidRPr="00563FA9">
        <w:t>Amérique latine et des Caraïbes (83 %), et 25 sur 25 Parties du groupe des États d</w:t>
      </w:r>
      <w:r w:rsidR="001542BB" w:rsidRPr="00563FA9">
        <w:t>’</w:t>
      </w:r>
      <w:r w:rsidRPr="00563FA9">
        <w:t xml:space="preserve">Europe occidentale et autres États (100 %). </w:t>
      </w:r>
    </w:p>
    <w:p w14:paraId="574ED6FA" w14:textId="2A75A9A2"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Au 31 mai 2025, 19</w:t>
      </w:r>
      <w:r w:rsidR="00267875" w:rsidRPr="00563FA9">
        <w:t> </w:t>
      </w:r>
      <w:r w:rsidRPr="00563FA9">
        <w:t>rapports étaient encore attendus des Parties suivantes</w:t>
      </w:r>
      <w:r w:rsidR="007E2DE8" w:rsidRPr="00563FA9">
        <w:t> :</w:t>
      </w:r>
      <w:r w:rsidRPr="00563FA9">
        <w:t xml:space="preserve"> Bahamas, Cuba, Djibouti, Gambie, Jordanie, Kiribati, Liban, Mauritanie, Pakistan, Paraguay, République arabe syrienne, République centrafricaine, République démocratique populaire lao, Samoa, Sao</w:t>
      </w:r>
      <w:r w:rsidR="001E4235" w:rsidRPr="00563FA9">
        <w:t> </w:t>
      </w:r>
      <w:r w:rsidRPr="00563FA9">
        <w:t>Tomé</w:t>
      </w:r>
      <w:r w:rsidR="001E4235" w:rsidRPr="00563FA9">
        <w:noBreakHyphen/>
      </w:r>
      <w:r w:rsidRPr="00563FA9">
        <w:t>et</w:t>
      </w:r>
      <w:r w:rsidR="001E4235" w:rsidRPr="00563FA9">
        <w:noBreakHyphen/>
      </w:r>
      <w:r w:rsidRPr="00563FA9">
        <w:t xml:space="preserve">Principe, Suriname, Tonga, Vanuatu, Zimbabwe. </w:t>
      </w:r>
    </w:p>
    <w:p w14:paraId="069A1362" w14:textId="0673992F"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Onze</w:t>
      </w:r>
      <w:r w:rsidR="00E025E4" w:rsidRPr="00563FA9">
        <w:t> </w:t>
      </w:r>
      <w:r w:rsidRPr="00563FA9">
        <w:t xml:space="preserve">rapports étaient incomplets, pour lesquels le secrétariat attendait que les </w:t>
      </w:r>
      <w:r w:rsidR="00BF4AFA" w:rsidRPr="00563FA9">
        <w:t>correspondant(e)s nationaux(ales)</w:t>
      </w:r>
      <w:r w:rsidRPr="00563FA9">
        <w:t xml:space="preserve"> respectif</w:t>
      </w:r>
      <w:r w:rsidR="00BF4AFA" w:rsidRPr="00563FA9">
        <w:t>(ve)</w:t>
      </w:r>
      <w:r w:rsidRPr="00563FA9">
        <w:t>s précisent les réponses soumises ou fournissent des informations supplémentaires. Une partie (Kenya) avait volontairement soumis des rapports avant que la Convention n</w:t>
      </w:r>
      <w:r w:rsidR="001542BB" w:rsidRPr="00563FA9">
        <w:t>’</w:t>
      </w:r>
      <w:r w:rsidRPr="00563FA9">
        <w:t>entre en vigueur à son égard (2023). Les informations soumises à ce titre avaient été consignées séparément par le secrétariat.</w:t>
      </w:r>
    </w:p>
    <w:p w14:paraId="5FE652EB" w14:textId="4CD68C68" w:rsidR="00DE24D9" w:rsidRPr="00563FA9" w:rsidRDefault="00DE24D9" w:rsidP="004C7CF9">
      <w:pPr>
        <w:pStyle w:val="Normalnumber"/>
        <w:tabs>
          <w:tab w:val="clear" w:pos="1247"/>
          <w:tab w:val="clear" w:pos="1814"/>
          <w:tab w:val="clear" w:pos="2381"/>
          <w:tab w:val="clear" w:pos="2948"/>
          <w:tab w:val="clear" w:pos="3515"/>
          <w:tab w:val="left" w:pos="624"/>
        </w:tabs>
      </w:pPr>
      <w:r w:rsidRPr="00563FA9">
        <w:t>Sur les 118</w:t>
      </w:r>
      <w:r w:rsidR="00B26E5E" w:rsidRPr="00563FA9">
        <w:t> </w:t>
      </w:r>
      <w:r w:rsidRPr="00563FA9">
        <w:t xml:space="preserve">Parties ayant soumis un rapport, 116 (98 %) avaient utilisé </w:t>
      </w:r>
      <w:r w:rsidR="00F67AEB" w:rsidRPr="00563FA9">
        <w:t xml:space="preserve">à cette fin </w:t>
      </w:r>
      <w:r w:rsidRPr="00563FA9">
        <w:t>l</w:t>
      </w:r>
      <w:r w:rsidR="001542BB" w:rsidRPr="00563FA9">
        <w:t>’</w:t>
      </w:r>
      <w:r w:rsidRPr="00563FA9">
        <w:t xml:space="preserve">outil </w:t>
      </w:r>
      <w:r w:rsidR="006F2A73" w:rsidRPr="00563FA9">
        <w:t>d</w:t>
      </w:r>
      <w:r w:rsidR="001542BB" w:rsidRPr="00563FA9">
        <w:t>’</w:t>
      </w:r>
      <w:r w:rsidR="006F2A73" w:rsidRPr="00563FA9">
        <w:t xml:space="preserve">établissement des rapports </w:t>
      </w:r>
      <w:r w:rsidRPr="00563FA9">
        <w:t xml:space="preserve">en ligne, pour lequel des identifiants de connexion avaient été communiqués aux </w:t>
      </w:r>
      <w:r w:rsidR="00BF4AFA" w:rsidRPr="00563FA9">
        <w:t>correspondant(e)s</w:t>
      </w:r>
      <w:r w:rsidRPr="00563FA9">
        <w:t xml:space="preserve"> nationaux</w:t>
      </w:r>
      <w:r w:rsidR="00BF4AFA" w:rsidRPr="00563FA9">
        <w:t>(ales)</w:t>
      </w:r>
      <w:r w:rsidRPr="00563FA9">
        <w:t xml:space="preserve"> le 5 avril 2023, tandis que deux</w:t>
      </w:r>
      <w:r w:rsidR="00AE2480" w:rsidRPr="00563FA9">
        <w:t> </w:t>
      </w:r>
      <w:r w:rsidRPr="00563FA9">
        <w:t>Parties (Congo et Afrique du Sud) avaient soumis leur rapport par courrier électronique. Le secrétariat a</w:t>
      </w:r>
      <w:r w:rsidR="00BF4AFA" w:rsidRPr="00563FA9">
        <w:t>vait</w:t>
      </w:r>
      <w:r w:rsidRPr="00563FA9">
        <w:t xml:space="preserve"> également reçu une communication par courrier électronique attribuée au Zimbabwe mais, n</w:t>
      </w:r>
      <w:r w:rsidR="001542BB" w:rsidRPr="00563FA9">
        <w:t>’</w:t>
      </w:r>
      <w:r w:rsidRPr="00563FA9">
        <w:t xml:space="preserve">ayant pas été soumise par le </w:t>
      </w:r>
      <w:r w:rsidR="00BF4AFA" w:rsidRPr="00563FA9">
        <w:t>(la) correspondant(e) nationa</w:t>
      </w:r>
      <w:r w:rsidR="00525FA7" w:rsidRPr="00563FA9">
        <w:t>l</w:t>
      </w:r>
      <w:r w:rsidR="00BF4AFA" w:rsidRPr="00563FA9">
        <w:t xml:space="preserve">(e) </w:t>
      </w:r>
      <w:r w:rsidRPr="00563FA9">
        <w:t xml:space="preserve">ou </w:t>
      </w:r>
      <w:r w:rsidR="00F67AEB" w:rsidRPr="00563FA9">
        <w:t>l</w:t>
      </w:r>
      <w:r w:rsidR="001542BB" w:rsidRPr="00563FA9">
        <w:t>’</w:t>
      </w:r>
      <w:r w:rsidR="00F67AEB" w:rsidRPr="00563FA9">
        <w:t>agent(e) de liaison</w:t>
      </w:r>
      <w:r w:rsidRPr="00563FA9">
        <w:t xml:space="preserve"> officiel(le)</w:t>
      </w:r>
      <w:r w:rsidR="00BF4AFA" w:rsidRPr="00563FA9">
        <w:t>s</w:t>
      </w:r>
      <w:r w:rsidRPr="00563FA9">
        <w:t>, elle a</w:t>
      </w:r>
      <w:r w:rsidR="00F67AEB" w:rsidRPr="00563FA9">
        <w:t>vait</w:t>
      </w:r>
      <w:r w:rsidRPr="00563FA9">
        <w:t xml:space="preserve"> été exclue de l</w:t>
      </w:r>
      <w:r w:rsidR="001542BB" w:rsidRPr="00563FA9">
        <w:t>’</w:t>
      </w:r>
      <w:r w:rsidRPr="00563FA9">
        <w:t xml:space="preserve">analyse menée dans le présent rapport. Le </w:t>
      </w:r>
      <w:r w:rsidR="00BF4AFA" w:rsidRPr="00563FA9">
        <w:t xml:space="preserve">(La) correspondant(e) national(e) </w:t>
      </w:r>
      <w:r w:rsidRPr="00563FA9">
        <w:t>du Zimbabwe n</w:t>
      </w:r>
      <w:r w:rsidR="001542BB" w:rsidRPr="00563FA9">
        <w:t>’</w:t>
      </w:r>
      <w:r w:rsidRPr="00563FA9">
        <w:t>a</w:t>
      </w:r>
      <w:r w:rsidR="00BF4AFA" w:rsidRPr="00563FA9">
        <w:t>vait</w:t>
      </w:r>
      <w:r w:rsidRPr="00563FA9">
        <w:t xml:space="preserve"> pas encore fourni de confirmation officielle concernant cette communication.</w:t>
      </w:r>
    </w:p>
    <w:p w14:paraId="2207E3AE" w14:textId="023A81BF" w:rsidR="00DE24D9" w:rsidRPr="00563FA9" w:rsidRDefault="00DE24D9" w:rsidP="004C7CF9">
      <w:pPr>
        <w:pStyle w:val="Normalnumber"/>
        <w:tabs>
          <w:tab w:val="clear" w:pos="1247"/>
          <w:tab w:val="clear" w:pos="1814"/>
          <w:tab w:val="clear" w:pos="2381"/>
          <w:tab w:val="clear" w:pos="2948"/>
          <w:tab w:val="clear" w:pos="3515"/>
          <w:tab w:val="left" w:pos="624"/>
        </w:tabs>
      </w:pPr>
      <w:r w:rsidRPr="00563FA9">
        <w:t>Conformément au paragraphe</w:t>
      </w:r>
      <w:r w:rsidR="00AE2480" w:rsidRPr="00563FA9">
        <w:t> </w:t>
      </w:r>
      <w:r w:rsidRPr="00563FA9">
        <w:t>4 de la décision</w:t>
      </w:r>
      <w:r w:rsidR="00B81F04" w:rsidRPr="00563FA9">
        <w:t> </w:t>
      </w:r>
      <w:r w:rsidRPr="00563FA9">
        <w:t>MC-5/15 dans laquelle il était prié, entre autres, de mesurer la participation active des femmes à ses processus et activités, le secrétariat a relevé la répartition des fonctionnaires chargé(e)s de l</w:t>
      </w:r>
      <w:r w:rsidR="001542BB" w:rsidRPr="00563FA9">
        <w:t>’</w:t>
      </w:r>
      <w:r w:rsidRPr="00563FA9">
        <w:t>établissement des rapports (</w:t>
      </w:r>
      <w:r w:rsidR="00BF4AFA" w:rsidRPr="00563FA9">
        <w:t>correspondant(e)s nationaux(ales)</w:t>
      </w:r>
      <w:r w:rsidRPr="00563FA9">
        <w:t xml:space="preserve">et </w:t>
      </w:r>
      <w:r w:rsidR="0008795E" w:rsidRPr="00563FA9">
        <w:t>agent(e)s de liaison</w:t>
      </w:r>
      <w:r w:rsidRPr="00563FA9">
        <w:t>) pour la période considérée et a constaté ce qui suit</w:t>
      </w:r>
      <w:r w:rsidR="007E2DE8" w:rsidRPr="00563FA9">
        <w:t> :</w:t>
      </w:r>
      <w:r w:rsidRPr="00563FA9">
        <w:t xml:space="preserve"> sur 110</w:t>
      </w:r>
      <w:r w:rsidR="00F56824" w:rsidRPr="00563FA9">
        <w:t> </w:t>
      </w:r>
      <w:r w:rsidRPr="00563FA9">
        <w:t>fonctionnaires chargé(e)s de l</w:t>
      </w:r>
      <w:r w:rsidR="001542BB" w:rsidRPr="00563FA9">
        <w:t>’</w:t>
      </w:r>
      <w:r w:rsidRPr="00563FA9">
        <w:t>établissement des rapports, 58 (52,75 %) étaient des femmes et 52</w:t>
      </w:r>
      <w:r w:rsidR="00562072" w:rsidRPr="00563FA9">
        <w:t> </w:t>
      </w:r>
      <w:r w:rsidRPr="00563FA9">
        <w:t xml:space="preserve">(47,3 %) des hommes. </w:t>
      </w:r>
    </w:p>
    <w:p w14:paraId="23B649AD" w14:textId="2E974184" w:rsidR="00DE24D9" w:rsidRPr="00563FA9" w:rsidRDefault="00DE24D9" w:rsidP="0085346D">
      <w:pPr>
        <w:pStyle w:val="Normalnumber"/>
        <w:tabs>
          <w:tab w:val="clear" w:pos="1247"/>
          <w:tab w:val="clear" w:pos="1814"/>
          <w:tab w:val="clear" w:pos="2381"/>
          <w:tab w:val="clear" w:pos="2948"/>
          <w:tab w:val="clear" w:pos="3515"/>
          <w:tab w:val="left" w:pos="624"/>
        </w:tabs>
      </w:pPr>
      <w:r w:rsidRPr="00563FA9">
        <w:t>À sa septième</w:t>
      </w:r>
      <w:r w:rsidR="00C161E3" w:rsidRPr="00563FA9">
        <w:t> </w:t>
      </w:r>
      <w:r w:rsidRPr="00563FA9">
        <w:t>réunion, tenue en février 2025, le Comité de mise en œuvre et du respect des obligations, dans le cadre de son examen des résultats des deuxièmes rapports nationaux abrégés, s</w:t>
      </w:r>
      <w:r w:rsidR="001542BB" w:rsidRPr="00563FA9">
        <w:t>’</w:t>
      </w:r>
      <w:r w:rsidRPr="00563FA9">
        <w:t>est félicité du taux élevé de présentation des rapports par les Parties, a rappelé l</w:t>
      </w:r>
      <w:r w:rsidR="001542BB" w:rsidRPr="00563FA9">
        <w:t>’</w:t>
      </w:r>
      <w:r w:rsidRPr="00563FA9">
        <w:t xml:space="preserve">importance de la </w:t>
      </w:r>
      <w:r w:rsidRPr="00563FA9">
        <w:lastRenderedPageBreak/>
        <w:t>soumission des rapports nationaux dans les délais impartis, a estimé que le taux de présentation des rapports pouvait encore être amélioré, a prié le secrétariat d</w:t>
      </w:r>
      <w:r w:rsidR="001542BB" w:rsidRPr="00563FA9">
        <w:t>’</w:t>
      </w:r>
      <w:r w:rsidRPr="00563FA9">
        <w:t>assurer le suivi et de prendre contact avec les Parties qui n</w:t>
      </w:r>
      <w:r w:rsidR="001542BB" w:rsidRPr="00563FA9">
        <w:t>’</w:t>
      </w:r>
      <w:r w:rsidRPr="00563FA9">
        <w:t>avaient pas encore soumis leur deuxième rapport national abrégé et a prié ces dernières de le faire le 31 mai 2025 au plus tard. Deux</w:t>
      </w:r>
      <w:r w:rsidR="00C048C9" w:rsidRPr="00563FA9">
        <w:t> </w:t>
      </w:r>
      <w:r w:rsidRPr="00563FA9">
        <w:t xml:space="preserve">Parties (Chili et Tuvalu) </w:t>
      </w:r>
      <w:r w:rsidR="008C26E8" w:rsidRPr="00563FA9">
        <w:t>avaient</w:t>
      </w:r>
      <w:r w:rsidRPr="00563FA9">
        <w:t xml:space="preserve"> soumis leur rapport avant cette date.</w:t>
      </w:r>
    </w:p>
    <w:p w14:paraId="233545EB" w14:textId="0A4C3DF8"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Les conclusions et recommandations du Comité de mise en œuvre et du respect des obligations sont reproduites dans l</w:t>
      </w:r>
      <w:r w:rsidR="001542BB" w:rsidRPr="00563FA9">
        <w:t>’</w:t>
      </w:r>
      <w:r w:rsidRPr="00563FA9">
        <w:t xml:space="preserve">annexe du rapport sur les travaux du Comité présenté à la sixième réunion de la Conférence des Parties (UNEP/MC/COP.6/14). </w:t>
      </w:r>
    </w:p>
    <w:p w14:paraId="4DC81A91" w14:textId="48067D47"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Le secrétariat a fait fond sur les conclusions formulées par le Comité au sujet de la performance en matière de présentation des rapports pour élaborer les sections pertinentes du projet de décision qui figure dans l</w:t>
      </w:r>
      <w:r w:rsidR="001542BB" w:rsidRPr="00563FA9">
        <w:t>’</w:t>
      </w:r>
      <w:r w:rsidRPr="00563FA9">
        <w:t>annexe de la présente note.</w:t>
      </w:r>
    </w:p>
    <w:p w14:paraId="10B0107C" w14:textId="75EEDE88"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En ce qui concernait l</w:t>
      </w:r>
      <w:r w:rsidR="001542BB" w:rsidRPr="00563FA9">
        <w:t>’</w:t>
      </w:r>
      <w:r w:rsidRPr="00563FA9">
        <w:t xml:space="preserve">examen des réponses fournies dans les deuxièmes rapports nationaux abrégés, les conclusions du secrétariat étaient classées en fonction des quatre questions récurrentes </w:t>
      </w:r>
      <w:r w:rsidR="003057F2" w:rsidRPr="00563FA9">
        <w:t>dans le cadre de l</w:t>
      </w:r>
      <w:r w:rsidR="001542BB" w:rsidRPr="00563FA9">
        <w:t>’</w:t>
      </w:r>
      <w:r w:rsidR="003057F2" w:rsidRPr="00563FA9">
        <w:t>établissement des rapports</w:t>
      </w:r>
      <w:r w:rsidRPr="00563FA9">
        <w:t>. Chacune des sections ci-dessous contient une description des progrès réalisés, des difficultés recensées et des conclusions ou recommandations pertinentes du Comité sur le sujet concerné.</w:t>
      </w:r>
    </w:p>
    <w:p w14:paraId="4D75166D" w14:textId="35C14443" w:rsidR="00DE24D9" w:rsidRPr="00563FA9" w:rsidRDefault="00D92685" w:rsidP="00D92685">
      <w:pPr>
        <w:pStyle w:val="CH2"/>
      </w:pPr>
      <w:r w:rsidRPr="00563FA9">
        <w:tab/>
      </w:r>
      <w:r w:rsidR="000B09AA" w:rsidRPr="00563FA9">
        <w:t>A.</w:t>
      </w:r>
      <w:r w:rsidRPr="00563FA9">
        <w:tab/>
      </w:r>
      <w:r w:rsidR="00E930D5" w:rsidRPr="00563FA9">
        <w:t>Question 3.1</w:t>
      </w:r>
      <w:r w:rsidR="007E2DE8" w:rsidRPr="00563FA9">
        <w:t> :</w:t>
      </w:r>
      <w:r w:rsidR="00E930D5" w:rsidRPr="00563FA9">
        <w:t xml:space="preserve"> Extraction primaire de mercure</w:t>
      </w:r>
      <w:r w:rsidR="00DE24D9" w:rsidRPr="00563FA9">
        <w:rPr>
          <w:vertAlign w:val="superscript"/>
        </w:rPr>
        <w:footnoteReference w:id="5"/>
      </w:r>
    </w:p>
    <w:p w14:paraId="1FEA21FA" w14:textId="0244D08B"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Progrès.</w:t>
      </w:r>
      <w:r w:rsidRPr="00563FA9">
        <w:t xml:space="preserve"> La production primaire déclarée de mercure provenant d</w:t>
      </w:r>
      <w:r w:rsidR="001542BB" w:rsidRPr="00563FA9">
        <w:t>’</w:t>
      </w:r>
      <w:r w:rsidRPr="00563FA9">
        <w:t>activités d</w:t>
      </w:r>
      <w:r w:rsidR="001542BB" w:rsidRPr="00563FA9">
        <w:t>’</w:t>
      </w:r>
      <w:r w:rsidRPr="00563FA9">
        <w:t>extraction minière officielles a diminué au cours de la période considérée. Une Partie a fait état d</w:t>
      </w:r>
      <w:r w:rsidR="001542BB" w:rsidRPr="00563FA9">
        <w:t>’</w:t>
      </w:r>
      <w:r w:rsidRPr="00563FA9">
        <w:t>une baisse de 11,4 % de sa production, qui est passée de 193 tonnes métriques en 2021 à 171 tonnes métriques en 2022, tandis qu</w:t>
      </w:r>
      <w:r w:rsidR="001542BB" w:rsidRPr="00563FA9">
        <w:t>’</w:t>
      </w:r>
      <w:r w:rsidRPr="00563FA9">
        <w:t>une autre Partie a indiqué une production nulle pour 2021 et 2022. Une Partie a également signalé la présence d</w:t>
      </w:r>
      <w:r w:rsidR="001542BB" w:rsidRPr="00563FA9">
        <w:t>’</w:t>
      </w:r>
      <w:r w:rsidRPr="00563FA9">
        <w:t>activités illicites d</w:t>
      </w:r>
      <w:r w:rsidR="001542BB" w:rsidRPr="00563FA9">
        <w:t>’</w:t>
      </w:r>
      <w:r w:rsidRPr="00563FA9">
        <w:t>extraction minière primaire de mercure sur son territoire au cours de la période considérée, conformément au paragraphe</w:t>
      </w:r>
      <w:r w:rsidR="00395A5D" w:rsidRPr="00563FA9">
        <w:t> </w:t>
      </w:r>
      <w:r w:rsidRPr="00563FA9">
        <w:t>1 de la décision</w:t>
      </w:r>
      <w:r w:rsidR="00E024FD" w:rsidRPr="00563FA9">
        <w:t> </w:t>
      </w:r>
      <w:r w:rsidRPr="00563FA9">
        <w:t>MC-5/2, dans laquelle les Parties avaient été engagées à rendre compte de toutes les activités d</w:t>
      </w:r>
      <w:r w:rsidR="001542BB" w:rsidRPr="00563FA9">
        <w:t>’</w:t>
      </w:r>
      <w:r w:rsidRPr="00563FA9">
        <w:t>extraction</w:t>
      </w:r>
      <w:r w:rsidR="007F1A04" w:rsidRPr="00563FA9">
        <w:t xml:space="preserve"> minière primaire</w:t>
      </w:r>
      <w:r w:rsidRPr="00563FA9">
        <w:t xml:space="preserve"> de mercure menées sur leur territoire, quel que soit leur statut (formel, informel ou illicite).</w:t>
      </w:r>
    </w:p>
    <w:p w14:paraId="74262725" w14:textId="32E5299C"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Difficultés.</w:t>
      </w:r>
      <w:r w:rsidRPr="00563FA9">
        <w:t xml:space="preserve"> Les difficultés suivantes ont été signalées</w:t>
      </w:r>
      <w:r w:rsidR="007E2DE8" w:rsidRPr="00563FA9">
        <w:t> :</w:t>
      </w:r>
      <w:r w:rsidRPr="00563FA9">
        <w:t xml:space="preserve"> le manque d</w:t>
      </w:r>
      <w:r w:rsidR="001542BB" w:rsidRPr="00563FA9">
        <w:t>’</w:t>
      </w:r>
      <w:r w:rsidRPr="00563FA9">
        <w:t>informations sur les activités d</w:t>
      </w:r>
      <w:r w:rsidR="001542BB" w:rsidRPr="00563FA9">
        <w:t>’</w:t>
      </w:r>
      <w:r w:rsidRPr="00563FA9">
        <w:t>extraction informelles ou illicites, y</w:t>
      </w:r>
      <w:r w:rsidR="007F2043" w:rsidRPr="00563FA9">
        <w:t> </w:t>
      </w:r>
      <w:r w:rsidRPr="00563FA9">
        <w:t>compris l</w:t>
      </w:r>
      <w:r w:rsidR="001542BB" w:rsidRPr="00563FA9">
        <w:t>’</w:t>
      </w:r>
      <w:r w:rsidRPr="00563FA9">
        <w:t>extraction minière primaire de mercure, et les activités d</w:t>
      </w:r>
      <w:r w:rsidR="001542BB" w:rsidRPr="00563FA9">
        <w:t>’</w:t>
      </w:r>
      <w:r w:rsidRPr="00563FA9">
        <w:t>extraction informelles ou illicites elles-mêmes. Une Partie a indiqué que son gouvernement n</w:t>
      </w:r>
      <w:r w:rsidR="001542BB" w:rsidRPr="00563FA9">
        <w:t>’</w:t>
      </w:r>
      <w:r w:rsidRPr="00563FA9">
        <w:t>avait jamais octroyé de permis d</w:t>
      </w:r>
      <w:r w:rsidR="001542BB" w:rsidRPr="00563FA9">
        <w:t>’</w:t>
      </w:r>
      <w:r w:rsidRPr="00563FA9">
        <w:t>exploitation pour des activités d</w:t>
      </w:r>
      <w:r w:rsidR="001542BB" w:rsidRPr="00563FA9">
        <w:t>’</w:t>
      </w:r>
      <w:r w:rsidRPr="00563FA9">
        <w:t>extraction minière primaire de mercure (cinabre), ce qui signifiait que l</w:t>
      </w:r>
      <w:r w:rsidR="001542BB" w:rsidRPr="00563FA9">
        <w:t>’</w:t>
      </w:r>
      <w:r w:rsidRPr="00563FA9">
        <w:t>extraction minière primaire de mercure était illicite dans ce pays. La Partie avait également abordé la question de l</w:t>
      </w:r>
      <w:r w:rsidR="001542BB" w:rsidRPr="00563FA9">
        <w:t>’</w:t>
      </w:r>
      <w:r w:rsidRPr="00563FA9">
        <w:t>extraction minière primaire illicite de mercure dans ses rapports précédents et avait mentionné le fait que, l</w:t>
      </w:r>
      <w:r w:rsidR="001542BB" w:rsidRPr="00563FA9">
        <w:t>’</w:t>
      </w:r>
      <w:r w:rsidRPr="00563FA9">
        <w:t>extraction minière primaire de mercure étant illicite sur son territoire, il était difficile pour son gouvernement de déterminer avec exactitude l</w:t>
      </w:r>
      <w:r w:rsidR="001542BB" w:rsidRPr="00563FA9">
        <w:t>’</w:t>
      </w:r>
      <w:r w:rsidRPr="00563FA9">
        <w:t xml:space="preserve">ampleur des activités </w:t>
      </w:r>
      <w:r w:rsidR="00D81438" w:rsidRPr="00563FA9">
        <w:t>de ce type</w:t>
      </w:r>
      <w:r w:rsidRPr="00563FA9">
        <w:t xml:space="preserve"> qui s</w:t>
      </w:r>
      <w:r w:rsidR="001542BB" w:rsidRPr="00563FA9">
        <w:t>’</w:t>
      </w:r>
      <w:r w:rsidRPr="00563FA9">
        <w:t>y déroulaient. Une autre Partie n</w:t>
      </w:r>
      <w:r w:rsidR="001542BB" w:rsidRPr="00563FA9">
        <w:t>’</w:t>
      </w:r>
      <w:r w:rsidRPr="00563FA9">
        <w:t>a pu faire état que de la production officielle de mercure. Dans l</w:t>
      </w:r>
      <w:r w:rsidR="001542BB" w:rsidRPr="00563FA9">
        <w:t>’</w:t>
      </w:r>
      <w:r w:rsidRPr="00563FA9">
        <w:t>explication de sa réponse à la question</w:t>
      </w:r>
      <w:r w:rsidR="00A15940" w:rsidRPr="00563FA9">
        <w:t> </w:t>
      </w:r>
      <w:r w:rsidRPr="00563FA9">
        <w:t>3.1, la Partie n</w:t>
      </w:r>
      <w:r w:rsidR="001542BB" w:rsidRPr="00563FA9">
        <w:t>’</w:t>
      </w:r>
      <w:r w:rsidRPr="00563FA9">
        <w:t>a pas écarté la possibilité d</w:t>
      </w:r>
      <w:r w:rsidR="001542BB" w:rsidRPr="00563FA9">
        <w:t>’</w:t>
      </w:r>
      <w:r w:rsidRPr="00563FA9">
        <w:t>une production illicite de mercure sur son territoire. Dans son rapport complet (soumis en 2021), la même Partie avait mentionné la persistance d</w:t>
      </w:r>
      <w:r w:rsidR="001542BB" w:rsidRPr="00563FA9">
        <w:t>’</w:t>
      </w:r>
      <w:r w:rsidRPr="00563FA9">
        <w:t>une production illicite de mercure, qu</w:t>
      </w:r>
      <w:r w:rsidR="001542BB" w:rsidRPr="00563FA9">
        <w:t>’</w:t>
      </w:r>
      <w:r w:rsidRPr="00563FA9">
        <w:t>elle avait recensée au moyen de ses efforts de surveillance environnementale et qui pourrait s</w:t>
      </w:r>
      <w:r w:rsidR="001542BB" w:rsidRPr="00563FA9">
        <w:t>’</w:t>
      </w:r>
      <w:r w:rsidRPr="00563FA9">
        <w:t xml:space="preserve">ajouter aux sites miniers fermés connus. </w:t>
      </w:r>
    </w:p>
    <w:p w14:paraId="76B8A089" w14:textId="04673108" w:rsidR="00DE24D9" w:rsidRPr="00563FA9" w:rsidRDefault="00CA3FD3" w:rsidP="003D55DB">
      <w:pPr>
        <w:pStyle w:val="Normalnumber"/>
        <w:tabs>
          <w:tab w:val="clear" w:pos="1247"/>
          <w:tab w:val="clear" w:pos="1814"/>
          <w:tab w:val="clear" w:pos="2381"/>
          <w:tab w:val="clear" w:pos="2948"/>
          <w:tab w:val="clear" w:pos="3515"/>
          <w:tab w:val="left" w:pos="624"/>
        </w:tabs>
      </w:pPr>
      <w:r w:rsidRPr="00563FA9">
        <w:rPr>
          <w:i/>
          <w:iCs/>
        </w:rPr>
        <w:t>Recommandation du Comité.</w:t>
      </w:r>
      <w:r w:rsidRPr="00563FA9">
        <w:t xml:space="preserve"> À sa septième</w:t>
      </w:r>
      <w:r w:rsidR="00EC2661" w:rsidRPr="00563FA9">
        <w:t> </w:t>
      </w:r>
      <w:r w:rsidRPr="00563FA9">
        <w:t>réunion, le Comité a recommandé que la Conférence des Parties à sa sixième</w:t>
      </w:r>
      <w:r w:rsidR="001407C0" w:rsidRPr="00563FA9">
        <w:t> </w:t>
      </w:r>
      <w:r w:rsidRPr="00563FA9">
        <w:t>réunion envisage d</w:t>
      </w:r>
      <w:r w:rsidR="001542BB" w:rsidRPr="00563FA9">
        <w:t>’</w:t>
      </w:r>
      <w:r w:rsidRPr="00563FA9">
        <w:t>inviter les Parties à soumettre des informations sur leur expérience et les difficultés rencontrées en matière de mise en œuvre du paragraphe</w:t>
      </w:r>
      <w:r w:rsidR="00ED5E0F" w:rsidRPr="00563FA9">
        <w:t> </w:t>
      </w:r>
      <w:r w:rsidRPr="00563FA9">
        <w:t>3 de l</w:t>
      </w:r>
      <w:r w:rsidR="001542BB" w:rsidRPr="00563FA9">
        <w:t>’</w:t>
      </w:r>
      <w:r w:rsidRPr="00563FA9">
        <w:t>article</w:t>
      </w:r>
      <w:r w:rsidR="00F87E8F" w:rsidRPr="00563FA9">
        <w:t> </w:t>
      </w:r>
      <w:r w:rsidRPr="00563FA9">
        <w:t>3, compte tenu notamment de toute information déjà fournie en réponse au paragraphe</w:t>
      </w:r>
      <w:r w:rsidR="00BD4D45" w:rsidRPr="00563FA9">
        <w:t> </w:t>
      </w:r>
      <w:r w:rsidRPr="00563FA9">
        <w:t>4 de la décision</w:t>
      </w:r>
      <w:r w:rsidR="00BD5F1E" w:rsidRPr="00563FA9">
        <w:t> </w:t>
      </w:r>
      <w:r w:rsidRPr="00563FA9">
        <w:t>MC-5/2.</w:t>
      </w:r>
    </w:p>
    <w:p w14:paraId="23F3AFC4" w14:textId="2C556215" w:rsidR="00DE24D9" w:rsidRPr="00563FA9" w:rsidRDefault="00E930D5" w:rsidP="0094547F">
      <w:pPr>
        <w:pStyle w:val="CH2"/>
      </w:pPr>
      <w:r w:rsidRPr="00563FA9">
        <w:tab/>
      </w:r>
      <w:r w:rsidR="0088116D" w:rsidRPr="00563FA9">
        <w:rPr>
          <w:bCs/>
        </w:rPr>
        <w:t>B.</w:t>
      </w:r>
      <w:r w:rsidR="00D92685" w:rsidRPr="00563FA9">
        <w:tab/>
      </w:r>
      <w:r w:rsidRPr="00563FA9">
        <w:rPr>
          <w:bCs/>
        </w:rPr>
        <w:t>Question 3.3</w:t>
      </w:r>
      <w:r w:rsidR="007E2DE8" w:rsidRPr="00563FA9">
        <w:rPr>
          <w:bCs/>
        </w:rPr>
        <w:t> :</w:t>
      </w:r>
      <w:r w:rsidRPr="00563FA9">
        <w:rPr>
          <w:bCs/>
        </w:rPr>
        <w:t xml:space="preserve"> Stocks et sources de mercure</w:t>
      </w:r>
      <w:r w:rsidR="00DE24D9" w:rsidRPr="00563FA9">
        <w:rPr>
          <w:vertAlign w:val="superscript"/>
        </w:rPr>
        <w:footnoteReference w:id="6"/>
      </w:r>
    </w:p>
    <w:p w14:paraId="56AABFC1" w14:textId="1BA5A726"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Progrès.</w:t>
      </w:r>
      <w:r w:rsidRPr="00563FA9">
        <w:t xml:space="preserve"> La qualité des réponses à la question</w:t>
      </w:r>
      <w:r w:rsidR="001F06B4" w:rsidRPr="00563FA9">
        <w:t> </w:t>
      </w:r>
      <w:r w:rsidRPr="00563FA9">
        <w:t>3.3 s</w:t>
      </w:r>
      <w:r w:rsidR="001542BB" w:rsidRPr="00563FA9">
        <w:t>’</w:t>
      </w:r>
      <w:r w:rsidRPr="00563FA9">
        <w:t>est améliorée. Dans leurs rapports, les Parties ont fourni une bonne vue d</w:t>
      </w:r>
      <w:r w:rsidR="001542BB" w:rsidRPr="00563FA9">
        <w:t>’</w:t>
      </w:r>
      <w:r w:rsidRPr="00563FA9">
        <w:t>ensemble des résultats de leurs efforts pour recenser les stocks et les sources de mercure et des distinctions plus claires entre les stocks et les sources recensés et les quantités de mercure recensées et communiquées, ainsi que des descriptions supplémentaires des efforts déployés</w:t>
      </w:r>
      <w:r w:rsidRPr="00563FA9">
        <w:rPr>
          <w:vertAlign w:val="superscript"/>
        </w:rPr>
        <w:footnoteReference w:id="7"/>
      </w:r>
      <w:r w:rsidRPr="00563FA9">
        <w:t xml:space="preserve">. </w:t>
      </w:r>
    </w:p>
    <w:p w14:paraId="6F8B28E0" w14:textId="65A902A1"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Difficultés.</w:t>
      </w:r>
      <w:r w:rsidRPr="00563FA9">
        <w:t xml:space="preserve"> Il se pouvait que les données sur les inventaires des stocks et des sources qui figur</w:t>
      </w:r>
      <w:r w:rsidR="00BD4DE0" w:rsidRPr="00563FA9">
        <w:t>ai</w:t>
      </w:r>
      <w:r w:rsidRPr="00563FA9">
        <w:t>ent dans les évaluations initiales prévues par la Convention de</w:t>
      </w:r>
      <w:r w:rsidR="00DC4809" w:rsidRPr="00563FA9">
        <w:t> </w:t>
      </w:r>
      <w:r w:rsidRPr="00563FA9">
        <w:t>Minamata soient obsolètes, étant donné que la majorité des 71</w:t>
      </w:r>
      <w:r w:rsidR="006C56B2" w:rsidRPr="00563FA9">
        <w:t> </w:t>
      </w:r>
      <w:r w:rsidRPr="00563FA9">
        <w:t xml:space="preserve">évaluations </w:t>
      </w:r>
      <w:r w:rsidR="009F49C0" w:rsidRPr="00563FA9">
        <w:t>avaient</w:t>
      </w:r>
      <w:r w:rsidRPr="00563FA9">
        <w:t xml:space="preserve"> été soumises au secrétariat en 2018 (21</w:t>
      </w:r>
      <w:r w:rsidR="001302FA" w:rsidRPr="00563FA9">
        <w:t> </w:t>
      </w:r>
      <w:r w:rsidRPr="00563FA9">
        <w:t>évaluations), 2019 (15</w:t>
      </w:r>
      <w:r w:rsidR="005206E9" w:rsidRPr="00563FA9">
        <w:t> </w:t>
      </w:r>
      <w:r w:rsidRPr="00563FA9">
        <w:t>évaluations) et 2017 (11</w:t>
      </w:r>
      <w:r w:rsidR="006822A9" w:rsidRPr="00563FA9">
        <w:t> </w:t>
      </w:r>
      <w:r w:rsidRPr="00563FA9">
        <w:t>évaluations), trois</w:t>
      </w:r>
      <w:r w:rsidR="006822A9" w:rsidRPr="00563FA9">
        <w:t> </w:t>
      </w:r>
      <w:r w:rsidRPr="00563FA9">
        <w:t>Parties ayant soumis leurs évaluations dès 2016</w:t>
      </w:r>
      <w:r w:rsidRPr="00563FA9">
        <w:rPr>
          <w:vertAlign w:val="superscript"/>
        </w:rPr>
        <w:footnoteReference w:id="8"/>
      </w:r>
      <w:r w:rsidRPr="00563FA9">
        <w:t>. Une Partie a</w:t>
      </w:r>
      <w:r w:rsidR="009F49C0" w:rsidRPr="00563FA9">
        <w:t>vait</w:t>
      </w:r>
      <w:r w:rsidRPr="00563FA9">
        <w:t xml:space="preserve"> expliqué dans son rapport que son évaluation initiale couvrait la période allant de 2017 à 2019 et qu</w:t>
      </w:r>
      <w:r w:rsidR="001542BB" w:rsidRPr="00563FA9">
        <w:t>’</w:t>
      </w:r>
      <w:r w:rsidRPr="00563FA9">
        <w:t>aucun nouvel inventaire n</w:t>
      </w:r>
      <w:r w:rsidR="001542BB" w:rsidRPr="00563FA9">
        <w:t>’</w:t>
      </w:r>
      <w:r w:rsidRPr="00563FA9">
        <w:t>avait été établi pour la période se terminant le 31 décembre 2022. Trois</w:t>
      </w:r>
      <w:r w:rsidR="007546B4" w:rsidRPr="00563FA9">
        <w:t> </w:t>
      </w:r>
      <w:r w:rsidRPr="00563FA9">
        <w:t xml:space="preserve">Parties ayant réalisé des évaluations initiales </w:t>
      </w:r>
      <w:r w:rsidR="009F49C0" w:rsidRPr="00563FA9">
        <w:t xml:space="preserve">avaient </w:t>
      </w:r>
      <w:r w:rsidRPr="00563FA9">
        <w:t>également expliqué dans leurs rapports qu</w:t>
      </w:r>
      <w:r w:rsidR="001542BB" w:rsidRPr="00563FA9">
        <w:t>’</w:t>
      </w:r>
      <w:r w:rsidRPr="00563FA9">
        <w:t>elles ne disposaient pas des ressources financières ou des capacités techniques nécessaires pour établir l</w:t>
      </w:r>
      <w:r w:rsidR="001542BB" w:rsidRPr="00563FA9">
        <w:t>’</w:t>
      </w:r>
      <w:r w:rsidRPr="00563FA9">
        <w:t>inventaire de leurs stocks et sources. Sur les 51</w:t>
      </w:r>
      <w:r w:rsidR="006C56B2" w:rsidRPr="00563FA9">
        <w:t> </w:t>
      </w:r>
      <w:r w:rsidRPr="00563FA9">
        <w:t>Parties qui avaient répondu à la partie C (Observations concernant les éventuelles difficultés rencontrées dans la réalisation des objectifs de la Convention), 14</w:t>
      </w:r>
      <w:r w:rsidR="00B67EC4" w:rsidRPr="00563FA9">
        <w:t> </w:t>
      </w:r>
      <w:r w:rsidRPr="00563FA9">
        <w:t xml:space="preserve">Parties (27 %) </w:t>
      </w:r>
      <w:r w:rsidR="009F49C0" w:rsidRPr="00563FA9">
        <w:t>avaient</w:t>
      </w:r>
      <w:r w:rsidRPr="00563FA9">
        <w:t xml:space="preserve"> cité le manque de ressources techniques</w:t>
      </w:r>
      <w:r w:rsidRPr="00563FA9">
        <w:rPr>
          <w:vertAlign w:val="superscript"/>
        </w:rPr>
        <w:footnoteReference w:id="9"/>
      </w:r>
      <w:r w:rsidRPr="00563FA9">
        <w:t xml:space="preserve"> comme sujet de préoccupation. Il se pouvait que d</w:t>
      </w:r>
      <w:r w:rsidR="001542BB" w:rsidRPr="00563FA9">
        <w:t>’</w:t>
      </w:r>
      <w:r w:rsidRPr="00563FA9">
        <w:t>autres Parties se soient trouvées dans des situations semblables lors d</w:t>
      </w:r>
      <w:r w:rsidR="001542BB" w:rsidRPr="00563FA9">
        <w:t>’</w:t>
      </w:r>
      <w:r w:rsidRPr="00563FA9">
        <w:t xml:space="preserve">une mise à jour de leurs inventaires de mercure postérieure à leurs évaluations, sans </w:t>
      </w:r>
      <w:r w:rsidR="009F49C0" w:rsidRPr="00563FA9">
        <w:t xml:space="preserve">toutefois </w:t>
      </w:r>
      <w:r w:rsidRPr="00563FA9">
        <w:t>mentionner ces difficultés dans leurs rapports.</w:t>
      </w:r>
    </w:p>
    <w:p w14:paraId="48AC0A71" w14:textId="6A615348" w:rsidR="00DE24D9" w:rsidRPr="00563FA9" w:rsidRDefault="0098153A" w:rsidP="003D55DB">
      <w:pPr>
        <w:pStyle w:val="Normalnumber"/>
        <w:tabs>
          <w:tab w:val="clear" w:pos="1247"/>
          <w:tab w:val="clear" w:pos="1814"/>
          <w:tab w:val="clear" w:pos="2381"/>
          <w:tab w:val="clear" w:pos="2948"/>
          <w:tab w:val="clear" w:pos="3515"/>
          <w:tab w:val="left" w:pos="624"/>
        </w:tabs>
      </w:pPr>
      <w:r w:rsidRPr="00563FA9">
        <w:rPr>
          <w:i/>
          <w:iCs/>
        </w:rPr>
        <w:t>Recommandation du Comité.</w:t>
      </w:r>
      <w:r w:rsidRPr="00563FA9">
        <w:t xml:space="preserve"> À sa septième</w:t>
      </w:r>
      <w:r w:rsidR="00732854" w:rsidRPr="00563FA9">
        <w:t> </w:t>
      </w:r>
      <w:r w:rsidRPr="00563FA9">
        <w:t>réunion, le Comité a noté que les Parties qui s</w:t>
      </w:r>
      <w:r w:rsidR="001542BB" w:rsidRPr="00563FA9">
        <w:t>’</w:t>
      </w:r>
      <w:r w:rsidRPr="00563FA9">
        <w:t>appuient uniquement sur les résultats de leur évaluation initiale prévue par la Convention de</w:t>
      </w:r>
      <w:r w:rsidR="00EF62ED" w:rsidRPr="00563FA9">
        <w:t> </w:t>
      </w:r>
      <w:r w:rsidRPr="00563FA9">
        <w:t>Minamata pourraient trouver utile de se tourner vers des sources d</w:t>
      </w:r>
      <w:r w:rsidR="001542BB" w:rsidRPr="00563FA9">
        <w:t>’</w:t>
      </w:r>
      <w:r w:rsidRPr="00563FA9">
        <w:t xml:space="preserve">information plus récentes. </w:t>
      </w:r>
    </w:p>
    <w:p w14:paraId="0B196EA4" w14:textId="31316192" w:rsidR="00DE24D9" w:rsidRPr="00563FA9" w:rsidRDefault="00D92685" w:rsidP="0094547F">
      <w:pPr>
        <w:pStyle w:val="CH2"/>
      </w:pPr>
      <w:r w:rsidRPr="00563FA9">
        <w:rPr>
          <w:bCs/>
        </w:rPr>
        <w:tab/>
      </w:r>
      <w:r w:rsidR="00712448" w:rsidRPr="00563FA9">
        <w:rPr>
          <w:bCs/>
        </w:rPr>
        <w:t>C.</w:t>
      </w:r>
      <w:r w:rsidR="00E930D5" w:rsidRPr="00563FA9">
        <w:tab/>
      </w:r>
      <w:r w:rsidR="00E930D5" w:rsidRPr="00563FA9">
        <w:rPr>
          <w:bCs/>
        </w:rPr>
        <w:t>Question 3.5</w:t>
      </w:r>
      <w:r w:rsidR="007E2DE8" w:rsidRPr="00563FA9">
        <w:rPr>
          <w:bCs/>
        </w:rPr>
        <w:t> :</w:t>
      </w:r>
      <w:r w:rsidR="00E930D5" w:rsidRPr="00563FA9">
        <w:rPr>
          <w:bCs/>
        </w:rPr>
        <w:t xml:space="preserve"> Commerce du mercure</w:t>
      </w:r>
      <w:r w:rsidR="00DE24D9" w:rsidRPr="00563FA9">
        <w:rPr>
          <w:vertAlign w:val="superscript"/>
        </w:rPr>
        <w:footnoteReference w:id="10"/>
      </w:r>
      <w:r w:rsidR="00E930D5" w:rsidRPr="00563FA9">
        <w:t xml:space="preserve"> </w:t>
      </w:r>
    </w:p>
    <w:p w14:paraId="69B63808" w14:textId="77777777"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Progrès.</w:t>
      </w:r>
      <w:r w:rsidRPr="00563FA9">
        <w:t xml:space="preserve"> Le taux de soumission au secrétariat de formulaires de consentement au commerce avait atteint 57 % (4 Parties sur 7) durant le cycle actuel, contre 50 % (3 Parties sur 6) durant le cycle précédent.</w:t>
      </w:r>
    </w:p>
    <w:p w14:paraId="0E907C6D" w14:textId="5A3C4D98"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Difficultés.</w:t>
      </w:r>
      <w:r w:rsidRPr="00563FA9">
        <w:t xml:space="preserve"> Les difficultés suivantes ont été signalées</w:t>
      </w:r>
      <w:r w:rsidR="007E2DE8" w:rsidRPr="00563FA9">
        <w:t> :</w:t>
      </w:r>
    </w:p>
    <w:p w14:paraId="58021C31" w14:textId="75B9B16E" w:rsidR="00DE24D9" w:rsidRPr="00563FA9" w:rsidRDefault="00DE24D9" w:rsidP="00746E04">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410"/>
          <w:tab w:val="left" w:pos="2694"/>
          <w:tab w:val="left" w:pos="3402"/>
        </w:tabs>
      </w:pPr>
      <w:r w:rsidRPr="00563FA9">
        <w:t>Les formulaires de consentement au commerce étaient incomplets (par exemple, en raison du manque de signatures, de clarté des sources de mercure et des preuves du consentement de la Partie importatrice) et il n</w:t>
      </w:r>
      <w:r w:rsidR="001542BB" w:rsidRPr="00563FA9">
        <w:t>’</w:t>
      </w:r>
      <w:r w:rsidRPr="00563FA9">
        <w:t>était pas certain que les informations fournies en lieu et place des formulaires de consentement au commerce répondent à toutes les exigences de l</w:t>
      </w:r>
      <w:r w:rsidR="001542BB" w:rsidRPr="00563FA9">
        <w:t>’</w:t>
      </w:r>
      <w:r w:rsidRPr="00563FA9">
        <w:t>article</w:t>
      </w:r>
      <w:r w:rsidR="00503717" w:rsidRPr="00563FA9">
        <w:t> </w:t>
      </w:r>
      <w:r w:rsidRPr="00563FA9">
        <w:t>3. Parmi les informations communiquées par l</w:t>
      </w:r>
      <w:r w:rsidR="001542BB" w:rsidRPr="00563FA9">
        <w:t>’</w:t>
      </w:r>
      <w:r w:rsidRPr="00563FA9">
        <w:t>une des Parties figuraient la quantité de mercure commercialisée et l</w:t>
      </w:r>
      <w:r w:rsidR="001542BB" w:rsidRPr="00563FA9">
        <w:t>’</w:t>
      </w:r>
      <w:r w:rsidRPr="00563FA9">
        <w:t>objet de l</w:t>
      </w:r>
      <w:r w:rsidR="001542BB" w:rsidRPr="00563FA9">
        <w:t>’</w:t>
      </w:r>
      <w:r w:rsidRPr="00563FA9">
        <w:t>importation. Toutefois, les informations relatives, entre autres, à la source du mercure, à la question de savoir si la Partie exportatrice avait déterminé qu</w:t>
      </w:r>
      <w:r w:rsidR="001542BB" w:rsidRPr="00563FA9">
        <w:t>’</w:t>
      </w:r>
      <w:r w:rsidRPr="00563FA9">
        <w:t>il s</w:t>
      </w:r>
      <w:r w:rsidR="001542BB" w:rsidRPr="00563FA9">
        <w:t>’</w:t>
      </w:r>
      <w:r w:rsidRPr="00563FA9">
        <w:t>agissait de mercure excédentaire provenant de la mise hors service d</w:t>
      </w:r>
      <w:r w:rsidR="001542BB" w:rsidRPr="00563FA9">
        <w:t>’</w:t>
      </w:r>
      <w:r w:rsidRPr="00563FA9">
        <w:t>usines de chlore-alkali et à l</w:t>
      </w:r>
      <w:r w:rsidR="001542BB" w:rsidRPr="00563FA9">
        <w:t>’</w:t>
      </w:r>
      <w:r w:rsidRPr="00563FA9">
        <w:t>expression du consentement de la Partie importatrice n</w:t>
      </w:r>
      <w:r w:rsidR="001542BB" w:rsidRPr="00563FA9">
        <w:t>’</w:t>
      </w:r>
      <w:r w:rsidRPr="00563FA9">
        <w:t>étaient pas immédiatement apparentes parmi les documents communiqués</w:t>
      </w:r>
      <w:r w:rsidR="007E2DE8" w:rsidRPr="00563FA9">
        <w:t> ;</w:t>
      </w:r>
    </w:p>
    <w:p w14:paraId="64005F49" w14:textId="77777777" w:rsidR="00DE24D9" w:rsidRPr="00563FA9" w:rsidRDefault="00DE24D9" w:rsidP="00746E04">
      <w:pPr>
        <w:pStyle w:val="Normalnumber"/>
        <w:numPr>
          <w:ilvl w:val="1"/>
          <w:numId w:val="1"/>
        </w:numPr>
        <w:tabs>
          <w:tab w:val="clear" w:pos="1247"/>
          <w:tab w:val="clear" w:pos="1814"/>
          <w:tab w:val="clear" w:pos="2381"/>
          <w:tab w:val="clear" w:pos="2495"/>
          <w:tab w:val="clear" w:pos="2948"/>
          <w:tab w:val="clear" w:pos="3119"/>
          <w:tab w:val="clear" w:pos="3515"/>
          <w:tab w:val="left" w:pos="624"/>
          <w:tab w:val="left" w:pos="2410"/>
          <w:tab w:val="left" w:pos="2694"/>
          <w:tab w:val="left" w:pos="3402"/>
        </w:tabs>
      </w:pPr>
      <w:r w:rsidRPr="00563FA9">
        <w:t>Les préoccupations relatives au commerce informel ou illicite du mercure avaient également été mentionnées par les Parties dans leurs réponses à la partie C</w:t>
      </w:r>
      <w:r w:rsidR="00FA1539" w:rsidRPr="00563FA9">
        <w:rPr>
          <w:vertAlign w:val="superscript"/>
        </w:rPr>
        <w:footnoteReference w:id="11"/>
      </w:r>
      <w:r w:rsidRPr="00563FA9">
        <w:t xml:space="preserve">. </w:t>
      </w:r>
    </w:p>
    <w:p w14:paraId="7D546B67" w14:textId="4676A516" w:rsidR="00DE24D9" w:rsidRPr="00563FA9" w:rsidRDefault="00B46853" w:rsidP="003D55DB">
      <w:pPr>
        <w:pStyle w:val="Normalnumber"/>
        <w:tabs>
          <w:tab w:val="clear" w:pos="1247"/>
          <w:tab w:val="clear" w:pos="1814"/>
          <w:tab w:val="clear" w:pos="2381"/>
          <w:tab w:val="clear" w:pos="2948"/>
          <w:tab w:val="clear" w:pos="3515"/>
          <w:tab w:val="left" w:pos="624"/>
        </w:tabs>
      </w:pPr>
      <w:r w:rsidRPr="00563FA9">
        <w:rPr>
          <w:i/>
          <w:iCs/>
        </w:rPr>
        <w:t>Conclusion du Comité.</w:t>
      </w:r>
      <w:r w:rsidRPr="00563FA9">
        <w:t xml:space="preserve"> À sa septième</w:t>
      </w:r>
      <w:r w:rsidR="00430F54" w:rsidRPr="00563FA9">
        <w:t> </w:t>
      </w:r>
      <w:r w:rsidRPr="00563FA9">
        <w:t>réunion, le Comité est convenu de réexaminer cette question à sa réunion suivante à la lumière des informations compilées par le secrétariat, en application du paragraphe</w:t>
      </w:r>
      <w:r w:rsidR="00940B13" w:rsidRPr="00563FA9">
        <w:t> </w:t>
      </w:r>
      <w:r w:rsidRPr="00563FA9">
        <w:t>4 de la décision</w:t>
      </w:r>
      <w:r w:rsidR="00CF2BFA" w:rsidRPr="00563FA9">
        <w:t> </w:t>
      </w:r>
      <w:r w:rsidRPr="00563FA9">
        <w:t>MC-5/2, sur les expériences et les difficultés rencontrées dans l</w:t>
      </w:r>
      <w:r w:rsidR="001542BB" w:rsidRPr="00563FA9">
        <w:t>’</w:t>
      </w:r>
      <w:r w:rsidRPr="00563FA9">
        <w:t>application de l</w:t>
      </w:r>
      <w:r w:rsidR="001542BB" w:rsidRPr="00563FA9">
        <w:t>’</w:t>
      </w:r>
      <w:r w:rsidRPr="00563FA9">
        <w:t>article 3, ainsi que des informations sur les activités entreprises dans le cadre de la Déclaration de Bali sur la lutte contre le commerce illicite de mercure.</w:t>
      </w:r>
    </w:p>
    <w:p w14:paraId="2AA9403C" w14:textId="3E21C791" w:rsidR="00DE24D9" w:rsidRPr="00563FA9" w:rsidRDefault="00E930D5" w:rsidP="0094547F">
      <w:pPr>
        <w:pStyle w:val="CH2"/>
      </w:pPr>
      <w:r w:rsidRPr="00563FA9">
        <w:tab/>
      </w:r>
      <w:r w:rsidR="00C326E2" w:rsidRPr="00563FA9">
        <w:rPr>
          <w:bCs/>
        </w:rPr>
        <w:t>D.</w:t>
      </w:r>
      <w:r w:rsidR="00D92685" w:rsidRPr="00563FA9">
        <w:tab/>
      </w:r>
      <w:r w:rsidRPr="00563FA9">
        <w:rPr>
          <w:bCs/>
        </w:rPr>
        <w:t>Question 11.2</w:t>
      </w:r>
      <w:r w:rsidR="007E2DE8" w:rsidRPr="00563FA9">
        <w:rPr>
          <w:bCs/>
        </w:rPr>
        <w:t> :</w:t>
      </w:r>
      <w:r w:rsidRPr="00563FA9">
        <w:rPr>
          <w:bCs/>
        </w:rPr>
        <w:t xml:space="preserve"> Déchets de mercure</w:t>
      </w:r>
      <w:r w:rsidR="00DE24D9" w:rsidRPr="00563FA9">
        <w:rPr>
          <w:rStyle w:val="FootnoteReference"/>
          <w:rFonts w:eastAsia="SimSun"/>
          <w:bCs/>
        </w:rPr>
        <w:footnoteReference w:id="12"/>
      </w:r>
      <w:r w:rsidRPr="00563FA9">
        <w:t xml:space="preserve"> </w:t>
      </w:r>
    </w:p>
    <w:p w14:paraId="3A121457" w14:textId="1074DE38"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Progrès.</w:t>
      </w:r>
      <w:r w:rsidRPr="00563FA9">
        <w:t xml:space="preserve"> Les informations communiquées sur les méthodes d</w:t>
      </w:r>
      <w:r w:rsidR="001542BB" w:rsidRPr="00563FA9">
        <w:t>’</w:t>
      </w:r>
      <w:r w:rsidRPr="00563FA9">
        <w:t>élimination finale utilisées se sont améliorées depuis le cycle précédent d</w:t>
      </w:r>
      <w:r w:rsidR="001542BB" w:rsidRPr="00563FA9">
        <w:t>’</w:t>
      </w:r>
      <w:r w:rsidRPr="00563FA9">
        <w:t>établissement des rapports, en particulier depuis que la Conférence des Parties a clarifié la définition du terme « élimination finale » dans sa décision</w:t>
      </w:r>
      <w:r w:rsidR="001239AB" w:rsidRPr="00563FA9">
        <w:t> </w:t>
      </w:r>
      <w:r w:rsidRPr="00563FA9">
        <w:t xml:space="preserve">MC-4/8. </w:t>
      </w:r>
    </w:p>
    <w:p w14:paraId="62A31F93" w14:textId="76D8043A"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rPr>
          <w:i/>
          <w:iCs/>
        </w:rPr>
        <w:t>Difficultés.</w:t>
      </w:r>
      <w:r w:rsidRPr="00563FA9">
        <w:t xml:space="preserve"> Certaines des méthodes d</w:t>
      </w:r>
      <w:r w:rsidR="001542BB" w:rsidRPr="00563FA9">
        <w:t>’</w:t>
      </w:r>
      <w:r w:rsidRPr="00563FA9">
        <w:t xml:space="preserve">élimination finales communiquées par les Parties ne contenaient pas de précisions </w:t>
      </w:r>
      <w:r w:rsidR="00706FA0" w:rsidRPr="00563FA9">
        <w:t>relatives aux</w:t>
      </w:r>
      <w:r w:rsidRPr="00563FA9">
        <w:t xml:space="preserve"> éléments des méthodes utilisées propres à l</w:t>
      </w:r>
      <w:r w:rsidR="001542BB" w:rsidRPr="00563FA9">
        <w:t>’</w:t>
      </w:r>
      <w:r w:rsidRPr="00563FA9">
        <w:t>élimination des déchets constitués de mercure ou de composés du mercure, comme indiqué dans les directives techniques élaborées dans le cadre de la Convention de</w:t>
      </w:r>
      <w:r w:rsidR="00287B9B" w:rsidRPr="00563FA9">
        <w:t> </w:t>
      </w:r>
      <w:r w:rsidRPr="00563FA9">
        <w:t>Bâle sur le contrôle des mouvements transfrontières de déchets dangereux et de leur élimination, y</w:t>
      </w:r>
      <w:r w:rsidR="007F2043" w:rsidRPr="00563FA9">
        <w:t> </w:t>
      </w:r>
      <w:r w:rsidRPr="00563FA9">
        <w:t>compris la stabilisation et la solidification</w:t>
      </w:r>
      <w:r w:rsidR="001C4069" w:rsidRPr="00563FA9">
        <w:rPr>
          <w:vertAlign w:val="superscript"/>
        </w:rPr>
        <w:footnoteReference w:id="13"/>
      </w:r>
      <w:r w:rsidRPr="00563FA9">
        <w:t xml:space="preserve">. </w:t>
      </w:r>
    </w:p>
    <w:p w14:paraId="26FF3FAB" w14:textId="334C8B5B" w:rsidR="00DE24D9" w:rsidRPr="00563FA9" w:rsidRDefault="0098153A" w:rsidP="003D55DB">
      <w:pPr>
        <w:pStyle w:val="Normalnumber"/>
        <w:tabs>
          <w:tab w:val="clear" w:pos="1247"/>
          <w:tab w:val="clear" w:pos="1814"/>
          <w:tab w:val="clear" w:pos="2381"/>
          <w:tab w:val="clear" w:pos="2948"/>
          <w:tab w:val="clear" w:pos="3515"/>
          <w:tab w:val="left" w:pos="624"/>
        </w:tabs>
      </w:pPr>
      <w:r w:rsidRPr="00563FA9">
        <w:rPr>
          <w:i/>
          <w:iCs/>
        </w:rPr>
        <w:t>Recommandation du Comité.</w:t>
      </w:r>
      <w:r w:rsidRPr="00563FA9">
        <w:t xml:space="preserve"> Le Comité a engagé les Parties à fournir davantage de précisions, selon que de besoin, sur leurs méthodes d</w:t>
      </w:r>
      <w:r w:rsidR="001542BB" w:rsidRPr="00563FA9">
        <w:t>’</w:t>
      </w:r>
      <w:r w:rsidRPr="00563FA9">
        <w:t>élimination finale dans leurs deuxièmes rapports nationaux complets</w:t>
      </w:r>
      <w:r w:rsidR="0007635E" w:rsidRPr="00563FA9">
        <w:t xml:space="preserve"> attendus prochainement</w:t>
      </w:r>
      <w:r w:rsidRPr="00563FA9">
        <w:t>, compte tenu du paragraphe</w:t>
      </w:r>
      <w:r w:rsidR="00287B9B" w:rsidRPr="00563FA9">
        <w:t> </w:t>
      </w:r>
      <w:r w:rsidRPr="00563FA9">
        <w:t>3 de l</w:t>
      </w:r>
      <w:r w:rsidR="001542BB" w:rsidRPr="00563FA9">
        <w:t>’</w:t>
      </w:r>
      <w:r w:rsidRPr="00563FA9">
        <w:t>annexe de la décision</w:t>
      </w:r>
      <w:r w:rsidR="00EB1474" w:rsidRPr="00563FA9">
        <w:t> </w:t>
      </w:r>
      <w:r w:rsidRPr="00563FA9">
        <w:t>MC-4/8, lequel donne aux Parties des indications pour chercher des informations sur la manière de définir le terme « élimination finale » et de trouver les éventuelles installations implantées sur leur territoire qui utilisent des techniques d</w:t>
      </w:r>
      <w:r w:rsidR="001542BB" w:rsidRPr="00563FA9">
        <w:t>’</w:t>
      </w:r>
      <w:r w:rsidRPr="00563FA9">
        <w:t>élimination définitive.</w:t>
      </w:r>
    </w:p>
    <w:p w14:paraId="293A40DD" w14:textId="72C847D6" w:rsidR="00DE24D9" w:rsidRPr="00563FA9" w:rsidRDefault="00E930D5" w:rsidP="00E930D5">
      <w:pPr>
        <w:pStyle w:val="CH3"/>
      </w:pPr>
      <w:r w:rsidRPr="00563FA9">
        <w:tab/>
      </w:r>
      <w:r w:rsidRPr="00563FA9">
        <w:tab/>
      </w:r>
      <w:r w:rsidRPr="00563FA9">
        <w:rPr>
          <w:bCs/>
        </w:rPr>
        <w:t>Partie C</w:t>
      </w:r>
      <w:r w:rsidR="007E2DE8" w:rsidRPr="00563FA9">
        <w:rPr>
          <w:bCs/>
        </w:rPr>
        <w:t> :</w:t>
      </w:r>
      <w:r w:rsidRPr="00563FA9">
        <w:rPr>
          <w:bCs/>
        </w:rPr>
        <w:t xml:space="preserve"> observations concernant les éventuelles difficultés rencontrées dans la réalisation des objectifs de la Convention</w:t>
      </w:r>
    </w:p>
    <w:p w14:paraId="3AD72B89" w14:textId="330E4C3E" w:rsidR="00DE24D9" w:rsidRPr="00563FA9" w:rsidRDefault="00DE24D9" w:rsidP="003D55DB">
      <w:pPr>
        <w:pStyle w:val="Normalnumber"/>
        <w:tabs>
          <w:tab w:val="clear" w:pos="1247"/>
          <w:tab w:val="clear" w:pos="1814"/>
          <w:tab w:val="clear" w:pos="2381"/>
          <w:tab w:val="clear" w:pos="2948"/>
          <w:tab w:val="clear" w:pos="3515"/>
          <w:tab w:val="left" w:pos="624"/>
        </w:tabs>
      </w:pPr>
      <w:r w:rsidRPr="00563FA9">
        <w:t>Au total, 51</w:t>
      </w:r>
      <w:r w:rsidR="0095350F" w:rsidRPr="00563FA9">
        <w:t> </w:t>
      </w:r>
      <w:r w:rsidRPr="00563FA9">
        <w:t xml:space="preserve">Parties avaient fourni des réponses dans la partie C du </w:t>
      </w:r>
      <w:r w:rsidR="00BF4AFA" w:rsidRPr="00563FA9">
        <w:t>formulaire d</w:t>
      </w:r>
      <w:r w:rsidR="001542BB" w:rsidRPr="00563FA9">
        <w:t>’</w:t>
      </w:r>
      <w:r w:rsidR="00BF4AFA" w:rsidRPr="00563FA9">
        <w:t>établissement des rapports nationaux</w:t>
      </w:r>
      <w:r w:rsidRPr="00563FA9">
        <w:t>. Parmi celles-ci, 22 (43 %) avaient cité le manque de ressources financières ou d</w:t>
      </w:r>
      <w:r w:rsidR="001542BB" w:rsidRPr="00563FA9">
        <w:t>’</w:t>
      </w:r>
      <w:r w:rsidRPr="00563FA9">
        <w:t>accès à ces ressources comme étant une difficulté majeure</w:t>
      </w:r>
      <w:r w:rsidR="007E2DE8" w:rsidRPr="00563FA9">
        <w:t> ;</w:t>
      </w:r>
      <w:r w:rsidRPr="00563FA9">
        <w:t xml:space="preserve"> 16 (31 %) avaient cité le manque de capacités institutionnelles comme </w:t>
      </w:r>
      <w:r w:rsidR="008672C3" w:rsidRPr="00563FA9">
        <w:t>étant</w:t>
      </w:r>
      <w:r w:rsidRPr="00563FA9">
        <w:t xml:space="preserve"> une difficulté, y</w:t>
      </w:r>
      <w:r w:rsidR="007F2043" w:rsidRPr="00563FA9">
        <w:t> </w:t>
      </w:r>
      <w:r w:rsidRPr="00563FA9">
        <w:t>compris le besoin de renforcer de manière plus efficace les capacités des agent(e)s chargé(e)s de l</w:t>
      </w:r>
      <w:r w:rsidR="001542BB" w:rsidRPr="00563FA9">
        <w:t>’</w:t>
      </w:r>
      <w:r w:rsidRPr="00563FA9">
        <w:t>application des lois, de mettre à jour les règlements ou les lois et d</w:t>
      </w:r>
      <w:r w:rsidR="001542BB" w:rsidRPr="00563FA9">
        <w:t>’</w:t>
      </w:r>
      <w:r w:rsidRPr="00563FA9">
        <w:t>améliorer la coordination régionale</w:t>
      </w:r>
      <w:r w:rsidR="007E2DE8" w:rsidRPr="00563FA9">
        <w:t> ;</w:t>
      </w:r>
      <w:r w:rsidRPr="00563FA9">
        <w:t xml:space="preserve"> 14 (27 %) avaient fait état du manque de ressources techniques comme sujet de préoccupation</w:t>
      </w:r>
      <w:r w:rsidR="007E2DE8" w:rsidRPr="00563FA9">
        <w:t> ;</w:t>
      </w:r>
      <w:r w:rsidRPr="00563FA9">
        <w:t xml:space="preserve"> 14 (27 %) avaient fait état de problèmes liés au commerce du mercure et des produits contenant du mercure ajouté, notamment le trafic, le commerce illicite et la contrebande de mercure destiné à l</w:t>
      </w:r>
      <w:r w:rsidR="001542BB" w:rsidRPr="00563FA9">
        <w:t>’</w:t>
      </w:r>
      <w:r w:rsidRPr="00563FA9">
        <w:t>extraction minière artisanale et à petite échelle d</w:t>
      </w:r>
      <w:r w:rsidR="001542BB" w:rsidRPr="00563FA9">
        <w:t>’</w:t>
      </w:r>
      <w:r w:rsidRPr="00563FA9">
        <w:t>or et de produits contenant du mercure ajouté interdits</w:t>
      </w:r>
      <w:r w:rsidR="007E2DE8" w:rsidRPr="00563FA9">
        <w:t> ;</w:t>
      </w:r>
      <w:r w:rsidRPr="00563FA9">
        <w:t xml:space="preserve"> 3 (6 %) avaient déclaré que le commerce intérieur du mercure constituait un défi, citant le recours à des plateformes électroniques pour la vente de mercure ou de produits contenant du mercure ajouté sur les marchés locaux.</w:t>
      </w:r>
    </w:p>
    <w:p w14:paraId="6BAE0B05" w14:textId="29CDE490" w:rsidR="00DE24D9" w:rsidRPr="00563FA9" w:rsidRDefault="00DE24D9" w:rsidP="004C7CF9">
      <w:pPr>
        <w:pStyle w:val="CH1"/>
      </w:pPr>
      <w:r w:rsidRPr="00563FA9">
        <w:tab/>
      </w:r>
      <w:r w:rsidR="00532C1E" w:rsidRPr="00563FA9">
        <w:rPr>
          <w:bCs/>
        </w:rPr>
        <w:t>III.</w:t>
      </w:r>
      <w:r w:rsidR="00D92685" w:rsidRPr="00563FA9">
        <w:tab/>
      </w:r>
      <w:r w:rsidRPr="00563FA9">
        <w:rPr>
          <w:bCs/>
        </w:rPr>
        <w:t>Mise à jour du document d</w:t>
      </w:r>
      <w:r w:rsidR="001542BB" w:rsidRPr="00563FA9">
        <w:rPr>
          <w:bCs/>
        </w:rPr>
        <w:t>’</w:t>
      </w:r>
      <w:r w:rsidRPr="00563FA9">
        <w:rPr>
          <w:bCs/>
        </w:rPr>
        <w:t>orientation relatif à l</w:t>
      </w:r>
      <w:r w:rsidR="001542BB" w:rsidRPr="00563FA9">
        <w:rPr>
          <w:bCs/>
        </w:rPr>
        <w:t>’</w:t>
      </w:r>
      <w:r w:rsidRPr="00563FA9">
        <w:rPr>
          <w:bCs/>
        </w:rPr>
        <w:t>utilisation du</w:t>
      </w:r>
      <w:r w:rsidR="00FA4245" w:rsidRPr="00563FA9">
        <w:rPr>
          <w:bCs/>
        </w:rPr>
        <w:t> </w:t>
      </w:r>
      <w:r w:rsidR="00BF4AFA" w:rsidRPr="00563FA9">
        <w:t>formulaire d</w:t>
      </w:r>
      <w:r w:rsidR="001542BB" w:rsidRPr="00563FA9">
        <w:t>’</w:t>
      </w:r>
      <w:r w:rsidR="00BF4AFA" w:rsidRPr="00563FA9">
        <w:t>établissement des rapports nationaux</w:t>
      </w:r>
      <w:r w:rsidR="00BF4AFA" w:rsidRPr="00563FA9">
        <w:rPr>
          <w:bCs/>
        </w:rPr>
        <w:t xml:space="preserve"> </w:t>
      </w:r>
      <w:r w:rsidRPr="00563FA9">
        <w:rPr>
          <w:bCs/>
        </w:rPr>
        <w:t>et autres mesures pour aider les Parties à établir leurs rapports nationaux</w:t>
      </w:r>
    </w:p>
    <w:p w14:paraId="0EE9C05F" w14:textId="38455C0D"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Conformément au paragraphe</w:t>
      </w:r>
      <w:r w:rsidR="008214A3" w:rsidRPr="00563FA9">
        <w:t> </w:t>
      </w:r>
      <w:r w:rsidRPr="00563FA9">
        <w:t>3 de la décision</w:t>
      </w:r>
      <w:r w:rsidR="00BE73D9" w:rsidRPr="00563FA9">
        <w:t> </w:t>
      </w:r>
      <w:r w:rsidRPr="00563FA9">
        <w:t>MC-5/13, dans laquelle la Conférence des Parties a exhorté les Parties à soumettre leur premier rapport national complet le 31 décembre 2023 au plus tard, 87 des 123</w:t>
      </w:r>
      <w:r w:rsidR="00BE73D9" w:rsidRPr="00563FA9">
        <w:t> </w:t>
      </w:r>
      <w:r w:rsidRPr="00563FA9">
        <w:t>Parties (71 %) ont soumis leur rapport dans les délais impartis. Au 5 juillet 2025, 117 des 123</w:t>
      </w:r>
      <w:r w:rsidR="00161F1F" w:rsidRPr="00563FA9">
        <w:t> </w:t>
      </w:r>
      <w:r w:rsidRPr="00563FA9">
        <w:t>Parties (95 %) avaient soumis leur premier rapport national complet.</w:t>
      </w:r>
    </w:p>
    <w:p w14:paraId="3885B23C" w14:textId="048D2F85"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En réponse au paragraphe</w:t>
      </w:r>
      <w:r w:rsidR="00B134A7" w:rsidRPr="00563FA9">
        <w:t> </w:t>
      </w:r>
      <w:r w:rsidRPr="00563FA9">
        <w:t>6 de la décision</w:t>
      </w:r>
      <w:r w:rsidR="00B134A7" w:rsidRPr="00563FA9">
        <w:t> </w:t>
      </w:r>
      <w:r w:rsidRPr="00563FA9">
        <w:t>MC-5/13, l</w:t>
      </w:r>
      <w:r w:rsidR="001542BB" w:rsidRPr="00563FA9">
        <w:t>’</w:t>
      </w:r>
      <w:r w:rsidRPr="00563FA9">
        <w:t xml:space="preserve">outil </w:t>
      </w:r>
      <w:r w:rsidR="006F2A73" w:rsidRPr="00563FA9">
        <w:t>d</w:t>
      </w:r>
      <w:r w:rsidR="001542BB" w:rsidRPr="00563FA9">
        <w:t>’</w:t>
      </w:r>
      <w:r w:rsidR="006F2A73" w:rsidRPr="00563FA9">
        <w:t xml:space="preserve">établissement des rapports </w:t>
      </w:r>
      <w:r w:rsidRPr="00563FA9">
        <w:t xml:space="preserve">en ligne pour les deuxièmes rapports nationaux complets a été mis à jour afin de tenir compte des modifications du </w:t>
      </w:r>
      <w:r w:rsidR="00BF4AFA" w:rsidRPr="00563FA9">
        <w:t>formulaire d</w:t>
      </w:r>
      <w:r w:rsidR="001542BB" w:rsidRPr="00563FA9">
        <w:t>’</w:t>
      </w:r>
      <w:r w:rsidR="00BF4AFA" w:rsidRPr="00563FA9">
        <w:t xml:space="preserve">établissement des rapports nationaux </w:t>
      </w:r>
      <w:r w:rsidRPr="00563FA9">
        <w:t>adoptées par la Conférence des Parties dans cette décision. L</w:t>
      </w:r>
      <w:r w:rsidR="001542BB" w:rsidRPr="00563FA9">
        <w:t>’</w:t>
      </w:r>
      <w:r w:rsidRPr="00563FA9">
        <w:t xml:space="preserve">outil </w:t>
      </w:r>
      <w:r w:rsidR="006F2A73" w:rsidRPr="00563FA9">
        <w:t>d</w:t>
      </w:r>
      <w:r w:rsidR="001542BB" w:rsidRPr="00563FA9">
        <w:t>’</w:t>
      </w:r>
      <w:r w:rsidR="006F2A73" w:rsidRPr="00563FA9">
        <w:t xml:space="preserve">établissement des rapports </w:t>
      </w:r>
      <w:r w:rsidRPr="00563FA9">
        <w:t>en ligne a été lancé le 6 mars 2025. Les identifiants individuels de connexion à l</w:t>
      </w:r>
      <w:r w:rsidR="001542BB" w:rsidRPr="00563FA9">
        <w:t>’</w:t>
      </w:r>
      <w:r w:rsidRPr="00563FA9">
        <w:t xml:space="preserve">outil </w:t>
      </w:r>
      <w:r w:rsidR="006F2A73" w:rsidRPr="00563FA9">
        <w:t>d</w:t>
      </w:r>
      <w:r w:rsidR="001542BB" w:rsidRPr="00563FA9">
        <w:t>’</w:t>
      </w:r>
      <w:r w:rsidR="006F2A73" w:rsidRPr="00563FA9">
        <w:t xml:space="preserve">établissement des rapports </w:t>
      </w:r>
      <w:r w:rsidRPr="00563FA9">
        <w:t xml:space="preserve">en ligne ont été </w:t>
      </w:r>
      <w:r w:rsidR="003E0F42" w:rsidRPr="00563FA9">
        <w:t>communiqués</w:t>
      </w:r>
      <w:r w:rsidRPr="00563FA9">
        <w:t xml:space="preserve"> à tou</w:t>
      </w:r>
      <w:r w:rsidR="00BF4AFA" w:rsidRPr="00563FA9">
        <w:t>(te)</w:t>
      </w:r>
      <w:r w:rsidRPr="00563FA9">
        <w:t xml:space="preserve">s les </w:t>
      </w:r>
      <w:r w:rsidR="00BF4AFA" w:rsidRPr="00563FA9">
        <w:t xml:space="preserve">correspondant(e)s nationaux(ales) </w:t>
      </w:r>
      <w:r w:rsidRPr="00563FA9">
        <w:t>le 3 mars 2025, afin de leur permettre de se familiariser avec l</w:t>
      </w:r>
      <w:r w:rsidR="001542BB" w:rsidRPr="00563FA9">
        <w:t>’</w:t>
      </w:r>
      <w:r w:rsidRPr="00563FA9">
        <w:t>outil mis à jour avant son lancement.</w:t>
      </w:r>
    </w:p>
    <w:p w14:paraId="7C138AB3" w14:textId="3048D8C7"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 xml:space="preserve">Comme demandé </w:t>
      </w:r>
      <w:r w:rsidR="004763A7" w:rsidRPr="00563FA9">
        <w:t xml:space="preserve">par </w:t>
      </w:r>
      <w:r w:rsidRPr="00563FA9">
        <w:t>la Conférence des Parties au paragraphe</w:t>
      </w:r>
      <w:r w:rsidR="009B5D55" w:rsidRPr="00563FA9">
        <w:t> </w:t>
      </w:r>
      <w:r w:rsidRPr="00563FA9">
        <w:t>6 de sa décision</w:t>
      </w:r>
      <w:r w:rsidR="009B5D55" w:rsidRPr="00563FA9">
        <w:t> </w:t>
      </w:r>
      <w:r w:rsidRPr="00563FA9">
        <w:t>MC-5/13, le secrétariat a repris les 19</w:t>
      </w:r>
      <w:r w:rsidR="009B5D55" w:rsidRPr="00563FA9">
        <w:t> </w:t>
      </w:r>
      <w:r w:rsidRPr="00563FA9">
        <w:t xml:space="preserve">questions modifiées du formulaire </w:t>
      </w:r>
      <w:r w:rsidR="00BF4AFA" w:rsidRPr="00563FA9">
        <w:t>d</w:t>
      </w:r>
      <w:r w:rsidR="001542BB" w:rsidRPr="00563FA9">
        <w:t>’</w:t>
      </w:r>
      <w:r w:rsidR="00BF4AFA" w:rsidRPr="00563FA9">
        <w:t xml:space="preserve">établissement des rapports nationaux </w:t>
      </w:r>
      <w:r w:rsidRPr="00563FA9">
        <w:t>dans le document d</w:t>
      </w:r>
      <w:r w:rsidR="001542BB" w:rsidRPr="00563FA9">
        <w:t>’</w:t>
      </w:r>
      <w:r w:rsidRPr="00563FA9">
        <w:t xml:space="preserve">orientation relatif à </w:t>
      </w:r>
      <w:r w:rsidR="00BF4AFA" w:rsidRPr="00563FA9">
        <w:t xml:space="preserve">son </w:t>
      </w:r>
      <w:r w:rsidRPr="00563FA9">
        <w:t>utilisation (UNEP/MC/COP.6/INF/21). La version mise à jour du document d</w:t>
      </w:r>
      <w:r w:rsidR="001542BB" w:rsidRPr="00563FA9">
        <w:t>’</w:t>
      </w:r>
      <w:r w:rsidRPr="00563FA9">
        <w:t>orientation a été publiée sur le site Web de la Convention le 6 mars 2025 et a été mise à la disposition des Parties en anglais, afin qu</w:t>
      </w:r>
      <w:r w:rsidR="001542BB" w:rsidRPr="00563FA9">
        <w:t>’</w:t>
      </w:r>
      <w:r w:rsidRPr="00563FA9">
        <w:t>elles puissent s</w:t>
      </w:r>
      <w:r w:rsidR="001542BB" w:rsidRPr="00563FA9">
        <w:t>’</w:t>
      </w:r>
      <w:r w:rsidRPr="00563FA9">
        <w:t>en servir pour établir leur deuxième rapport national complet. Le document sera traduit dans d</w:t>
      </w:r>
      <w:r w:rsidR="001542BB" w:rsidRPr="00563FA9">
        <w:t>’</w:t>
      </w:r>
      <w:r w:rsidRPr="00563FA9">
        <w:t>autres langues sous réserve de la disponibilité de ressources à cette fin.</w:t>
      </w:r>
    </w:p>
    <w:p w14:paraId="14BCEC3E" w14:textId="1346B1F4"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Cinq</w:t>
      </w:r>
      <w:r w:rsidR="003654F8" w:rsidRPr="00563FA9">
        <w:t> </w:t>
      </w:r>
      <w:r w:rsidRPr="00563FA9">
        <w:t>sessions de Minamata Online ont été tenues pour aider les Parties à élaborer et soumettre leurs deuxièmes rapports nationaux complets</w:t>
      </w:r>
      <w:r w:rsidR="007E2DE8" w:rsidRPr="00563FA9">
        <w:t> :</w:t>
      </w:r>
      <w:r w:rsidRPr="00563FA9">
        <w:t xml:space="preserve"> le lancement de l</w:t>
      </w:r>
      <w:r w:rsidR="001542BB" w:rsidRPr="00563FA9">
        <w:t>’</w:t>
      </w:r>
      <w:r w:rsidRPr="00563FA9">
        <w:t xml:space="preserve">outil </w:t>
      </w:r>
      <w:r w:rsidR="006F2A73" w:rsidRPr="00563FA9">
        <w:t>d</w:t>
      </w:r>
      <w:r w:rsidR="001542BB" w:rsidRPr="00563FA9">
        <w:t>’</w:t>
      </w:r>
      <w:r w:rsidR="006F2A73" w:rsidRPr="00563FA9">
        <w:t xml:space="preserve">établissement des rapports </w:t>
      </w:r>
      <w:r w:rsidRPr="00563FA9">
        <w:t>en ligne le 6 mars 2025, des sessions en anglais et en français le 26 mars 2025, une session en espagnol le 27 mars 2025 et une session en arabe le 15 avril 2025. Des sessions pour les nouvelles Parties et une session supplémentaire pour mener à bien l</w:t>
      </w:r>
      <w:r w:rsidR="001542BB" w:rsidRPr="00563FA9">
        <w:t>’</w:t>
      </w:r>
      <w:r w:rsidRPr="00563FA9">
        <w:t>établissement du deuxième rapport national complet devraient se tenir au cours du quatrième trimestre de 2025.</w:t>
      </w:r>
    </w:p>
    <w:p w14:paraId="2EBFB9B3" w14:textId="5F4270C9" w:rsidR="00DE24D9" w:rsidRPr="00563FA9" w:rsidRDefault="00D92685" w:rsidP="009D1920">
      <w:pPr>
        <w:pStyle w:val="CH1"/>
      </w:pPr>
      <w:r w:rsidRPr="00563FA9">
        <w:rPr>
          <w:bCs/>
        </w:rPr>
        <w:tab/>
      </w:r>
      <w:r w:rsidR="00946908" w:rsidRPr="00563FA9">
        <w:rPr>
          <w:bCs/>
        </w:rPr>
        <w:t>IV.</w:t>
      </w:r>
      <w:r w:rsidR="00DE24D9" w:rsidRPr="00563FA9">
        <w:tab/>
      </w:r>
      <w:r w:rsidR="00DE24D9" w:rsidRPr="00563FA9">
        <w:rPr>
          <w:bCs/>
        </w:rPr>
        <w:t>Analyse des rapports nationaux en vue de</w:t>
      </w:r>
      <w:r w:rsidR="009D1920" w:rsidRPr="00563FA9">
        <w:rPr>
          <w:bCs/>
        </w:rPr>
        <w:t> </w:t>
      </w:r>
      <w:r w:rsidR="00DE24D9" w:rsidRPr="00563FA9">
        <w:rPr>
          <w:bCs/>
        </w:rPr>
        <w:t>la</w:t>
      </w:r>
      <w:r w:rsidR="009D1920" w:rsidRPr="00563FA9">
        <w:rPr>
          <w:bCs/>
        </w:rPr>
        <w:t> </w:t>
      </w:r>
      <w:r w:rsidR="00DE24D9" w:rsidRPr="00563FA9">
        <w:rPr>
          <w:bCs/>
        </w:rPr>
        <w:t>septième</w:t>
      </w:r>
      <w:r w:rsidR="009D1920" w:rsidRPr="00563FA9">
        <w:rPr>
          <w:bCs/>
        </w:rPr>
        <w:t> </w:t>
      </w:r>
      <w:r w:rsidR="00DE24D9" w:rsidRPr="00563FA9">
        <w:rPr>
          <w:bCs/>
        </w:rPr>
        <w:t>réunion</w:t>
      </w:r>
      <w:r w:rsidR="00E20332" w:rsidRPr="00563FA9">
        <w:rPr>
          <w:bCs/>
        </w:rPr>
        <w:t xml:space="preserve"> </w:t>
      </w:r>
      <w:r w:rsidR="00DE24D9" w:rsidRPr="00563FA9">
        <w:rPr>
          <w:bCs/>
        </w:rPr>
        <w:t>de</w:t>
      </w:r>
      <w:r w:rsidR="00F74CE7" w:rsidRPr="00563FA9">
        <w:rPr>
          <w:bCs/>
        </w:rPr>
        <w:t> </w:t>
      </w:r>
      <w:r w:rsidR="00DE24D9" w:rsidRPr="00563FA9">
        <w:rPr>
          <w:bCs/>
        </w:rPr>
        <w:t>la Conférence des Parties</w:t>
      </w:r>
    </w:p>
    <w:p w14:paraId="0C43E431" w14:textId="34B1E352" w:rsidR="00DE24D9" w:rsidRPr="00563FA9" w:rsidRDefault="00DE24D9" w:rsidP="00546D20">
      <w:pPr>
        <w:pStyle w:val="Normalnumber"/>
        <w:tabs>
          <w:tab w:val="clear" w:pos="1247"/>
          <w:tab w:val="clear" w:pos="1814"/>
          <w:tab w:val="clear" w:pos="2381"/>
          <w:tab w:val="clear" w:pos="2948"/>
          <w:tab w:val="clear" w:pos="3515"/>
          <w:tab w:val="left" w:pos="624"/>
        </w:tabs>
      </w:pPr>
      <w:r w:rsidRPr="00563FA9">
        <w:t>La septième</w:t>
      </w:r>
      <w:r w:rsidR="0024304A" w:rsidRPr="00563FA9">
        <w:t> </w:t>
      </w:r>
      <w:r w:rsidRPr="00563FA9">
        <w:t>réunion de la Conférence des Parties devrait se tenir en juin 2027. La période intersessions se trouvant écourtée, le secrétariat se préparera immédiatement à examiner l</w:t>
      </w:r>
      <w:r w:rsidR="001542BB" w:rsidRPr="00563FA9">
        <w:t>’</w:t>
      </w:r>
      <w:r w:rsidRPr="00563FA9">
        <w:t>exhaustivité des rapports, à analyser les réponses</w:t>
      </w:r>
      <w:r w:rsidR="004E5FBF" w:rsidRPr="00563FA9">
        <w:t xml:space="preserve"> fournies</w:t>
      </w:r>
      <w:r w:rsidRPr="00563FA9">
        <w:t xml:space="preserve"> et à collaborer avec les Parties pour s</w:t>
      </w:r>
      <w:r w:rsidR="001542BB" w:rsidRPr="00563FA9">
        <w:t>’</w:t>
      </w:r>
      <w:r w:rsidRPr="00563FA9">
        <w:t xml:space="preserve">assurer que le rapport sur les résultats soit prêt à temps pour la huitième réunion du </w:t>
      </w:r>
      <w:r w:rsidR="005C256D" w:rsidRPr="00563FA9">
        <w:t>Comité de mise en œuvre et du respect des obligations</w:t>
      </w:r>
      <w:r w:rsidRPr="00563FA9">
        <w:t xml:space="preserve">, en septembre 2026. La coopération des Parties par </w:t>
      </w:r>
      <w:r w:rsidR="004E5FBF" w:rsidRPr="00563FA9">
        <w:t>la</w:t>
      </w:r>
      <w:r w:rsidRPr="00563FA9">
        <w:t xml:space="preserve"> soumission </w:t>
      </w:r>
      <w:r w:rsidR="004E5FBF" w:rsidRPr="00563FA9">
        <w:t xml:space="preserve">de leurs </w:t>
      </w:r>
      <w:r w:rsidRPr="00563FA9">
        <w:t>rapports nationaux avant la date limite du 31 décembre 2025 sera essentielle pour garantir que le rapport du secrétariat soit complet et disponible pour examen par le Comité.</w:t>
      </w:r>
    </w:p>
    <w:p w14:paraId="2395EF50" w14:textId="5965045D" w:rsidR="00DE24D9" w:rsidRPr="00563FA9" w:rsidRDefault="00D92685" w:rsidP="00546D20">
      <w:pPr>
        <w:pStyle w:val="CH1"/>
      </w:pPr>
      <w:r w:rsidRPr="00563FA9">
        <w:rPr>
          <w:bCs/>
        </w:rPr>
        <w:tab/>
      </w:r>
      <w:r w:rsidR="00CF25EA" w:rsidRPr="00563FA9">
        <w:rPr>
          <w:bCs/>
        </w:rPr>
        <w:t>V.</w:t>
      </w:r>
      <w:r w:rsidR="00DE24D9" w:rsidRPr="00563FA9">
        <w:tab/>
      </w:r>
      <w:r w:rsidR="00DE24D9" w:rsidRPr="00563FA9">
        <w:rPr>
          <w:bCs/>
        </w:rPr>
        <w:t>Mesure que pourrait prendre la Conférence des Parties</w:t>
      </w:r>
    </w:p>
    <w:p w14:paraId="4A0A9CCA" w14:textId="0667BA44" w:rsidR="00546D20" w:rsidRPr="00563FA9" w:rsidRDefault="00DE24D9" w:rsidP="003D55DB">
      <w:pPr>
        <w:pStyle w:val="Normalnumber"/>
        <w:tabs>
          <w:tab w:val="clear" w:pos="1247"/>
          <w:tab w:val="clear" w:pos="1814"/>
          <w:tab w:val="clear" w:pos="2381"/>
          <w:tab w:val="clear" w:pos="2948"/>
          <w:tab w:val="clear" w:pos="3515"/>
          <w:tab w:val="left" w:pos="624"/>
        </w:tabs>
        <w:sectPr w:rsidR="00546D20" w:rsidRPr="00563FA9" w:rsidSect="00BF26E8">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r w:rsidRPr="00563FA9">
        <w:t>La Conférence des Parties souhaitera peut-être envisager d</w:t>
      </w:r>
      <w:r w:rsidR="001542BB" w:rsidRPr="00563FA9">
        <w:t>’</w:t>
      </w:r>
      <w:r w:rsidRPr="00563FA9">
        <w:t>adopter une décision s</w:t>
      </w:r>
      <w:r w:rsidR="001542BB" w:rsidRPr="00563FA9">
        <w:t>’</w:t>
      </w:r>
      <w:r w:rsidRPr="00563FA9">
        <w:t>inspirant de celle reproduite dans l</w:t>
      </w:r>
      <w:r w:rsidR="001542BB" w:rsidRPr="00563FA9">
        <w:t>’</w:t>
      </w:r>
      <w:r w:rsidRPr="00563FA9">
        <w:t>annexe de la présente note.</w:t>
      </w:r>
    </w:p>
    <w:p w14:paraId="142DCB3A" w14:textId="77777777" w:rsidR="00DE24D9" w:rsidRPr="00563FA9" w:rsidRDefault="00DE24D9" w:rsidP="004C7CF9">
      <w:pPr>
        <w:pStyle w:val="ZZAnxheader"/>
      </w:pPr>
      <w:r w:rsidRPr="00563FA9">
        <w:t>Annexe</w:t>
      </w:r>
    </w:p>
    <w:p w14:paraId="3BDA1B61" w14:textId="6E328E52" w:rsidR="00DE24D9" w:rsidRPr="00563FA9" w:rsidRDefault="00DE24D9" w:rsidP="004C7CF9">
      <w:pPr>
        <w:pStyle w:val="ZZAnxtitle"/>
      </w:pPr>
      <w:r w:rsidRPr="00563FA9">
        <w:t>Projet de décision MC-6/[--]</w:t>
      </w:r>
      <w:r w:rsidR="007E2DE8" w:rsidRPr="00563FA9">
        <w:t> :</w:t>
      </w:r>
      <w:r w:rsidRPr="00563FA9">
        <w:t xml:space="preserve"> Rapports nationaux (article 21)</w:t>
      </w:r>
      <w:r w:rsidR="007E2DE8" w:rsidRPr="00563FA9">
        <w:t> :</w:t>
      </w:r>
      <w:r w:rsidRPr="00563FA9">
        <w:t xml:space="preserve"> deuxièmes rapports nationaux abrégés</w:t>
      </w:r>
    </w:p>
    <w:p w14:paraId="395931A1" w14:textId="77777777" w:rsidR="00DE24D9" w:rsidRPr="00563FA9" w:rsidRDefault="00DE24D9" w:rsidP="00546D20">
      <w:pPr>
        <w:pStyle w:val="NormalNonumber"/>
        <w:tabs>
          <w:tab w:val="clear" w:pos="1247"/>
          <w:tab w:val="clear" w:pos="1871"/>
          <w:tab w:val="clear" w:pos="2495"/>
          <w:tab w:val="clear" w:pos="3119"/>
          <w:tab w:val="clear" w:pos="3742"/>
          <w:tab w:val="clear" w:pos="4366"/>
        </w:tabs>
        <w:ind w:firstLine="624"/>
        <w:rPr>
          <w:i/>
          <w:iCs/>
        </w:rPr>
      </w:pPr>
      <w:r w:rsidRPr="00563FA9">
        <w:rPr>
          <w:i/>
          <w:iCs/>
        </w:rPr>
        <w:t>La Conférence des Parties</w:t>
      </w:r>
      <w:r w:rsidRPr="00563FA9">
        <w:t>,</w:t>
      </w:r>
    </w:p>
    <w:p w14:paraId="2DD1BBB7" w14:textId="32B352E6" w:rsidR="00DE24D9" w:rsidRPr="00563FA9" w:rsidRDefault="00DE24D9" w:rsidP="00546D20">
      <w:pPr>
        <w:pStyle w:val="NormalNonumber"/>
        <w:tabs>
          <w:tab w:val="clear" w:pos="1247"/>
          <w:tab w:val="clear" w:pos="1871"/>
          <w:tab w:val="clear" w:pos="2495"/>
          <w:tab w:val="clear" w:pos="3119"/>
          <w:tab w:val="clear" w:pos="3742"/>
          <w:tab w:val="clear" w:pos="4366"/>
        </w:tabs>
        <w:ind w:firstLine="624"/>
      </w:pPr>
      <w:r w:rsidRPr="00563FA9">
        <w:rPr>
          <w:i/>
          <w:iCs/>
        </w:rPr>
        <w:t xml:space="preserve">Soulignant </w:t>
      </w:r>
      <w:r w:rsidRPr="00563FA9">
        <w:t>l</w:t>
      </w:r>
      <w:r w:rsidR="001542BB" w:rsidRPr="00563FA9">
        <w:t>’</w:t>
      </w:r>
      <w:r w:rsidRPr="00563FA9">
        <w:t>importance de l</w:t>
      </w:r>
      <w:r w:rsidR="001542BB" w:rsidRPr="00563FA9">
        <w:t>’</w:t>
      </w:r>
      <w:r w:rsidRPr="00563FA9">
        <w:t>établissement de rapports et rappelant l</w:t>
      </w:r>
      <w:r w:rsidR="001542BB" w:rsidRPr="00563FA9">
        <w:t>’</w:t>
      </w:r>
      <w:r w:rsidRPr="00563FA9">
        <w:t>obligation faite aux Parties de soumettre leur rapport national conformément à l</w:t>
      </w:r>
      <w:r w:rsidR="001542BB" w:rsidRPr="00563FA9">
        <w:t>’</w:t>
      </w:r>
      <w:r w:rsidRPr="00563FA9">
        <w:t>article 21 de la Convention de Minamata sur le mercure,</w:t>
      </w:r>
    </w:p>
    <w:p w14:paraId="621B273B" w14:textId="4C9637B0" w:rsidR="00DE24D9" w:rsidRPr="00563FA9" w:rsidRDefault="00DE24D9" w:rsidP="00546D20">
      <w:pPr>
        <w:pStyle w:val="NormalNonumber"/>
        <w:tabs>
          <w:tab w:val="clear" w:pos="1247"/>
          <w:tab w:val="clear" w:pos="1871"/>
          <w:tab w:val="clear" w:pos="2495"/>
          <w:tab w:val="clear" w:pos="3119"/>
          <w:tab w:val="clear" w:pos="3742"/>
          <w:tab w:val="clear" w:pos="4366"/>
        </w:tabs>
        <w:ind w:firstLine="624"/>
      </w:pPr>
      <w:r w:rsidRPr="00563FA9">
        <w:rPr>
          <w:i/>
          <w:iCs/>
        </w:rPr>
        <w:t>Tenant compte</w:t>
      </w:r>
      <w:r w:rsidRPr="00563FA9">
        <w:t xml:space="preserve"> du rapport sur les travaux du </w:t>
      </w:r>
      <w:r w:rsidR="005C256D" w:rsidRPr="00563FA9">
        <w:t xml:space="preserve">Comité de mise en œuvre et du respect des obligations </w:t>
      </w:r>
      <w:r w:rsidRPr="00563FA9">
        <w:t>à sa septième réunion, y</w:t>
      </w:r>
      <w:r w:rsidR="007F2043" w:rsidRPr="00563FA9">
        <w:t> </w:t>
      </w:r>
      <w:r w:rsidRPr="00563FA9">
        <w:t>compris ses conclusions sur la performance des Parties en matière d</w:t>
      </w:r>
      <w:r w:rsidR="001542BB" w:rsidRPr="00563FA9">
        <w:t>’</w:t>
      </w:r>
      <w:r w:rsidRPr="00563FA9">
        <w:t>établissement de rapports</w:t>
      </w:r>
      <w:r w:rsidR="002609D8" w:rsidRPr="00563FA9">
        <w:rPr>
          <w:rStyle w:val="FootnoteReference"/>
          <w:rFonts w:eastAsia="SimSun"/>
        </w:rPr>
        <w:footnoteReference w:id="14"/>
      </w:r>
      <w:r w:rsidRPr="00563FA9">
        <w:t xml:space="preserve">, </w:t>
      </w:r>
    </w:p>
    <w:p w14:paraId="46BCF4C6" w14:textId="5B166A5A" w:rsidR="00DE24D9" w:rsidRPr="00563FA9" w:rsidRDefault="00DE24D9" w:rsidP="00546D20">
      <w:pPr>
        <w:pStyle w:val="NormalNonumber"/>
        <w:tabs>
          <w:tab w:val="clear" w:pos="1247"/>
          <w:tab w:val="clear" w:pos="1871"/>
          <w:tab w:val="clear" w:pos="2495"/>
          <w:tab w:val="clear" w:pos="3119"/>
          <w:tab w:val="clear" w:pos="3742"/>
          <w:tab w:val="clear" w:pos="4366"/>
        </w:tabs>
        <w:ind w:firstLine="624"/>
      </w:pPr>
      <w:r w:rsidRPr="00563FA9">
        <w:rPr>
          <w:i/>
          <w:iCs/>
        </w:rPr>
        <w:t xml:space="preserve">Consciente </w:t>
      </w:r>
      <w:r w:rsidRPr="00563FA9">
        <w:t>des difficultés que pose la mise en œuvre des obligations en matière de commerce au titre de l</w:t>
      </w:r>
      <w:r w:rsidR="001542BB" w:rsidRPr="00563FA9">
        <w:t>’</w:t>
      </w:r>
      <w:r w:rsidRPr="00563FA9">
        <w:t>article</w:t>
      </w:r>
      <w:r w:rsidR="003654F8" w:rsidRPr="00563FA9">
        <w:t> </w:t>
      </w:r>
      <w:r w:rsidRPr="00563FA9">
        <w:t>3 de la Convention, en raison des activités informelles ou illicites d</w:t>
      </w:r>
      <w:r w:rsidR="001542BB" w:rsidRPr="00563FA9">
        <w:t>’</w:t>
      </w:r>
      <w:r w:rsidRPr="00563FA9">
        <w:t>extraction minière primaire de mercure et de commerce du mercure non conformes aux dispositions de la Convention, y</w:t>
      </w:r>
      <w:r w:rsidR="007F2043" w:rsidRPr="00563FA9">
        <w:t> </w:t>
      </w:r>
      <w:r w:rsidRPr="00563FA9">
        <w:t>compris s</w:t>
      </w:r>
      <w:r w:rsidR="001542BB" w:rsidRPr="00563FA9">
        <w:t>’</w:t>
      </w:r>
      <w:r w:rsidRPr="00563FA9">
        <w:t>agissant de la collecte de données et de la communication d</w:t>
      </w:r>
      <w:r w:rsidR="001542BB" w:rsidRPr="00563FA9">
        <w:t>’</w:t>
      </w:r>
      <w:r w:rsidRPr="00563FA9">
        <w:t xml:space="preserve">informations sur ces activités, </w:t>
      </w:r>
    </w:p>
    <w:p w14:paraId="5A0730D0" w14:textId="01A6BBFD" w:rsidR="00DE24D9" w:rsidRPr="00563FA9" w:rsidRDefault="00DE24D9" w:rsidP="00546D20">
      <w:pPr>
        <w:pStyle w:val="NormalNonumber"/>
        <w:tabs>
          <w:tab w:val="clear" w:pos="1247"/>
          <w:tab w:val="clear" w:pos="1871"/>
          <w:tab w:val="clear" w:pos="2495"/>
          <w:tab w:val="clear" w:pos="3119"/>
          <w:tab w:val="clear" w:pos="3742"/>
          <w:tab w:val="clear" w:pos="4366"/>
        </w:tabs>
        <w:ind w:firstLine="624"/>
      </w:pPr>
      <w:r w:rsidRPr="00563FA9">
        <w:rPr>
          <w:i/>
          <w:iCs/>
        </w:rPr>
        <w:t xml:space="preserve">Saluant </w:t>
      </w:r>
      <w:r w:rsidRPr="00563FA9">
        <w:t>les efforts déployés par les Parties pour rendre compte des activités informelles ou illicites d</w:t>
      </w:r>
      <w:r w:rsidR="001542BB" w:rsidRPr="00563FA9">
        <w:t>’</w:t>
      </w:r>
      <w:r w:rsidRPr="00563FA9">
        <w:t>extraction minière primaire de mercure et de commerce du mercure, notamment en ce qui concerne le secteur de l</w:t>
      </w:r>
      <w:r w:rsidR="001542BB" w:rsidRPr="00563FA9">
        <w:t>’</w:t>
      </w:r>
      <w:r w:rsidRPr="00563FA9">
        <w:t>extraction minière artisanale et à petite échelle d</w:t>
      </w:r>
      <w:r w:rsidR="001542BB" w:rsidRPr="00563FA9">
        <w:t>’</w:t>
      </w:r>
      <w:r w:rsidRPr="00563FA9">
        <w:t>or,</w:t>
      </w:r>
    </w:p>
    <w:p w14:paraId="60E87014" w14:textId="24DD68D1" w:rsidR="00DE24D9" w:rsidRPr="00563FA9" w:rsidRDefault="00DE24D9" w:rsidP="00546D20">
      <w:pPr>
        <w:pStyle w:val="NormalNonumber"/>
        <w:tabs>
          <w:tab w:val="clear" w:pos="1247"/>
          <w:tab w:val="clear" w:pos="1871"/>
          <w:tab w:val="clear" w:pos="2495"/>
          <w:tab w:val="clear" w:pos="3119"/>
          <w:tab w:val="clear" w:pos="3742"/>
          <w:tab w:val="clear" w:pos="4366"/>
        </w:tabs>
        <w:ind w:firstLine="624"/>
        <w:rPr>
          <w:rStyle w:val="normaltextrun"/>
        </w:rPr>
      </w:pPr>
      <w:r w:rsidRPr="00563FA9">
        <w:rPr>
          <w:i/>
          <w:iCs/>
        </w:rPr>
        <w:t xml:space="preserve">Rappelant </w:t>
      </w:r>
      <w:r w:rsidRPr="00563FA9">
        <w:t>le paragraphe</w:t>
      </w:r>
      <w:r w:rsidR="00C15AC1" w:rsidRPr="00563FA9">
        <w:t> </w:t>
      </w:r>
      <w:r w:rsidRPr="00563FA9">
        <w:t>2 de sa décision</w:t>
      </w:r>
      <w:r w:rsidR="0024441B" w:rsidRPr="00563FA9">
        <w:t> </w:t>
      </w:r>
      <w:r w:rsidRPr="00563FA9">
        <w:t>MC-5/2, dans laquelle elle a engagé les Parties qui n</w:t>
      </w:r>
      <w:r w:rsidR="001542BB" w:rsidRPr="00563FA9">
        <w:t>’</w:t>
      </w:r>
      <w:r w:rsidRPr="00563FA9">
        <w:t>avaient pas reçu de consentement pour les exportations de mercure effectuées à partir de leur territoire à fournir, selon qu</w:t>
      </w:r>
      <w:r w:rsidR="001542BB" w:rsidRPr="00563FA9">
        <w:t>’</w:t>
      </w:r>
      <w:r w:rsidRPr="00563FA9">
        <w:t>il conviendrait, davantage d</w:t>
      </w:r>
      <w:r w:rsidR="001542BB" w:rsidRPr="00563FA9">
        <w:t>’</w:t>
      </w:r>
      <w:r w:rsidRPr="00563FA9">
        <w:t>informations dans leur prochain rapport national,</w:t>
      </w:r>
    </w:p>
    <w:p w14:paraId="5020AB45" w14:textId="0CB96350" w:rsidR="00DE24D9" w:rsidRPr="00563FA9" w:rsidRDefault="00DE24D9" w:rsidP="001145C1">
      <w:pPr>
        <w:pStyle w:val="NormalNonumber"/>
        <w:numPr>
          <w:ilvl w:val="0"/>
          <w:numId w:val="17"/>
        </w:numPr>
        <w:tabs>
          <w:tab w:val="clear" w:pos="1247"/>
          <w:tab w:val="clear" w:pos="1871"/>
          <w:tab w:val="clear" w:pos="2495"/>
          <w:tab w:val="clear" w:pos="3119"/>
          <w:tab w:val="clear" w:pos="3742"/>
          <w:tab w:val="clear" w:pos="4366"/>
        </w:tabs>
        <w:ind w:left="1247" w:firstLine="624"/>
      </w:pPr>
      <w:r w:rsidRPr="00563FA9">
        <w:rPr>
          <w:i/>
          <w:iCs/>
        </w:rPr>
        <w:t xml:space="preserve">Se félicite </w:t>
      </w:r>
      <w:r w:rsidRPr="00563FA9">
        <w:t>du taux élevé (86 %) de présentation par les Parties de leur deuxième rapport national abrégé dans les délais impartis et estime que ce taux peut encore être amélioré</w:t>
      </w:r>
      <w:r w:rsidR="007E2DE8" w:rsidRPr="00563FA9">
        <w:t> ;</w:t>
      </w:r>
    </w:p>
    <w:p w14:paraId="10576783" w14:textId="798A4A9E" w:rsidR="00DE24D9" w:rsidRPr="00563FA9" w:rsidRDefault="00DE24D9" w:rsidP="001145C1">
      <w:pPr>
        <w:pStyle w:val="NormalNonumber"/>
        <w:numPr>
          <w:ilvl w:val="0"/>
          <w:numId w:val="17"/>
        </w:numPr>
        <w:tabs>
          <w:tab w:val="clear" w:pos="1247"/>
          <w:tab w:val="clear" w:pos="1871"/>
          <w:tab w:val="clear" w:pos="2495"/>
          <w:tab w:val="clear" w:pos="3119"/>
          <w:tab w:val="clear" w:pos="3742"/>
          <w:tab w:val="clear" w:pos="4366"/>
        </w:tabs>
        <w:ind w:left="1247" w:firstLine="624"/>
      </w:pPr>
      <w:r w:rsidRPr="00563FA9">
        <w:rPr>
          <w:i/>
          <w:iCs/>
        </w:rPr>
        <w:t xml:space="preserve">Engage </w:t>
      </w:r>
      <w:r w:rsidRPr="00563FA9">
        <w:t>les Parties à faire en sorte d</w:t>
      </w:r>
      <w:r w:rsidR="001542BB" w:rsidRPr="00563FA9">
        <w:t>’</w:t>
      </w:r>
      <w:r w:rsidRPr="00563FA9">
        <w:t xml:space="preserve">atteindre un taux élevé de présentation des deuxièmes rapports nationaux complets, attendus le 31 décembre 2025 au plus tard, et prie les Parties de soumettre leurs rapports en temps voulu[, au regard du fait que la courte période intersessions précédant la septième réunion de la Conférence des Parties limitera le temps disponible pour analyser les deuxièmes rapports nationaux complets et soumettre un rapport au </w:t>
      </w:r>
      <w:r w:rsidR="005C256D" w:rsidRPr="00563FA9">
        <w:t>Comité de mise en œuvre et du respect des obligations</w:t>
      </w:r>
      <w:r w:rsidRPr="00563FA9">
        <w:t>]</w:t>
      </w:r>
      <w:r w:rsidRPr="00563FA9">
        <w:rPr>
          <w:rStyle w:val="FootnoteReference"/>
          <w:rFonts w:eastAsia="SimSun"/>
        </w:rPr>
        <w:footnoteReference w:id="15"/>
      </w:r>
      <w:r w:rsidR="007E2DE8" w:rsidRPr="00563FA9">
        <w:t> ;</w:t>
      </w:r>
    </w:p>
    <w:p w14:paraId="042AC038" w14:textId="4B6528BB" w:rsidR="00DE24D9" w:rsidRPr="00563FA9" w:rsidRDefault="00DE24D9" w:rsidP="001145C1">
      <w:pPr>
        <w:pStyle w:val="NormalNonumber"/>
        <w:numPr>
          <w:ilvl w:val="0"/>
          <w:numId w:val="17"/>
        </w:numPr>
        <w:tabs>
          <w:tab w:val="clear" w:pos="1247"/>
          <w:tab w:val="clear" w:pos="1871"/>
          <w:tab w:val="clear" w:pos="2495"/>
          <w:tab w:val="clear" w:pos="3119"/>
          <w:tab w:val="clear" w:pos="3742"/>
          <w:tab w:val="clear" w:pos="4366"/>
        </w:tabs>
        <w:ind w:left="1247" w:firstLine="624"/>
      </w:pPr>
      <w:r w:rsidRPr="00563FA9">
        <w:rPr>
          <w:i/>
          <w:iCs/>
        </w:rPr>
        <w:t>P</w:t>
      </w:r>
      <w:r w:rsidRPr="00563FA9">
        <w:t>r</w:t>
      </w:r>
      <w:r w:rsidRPr="00563FA9">
        <w:rPr>
          <w:i/>
          <w:iCs/>
        </w:rPr>
        <w:t>ie de nouveau</w:t>
      </w:r>
      <w:r w:rsidRPr="00563FA9">
        <w:t xml:space="preserve"> les Parties ayant reçu un consentement à l</w:t>
      </w:r>
      <w:r w:rsidR="001542BB" w:rsidRPr="00563FA9">
        <w:t>’</w:t>
      </w:r>
      <w:r w:rsidRPr="00563FA9">
        <w:t>exportation de mercure vers des États parties ou non parties de faire parvenir au secrétariat des copies des formulaires de consentement utilisés ou de fournir d</w:t>
      </w:r>
      <w:r w:rsidR="001542BB" w:rsidRPr="00563FA9">
        <w:t>’</w:t>
      </w:r>
      <w:r w:rsidRPr="00563FA9">
        <w:t>autres informations utiles dans leur rapport soumis en application de l</w:t>
      </w:r>
      <w:r w:rsidR="001542BB" w:rsidRPr="00563FA9">
        <w:t>’</w:t>
      </w:r>
      <w:r w:rsidRPr="00563FA9">
        <w:t>article</w:t>
      </w:r>
      <w:r w:rsidR="00914B47" w:rsidRPr="00563FA9">
        <w:t> </w:t>
      </w:r>
      <w:r w:rsidRPr="00563FA9">
        <w:t>21 de la Convention de Minamata sur le mercure, afin de montrer que les exigences pertinentes de l</w:t>
      </w:r>
      <w:r w:rsidR="001542BB" w:rsidRPr="00563FA9">
        <w:t>’</w:t>
      </w:r>
      <w:r w:rsidRPr="00563FA9">
        <w:t>article</w:t>
      </w:r>
      <w:r w:rsidR="00052CC0" w:rsidRPr="00563FA9">
        <w:t> </w:t>
      </w:r>
      <w:r w:rsidRPr="00563FA9">
        <w:t>3 de la Convention ont été remplies</w:t>
      </w:r>
      <w:r w:rsidR="007E2DE8" w:rsidRPr="00563FA9">
        <w:t> ;</w:t>
      </w:r>
    </w:p>
    <w:p w14:paraId="771CDD96" w14:textId="04346971" w:rsidR="00DE24D9" w:rsidRPr="00563FA9" w:rsidRDefault="00570E7B" w:rsidP="001145C1">
      <w:pPr>
        <w:pStyle w:val="NormalNonumber"/>
        <w:numPr>
          <w:ilvl w:val="0"/>
          <w:numId w:val="17"/>
        </w:numPr>
        <w:tabs>
          <w:tab w:val="clear" w:pos="1247"/>
          <w:tab w:val="clear" w:pos="1871"/>
          <w:tab w:val="clear" w:pos="2495"/>
          <w:tab w:val="clear" w:pos="3119"/>
          <w:tab w:val="clear" w:pos="3742"/>
          <w:tab w:val="clear" w:pos="4366"/>
        </w:tabs>
        <w:ind w:left="1247" w:firstLine="624"/>
      </w:pPr>
      <w:r w:rsidRPr="00563FA9">
        <w:rPr>
          <w:i/>
          <w:iCs/>
        </w:rPr>
        <w:t>Prend note</w:t>
      </w:r>
      <w:r w:rsidRPr="00563FA9">
        <w:t xml:space="preserve"> des mises à jour</w:t>
      </w:r>
      <w:r w:rsidR="00C365C7" w:rsidRPr="00563FA9">
        <w:t xml:space="preserve"> du</w:t>
      </w:r>
      <w:r w:rsidRPr="00563FA9">
        <w:t xml:space="preserve"> document d</w:t>
      </w:r>
      <w:r w:rsidR="001542BB" w:rsidRPr="00563FA9">
        <w:t>’</w:t>
      </w:r>
      <w:r w:rsidRPr="00563FA9">
        <w:t>orientation relatif à l</w:t>
      </w:r>
      <w:r w:rsidR="001542BB" w:rsidRPr="00563FA9">
        <w:t>’</w:t>
      </w:r>
      <w:r w:rsidRPr="00563FA9">
        <w:t>utilisation du formulaire de communication d</w:t>
      </w:r>
      <w:r w:rsidR="001542BB" w:rsidRPr="00563FA9">
        <w:t>’</w:t>
      </w:r>
      <w:r w:rsidRPr="00563FA9">
        <w:t>informations</w:t>
      </w:r>
      <w:r w:rsidR="00C365C7" w:rsidRPr="00563FA9">
        <w:t>, telles que</w:t>
      </w:r>
      <w:r w:rsidRPr="00563FA9">
        <w:t xml:space="preserve"> demandées dans sa décision</w:t>
      </w:r>
      <w:r w:rsidR="00C51A3C" w:rsidRPr="00563FA9">
        <w:t> </w:t>
      </w:r>
      <w:r w:rsidRPr="00563FA9">
        <w:t>MC-5/13</w:t>
      </w:r>
      <w:r w:rsidR="00B14764" w:rsidRPr="00563FA9">
        <w:rPr>
          <w:rStyle w:val="FootnoteReference"/>
          <w:rFonts w:eastAsia="SimSun"/>
        </w:rPr>
        <w:footnoteReference w:id="16"/>
      </w:r>
      <w:r w:rsidR="00C365C7" w:rsidRPr="00563FA9">
        <w:t xml:space="preserve">, </w:t>
      </w:r>
      <w:r w:rsidRPr="00563FA9">
        <w:t>et engage les Parties à se servir des orientations dans le cadre du cycle actuel et des cycles suivants d</w:t>
      </w:r>
      <w:r w:rsidR="001542BB" w:rsidRPr="00563FA9">
        <w:t>’</w:t>
      </w:r>
      <w:r w:rsidRPr="00563FA9">
        <w:t>établissement des rapports</w:t>
      </w:r>
      <w:r w:rsidR="007E2DE8" w:rsidRPr="00563FA9">
        <w:t> ;</w:t>
      </w:r>
      <w:r w:rsidRPr="00563FA9">
        <w:t xml:space="preserve"> </w:t>
      </w:r>
    </w:p>
    <w:p w14:paraId="296DBB01" w14:textId="7D7B13B5" w:rsidR="00DE24D9" w:rsidRPr="00563FA9" w:rsidRDefault="00DE24D9" w:rsidP="001145C1">
      <w:pPr>
        <w:pStyle w:val="NormalNonumber"/>
        <w:numPr>
          <w:ilvl w:val="0"/>
          <w:numId w:val="17"/>
        </w:numPr>
        <w:tabs>
          <w:tab w:val="clear" w:pos="1247"/>
          <w:tab w:val="clear" w:pos="1871"/>
          <w:tab w:val="clear" w:pos="2495"/>
          <w:tab w:val="clear" w:pos="3119"/>
          <w:tab w:val="clear" w:pos="3742"/>
          <w:tab w:val="clear" w:pos="4366"/>
        </w:tabs>
        <w:ind w:left="1247" w:firstLine="624"/>
      </w:pPr>
      <w:r w:rsidRPr="00563FA9">
        <w:rPr>
          <w:i/>
          <w:iCs/>
        </w:rPr>
        <w:t xml:space="preserve">Prie </w:t>
      </w:r>
      <w:r w:rsidRPr="00563FA9">
        <w:t>le secrétariat</w:t>
      </w:r>
      <w:r w:rsidR="007E2DE8" w:rsidRPr="00563FA9">
        <w:t> :</w:t>
      </w:r>
    </w:p>
    <w:p w14:paraId="71ABE469" w14:textId="7C8BECE0" w:rsidR="00DE24D9" w:rsidRPr="00563FA9" w:rsidRDefault="00DE24D9" w:rsidP="001145C1">
      <w:pPr>
        <w:pStyle w:val="NormalNonumber"/>
        <w:numPr>
          <w:ilvl w:val="1"/>
          <w:numId w:val="18"/>
        </w:numPr>
        <w:tabs>
          <w:tab w:val="clear" w:pos="1247"/>
          <w:tab w:val="clear" w:pos="1871"/>
          <w:tab w:val="clear" w:pos="2495"/>
          <w:tab w:val="clear" w:pos="3119"/>
          <w:tab w:val="clear" w:pos="3742"/>
          <w:tab w:val="clear" w:pos="4366"/>
        </w:tabs>
        <w:ind w:left="1247" w:firstLine="624"/>
      </w:pPr>
      <w:r w:rsidRPr="00563FA9">
        <w:t>De recueillir des informations sur les meilleures pratiques en matière de communication d</w:t>
      </w:r>
      <w:r w:rsidR="001542BB" w:rsidRPr="00563FA9">
        <w:t>’</w:t>
      </w:r>
      <w:r w:rsidRPr="00563FA9">
        <w:t>informations sur les activités informelles ou illicites non conformes aux dispositions de la Convention, afin de déterminer les informations utiles pour évaluer leur ampleur et leur nature, et d</w:t>
      </w:r>
      <w:r w:rsidR="001542BB" w:rsidRPr="00563FA9">
        <w:t>’</w:t>
      </w:r>
      <w:r w:rsidRPr="00563FA9">
        <w:t>étudier la manière dont ces informations pourraient renforcer des outils ou certains éléments des rapports</w:t>
      </w:r>
      <w:r w:rsidR="006A0E1C" w:rsidRPr="00563FA9">
        <w:t xml:space="preserve"> à l</w:t>
      </w:r>
      <w:r w:rsidR="001542BB" w:rsidRPr="00563FA9">
        <w:t>’</w:t>
      </w:r>
      <w:r w:rsidR="006A0E1C" w:rsidRPr="00563FA9">
        <w:t>appui d</w:t>
      </w:r>
      <w:r w:rsidRPr="00563FA9">
        <w:t>es Parties qui rencontrent ces difficultés</w:t>
      </w:r>
      <w:r w:rsidR="007E2DE8" w:rsidRPr="00563FA9">
        <w:t> ;</w:t>
      </w:r>
      <w:r w:rsidRPr="00563FA9">
        <w:t xml:space="preserve"> </w:t>
      </w:r>
    </w:p>
    <w:p w14:paraId="6A66822F" w14:textId="7BFA33D2" w:rsidR="00DE24D9" w:rsidRPr="00563FA9" w:rsidRDefault="00DE24D9" w:rsidP="003821D0">
      <w:pPr>
        <w:pStyle w:val="NormalNonumber"/>
        <w:keepNext/>
        <w:keepLines/>
        <w:numPr>
          <w:ilvl w:val="1"/>
          <w:numId w:val="18"/>
        </w:numPr>
        <w:tabs>
          <w:tab w:val="clear" w:pos="1247"/>
          <w:tab w:val="clear" w:pos="1871"/>
          <w:tab w:val="clear" w:pos="2495"/>
          <w:tab w:val="clear" w:pos="3119"/>
          <w:tab w:val="clear" w:pos="3742"/>
          <w:tab w:val="clear" w:pos="4366"/>
        </w:tabs>
        <w:ind w:left="1247" w:firstLine="624"/>
      </w:pPr>
      <w:r w:rsidRPr="00563FA9">
        <w:t>De continuer à évaluer, sur la base de l</w:t>
      </w:r>
      <w:r w:rsidR="001542BB" w:rsidRPr="00563FA9">
        <w:t>’</w:t>
      </w:r>
      <w:r w:rsidRPr="00563FA9">
        <w:t>expérience acquise par les Parties lors de l</w:t>
      </w:r>
      <w:r w:rsidR="001542BB" w:rsidRPr="00563FA9">
        <w:t>’</w:t>
      </w:r>
      <w:r w:rsidRPr="00563FA9">
        <w:t xml:space="preserve">établissement de leur deuxième rapport national complet, les problèmes que peut générer le </w:t>
      </w:r>
      <w:r w:rsidR="00BF4AFA" w:rsidRPr="00563FA9">
        <w:t>formulaire d</w:t>
      </w:r>
      <w:r w:rsidR="001542BB" w:rsidRPr="00563FA9">
        <w:t>’</w:t>
      </w:r>
      <w:r w:rsidR="00BF4AFA" w:rsidRPr="00563FA9">
        <w:t>établissement des rapports nationaux</w:t>
      </w:r>
      <w:r w:rsidRPr="00563FA9">
        <w:t>, et d</w:t>
      </w:r>
      <w:r w:rsidR="001542BB" w:rsidRPr="00563FA9">
        <w:t>’</w:t>
      </w:r>
      <w:r w:rsidRPr="00563FA9">
        <w:t>élaborer des propositions pour en améliorer la facilité d</w:t>
      </w:r>
      <w:r w:rsidR="001542BB" w:rsidRPr="00563FA9">
        <w:t>’</w:t>
      </w:r>
      <w:r w:rsidRPr="00563FA9">
        <w:t>utilisation et la clarté, qu</w:t>
      </w:r>
      <w:r w:rsidR="001542BB" w:rsidRPr="00563FA9">
        <w:t>’</w:t>
      </w:r>
      <w:r w:rsidRPr="00563FA9">
        <w:t>elle examinera à ses prochaines réunions</w:t>
      </w:r>
      <w:r w:rsidR="007E2DE8" w:rsidRPr="00563FA9">
        <w:t> ;</w:t>
      </w:r>
    </w:p>
    <w:p w14:paraId="799D3098" w14:textId="104B7697" w:rsidR="00DE24D9" w:rsidRPr="00563FA9" w:rsidRDefault="00DE24D9" w:rsidP="001145C1">
      <w:pPr>
        <w:pStyle w:val="NormalNonumber"/>
        <w:numPr>
          <w:ilvl w:val="1"/>
          <w:numId w:val="18"/>
        </w:numPr>
        <w:tabs>
          <w:tab w:val="clear" w:pos="1247"/>
          <w:tab w:val="clear" w:pos="1871"/>
          <w:tab w:val="clear" w:pos="2495"/>
          <w:tab w:val="clear" w:pos="3119"/>
          <w:tab w:val="clear" w:pos="3742"/>
          <w:tab w:val="clear" w:pos="4366"/>
        </w:tabs>
        <w:ind w:left="1247" w:firstLine="624"/>
      </w:pPr>
      <w:r w:rsidRPr="00563FA9">
        <w:t>D</w:t>
      </w:r>
      <w:r w:rsidR="001542BB" w:rsidRPr="00563FA9">
        <w:t>’</w:t>
      </w:r>
      <w:r w:rsidRPr="00563FA9">
        <w:t>intégrer les décisions pertinentes adoptées à sa présente réunion et à ses réunions futures dans le document d</w:t>
      </w:r>
      <w:r w:rsidR="001542BB" w:rsidRPr="00563FA9">
        <w:t>’</w:t>
      </w:r>
      <w:r w:rsidRPr="00563FA9">
        <w:t>orientation relatif à l</w:t>
      </w:r>
      <w:r w:rsidR="001542BB" w:rsidRPr="00563FA9">
        <w:t>’</w:t>
      </w:r>
      <w:r w:rsidRPr="00563FA9">
        <w:t xml:space="preserve">utilisation du </w:t>
      </w:r>
      <w:r w:rsidR="00BF4AFA" w:rsidRPr="00563FA9">
        <w:t>formulaire d</w:t>
      </w:r>
      <w:r w:rsidR="001542BB" w:rsidRPr="00563FA9">
        <w:t>’</w:t>
      </w:r>
      <w:r w:rsidR="00BF4AFA" w:rsidRPr="00563FA9">
        <w:t>établissement des rapports nationaux</w:t>
      </w:r>
      <w:r w:rsidRPr="00563FA9">
        <w:t>, afin de veiller à ce que les rapports nationaux restent conformes aux exigences mises à jour</w:t>
      </w:r>
      <w:r w:rsidR="007E2DE8" w:rsidRPr="00563FA9">
        <w:t> ;</w:t>
      </w:r>
    </w:p>
    <w:p w14:paraId="1E5E2A29" w14:textId="26532370" w:rsidR="00DE24D9" w:rsidRPr="00563FA9" w:rsidRDefault="00DE24D9" w:rsidP="001145C1">
      <w:pPr>
        <w:pStyle w:val="NormalNonumber"/>
        <w:numPr>
          <w:ilvl w:val="1"/>
          <w:numId w:val="18"/>
        </w:numPr>
        <w:tabs>
          <w:tab w:val="clear" w:pos="1247"/>
          <w:tab w:val="clear" w:pos="1871"/>
          <w:tab w:val="clear" w:pos="2495"/>
          <w:tab w:val="clear" w:pos="3119"/>
          <w:tab w:val="clear" w:pos="3742"/>
          <w:tab w:val="clear" w:pos="4366"/>
        </w:tabs>
        <w:ind w:left="1247" w:firstLine="624"/>
      </w:pPr>
      <w:r w:rsidRPr="00563FA9">
        <w:t>De lui faire rapport à sa septième</w:t>
      </w:r>
      <w:r w:rsidR="00EE2CA4" w:rsidRPr="00563FA9">
        <w:t> </w:t>
      </w:r>
      <w:r w:rsidRPr="00563FA9">
        <w:t>réunion sur l</w:t>
      </w:r>
      <w:r w:rsidR="001542BB" w:rsidRPr="00563FA9">
        <w:t>’</w:t>
      </w:r>
      <w:r w:rsidRPr="00563FA9">
        <w:t>application de la présente décision.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1582"/>
        <w:gridCol w:w="1583"/>
        <w:gridCol w:w="1583"/>
        <w:gridCol w:w="1583"/>
        <w:gridCol w:w="1583"/>
      </w:tblGrid>
      <w:tr w:rsidR="00DE24D9" w:rsidRPr="00563FA9" w14:paraId="00644E64" w14:textId="77777777">
        <w:tc>
          <w:tcPr>
            <w:tcW w:w="1582" w:type="dxa"/>
          </w:tcPr>
          <w:p w14:paraId="1D8432F3" w14:textId="77777777" w:rsidR="00DE24D9" w:rsidRPr="00563FA9" w:rsidRDefault="00DE24D9" w:rsidP="0010241A">
            <w:pPr>
              <w:pStyle w:val="Normal-pool"/>
              <w:spacing w:before="520"/>
              <w:rPr>
                <w:sz w:val="6"/>
                <w:szCs w:val="6"/>
              </w:rPr>
            </w:pPr>
          </w:p>
        </w:tc>
        <w:tc>
          <w:tcPr>
            <w:tcW w:w="1582" w:type="dxa"/>
          </w:tcPr>
          <w:p w14:paraId="73A355C3" w14:textId="77777777" w:rsidR="00DE24D9" w:rsidRPr="00563FA9" w:rsidRDefault="00DE24D9" w:rsidP="0010241A">
            <w:pPr>
              <w:pStyle w:val="Normal-pool"/>
              <w:spacing w:before="520"/>
              <w:rPr>
                <w:sz w:val="6"/>
                <w:szCs w:val="6"/>
              </w:rPr>
            </w:pPr>
          </w:p>
        </w:tc>
        <w:tc>
          <w:tcPr>
            <w:tcW w:w="1583" w:type="dxa"/>
          </w:tcPr>
          <w:p w14:paraId="5C1E109A" w14:textId="77777777" w:rsidR="00DE24D9" w:rsidRPr="00563FA9" w:rsidRDefault="00DE24D9" w:rsidP="0010241A">
            <w:pPr>
              <w:pStyle w:val="Normal-pool"/>
              <w:spacing w:before="520"/>
              <w:rPr>
                <w:sz w:val="6"/>
                <w:szCs w:val="6"/>
              </w:rPr>
            </w:pPr>
          </w:p>
        </w:tc>
        <w:tc>
          <w:tcPr>
            <w:tcW w:w="1583" w:type="dxa"/>
            <w:tcBorders>
              <w:bottom w:val="single" w:sz="4" w:space="0" w:color="auto"/>
            </w:tcBorders>
          </w:tcPr>
          <w:p w14:paraId="086FBA0B" w14:textId="77777777" w:rsidR="00DE24D9" w:rsidRPr="00563FA9" w:rsidRDefault="00DE24D9" w:rsidP="0010241A">
            <w:pPr>
              <w:pStyle w:val="Normal-pool"/>
              <w:spacing w:before="520"/>
              <w:rPr>
                <w:sz w:val="6"/>
                <w:szCs w:val="6"/>
              </w:rPr>
            </w:pPr>
          </w:p>
        </w:tc>
        <w:tc>
          <w:tcPr>
            <w:tcW w:w="1583" w:type="dxa"/>
          </w:tcPr>
          <w:p w14:paraId="4140E028" w14:textId="77777777" w:rsidR="00DE24D9" w:rsidRPr="00563FA9" w:rsidRDefault="00DE24D9" w:rsidP="0010241A">
            <w:pPr>
              <w:pStyle w:val="Normal-pool"/>
              <w:spacing w:before="520"/>
              <w:rPr>
                <w:sz w:val="6"/>
                <w:szCs w:val="6"/>
              </w:rPr>
            </w:pPr>
          </w:p>
        </w:tc>
        <w:tc>
          <w:tcPr>
            <w:tcW w:w="1583" w:type="dxa"/>
          </w:tcPr>
          <w:p w14:paraId="70E44628" w14:textId="77777777" w:rsidR="00DE24D9" w:rsidRPr="00563FA9" w:rsidRDefault="00DE24D9" w:rsidP="0010241A">
            <w:pPr>
              <w:pStyle w:val="Normal-pool"/>
              <w:spacing w:before="520"/>
              <w:rPr>
                <w:sz w:val="6"/>
                <w:szCs w:val="6"/>
              </w:rPr>
            </w:pPr>
          </w:p>
        </w:tc>
      </w:tr>
    </w:tbl>
    <w:p w14:paraId="138A5E7B" w14:textId="77777777" w:rsidR="00BF26E8" w:rsidRPr="00563FA9" w:rsidRDefault="00BF26E8" w:rsidP="00546D20">
      <w:pPr>
        <w:pStyle w:val="Normal-pool"/>
        <w:rPr>
          <w:rFonts w:eastAsiaTheme="minorEastAsia"/>
          <w:sz w:val="2"/>
          <w:szCs w:val="2"/>
        </w:rPr>
      </w:pPr>
    </w:p>
    <w:p w14:paraId="7393DB4A" w14:textId="77777777" w:rsidR="00BF26E8" w:rsidRPr="00563FA9" w:rsidRDefault="00BF26E8" w:rsidP="00546D20">
      <w:pPr>
        <w:pStyle w:val="Normal-pool"/>
        <w:rPr>
          <w:rFonts w:eastAsiaTheme="minorEastAsia"/>
          <w:sz w:val="2"/>
          <w:szCs w:val="2"/>
        </w:rPr>
      </w:pPr>
    </w:p>
    <w:p w14:paraId="3C8141AF" w14:textId="77777777" w:rsidR="00BF26E8" w:rsidRPr="00563FA9" w:rsidRDefault="00BF26E8" w:rsidP="00546D20">
      <w:pPr>
        <w:pStyle w:val="Normal-pool"/>
        <w:rPr>
          <w:rFonts w:eastAsiaTheme="minorEastAsia"/>
          <w:sz w:val="2"/>
          <w:szCs w:val="2"/>
        </w:rPr>
      </w:pPr>
    </w:p>
    <w:p w14:paraId="23200E7F" w14:textId="69BE16E5" w:rsidR="00DE24D9" w:rsidRPr="00563FA9" w:rsidRDefault="00DE24D9" w:rsidP="00546D20">
      <w:pPr>
        <w:pStyle w:val="Normal-pool"/>
        <w:rPr>
          <w:rFonts w:eastAsiaTheme="minorEastAsia"/>
          <w:sz w:val="2"/>
          <w:szCs w:val="2"/>
        </w:rPr>
      </w:pPr>
    </w:p>
    <w:sectPr w:rsidR="00DE24D9" w:rsidRPr="00563FA9" w:rsidSect="00BF26E8">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C309" w14:textId="77777777" w:rsidR="0087024C" w:rsidRPr="00BF26E8" w:rsidRDefault="0087024C">
      <w:r w:rsidRPr="00BF26E8">
        <w:separator/>
      </w:r>
    </w:p>
  </w:endnote>
  <w:endnote w:type="continuationSeparator" w:id="0">
    <w:p w14:paraId="40810C62" w14:textId="77777777" w:rsidR="0087024C" w:rsidRPr="00BF26E8" w:rsidRDefault="0087024C">
      <w:r w:rsidRPr="00BF26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232" w14:textId="0B907B11" w:rsidR="007A36F8" w:rsidRPr="009025D0" w:rsidRDefault="00BF26E8" w:rsidP="00BF26E8">
    <w:pPr>
      <w:pStyle w:val="Footer-pool"/>
      <w:rPr>
        <w:b w:val="0"/>
        <w:bCs/>
      </w:rPr>
    </w:pPr>
    <w:r w:rsidRPr="009025D0">
      <w:rPr>
        <w:rStyle w:val="PageNumber"/>
        <w:b/>
        <w:bCs/>
      </w:rPr>
      <w:fldChar w:fldCharType="begin"/>
    </w:r>
    <w:r w:rsidRPr="009025D0">
      <w:rPr>
        <w:rStyle w:val="PageNumber"/>
        <w:b/>
        <w:bCs/>
      </w:rPr>
      <w:instrText xml:space="preserve"> PAGE </w:instrText>
    </w:r>
    <w:r w:rsidRPr="009025D0">
      <w:rPr>
        <w:rStyle w:val="PageNumber"/>
        <w:b/>
        <w:bCs/>
      </w:rPr>
      <w:fldChar w:fldCharType="separate"/>
    </w:r>
    <w:r w:rsidRPr="009025D0">
      <w:rPr>
        <w:rStyle w:val="PageNumber"/>
        <w:b/>
        <w:bCs/>
        <w:noProof/>
      </w:rPr>
      <w:t>3</w:t>
    </w:r>
    <w:r w:rsidRPr="009025D0">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1F34" w14:textId="381B92A2" w:rsidR="007A36F8" w:rsidRPr="009025D0" w:rsidRDefault="00BF26E8" w:rsidP="00BF26E8">
    <w:pPr>
      <w:pStyle w:val="Footer-pool"/>
      <w:jc w:val="right"/>
      <w:rPr>
        <w:b w:val="0"/>
      </w:rPr>
    </w:pPr>
    <w:r w:rsidRPr="009025D0">
      <w:rPr>
        <w:rStyle w:val="PageNumber"/>
        <w:b/>
      </w:rPr>
      <w:fldChar w:fldCharType="begin"/>
    </w:r>
    <w:r w:rsidRPr="009025D0">
      <w:rPr>
        <w:rStyle w:val="PageNumber"/>
        <w:b/>
      </w:rPr>
      <w:instrText xml:space="preserve"> PAGE \* MERGEFORMAT </w:instrText>
    </w:r>
    <w:r w:rsidRPr="009025D0">
      <w:rPr>
        <w:rStyle w:val="PageNumber"/>
        <w:b/>
      </w:rPr>
      <w:fldChar w:fldCharType="separate"/>
    </w:r>
    <w:r w:rsidRPr="009025D0">
      <w:rPr>
        <w:rStyle w:val="PageNumber"/>
        <w:b/>
        <w:noProof/>
      </w:rPr>
      <w:t>4</w:t>
    </w:r>
    <w:r w:rsidRPr="009025D0">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DB6" w14:textId="1B508B75" w:rsidR="00DE24D9" w:rsidRPr="00BF26E8" w:rsidRDefault="00BF26E8" w:rsidP="00BF26E8">
    <w:pPr>
      <w:pStyle w:val="Footer-jobnumber"/>
    </w:pPr>
    <w:bookmarkStart w:id="11" w:name="FooterJobDate"/>
    <w:r w:rsidRPr="00BF26E8">
      <w:t>K</w:t>
    </w:r>
    <w:r w:rsidR="003910F9">
      <w:t>2511943</w:t>
    </w:r>
    <w:r w:rsidRPr="00BF26E8">
      <w:t>[F]</w:t>
    </w:r>
    <w:r w:rsidRPr="00BF26E8">
      <w:tab/>
    </w:r>
    <w:r w:rsidR="008A742D">
      <w:t>0209</w:t>
    </w:r>
    <w:r w:rsidRPr="00BF26E8">
      <w:t>25</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5F9F" w14:textId="77777777" w:rsidR="0087024C" w:rsidRPr="00BF26E8" w:rsidRDefault="0087024C" w:rsidP="00BF26E8">
      <w:pPr>
        <w:pStyle w:val="Footnote-Separator"/>
        <w:ind w:left="624"/>
        <w:rPr>
          <w:szCs w:val="18"/>
        </w:rPr>
      </w:pPr>
      <w:r w:rsidRPr="00BF26E8">
        <w:separator/>
      </w:r>
    </w:p>
  </w:footnote>
  <w:footnote w:type="continuationSeparator" w:id="0">
    <w:p w14:paraId="0E483F0B" w14:textId="77777777" w:rsidR="0087024C" w:rsidRPr="00BF26E8" w:rsidRDefault="0087024C" w:rsidP="00BF26E8">
      <w:pPr>
        <w:pStyle w:val="Footnote-Separator"/>
      </w:pPr>
      <w:r w:rsidRPr="00BF26E8">
        <w:continuationSeparator/>
      </w:r>
    </w:p>
  </w:footnote>
  <w:footnote w:type="continuationNotice" w:id="1">
    <w:p w14:paraId="217F6056" w14:textId="77777777" w:rsidR="0087024C" w:rsidRPr="00BF26E8" w:rsidRDefault="0087024C" w:rsidP="00BF26E8">
      <w:pPr>
        <w:pStyle w:val="ASpacer"/>
      </w:pPr>
    </w:p>
  </w:footnote>
  <w:footnote w:id="2">
    <w:p w14:paraId="122631B0" w14:textId="7DA01FE7" w:rsidR="00BF26E8" w:rsidRPr="00BF26E8" w:rsidRDefault="00BF26E8" w:rsidP="00BF26E8">
      <w:pPr>
        <w:pStyle w:val="Footnote-Text"/>
      </w:pPr>
      <w:r w:rsidRPr="00BF26E8">
        <w:rPr>
          <w:rStyle w:val="FootnoteReference"/>
          <w:rFonts w:eastAsia="SimSun"/>
          <w:vertAlign w:val="baseline"/>
        </w:rPr>
        <w:t>*</w:t>
      </w:r>
      <w:r w:rsidRPr="00BF26E8">
        <w:t xml:space="preserve"> UNEP/MC/COP.6/1</w:t>
      </w:r>
      <w:r w:rsidR="008A742D">
        <w:t>/Rev.1</w:t>
      </w:r>
      <w:r w:rsidRPr="00BF26E8">
        <w:t>.</w:t>
      </w:r>
    </w:p>
  </w:footnote>
  <w:footnote w:id="3">
    <w:p w14:paraId="2E8295BB" w14:textId="4D8ED8CB"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Voir à l</w:t>
      </w:r>
      <w:r w:rsidR="007E2DE8" w:rsidRPr="00BF26E8">
        <w:t>’</w:t>
      </w:r>
      <w:r w:rsidR="004C7CF9" w:rsidRPr="00BF26E8">
        <w:t>adresse suivante</w:t>
      </w:r>
      <w:r w:rsidR="007E2DE8" w:rsidRPr="00BF26E8">
        <w:t> :</w:t>
      </w:r>
      <w:r w:rsidR="004C7CF9" w:rsidRPr="00BF26E8">
        <w:t xml:space="preserve"> </w:t>
      </w:r>
      <w:hyperlink r:id="rId1" w:history="1">
        <w:r w:rsidR="008C26E8" w:rsidRPr="00BF26E8">
          <w:rPr>
            <w:rStyle w:val="Hyperlink"/>
          </w:rPr>
          <w:t>https://minamataconvention.org/en/parties/reporting/2023</w:t>
        </w:r>
      </w:hyperlink>
      <w:r w:rsidR="004C7CF9" w:rsidRPr="00BF26E8">
        <w:t xml:space="preserve">. </w:t>
      </w:r>
      <w:hyperlink r:id="rId2" w:history="1"/>
    </w:p>
  </w:footnote>
  <w:footnote w:id="4">
    <w:p w14:paraId="62B70292" w14:textId="4782F62F"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Les Parties ayant soumis leur deuxième rapport national abrégé sont les suivantes</w:t>
      </w:r>
      <w:r w:rsidR="007E2DE8" w:rsidRPr="00BF26E8">
        <w:t> :</w:t>
      </w:r>
      <w:r w:rsidR="00FA4695" w:rsidRPr="00FA4695">
        <w:t xml:space="preserve"> </w:t>
      </w:r>
      <w:r w:rsidR="00FA4695" w:rsidRPr="00352155">
        <w:t>Afghanistan</w:t>
      </w:r>
      <w:r w:rsidR="00FA4695">
        <w:t xml:space="preserve">, </w:t>
      </w:r>
      <w:r w:rsidR="00FA4695" w:rsidRPr="00352155">
        <w:t>Afrique du Sud</w:t>
      </w:r>
      <w:r w:rsidR="00FA4695">
        <w:t xml:space="preserve">, </w:t>
      </w:r>
      <w:r w:rsidR="00FA4695" w:rsidRPr="00352155">
        <w:t>Albanie</w:t>
      </w:r>
      <w:r w:rsidR="00FA4695">
        <w:t xml:space="preserve">, </w:t>
      </w:r>
      <w:r w:rsidR="00FA4695" w:rsidRPr="00352155">
        <w:t>Allemagne</w:t>
      </w:r>
      <w:r w:rsidR="00FA4695">
        <w:t xml:space="preserve">, </w:t>
      </w:r>
      <w:r w:rsidR="00FA4695" w:rsidRPr="00352155">
        <w:t>Antigua-et-Barbuda</w:t>
      </w:r>
      <w:r w:rsidR="00FA4695">
        <w:t xml:space="preserve">, </w:t>
      </w:r>
      <w:r w:rsidR="00FA4695" w:rsidRPr="00352155">
        <w:t>Arabie saoudite</w:t>
      </w:r>
      <w:r w:rsidR="00FA4695">
        <w:t xml:space="preserve">, </w:t>
      </w:r>
      <w:r w:rsidR="00FA4695" w:rsidRPr="00352155">
        <w:t>Argentine</w:t>
      </w:r>
      <w:r w:rsidR="00FA4695">
        <w:t xml:space="preserve">, </w:t>
      </w:r>
      <w:r w:rsidR="00FA4695" w:rsidRPr="00352155">
        <w:t>Arménie</w:t>
      </w:r>
      <w:r w:rsidR="00FA4695">
        <w:t xml:space="preserve">, </w:t>
      </w:r>
      <w:r w:rsidR="00FA4695" w:rsidRPr="00352155">
        <w:t>Australie</w:t>
      </w:r>
      <w:r w:rsidR="00FA4695">
        <w:t xml:space="preserve">, </w:t>
      </w:r>
      <w:r w:rsidR="00FA4695" w:rsidRPr="00352155">
        <w:t>Autriche</w:t>
      </w:r>
      <w:r w:rsidR="00FA4695">
        <w:t xml:space="preserve">, </w:t>
      </w:r>
      <w:r w:rsidR="00FA4695" w:rsidRPr="00352155">
        <w:t>Bahreïn</w:t>
      </w:r>
      <w:r w:rsidR="00FA4695">
        <w:t xml:space="preserve">, </w:t>
      </w:r>
      <w:r w:rsidR="00FA4695" w:rsidRPr="00352155">
        <w:t>Belgique</w:t>
      </w:r>
      <w:r w:rsidR="00FA4695">
        <w:t xml:space="preserve">, </w:t>
      </w:r>
      <w:r w:rsidR="00FA4695" w:rsidRPr="00352155">
        <w:t>Bénin</w:t>
      </w:r>
      <w:r w:rsidR="00FA4695">
        <w:t xml:space="preserve">, </w:t>
      </w:r>
      <w:r w:rsidR="00FA4695" w:rsidRPr="00352155">
        <w:t>Bolivie (État plurinational de)</w:t>
      </w:r>
      <w:r w:rsidR="00FA4695">
        <w:t xml:space="preserve">, </w:t>
      </w:r>
      <w:r w:rsidR="00FA4695" w:rsidRPr="00352155">
        <w:t>Botswana</w:t>
      </w:r>
      <w:r w:rsidR="00FA4695">
        <w:t xml:space="preserve">, </w:t>
      </w:r>
      <w:r w:rsidR="00FA4695" w:rsidRPr="00352155">
        <w:t>Brésil</w:t>
      </w:r>
      <w:r w:rsidR="00FA4695">
        <w:t xml:space="preserve">, </w:t>
      </w:r>
      <w:r w:rsidR="00FA4695" w:rsidRPr="00352155">
        <w:t>Bulgarie</w:t>
      </w:r>
      <w:r w:rsidR="00FA4695">
        <w:t xml:space="preserve">, </w:t>
      </w:r>
      <w:r w:rsidR="00FA4695" w:rsidRPr="00352155">
        <w:t>Burkina Faso</w:t>
      </w:r>
      <w:r w:rsidR="00FA4695">
        <w:t xml:space="preserve">, </w:t>
      </w:r>
      <w:r w:rsidR="00FA4695" w:rsidRPr="00352155">
        <w:t>Burundi</w:t>
      </w:r>
      <w:r w:rsidR="00FA4695">
        <w:t xml:space="preserve">, </w:t>
      </w:r>
      <w:r w:rsidR="00FA4695" w:rsidRPr="00352155">
        <w:t>Cambodge</w:t>
      </w:r>
      <w:r w:rsidR="00FA4695">
        <w:t xml:space="preserve">, </w:t>
      </w:r>
      <w:r w:rsidR="00FA4695" w:rsidRPr="00352155">
        <w:t>Cameroun</w:t>
      </w:r>
      <w:r w:rsidR="00FA4695">
        <w:t xml:space="preserve">, </w:t>
      </w:r>
      <w:r w:rsidR="00FA4695" w:rsidRPr="00352155">
        <w:t>Canada</w:t>
      </w:r>
      <w:r w:rsidR="00FA4695">
        <w:t xml:space="preserve">, </w:t>
      </w:r>
      <w:r w:rsidR="00FA4695" w:rsidRPr="00352155">
        <w:t>Chili</w:t>
      </w:r>
      <w:r w:rsidR="004C7CF9" w:rsidRPr="00BF26E8">
        <w:t>, Chine (y</w:t>
      </w:r>
      <w:r w:rsidR="007F2043">
        <w:t> </w:t>
      </w:r>
      <w:r w:rsidR="004C7CF9" w:rsidRPr="00BF26E8">
        <w:t xml:space="preserve">compris la RAS de Hong Kong et la RAS de Macao), </w:t>
      </w:r>
      <w:r w:rsidR="00DF09BA" w:rsidRPr="00352155">
        <w:t>Chypre</w:t>
      </w:r>
      <w:r w:rsidR="00DF09BA">
        <w:t xml:space="preserve">, </w:t>
      </w:r>
      <w:r w:rsidR="00DF09BA" w:rsidRPr="00352155">
        <w:t>Colombie</w:t>
      </w:r>
      <w:r w:rsidR="00DF09BA">
        <w:t xml:space="preserve">, </w:t>
      </w:r>
      <w:r w:rsidR="00DF09BA" w:rsidRPr="00352155">
        <w:t>Comores</w:t>
      </w:r>
      <w:r w:rsidR="00DF09BA">
        <w:t xml:space="preserve">, </w:t>
      </w:r>
      <w:r w:rsidR="00DF09BA" w:rsidRPr="00352155">
        <w:t>Congo</w:t>
      </w:r>
      <w:r w:rsidR="00DF09BA">
        <w:t xml:space="preserve">, </w:t>
      </w:r>
      <w:r w:rsidR="00DF09BA" w:rsidRPr="00352155">
        <w:t>Costa Rica</w:t>
      </w:r>
      <w:r w:rsidR="00DF09BA">
        <w:t xml:space="preserve">, </w:t>
      </w:r>
      <w:r w:rsidR="00DF09BA" w:rsidRPr="00352155">
        <w:t>Côte d’Ivoire</w:t>
      </w:r>
      <w:r w:rsidR="00DF09BA">
        <w:t xml:space="preserve">, </w:t>
      </w:r>
      <w:r w:rsidR="00DF09BA" w:rsidRPr="00352155">
        <w:t>Croatie</w:t>
      </w:r>
      <w:r w:rsidR="00DF09BA">
        <w:t xml:space="preserve">, </w:t>
      </w:r>
      <w:r w:rsidR="00DF09BA" w:rsidRPr="00352155">
        <w:t>Danemark</w:t>
      </w:r>
      <w:r w:rsidR="00DF09BA">
        <w:t xml:space="preserve">, </w:t>
      </w:r>
      <w:r w:rsidR="00DF09BA" w:rsidRPr="00352155">
        <w:t>El Salvador</w:t>
      </w:r>
      <w:r w:rsidR="00DF09BA">
        <w:t xml:space="preserve">, </w:t>
      </w:r>
      <w:r w:rsidR="00DF09BA" w:rsidRPr="00352155">
        <w:t>Émirats arabes unis</w:t>
      </w:r>
      <w:r w:rsidR="00DF09BA">
        <w:t xml:space="preserve">, </w:t>
      </w:r>
      <w:r w:rsidR="00DF09BA" w:rsidRPr="00352155">
        <w:t>Équateur</w:t>
      </w:r>
      <w:r w:rsidR="00DF09BA">
        <w:t xml:space="preserve">, </w:t>
      </w:r>
      <w:r w:rsidR="00DF09BA" w:rsidRPr="00352155">
        <w:t>Espagne</w:t>
      </w:r>
      <w:r w:rsidR="00DF09BA">
        <w:t xml:space="preserve">, </w:t>
      </w:r>
      <w:r w:rsidR="00DF09BA" w:rsidRPr="00352155">
        <w:t>Estonie</w:t>
      </w:r>
      <w:r w:rsidR="00DF09BA">
        <w:t xml:space="preserve">, </w:t>
      </w:r>
      <w:r w:rsidR="00DF09BA" w:rsidRPr="00352155">
        <w:t>Eswatini</w:t>
      </w:r>
      <w:r w:rsidR="00DF09BA">
        <w:t xml:space="preserve">, </w:t>
      </w:r>
      <w:r w:rsidR="00DF09BA" w:rsidRPr="00352155">
        <w:t>État de Palestine</w:t>
      </w:r>
      <w:r w:rsidR="00DF09BA">
        <w:t xml:space="preserve">, </w:t>
      </w:r>
      <w:r w:rsidR="00DF09BA" w:rsidRPr="00352155">
        <w:t>États-Unis d’Amérique</w:t>
      </w:r>
      <w:r w:rsidR="00DF09BA">
        <w:t xml:space="preserve">, </w:t>
      </w:r>
      <w:r w:rsidR="00DF09BA" w:rsidRPr="00352155">
        <w:t>Finlande</w:t>
      </w:r>
      <w:r w:rsidR="00DF09BA">
        <w:t xml:space="preserve">, </w:t>
      </w:r>
      <w:r w:rsidR="00DF09BA" w:rsidRPr="00352155">
        <w:t>France</w:t>
      </w:r>
      <w:r w:rsidR="00DF09BA">
        <w:t xml:space="preserve">, </w:t>
      </w:r>
      <w:r w:rsidR="00DF09BA" w:rsidRPr="00352155">
        <w:t>Gabon</w:t>
      </w:r>
      <w:r w:rsidR="00DF09BA">
        <w:t xml:space="preserve">, </w:t>
      </w:r>
      <w:r w:rsidR="00DF09BA" w:rsidRPr="00352155">
        <w:t>Ghana</w:t>
      </w:r>
      <w:r w:rsidR="00DF09BA">
        <w:t xml:space="preserve">, </w:t>
      </w:r>
      <w:r w:rsidR="00DF09BA" w:rsidRPr="00352155">
        <w:t>Grèce</w:t>
      </w:r>
      <w:r w:rsidR="00DF09BA">
        <w:t xml:space="preserve">, </w:t>
      </w:r>
      <w:r w:rsidR="00DF09BA" w:rsidRPr="00352155">
        <w:t>Guinée</w:t>
      </w:r>
      <w:r w:rsidR="00DF09BA">
        <w:t xml:space="preserve">, </w:t>
      </w:r>
      <w:r w:rsidR="00DF09BA" w:rsidRPr="00352155">
        <w:t>Guinée équatoriale</w:t>
      </w:r>
      <w:r w:rsidR="00DF09BA">
        <w:t xml:space="preserve">, </w:t>
      </w:r>
      <w:r w:rsidR="00DF09BA" w:rsidRPr="00352155">
        <w:t>Guinée-Bissau</w:t>
      </w:r>
      <w:r w:rsidR="00DF09BA">
        <w:t xml:space="preserve">, </w:t>
      </w:r>
      <w:r w:rsidR="00DF09BA" w:rsidRPr="00352155">
        <w:t>Guyana</w:t>
      </w:r>
      <w:r w:rsidR="00DF09BA">
        <w:t xml:space="preserve">, </w:t>
      </w:r>
      <w:r w:rsidR="00DF09BA" w:rsidRPr="00352155">
        <w:t>Honduras</w:t>
      </w:r>
      <w:r w:rsidR="00DF09BA">
        <w:t xml:space="preserve">, </w:t>
      </w:r>
      <w:r w:rsidR="00DF09BA" w:rsidRPr="00352155">
        <w:t>Hongrie</w:t>
      </w:r>
      <w:r w:rsidR="00DF09BA">
        <w:t xml:space="preserve">, </w:t>
      </w:r>
      <w:r w:rsidR="00DF09BA" w:rsidRPr="00352155">
        <w:t>Îles Marshall</w:t>
      </w:r>
      <w:r w:rsidR="00DF09BA">
        <w:t xml:space="preserve">, </w:t>
      </w:r>
      <w:r w:rsidR="00DF09BA" w:rsidRPr="00352155">
        <w:t>Inde</w:t>
      </w:r>
      <w:r w:rsidR="00DF09BA">
        <w:t xml:space="preserve">, </w:t>
      </w:r>
      <w:r w:rsidR="00DF09BA" w:rsidRPr="00352155">
        <w:t>Indonésie</w:t>
      </w:r>
      <w:r w:rsidR="00DF09BA">
        <w:t xml:space="preserve">, </w:t>
      </w:r>
      <w:r w:rsidR="00DF09BA" w:rsidRPr="00352155">
        <w:t>Iran (République islamique d’)</w:t>
      </w:r>
      <w:r w:rsidR="00DF09BA">
        <w:t xml:space="preserve">, </w:t>
      </w:r>
      <w:r w:rsidR="00DF09BA" w:rsidRPr="00352155">
        <w:t>Iraq</w:t>
      </w:r>
      <w:r w:rsidR="00DF09BA">
        <w:t xml:space="preserve">, </w:t>
      </w:r>
      <w:r w:rsidR="00DF09BA" w:rsidRPr="00352155">
        <w:t>Irlande</w:t>
      </w:r>
      <w:r w:rsidR="00DF09BA">
        <w:t xml:space="preserve">, </w:t>
      </w:r>
      <w:r w:rsidR="00DF09BA" w:rsidRPr="00352155">
        <w:t>Islande</w:t>
      </w:r>
      <w:r w:rsidR="00DF09BA">
        <w:t xml:space="preserve">, </w:t>
      </w:r>
      <w:r w:rsidR="00DF09BA" w:rsidRPr="00352155">
        <w:t>Italie</w:t>
      </w:r>
      <w:r w:rsidR="00DF09BA">
        <w:t xml:space="preserve">, </w:t>
      </w:r>
      <w:r w:rsidR="00DF09BA" w:rsidRPr="00352155">
        <w:t>Jamaïque</w:t>
      </w:r>
      <w:r w:rsidR="00DF09BA">
        <w:t xml:space="preserve">, </w:t>
      </w:r>
      <w:r w:rsidR="00DF09BA" w:rsidRPr="00352155">
        <w:t>Japon</w:t>
      </w:r>
      <w:r w:rsidR="00DF09BA">
        <w:t xml:space="preserve">, </w:t>
      </w:r>
      <w:r w:rsidR="00DF09BA" w:rsidRPr="00352155">
        <w:t>Koweït</w:t>
      </w:r>
      <w:r w:rsidR="00DF09BA">
        <w:t xml:space="preserve">, </w:t>
      </w:r>
      <w:r w:rsidR="00DF09BA" w:rsidRPr="00352155">
        <w:t>Lesotho</w:t>
      </w:r>
      <w:r w:rsidR="00DF09BA">
        <w:t xml:space="preserve">, </w:t>
      </w:r>
      <w:r w:rsidR="00DF09BA" w:rsidRPr="00352155">
        <w:t>Lettonie</w:t>
      </w:r>
      <w:r w:rsidR="00DF09BA">
        <w:t xml:space="preserve">, </w:t>
      </w:r>
      <w:r w:rsidR="00DF09BA" w:rsidRPr="00352155">
        <w:t>Liechtenstein</w:t>
      </w:r>
      <w:r w:rsidR="00DF09BA">
        <w:t xml:space="preserve">, </w:t>
      </w:r>
      <w:r w:rsidR="00DF09BA" w:rsidRPr="00352155">
        <w:t>Lituanie</w:t>
      </w:r>
      <w:r w:rsidR="00DF09BA">
        <w:t xml:space="preserve">, </w:t>
      </w:r>
      <w:r w:rsidR="00DF09BA" w:rsidRPr="00352155">
        <w:t>Luxembourg</w:t>
      </w:r>
      <w:r w:rsidR="00DF09BA">
        <w:t xml:space="preserve">, </w:t>
      </w:r>
      <w:r w:rsidR="00DF09BA" w:rsidRPr="00352155">
        <w:t>Macédoine du Nord</w:t>
      </w:r>
      <w:r w:rsidR="00DF09BA">
        <w:t xml:space="preserve">, </w:t>
      </w:r>
      <w:r w:rsidR="00DF09BA" w:rsidRPr="00352155">
        <w:t>Madagascar</w:t>
      </w:r>
      <w:r w:rsidR="00DF09BA">
        <w:t xml:space="preserve">, </w:t>
      </w:r>
      <w:r w:rsidR="00DF09BA" w:rsidRPr="00352155">
        <w:t>Mali</w:t>
      </w:r>
      <w:r w:rsidR="00DF09BA">
        <w:t xml:space="preserve">, </w:t>
      </w:r>
      <w:r w:rsidR="00DF09BA" w:rsidRPr="00352155">
        <w:t>Malte</w:t>
      </w:r>
      <w:r w:rsidR="00DF09BA">
        <w:t xml:space="preserve">, </w:t>
      </w:r>
      <w:r w:rsidR="00DF09BA" w:rsidRPr="00352155">
        <w:t>Maurice</w:t>
      </w:r>
      <w:r w:rsidR="00DF09BA">
        <w:t xml:space="preserve">, </w:t>
      </w:r>
      <w:r w:rsidR="00DF09BA" w:rsidRPr="00352155">
        <w:t>Mexique</w:t>
      </w:r>
      <w:r w:rsidR="00DF09BA">
        <w:t xml:space="preserve">, </w:t>
      </w:r>
      <w:r w:rsidR="00DF09BA" w:rsidRPr="00352155">
        <w:t>Monaco</w:t>
      </w:r>
      <w:r w:rsidR="00DF09BA">
        <w:t xml:space="preserve">, </w:t>
      </w:r>
      <w:r w:rsidR="00DF09BA" w:rsidRPr="00352155">
        <w:t>Mongolie</w:t>
      </w:r>
      <w:r w:rsidR="00DF09BA">
        <w:t xml:space="preserve">, </w:t>
      </w:r>
      <w:r w:rsidR="00DF09BA" w:rsidRPr="00352155">
        <w:t>Monténégro</w:t>
      </w:r>
      <w:r w:rsidR="00DF09BA">
        <w:t xml:space="preserve">, </w:t>
      </w:r>
      <w:r w:rsidR="00DF09BA" w:rsidRPr="00352155">
        <w:t>Namibie</w:t>
      </w:r>
      <w:r w:rsidR="00DF09BA">
        <w:t xml:space="preserve">, </w:t>
      </w:r>
      <w:r w:rsidR="00DF09BA" w:rsidRPr="00352155">
        <w:t>Nicaragua</w:t>
      </w:r>
      <w:r w:rsidR="00DF09BA">
        <w:t xml:space="preserve">, </w:t>
      </w:r>
      <w:r w:rsidR="00DF09BA" w:rsidRPr="00352155">
        <w:t>Niger</w:t>
      </w:r>
      <w:r w:rsidR="00DF09BA">
        <w:t xml:space="preserve">, </w:t>
      </w:r>
      <w:r w:rsidR="00DF09BA" w:rsidRPr="00352155">
        <w:t>Nigéria</w:t>
      </w:r>
      <w:r w:rsidR="00DF09BA">
        <w:t xml:space="preserve">, </w:t>
      </w:r>
      <w:r w:rsidR="00DF09BA" w:rsidRPr="00352155">
        <w:t>Norvège</w:t>
      </w:r>
      <w:r w:rsidR="00DF09BA">
        <w:t xml:space="preserve">, </w:t>
      </w:r>
      <w:r w:rsidR="00DF09BA" w:rsidRPr="00352155">
        <w:t>Oman</w:t>
      </w:r>
      <w:r w:rsidR="00DF09BA">
        <w:t xml:space="preserve">, </w:t>
      </w:r>
      <w:r w:rsidR="00DF09BA" w:rsidRPr="00352155">
        <w:t>Ouganda</w:t>
      </w:r>
      <w:r w:rsidR="00DF09BA">
        <w:t xml:space="preserve">, </w:t>
      </w:r>
      <w:r w:rsidR="00DF09BA" w:rsidRPr="00352155">
        <w:t>Palaos</w:t>
      </w:r>
      <w:r w:rsidR="00DF09BA">
        <w:t xml:space="preserve">, </w:t>
      </w:r>
      <w:r w:rsidR="00DF09BA" w:rsidRPr="00352155">
        <w:t>Panama</w:t>
      </w:r>
      <w:r w:rsidR="00DF09BA">
        <w:t xml:space="preserve">, </w:t>
      </w:r>
      <w:r w:rsidR="00DF09BA" w:rsidRPr="00352155">
        <w:t>Pays-Bas (Royaume des)</w:t>
      </w:r>
      <w:r w:rsidR="00DF09BA">
        <w:t xml:space="preserve">, </w:t>
      </w:r>
      <w:r w:rsidR="00DF09BA" w:rsidRPr="00352155">
        <w:t>Pérou</w:t>
      </w:r>
      <w:r w:rsidR="00DF09BA">
        <w:t xml:space="preserve">, </w:t>
      </w:r>
      <w:r w:rsidR="00DF09BA" w:rsidRPr="00352155">
        <w:t>Philippines</w:t>
      </w:r>
      <w:r w:rsidR="00DF09BA">
        <w:t xml:space="preserve">, </w:t>
      </w:r>
      <w:r w:rsidR="00DF09BA" w:rsidRPr="00352155">
        <w:t>Pologne</w:t>
      </w:r>
      <w:r w:rsidR="00DF09BA">
        <w:t xml:space="preserve">, </w:t>
      </w:r>
      <w:r w:rsidR="00DF09BA" w:rsidRPr="00352155">
        <w:t>Portugal</w:t>
      </w:r>
      <w:r w:rsidR="00DF09BA">
        <w:t xml:space="preserve">, </w:t>
      </w:r>
      <w:r w:rsidR="00DF09BA" w:rsidRPr="00352155">
        <w:t>Qatar</w:t>
      </w:r>
      <w:r w:rsidR="00DF09BA">
        <w:t xml:space="preserve">, </w:t>
      </w:r>
      <w:r w:rsidR="00DF09BA" w:rsidRPr="00352155">
        <w:t>République de Corée</w:t>
      </w:r>
      <w:r w:rsidR="00DF09BA">
        <w:t xml:space="preserve">, </w:t>
      </w:r>
      <w:r w:rsidR="00DF09BA" w:rsidRPr="00352155">
        <w:t>République de Moldova</w:t>
      </w:r>
      <w:r w:rsidR="00DF09BA">
        <w:t xml:space="preserve">, </w:t>
      </w:r>
      <w:r w:rsidR="00DF09BA" w:rsidRPr="00352155">
        <w:t>République dominicaine</w:t>
      </w:r>
      <w:r w:rsidR="00DF09BA">
        <w:t xml:space="preserve">, </w:t>
      </w:r>
      <w:r w:rsidR="00DF09BA" w:rsidRPr="00352155">
        <w:t>République-Unie de Tanzanie</w:t>
      </w:r>
      <w:r w:rsidR="00DF09BA">
        <w:t xml:space="preserve">, </w:t>
      </w:r>
      <w:r w:rsidR="00DF09BA" w:rsidRPr="00352155">
        <w:t>Roumanie</w:t>
      </w:r>
      <w:r w:rsidR="00DF09BA">
        <w:t xml:space="preserve">, </w:t>
      </w:r>
      <w:r w:rsidR="00DF09BA" w:rsidRPr="00352155">
        <w:t>Royaume-Uni de Grande-Bretagne et d’Irlande du Nord</w:t>
      </w:r>
      <w:r w:rsidR="00DF09BA">
        <w:t xml:space="preserve">, </w:t>
      </w:r>
      <w:r w:rsidR="00DF09BA" w:rsidRPr="00352155">
        <w:t>Rwanda</w:t>
      </w:r>
      <w:r w:rsidR="00DF09BA">
        <w:t xml:space="preserve">, </w:t>
      </w:r>
      <w:r w:rsidR="00DF09BA" w:rsidRPr="00352155">
        <w:t>Sainte-Lucie</w:t>
      </w:r>
      <w:r w:rsidR="00DF09BA">
        <w:t xml:space="preserve">, </w:t>
      </w:r>
      <w:r w:rsidR="00DF09BA" w:rsidRPr="00352155">
        <w:t>Saint-Kitts-et-Nevis</w:t>
      </w:r>
      <w:r w:rsidR="00DF09BA">
        <w:t xml:space="preserve">, </w:t>
      </w:r>
      <w:r w:rsidR="00DF09BA" w:rsidRPr="00352155">
        <w:t>Sénégal</w:t>
      </w:r>
      <w:r w:rsidR="00DF09BA">
        <w:t xml:space="preserve">, </w:t>
      </w:r>
      <w:r w:rsidR="00DF09BA" w:rsidRPr="00352155">
        <w:t>Seychelles</w:t>
      </w:r>
      <w:r w:rsidR="00DF09BA">
        <w:t xml:space="preserve">, </w:t>
      </w:r>
      <w:r w:rsidR="00DF09BA" w:rsidRPr="00352155">
        <w:t>Sierra Leone</w:t>
      </w:r>
      <w:r w:rsidR="00DF09BA">
        <w:t xml:space="preserve">, </w:t>
      </w:r>
      <w:r w:rsidR="00DF09BA" w:rsidRPr="00352155">
        <w:t>Singapour</w:t>
      </w:r>
      <w:r w:rsidR="00DF09BA">
        <w:t xml:space="preserve">, </w:t>
      </w:r>
      <w:r w:rsidR="00DF09BA" w:rsidRPr="00352155">
        <w:t>Slovaquie</w:t>
      </w:r>
      <w:r w:rsidR="00DF09BA">
        <w:t xml:space="preserve">, </w:t>
      </w:r>
      <w:r w:rsidR="00DF09BA" w:rsidRPr="00352155">
        <w:t>Slovénie</w:t>
      </w:r>
      <w:r w:rsidR="00DF09BA">
        <w:t xml:space="preserve">, </w:t>
      </w:r>
      <w:r w:rsidR="00DF09BA" w:rsidRPr="00352155">
        <w:t>Sri Lanka</w:t>
      </w:r>
      <w:r w:rsidR="00DF09BA">
        <w:t xml:space="preserve">, </w:t>
      </w:r>
      <w:r w:rsidR="00DF09BA" w:rsidRPr="00352155">
        <w:t>Suède</w:t>
      </w:r>
      <w:r w:rsidR="00DF09BA">
        <w:t xml:space="preserve">, </w:t>
      </w:r>
      <w:r w:rsidR="00DF09BA" w:rsidRPr="00352155">
        <w:t>Suisse</w:t>
      </w:r>
      <w:r w:rsidR="00DF09BA">
        <w:t xml:space="preserve">, </w:t>
      </w:r>
      <w:r w:rsidR="00DF09BA" w:rsidRPr="00352155">
        <w:t>Tchad</w:t>
      </w:r>
      <w:r w:rsidR="00DF09BA">
        <w:t xml:space="preserve">, </w:t>
      </w:r>
      <w:r w:rsidR="00DF09BA" w:rsidRPr="00352155">
        <w:t>Tchéquie</w:t>
      </w:r>
      <w:r w:rsidR="00DF09BA">
        <w:t xml:space="preserve">, </w:t>
      </w:r>
      <w:r w:rsidR="00DF09BA" w:rsidRPr="00352155">
        <w:t>Thaïlande</w:t>
      </w:r>
      <w:r w:rsidR="00DF09BA">
        <w:t xml:space="preserve">, </w:t>
      </w:r>
      <w:r w:rsidR="00DF09BA" w:rsidRPr="00352155">
        <w:t>Togo</w:t>
      </w:r>
      <w:r w:rsidR="00DF09BA">
        <w:t xml:space="preserve">, </w:t>
      </w:r>
      <w:r w:rsidR="00DF09BA" w:rsidRPr="00352155">
        <w:t>Tuvalu</w:t>
      </w:r>
      <w:r w:rsidR="00DF09BA">
        <w:t xml:space="preserve">, </w:t>
      </w:r>
      <w:r w:rsidR="00DF09BA" w:rsidRPr="00352155">
        <w:t>Union européenne</w:t>
      </w:r>
      <w:r w:rsidR="00DF09BA">
        <w:t xml:space="preserve">, </w:t>
      </w:r>
      <w:r w:rsidR="00DF09BA" w:rsidRPr="00352155">
        <w:t>Uruguay</w:t>
      </w:r>
      <w:r w:rsidR="00DF09BA">
        <w:t xml:space="preserve">, </w:t>
      </w:r>
      <w:r w:rsidR="00DF09BA" w:rsidRPr="00352155">
        <w:t>Viet Nam</w:t>
      </w:r>
      <w:r w:rsidR="00DF09BA">
        <w:t>,</w:t>
      </w:r>
      <w:r w:rsidR="00771B49">
        <w:t xml:space="preserve"> </w:t>
      </w:r>
      <w:r w:rsidR="00F9461E">
        <w:t>et</w:t>
      </w:r>
      <w:r w:rsidR="00DF09BA">
        <w:t xml:space="preserve"> </w:t>
      </w:r>
      <w:r w:rsidR="00DF09BA" w:rsidRPr="00352155">
        <w:t>Zambie</w:t>
      </w:r>
      <w:r w:rsidR="004C7CF9" w:rsidRPr="00BF26E8">
        <w:t>.</w:t>
      </w:r>
      <w:bookmarkStart w:id="9" w:name="_Hlk204625589"/>
      <w:bookmarkEnd w:id="9"/>
    </w:p>
  </w:footnote>
  <w:footnote w:id="5">
    <w:p w14:paraId="21EA7A80" w14:textId="0BD8D3E4"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Le libellé complet de la question</w:t>
      </w:r>
      <w:r w:rsidR="006F1C30">
        <w:t> </w:t>
      </w:r>
      <w:r w:rsidR="004C7CF9" w:rsidRPr="00BF26E8">
        <w:t>3.1 est reproduit dans le document UNEP/MC/COP.6/INF/20.</w:t>
      </w:r>
    </w:p>
  </w:footnote>
  <w:footnote w:id="6">
    <w:p w14:paraId="3B6A43B6" w14:textId="17C7E047"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Le libellé complet de la question</w:t>
      </w:r>
      <w:r w:rsidR="006F1C30">
        <w:t> </w:t>
      </w:r>
      <w:r w:rsidR="004C7CF9" w:rsidRPr="00BF26E8">
        <w:t>3.3 est reproduit dans le document UNEP/MC/COP.6/INF/20.</w:t>
      </w:r>
    </w:p>
  </w:footnote>
  <w:footnote w:id="7">
    <w:p w14:paraId="76B47455" w14:textId="2CC21CB2"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Conformément au paragraphe</w:t>
      </w:r>
      <w:r w:rsidR="00186E5D">
        <w:t> </w:t>
      </w:r>
      <w:r w:rsidR="004C7CF9" w:rsidRPr="00BF26E8">
        <w:t>5 de la décision</w:t>
      </w:r>
      <w:r w:rsidR="00E01568">
        <w:t> </w:t>
      </w:r>
      <w:r w:rsidR="004C7CF9" w:rsidRPr="00BF26E8">
        <w:t>MC-5/2, le secrétariat a établi une version mise à jour des actuelles orientations relatives aux stocks adoptées dans la décision</w:t>
      </w:r>
      <w:r w:rsidR="00E01568">
        <w:t> </w:t>
      </w:r>
      <w:r w:rsidR="004C7CF9" w:rsidRPr="00BF26E8">
        <w:t>MC-1/2 afin d</w:t>
      </w:r>
      <w:r w:rsidR="007E2DE8" w:rsidRPr="00BF26E8">
        <w:t>’</w:t>
      </w:r>
      <w:r w:rsidR="004C7CF9" w:rsidRPr="00BF26E8">
        <w:t>y inclure les types de mesures qui pourraient être prises pour s</w:t>
      </w:r>
      <w:r w:rsidR="007E2DE8" w:rsidRPr="00BF26E8">
        <w:t>’</w:t>
      </w:r>
      <w:r w:rsidR="004C7CF9" w:rsidRPr="00BF26E8">
        <w:t>acquitter de l</w:t>
      </w:r>
      <w:r w:rsidR="007E2DE8" w:rsidRPr="00BF26E8">
        <w:t>’</w:t>
      </w:r>
      <w:r w:rsidR="004C7CF9" w:rsidRPr="00BF26E8">
        <w:t>obligation de s</w:t>
      </w:r>
      <w:r w:rsidR="007E2DE8" w:rsidRPr="00BF26E8">
        <w:t>’</w:t>
      </w:r>
      <w:r w:rsidR="004C7CF9" w:rsidRPr="00BF26E8">
        <w:t>efforcer de manière continue de recenser les stocks et sources, conformément à l</w:t>
      </w:r>
      <w:r w:rsidR="007E2DE8" w:rsidRPr="00BF26E8">
        <w:t>’</w:t>
      </w:r>
      <w:r w:rsidR="004C7CF9" w:rsidRPr="00BF26E8">
        <w:t>alinéa a) du paragraphe</w:t>
      </w:r>
      <w:r w:rsidR="008A26C5">
        <w:t> </w:t>
      </w:r>
      <w:r w:rsidR="004C7CF9" w:rsidRPr="00BF26E8">
        <w:t>5 de l</w:t>
      </w:r>
      <w:r w:rsidR="007E2DE8" w:rsidRPr="00BF26E8">
        <w:t>’</w:t>
      </w:r>
      <w:r w:rsidR="004C7CF9" w:rsidRPr="00BF26E8">
        <w:t>article</w:t>
      </w:r>
      <w:r w:rsidR="008A26C5">
        <w:t> </w:t>
      </w:r>
      <w:r w:rsidR="004C7CF9" w:rsidRPr="00BF26E8">
        <w:t>3 de la Convention. Les orientations mises à jour sont reproduites dans l</w:t>
      </w:r>
      <w:r w:rsidR="007E2DE8" w:rsidRPr="00BF26E8">
        <w:t>’</w:t>
      </w:r>
      <w:r w:rsidR="004C7CF9" w:rsidRPr="00BF26E8">
        <w:t>annexe I du document UNEP/MC/COP.6/5.</w:t>
      </w:r>
      <w:bookmarkStart w:id="10" w:name="_Hlk204682500"/>
      <w:bookmarkEnd w:id="10"/>
    </w:p>
  </w:footnote>
  <w:footnote w:id="8">
    <w:p w14:paraId="03DFCB35" w14:textId="372D4EEA"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Voir le document UNEP/MC/COP.6/9, qui contient une proposition en vue de fournir des orientations au Fonds pour l</w:t>
      </w:r>
      <w:r w:rsidR="007E2DE8" w:rsidRPr="00BF26E8">
        <w:t>’</w:t>
      </w:r>
      <w:r w:rsidR="004C7CF9" w:rsidRPr="00BF26E8">
        <w:t>environnement mondial pour aider les Parties à recenser les stocks et les sources de mercure.</w:t>
      </w:r>
    </w:p>
  </w:footnote>
  <w:footnote w:id="9">
    <w:p w14:paraId="3B835A24" w14:textId="005276D4"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Les ressources techniques concernaient un large éventail de sujets intéressant les Parties qui communiquent des informations au titre de la partie C du </w:t>
      </w:r>
      <w:r w:rsidR="00BF4AFA" w:rsidRPr="00BF26E8">
        <w:t>formulaire d'établissement des rapports nationaux</w:t>
      </w:r>
      <w:r w:rsidR="004C7CF9" w:rsidRPr="00BF26E8">
        <w:t>, notamment les capacités en matière de collecte de données et la recherche.</w:t>
      </w:r>
    </w:p>
  </w:footnote>
  <w:footnote w:id="10">
    <w:p w14:paraId="3925DF29" w14:textId="2201DCA2"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Le libellé complet de la question 3.5 est reproduit dans le document UNEP/MC/COP.6/INF/20.</w:t>
      </w:r>
    </w:p>
  </w:footnote>
  <w:footnote w:id="11">
    <w:p w14:paraId="7CEEF7B1" w14:textId="23F5DA0F" w:rsidR="00FA1539" w:rsidRPr="00BF26E8" w:rsidRDefault="00BF26E8" w:rsidP="00BF26E8">
      <w:pPr>
        <w:pStyle w:val="Footnote-Text"/>
        <w:rPr>
          <w:szCs w:val="18"/>
        </w:rPr>
      </w:pPr>
      <w:r w:rsidRPr="00BF26E8">
        <w:rPr>
          <w:rStyle w:val="FootnoteReference"/>
          <w:rFonts w:eastAsia="SimSun"/>
          <w:sz w:val="20"/>
        </w:rPr>
        <w:footnoteRef/>
      </w:r>
      <w:r w:rsidR="00FA1539" w:rsidRPr="00BF26E8">
        <w:t xml:space="preserve"> Les conclusions à cet égard sont consultables dans le document UNEP/MC/COP.6/5. On trouvera dans le document UNEP/MC/COP.6/INF/20 des informations supplémentaires sur les réponses fournies dans les deuxièmes rapports nationaux abrégés et sur l</w:t>
      </w:r>
      <w:r w:rsidR="007E2DE8" w:rsidRPr="00BF26E8">
        <w:t>’</w:t>
      </w:r>
      <w:r w:rsidR="00FA1539" w:rsidRPr="00BF26E8">
        <w:t>évolution des tendances observée par le secrétariat au cours des trois</w:t>
      </w:r>
      <w:r w:rsidR="000447CD">
        <w:t> </w:t>
      </w:r>
      <w:r w:rsidR="00FA1539" w:rsidRPr="00BF26E8">
        <w:t>cycles d</w:t>
      </w:r>
      <w:r w:rsidR="007E2DE8" w:rsidRPr="00BF26E8">
        <w:t>’</w:t>
      </w:r>
      <w:r w:rsidR="00FA1539" w:rsidRPr="00BF26E8">
        <w:t>établissement des rapports.</w:t>
      </w:r>
    </w:p>
  </w:footnote>
  <w:footnote w:id="12">
    <w:p w14:paraId="76A12C4C" w14:textId="4802965B"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Le libellé complet de la question</w:t>
      </w:r>
      <w:r w:rsidR="00D50EA8">
        <w:t> </w:t>
      </w:r>
      <w:r w:rsidR="004C7CF9" w:rsidRPr="00BF26E8">
        <w:t>11.2 est reproduit dans le document UNEP/MC/COP.6/INF/20.</w:t>
      </w:r>
    </w:p>
  </w:footnote>
  <w:footnote w:id="13">
    <w:p w14:paraId="202D4823" w14:textId="204CDCF9" w:rsidR="001C4069" w:rsidRPr="00BF26E8" w:rsidRDefault="00BF26E8" w:rsidP="00BF26E8">
      <w:pPr>
        <w:pStyle w:val="Footnote-Text"/>
        <w:rPr>
          <w:szCs w:val="18"/>
        </w:rPr>
      </w:pPr>
      <w:r w:rsidRPr="00BF26E8">
        <w:rPr>
          <w:rStyle w:val="FootnoteReference"/>
          <w:rFonts w:eastAsia="SimSun"/>
          <w:sz w:val="20"/>
        </w:rPr>
        <w:footnoteRef/>
      </w:r>
      <w:r w:rsidR="001C4069" w:rsidRPr="00BF26E8">
        <w:t xml:space="preserve"> Pour de plus amples informations, voir les documents UNEP/MC/COP.6/8 et UNEP/MC/COP.6/INF/12.</w:t>
      </w:r>
    </w:p>
  </w:footnote>
  <w:footnote w:id="14">
    <w:p w14:paraId="0435292E" w14:textId="385F93E1" w:rsidR="002609D8" w:rsidRPr="00BF26E8" w:rsidRDefault="00BF26E8" w:rsidP="00BF26E8">
      <w:pPr>
        <w:pStyle w:val="Footnote-Text"/>
        <w:rPr>
          <w:szCs w:val="18"/>
        </w:rPr>
      </w:pPr>
      <w:r w:rsidRPr="00BF26E8">
        <w:rPr>
          <w:rStyle w:val="FootnoteReference"/>
          <w:rFonts w:eastAsia="SimSun"/>
          <w:sz w:val="20"/>
        </w:rPr>
        <w:footnoteRef/>
      </w:r>
      <w:r w:rsidR="002609D8" w:rsidRPr="00BF26E8">
        <w:t xml:space="preserve"> UNEP/MC/COP.6/14.</w:t>
      </w:r>
    </w:p>
  </w:footnote>
  <w:footnote w:id="15">
    <w:p w14:paraId="0679819C" w14:textId="40C668E7" w:rsidR="00DE24D9" w:rsidRPr="00BF26E8" w:rsidRDefault="00BF26E8" w:rsidP="00BF26E8">
      <w:pPr>
        <w:pStyle w:val="Footnote-Text"/>
        <w:rPr>
          <w:szCs w:val="18"/>
        </w:rPr>
      </w:pPr>
      <w:r w:rsidRPr="00BF26E8">
        <w:rPr>
          <w:rStyle w:val="FootnoteReference"/>
          <w:rFonts w:eastAsia="SimSun"/>
          <w:sz w:val="20"/>
        </w:rPr>
        <w:footnoteRef/>
      </w:r>
      <w:r w:rsidR="004C7CF9" w:rsidRPr="00BF26E8">
        <w:t xml:space="preserve"> Dans l</w:t>
      </w:r>
      <w:r w:rsidR="007E2DE8" w:rsidRPr="00BF26E8">
        <w:t>’</w:t>
      </w:r>
      <w:r w:rsidR="004C7CF9" w:rsidRPr="00BF26E8">
        <w:t>attente de la détermination par la Conférence des Parties à sa sixième</w:t>
      </w:r>
      <w:r w:rsidR="005635CE">
        <w:t> </w:t>
      </w:r>
      <w:r w:rsidR="004C7CF9" w:rsidRPr="00BF26E8">
        <w:t>réunion de la date de sa septième</w:t>
      </w:r>
      <w:r w:rsidR="005635CE">
        <w:t> </w:t>
      </w:r>
      <w:r w:rsidR="004C7CF9" w:rsidRPr="00BF26E8">
        <w:t>réunion.</w:t>
      </w:r>
    </w:p>
  </w:footnote>
  <w:footnote w:id="16">
    <w:p w14:paraId="7E6E047A" w14:textId="2DAD01D9" w:rsidR="00B14764" w:rsidRPr="00BF26E8" w:rsidRDefault="00BF26E8" w:rsidP="00BF26E8">
      <w:pPr>
        <w:pStyle w:val="Footnote-Text"/>
        <w:rPr>
          <w:szCs w:val="18"/>
        </w:rPr>
      </w:pPr>
      <w:r w:rsidRPr="00BF26E8">
        <w:rPr>
          <w:rStyle w:val="FootnoteReference"/>
          <w:rFonts w:eastAsia="SimSun"/>
          <w:sz w:val="20"/>
        </w:rPr>
        <w:footnoteRef/>
      </w:r>
      <w:r w:rsidR="00B14764" w:rsidRPr="00BF26E8">
        <w:t xml:space="preserve"> 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ECA4" w14:textId="6313DBBA" w:rsidR="007A36F8" w:rsidRPr="00BF26E8" w:rsidRDefault="00BF26E8" w:rsidP="00BF26E8">
    <w:pPr>
      <w:pStyle w:val="Header-pool"/>
    </w:pPr>
    <w:r w:rsidRPr="00BF26E8">
      <w:rPr>
        <w:noProof/>
      </w:rPr>
      <w:fldChar w:fldCharType="begin"/>
    </w:r>
    <w:r w:rsidRPr="00BF26E8">
      <w:rPr>
        <w:noProof/>
      </w:rPr>
      <w:instrText xml:space="preserve"> StyleRef A_Symbol </w:instrText>
    </w:r>
    <w:r w:rsidRPr="00BF26E8">
      <w:rPr>
        <w:noProof/>
      </w:rPr>
      <w:fldChar w:fldCharType="separate"/>
    </w:r>
    <w:r w:rsidR="008A742D">
      <w:rPr>
        <w:noProof/>
      </w:rPr>
      <w:t>UNEP/MC/COP.6/15</w:t>
    </w:r>
    <w:r w:rsidRPr="00BF26E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92E2" w14:textId="566E550F" w:rsidR="007A36F8" w:rsidRPr="00BF26E8" w:rsidRDefault="00BF26E8" w:rsidP="00BF26E8">
    <w:pPr>
      <w:pStyle w:val="Header-pool"/>
      <w:jc w:val="right"/>
    </w:pPr>
    <w:r w:rsidRPr="00BF26E8">
      <w:rPr>
        <w:noProof/>
      </w:rPr>
      <w:fldChar w:fldCharType="begin"/>
    </w:r>
    <w:r w:rsidRPr="00BF26E8">
      <w:rPr>
        <w:noProof/>
      </w:rPr>
      <w:instrText xml:space="preserve"> StyleRef A_Symbol </w:instrText>
    </w:r>
    <w:r w:rsidRPr="00BF26E8">
      <w:rPr>
        <w:noProof/>
      </w:rPr>
      <w:fldChar w:fldCharType="separate"/>
    </w:r>
    <w:r w:rsidR="008A742D">
      <w:rPr>
        <w:noProof/>
      </w:rPr>
      <w:t>UNEP/MC/COP.6/15</w:t>
    </w:r>
    <w:r w:rsidRPr="00BF26E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E06F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B4C7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9289C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ECE1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BCFA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3AC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DE0D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E37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4A7F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6"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7" w15:restartNumberingAfterBreak="0">
    <w:nsid w:val="1F220383"/>
    <w:multiLevelType w:val="hybridMultilevel"/>
    <w:tmpl w:val="71ECE246"/>
    <w:lvl w:ilvl="0" w:tplc="A8FE9340">
      <w:start w:val="1"/>
      <w:numFmt w:val="upp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B90C3E"/>
    <w:multiLevelType w:val="hybridMultilevel"/>
    <w:tmpl w:val="DE2AB17A"/>
    <w:lvl w:ilvl="0" w:tplc="FFFFFFFF">
      <w:start w:val="1"/>
      <w:numFmt w:val="decimal"/>
      <w:lvlText w:val="%1."/>
      <w:lvlJc w:val="left"/>
      <w:pPr>
        <w:ind w:left="2591" w:hanging="360"/>
      </w:pPr>
    </w:lvl>
    <w:lvl w:ilvl="1" w:tplc="5D981F9C">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21"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22"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3"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4" w15:restartNumberingAfterBreak="0">
    <w:nsid w:val="61AA0DF2"/>
    <w:multiLevelType w:val="hybridMultilevel"/>
    <w:tmpl w:val="165AF7B8"/>
    <w:lvl w:ilvl="0" w:tplc="2774050C">
      <w:start w:val="1"/>
      <w:numFmt w:val="upperRoman"/>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291BF8"/>
    <w:multiLevelType w:val="multilevel"/>
    <w:tmpl w:val="1CA2EF82"/>
    <w:numStyleLink w:val="Normallist"/>
  </w:abstractNum>
  <w:abstractNum w:abstractNumId="26"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21"/>
  </w:num>
  <w:num w:numId="2" w16cid:durableId="1242644713">
    <w:abstractNumId w:val="26"/>
  </w:num>
  <w:num w:numId="3" w16cid:durableId="1933662228">
    <w:abstractNumId w:val="19"/>
  </w:num>
  <w:num w:numId="4" w16cid:durableId="1991909117">
    <w:abstractNumId w:val="11"/>
  </w:num>
  <w:num w:numId="5" w16cid:durableId="1138956019">
    <w:abstractNumId w:val="14"/>
  </w:num>
  <w:num w:numId="6" w16cid:durableId="1442410547">
    <w:abstractNumId w:val="9"/>
  </w:num>
  <w:num w:numId="7" w16cid:durableId="1048839486">
    <w:abstractNumId w:val="7"/>
  </w:num>
  <w:num w:numId="8" w16cid:durableId="1928072424">
    <w:abstractNumId w:val="6"/>
  </w:num>
  <w:num w:numId="9" w16cid:durableId="2089573459">
    <w:abstractNumId w:val="5"/>
  </w:num>
  <w:num w:numId="10" w16cid:durableId="363293076">
    <w:abstractNumId w:val="4"/>
  </w:num>
  <w:num w:numId="11" w16cid:durableId="1767923153">
    <w:abstractNumId w:val="8"/>
  </w:num>
  <w:num w:numId="12" w16cid:durableId="1219394481">
    <w:abstractNumId w:val="3"/>
  </w:num>
  <w:num w:numId="13" w16cid:durableId="1254825835">
    <w:abstractNumId w:val="2"/>
  </w:num>
  <w:num w:numId="14" w16cid:durableId="1668632054">
    <w:abstractNumId w:val="1"/>
  </w:num>
  <w:num w:numId="15" w16cid:durableId="1406295387">
    <w:abstractNumId w:val="0"/>
  </w:num>
  <w:num w:numId="16" w16cid:durableId="1653754453">
    <w:abstractNumId w:val="2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948853283">
    <w:abstractNumId w:val="13"/>
  </w:num>
  <w:num w:numId="18" w16cid:durableId="1772511741">
    <w:abstractNumId w:val="18"/>
  </w:num>
  <w:num w:numId="19" w16cid:durableId="298456769">
    <w:abstractNumId w:val="24"/>
  </w:num>
  <w:num w:numId="20" w16cid:durableId="37242145">
    <w:abstractNumId w:val="17"/>
  </w:num>
  <w:num w:numId="21" w16cid:durableId="1626504287">
    <w:abstractNumId w:val="15"/>
  </w:num>
  <w:num w:numId="22" w16cid:durableId="499194188">
    <w:abstractNumId w:val="20"/>
  </w:num>
  <w:num w:numId="23" w16cid:durableId="1702246126">
    <w:abstractNumId w:val="25"/>
  </w:num>
  <w:num w:numId="24" w16cid:durableId="258760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1054750">
    <w:abstractNumId w:val="22"/>
  </w:num>
  <w:num w:numId="26" w16cid:durableId="2008628561">
    <w:abstractNumId w:val="23"/>
  </w:num>
  <w:num w:numId="27" w16cid:durableId="1445953522">
    <w:abstractNumId w:val="10"/>
  </w:num>
  <w:num w:numId="28" w16cid:durableId="2036882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0081516">
    <w:abstractNumId w:val="16"/>
  </w:num>
  <w:num w:numId="30" w16cid:durableId="737441382">
    <w:abstractNumId w:val="12"/>
  </w:num>
  <w:num w:numId="31" w16cid:durableId="97261235">
    <w:abstractNumId w:val="27"/>
  </w:num>
  <w:num w:numId="32" w16cid:durableId="1931043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96612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7470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9"/>
    <w:rsid w:val="00010071"/>
    <w:rsid w:val="000127FA"/>
    <w:rsid w:val="00012A9C"/>
    <w:rsid w:val="00013DDC"/>
    <w:rsid w:val="000149E6"/>
    <w:rsid w:val="00016AF3"/>
    <w:rsid w:val="000208C8"/>
    <w:rsid w:val="0002431B"/>
    <w:rsid w:val="000247B0"/>
    <w:rsid w:val="00025528"/>
    <w:rsid w:val="00025CB8"/>
    <w:rsid w:val="00026997"/>
    <w:rsid w:val="00033C4A"/>
    <w:rsid w:val="00033E0B"/>
    <w:rsid w:val="00035EDE"/>
    <w:rsid w:val="00041C72"/>
    <w:rsid w:val="000447CD"/>
    <w:rsid w:val="00047B39"/>
    <w:rsid w:val="000509B4"/>
    <w:rsid w:val="00051D3B"/>
    <w:rsid w:val="00052CC0"/>
    <w:rsid w:val="000533C4"/>
    <w:rsid w:val="0005429D"/>
    <w:rsid w:val="00056B2C"/>
    <w:rsid w:val="00060038"/>
    <w:rsid w:val="0006035B"/>
    <w:rsid w:val="00061D18"/>
    <w:rsid w:val="0007166E"/>
    <w:rsid w:val="00071886"/>
    <w:rsid w:val="000742BC"/>
    <w:rsid w:val="0007635E"/>
    <w:rsid w:val="000770A6"/>
    <w:rsid w:val="0008041D"/>
    <w:rsid w:val="00082A0C"/>
    <w:rsid w:val="00082DCD"/>
    <w:rsid w:val="00083504"/>
    <w:rsid w:val="000848BE"/>
    <w:rsid w:val="000848C8"/>
    <w:rsid w:val="00084BF3"/>
    <w:rsid w:val="0008710B"/>
    <w:rsid w:val="0008795E"/>
    <w:rsid w:val="000901F6"/>
    <w:rsid w:val="0009640C"/>
    <w:rsid w:val="000A283A"/>
    <w:rsid w:val="000B09AA"/>
    <w:rsid w:val="000B21D5"/>
    <w:rsid w:val="000B22A2"/>
    <w:rsid w:val="000C2A52"/>
    <w:rsid w:val="000C37DC"/>
    <w:rsid w:val="000C46A9"/>
    <w:rsid w:val="000C6663"/>
    <w:rsid w:val="000D33C0"/>
    <w:rsid w:val="000D4886"/>
    <w:rsid w:val="000D5884"/>
    <w:rsid w:val="000D6941"/>
    <w:rsid w:val="000D71B6"/>
    <w:rsid w:val="000E0405"/>
    <w:rsid w:val="000E16FC"/>
    <w:rsid w:val="000E298C"/>
    <w:rsid w:val="000F2D8B"/>
    <w:rsid w:val="000F6CFF"/>
    <w:rsid w:val="0010241A"/>
    <w:rsid w:val="0010561D"/>
    <w:rsid w:val="00106AC9"/>
    <w:rsid w:val="001103C4"/>
    <w:rsid w:val="001145C1"/>
    <w:rsid w:val="00115F73"/>
    <w:rsid w:val="001202E3"/>
    <w:rsid w:val="00123699"/>
    <w:rsid w:val="001239AB"/>
    <w:rsid w:val="00124095"/>
    <w:rsid w:val="001301C1"/>
    <w:rsid w:val="001302FA"/>
    <w:rsid w:val="0013059D"/>
    <w:rsid w:val="00132246"/>
    <w:rsid w:val="00140105"/>
    <w:rsid w:val="001407C0"/>
    <w:rsid w:val="0014083A"/>
    <w:rsid w:val="001408FC"/>
    <w:rsid w:val="00141A55"/>
    <w:rsid w:val="00141F2F"/>
    <w:rsid w:val="00142BC9"/>
    <w:rsid w:val="001446A3"/>
    <w:rsid w:val="001459D0"/>
    <w:rsid w:val="00150CB5"/>
    <w:rsid w:val="0015244B"/>
    <w:rsid w:val="001542BB"/>
    <w:rsid w:val="00155395"/>
    <w:rsid w:val="00161F1F"/>
    <w:rsid w:val="001661CD"/>
    <w:rsid w:val="00172E6C"/>
    <w:rsid w:val="00173D27"/>
    <w:rsid w:val="00174739"/>
    <w:rsid w:val="00176C53"/>
    <w:rsid w:val="0018127C"/>
    <w:rsid w:val="00181EC8"/>
    <w:rsid w:val="00181FC0"/>
    <w:rsid w:val="00184349"/>
    <w:rsid w:val="00184737"/>
    <w:rsid w:val="00185879"/>
    <w:rsid w:val="00186E5D"/>
    <w:rsid w:val="00187195"/>
    <w:rsid w:val="0019161E"/>
    <w:rsid w:val="00192CF3"/>
    <w:rsid w:val="0019423E"/>
    <w:rsid w:val="00195F33"/>
    <w:rsid w:val="00197C63"/>
    <w:rsid w:val="001A3BC3"/>
    <w:rsid w:val="001A5EE1"/>
    <w:rsid w:val="001A7FF9"/>
    <w:rsid w:val="001B1617"/>
    <w:rsid w:val="001B1C52"/>
    <w:rsid w:val="001B504B"/>
    <w:rsid w:val="001B79A3"/>
    <w:rsid w:val="001C29FC"/>
    <w:rsid w:val="001C4069"/>
    <w:rsid w:val="001D3874"/>
    <w:rsid w:val="001D5344"/>
    <w:rsid w:val="001D7E75"/>
    <w:rsid w:val="001E1208"/>
    <w:rsid w:val="001E22D1"/>
    <w:rsid w:val="001E3AEE"/>
    <w:rsid w:val="001E4235"/>
    <w:rsid w:val="001E56D2"/>
    <w:rsid w:val="001E7D56"/>
    <w:rsid w:val="001F059B"/>
    <w:rsid w:val="001F06B4"/>
    <w:rsid w:val="001F230D"/>
    <w:rsid w:val="001F47BB"/>
    <w:rsid w:val="001F6383"/>
    <w:rsid w:val="001F75DE"/>
    <w:rsid w:val="00200D58"/>
    <w:rsid w:val="002013BE"/>
    <w:rsid w:val="002063A4"/>
    <w:rsid w:val="00206F97"/>
    <w:rsid w:val="0021145B"/>
    <w:rsid w:val="00214277"/>
    <w:rsid w:val="0022224B"/>
    <w:rsid w:val="0022616A"/>
    <w:rsid w:val="0022698C"/>
    <w:rsid w:val="0022762D"/>
    <w:rsid w:val="00230038"/>
    <w:rsid w:val="00232303"/>
    <w:rsid w:val="00232644"/>
    <w:rsid w:val="00234806"/>
    <w:rsid w:val="00235E2E"/>
    <w:rsid w:val="002378D6"/>
    <w:rsid w:val="0024304A"/>
    <w:rsid w:val="00243D36"/>
    <w:rsid w:val="0024441B"/>
    <w:rsid w:val="00244AC1"/>
    <w:rsid w:val="00247707"/>
    <w:rsid w:val="00250DD8"/>
    <w:rsid w:val="002609D8"/>
    <w:rsid w:val="00263171"/>
    <w:rsid w:val="00267875"/>
    <w:rsid w:val="002708F5"/>
    <w:rsid w:val="00274ED2"/>
    <w:rsid w:val="00277919"/>
    <w:rsid w:val="00286740"/>
    <w:rsid w:val="00287B42"/>
    <w:rsid w:val="00287B9B"/>
    <w:rsid w:val="002929D8"/>
    <w:rsid w:val="002935C2"/>
    <w:rsid w:val="002A0FD5"/>
    <w:rsid w:val="002A237D"/>
    <w:rsid w:val="002A4C53"/>
    <w:rsid w:val="002B0672"/>
    <w:rsid w:val="002B0CB0"/>
    <w:rsid w:val="002B10B1"/>
    <w:rsid w:val="002B1B4C"/>
    <w:rsid w:val="002B247F"/>
    <w:rsid w:val="002B3C7D"/>
    <w:rsid w:val="002B6F97"/>
    <w:rsid w:val="002B7A38"/>
    <w:rsid w:val="002C145D"/>
    <w:rsid w:val="002C2C3E"/>
    <w:rsid w:val="002C533E"/>
    <w:rsid w:val="002C5525"/>
    <w:rsid w:val="002D027F"/>
    <w:rsid w:val="002D64E9"/>
    <w:rsid w:val="002D7A85"/>
    <w:rsid w:val="002D7B60"/>
    <w:rsid w:val="002E0A4E"/>
    <w:rsid w:val="002E19D4"/>
    <w:rsid w:val="002E706D"/>
    <w:rsid w:val="002F0362"/>
    <w:rsid w:val="002F1F2F"/>
    <w:rsid w:val="002F4761"/>
    <w:rsid w:val="002F47A5"/>
    <w:rsid w:val="002F5C79"/>
    <w:rsid w:val="002F5F2E"/>
    <w:rsid w:val="003019E2"/>
    <w:rsid w:val="003057F2"/>
    <w:rsid w:val="0031413F"/>
    <w:rsid w:val="003148BB"/>
    <w:rsid w:val="00316947"/>
    <w:rsid w:val="003169F8"/>
    <w:rsid w:val="00317976"/>
    <w:rsid w:val="00321D55"/>
    <w:rsid w:val="00321F91"/>
    <w:rsid w:val="00323885"/>
    <w:rsid w:val="00331475"/>
    <w:rsid w:val="00331728"/>
    <w:rsid w:val="003425F4"/>
    <w:rsid w:val="00343738"/>
    <w:rsid w:val="00351A93"/>
    <w:rsid w:val="00352F53"/>
    <w:rsid w:val="00355EA9"/>
    <w:rsid w:val="003560A2"/>
    <w:rsid w:val="003563A2"/>
    <w:rsid w:val="003578DE"/>
    <w:rsid w:val="00364CCE"/>
    <w:rsid w:val="003654F8"/>
    <w:rsid w:val="00365F6B"/>
    <w:rsid w:val="0037028F"/>
    <w:rsid w:val="00370BF9"/>
    <w:rsid w:val="00371340"/>
    <w:rsid w:val="003723F4"/>
    <w:rsid w:val="003759E2"/>
    <w:rsid w:val="0037785F"/>
    <w:rsid w:val="003803FC"/>
    <w:rsid w:val="003821D0"/>
    <w:rsid w:val="00382AF5"/>
    <w:rsid w:val="00386999"/>
    <w:rsid w:val="00386A2E"/>
    <w:rsid w:val="00390145"/>
    <w:rsid w:val="003910F9"/>
    <w:rsid w:val="00394379"/>
    <w:rsid w:val="00395A5D"/>
    <w:rsid w:val="00396257"/>
    <w:rsid w:val="00397EB8"/>
    <w:rsid w:val="003A07AB"/>
    <w:rsid w:val="003A086E"/>
    <w:rsid w:val="003A1DED"/>
    <w:rsid w:val="003A37B8"/>
    <w:rsid w:val="003A4491"/>
    <w:rsid w:val="003A4FD0"/>
    <w:rsid w:val="003A542D"/>
    <w:rsid w:val="003A69D1"/>
    <w:rsid w:val="003A6C11"/>
    <w:rsid w:val="003A7705"/>
    <w:rsid w:val="003B029F"/>
    <w:rsid w:val="003B0A6E"/>
    <w:rsid w:val="003B1545"/>
    <w:rsid w:val="003B176A"/>
    <w:rsid w:val="003B43BA"/>
    <w:rsid w:val="003B4BCD"/>
    <w:rsid w:val="003C035E"/>
    <w:rsid w:val="003C2820"/>
    <w:rsid w:val="003C3267"/>
    <w:rsid w:val="003C409D"/>
    <w:rsid w:val="003C5BA6"/>
    <w:rsid w:val="003D55DB"/>
    <w:rsid w:val="003E0F42"/>
    <w:rsid w:val="003E3A92"/>
    <w:rsid w:val="003E51CC"/>
    <w:rsid w:val="003F0E85"/>
    <w:rsid w:val="003F3FDE"/>
    <w:rsid w:val="003F717D"/>
    <w:rsid w:val="00401724"/>
    <w:rsid w:val="00401EEE"/>
    <w:rsid w:val="00403246"/>
    <w:rsid w:val="00403DB2"/>
    <w:rsid w:val="00404CB5"/>
    <w:rsid w:val="00405251"/>
    <w:rsid w:val="00407603"/>
    <w:rsid w:val="00410A04"/>
    <w:rsid w:val="00410C55"/>
    <w:rsid w:val="004133AB"/>
    <w:rsid w:val="0041604D"/>
    <w:rsid w:val="00416854"/>
    <w:rsid w:val="00417544"/>
    <w:rsid w:val="00417725"/>
    <w:rsid w:val="0041779A"/>
    <w:rsid w:val="00417B99"/>
    <w:rsid w:val="004243EA"/>
    <w:rsid w:val="0042689B"/>
    <w:rsid w:val="00430F54"/>
    <w:rsid w:val="004350BB"/>
    <w:rsid w:val="00437F26"/>
    <w:rsid w:val="00444097"/>
    <w:rsid w:val="00445487"/>
    <w:rsid w:val="00447984"/>
    <w:rsid w:val="00453103"/>
    <w:rsid w:val="00453A9E"/>
    <w:rsid w:val="00454769"/>
    <w:rsid w:val="00455534"/>
    <w:rsid w:val="00456D58"/>
    <w:rsid w:val="004631F5"/>
    <w:rsid w:val="00463928"/>
    <w:rsid w:val="00463987"/>
    <w:rsid w:val="00466991"/>
    <w:rsid w:val="0047064C"/>
    <w:rsid w:val="00474D90"/>
    <w:rsid w:val="004763A7"/>
    <w:rsid w:val="004772F3"/>
    <w:rsid w:val="00477AFF"/>
    <w:rsid w:val="00481F0B"/>
    <w:rsid w:val="0048586E"/>
    <w:rsid w:val="00486C5D"/>
    <w:rsid w:val="004902C6"/>
    <w:rsid w:val="00492E6B"/>
    <w:rsid w:val="00495BFE"/>
    <w:rsid w:val="004966A5"/>
    <w:rsid w:val="00497C54"/>
    <w:rsid w:val="004A173D"/>
    <w:rsid w:val="004A1DF6"/>
    <w:rsid w:val="004A42E1"/>
    <w:rsid w:val="004B162C"/>
    <w:rsid w:val="004B1C20"/>
    <w:rsid w:val="004B3DB0"/>
    <w:rsid w:val="004B5D36"/>
    <w:rsid w:val="004B6C22"/>
    <w:rsid w:val="004C3DBE"/>
    <w:rsid w:val="004C5C96"/>
    <w:rsid w:val="004C62D8"/>
    <w:rsid w:val="004C7CF9"/>
    <w:rsid w:val="004D06A4"/>
    <w:rsid w:val="004D60EA"/>
    <w:rsid w:val="004E2D3A"/>
    <w:rsid w:val="004E3718"/>
    <w:rsid w:val="004E53A1"/>
    <w:rsid w:val="004E588A"/>
    <w:rsid w:val="004E59D4"/>
    <w:rsid w:val="004E5FBF"/>
    <w:rsid w:val="004E79AC"/>
    <w:rsid w:val="004F1797"/>
    <w:rsid w:val="004F1A81"/>
    <w:rsid w:val="004F7F53"/>
    <w:rsid w:val="00503717"/>
    <w:rsid w:val="00516BCD"/>
    <w:rsid w:val="005206E9"/>
    <w:rsid w:val="005218D9"/>
    <w:rsid w:val="00525FA7"/>
    <w:rsid w:val="00532C1E"/>
    <w:rsid w:val="00532E47"/>
    <w:rsid w:val="00534A6D"/>
    <w:rsid w:val="00536186"/>
    <w:rsid w:val="00536826"/>
    <w:rsid w:val="00541FC7"/>
    <w:rsid w:val="00544CBB"/>
    <w:rsid w:val="00546D20"/>
    <w:rsid w:val="00550518"/>
    <w:rsid w:val="00552CD6"/>
    <w:rsid w:val="005618F1"/>
    <w:rsid w:val="005619EF"/>
    <w:rsid w:val="00562072"/>
    <w:rsid w:val="005635CE"/>
    <w:rsid w:val="00563FA9"/>
    <w:rsid w:val="00570269"/>
    <w:rsid w:val="00570E7B"/>
    <w:rsid w:val="005717B9"/>
    <w:rsid w:val="005721A0"/>
    <w:rsid w:val="00572719"/>
    <w:rsid w:val="0057315F"/>
    <w:rsid w:val="00573B9C"/>
    <w:rsid w:val="00575DF1"/>
    <w:rsid w:val="00576104"/>
    <w:rsid w:val="00582871"/>
    <w:rsid w:val="00583F62"/>
    <w:rsid w:val="005849F6"/>
    <w:rsid w:val="00585B5A"/>
    <w:rsid w:val="005940BC"/>
    <w:rsid w:val="00594BA0"/>
    <w:rsid w:val="005A37A6"/>
    <w:rsid w:val="005A61AA"/>
    <w:rsid w:val="005A7D29"/>
    <w:rsid w:val="005C176C"/>
    <w:rsid w:val="005C256D"/>
    <w:rsid w:val="005C67C8"/>
    <w:rsid w:val="005C6BAD"/>
    <w:rsid w:val="005C7F40"/>
    <w:rsid w:val="005D0249"/>
    <w:rsid w:val="005D20CD"/>
    <w:rsid w:val="005D53F4"/>
    <w:rsid w:val="005D6E8C"/>
    <w:rsid w:val="005D729E"/>
    <w:rsid w:val="005E7330"/>
    <w:rsid w:val="005E7B61"/>
    <w:rsid w:val="005F100C"/>
    <w:rsid w:val="005F10E8"/>
    <w:rsid w:val="005F68DA"/>
    <w:rsid w:val="005F75E6"/>
    <w:rsid w:val="006014DD"/>
    <w:rsid w:val="00604906"/>
    <w:rsid w:val="0060773B"/>
    <w:rsid w:val="00607D94"/>
    <w:rsid w:val="00612BFC"/>
    <w:rsid w:val="006157B5"/>
    <w:rsid w:val="00626FC6"/>
    <w:rsid w:val="006303B4"/>
    <w:rsid w:val="006322AF"/>
    <w:rsid w:val="00633499"/>
    <w:rsid w:val="00633CEB"/>
    <w:rsid w:val="00633D3D"/>
    <w:rsid w:val="00633F3A"/>
    <w:rsid w:val="006401C7"/>
    <w:rsid w:val="00641703"/>
    <w:rsid w:val="006431A6"/>
    <w:rsid w:val="00644555"/>
    <w:rsid w:val="0064591B"/>
    <w:rsid w:val="006459F6"/>
    <w:rsid w:val="0064610C"/>
    <w:rsid w:val="006501AD"/>
    <w:rsid w:val="00651BFA"/>
    <w:rsid w:val="006533B3"/>
    <w:rsid w:val="00653D58"/>
    <w:rsid w:val="00662C49"/>
    <w:rsid w:val="00663A80"/>
    <w:rsid w:val="00665A4B"/>
    <w:rsid w:val="00670144"/>
    <w:rsid w:val="006713CE"/>
    <w:rsid w:val="006731FE"/>
    <w:rsid w:val="006746C0"/>
    <w:rsid w:val="006766F1"/>
    <w:rsid w:val="006822A9"/>
    <w:rsid w:val="00692E2A"/>
    <w:rsid w:val="006A08C4"/>
    <w:rsid w:val="006A0E1C"/>
    <w:rsid w:val="006A1788"/>
    <w:rsid w:val="006A6B8F"/>
    <w:rsid w:val="006A76F2"/>
    <w:rsid w:val="006B753F"/>
    <w:rsid w:val="006C0B8D"/>
    <w:rsid w:val="006C1B67"/>
    <w:rsid w:val="006C2AAF"/>
    <w:rsid w:val="006C3DDA"/>
    <w:rsid w:val="006C56B2"/>
    <w:rsid w:val="006D24F3"/>
    <w:rsid w:val="006D3277"/>
    <w:rsid w:val="006D7EFB"/>
    <w:rsid w:val="006E0E76"/>
    <w:rsid w:val="006E3003"/>
    <w:rsid w:val="006E6672"/>
    <w:rsid w:val="006E6722"/>
    <w:rsid w:val="006E70A7"/>
    <w:rsid w:val="006F10F1"/>
    <w:rsid w:val="006F1C30"/>
    <w:rsid w:val="006F2A73"/>
    <w:rsid w:val="007021EB"/>
    <w:rsid w:val="007027B9"/>
    <w:rsid w:val="00706FA0"/>
    <w:rsid w:val="007070DA"/>
    <w:rsid w:val="00712448"/>
    <w:rsid w:val="00713D8F"/>
    <w:rsid w:val="00714817"/>
    <w:rsid w:val="00715E88"/>
    <w:rsid w:val="0072508B"/>
    <w:rsid w:val="00732257"/>
    <w:rsid w:val="00732854"/>
    <w:rsid w:val="007330F1"/>
    <w:rsid w:val="00734CAA"/>
    <w:rsid w:val="00736583"/>
    <w:rsid w:val="00745483"/>
    <w:rsid w:val="00746E04"/>
    <w:rsid w:val="0075055D"/>
    <w:rsid w:val="007545BA"/>
    <w:rsid w:val="007546B4"/>
    <w:rsid w:val="0075473A"/>
    <w:rsid w:val="00755106"/>
    <w:rsid w:val="0075533C"/>
    <w:rsid w:val="00757581"/>
    <w:rsid w:val="007611A0"/>
    <w:rsid w:val="00761E08"/>
    <w:rsid w:val="00762334"/>
    <w:rsid w:val="007658A0"/>
    <w:rsid w:val="00771992"/>
    <w:rsid w:val="007719E6"/>
    <w:rsid w:val="00771B49"/>
    <w:rsid w:val="00782AE1"/>
    <w:rsid w:val="00783907"/>
    <w:rsid w:val="00790D6E"/>
    <w:rsid w:val="00796BD4"/>
    <w:rsid w:val="00796D3F"/>
    <w:rsid w:val="007A1683"/>
    <w:rsid w:val="007A36F8"/>
    <w:rsid w:val="007A5008"/>
    <w:rsid w:val="007A571C"/>
    <w:rsid w:val="007A5C12"/>
    <w:rsid w:val="007A611E"/>
    <w:rsid w:val="007A64B8"/>
    <w:rsid w:val="007A7CB0"/>
    <w:rsid w:val="007B0517"/>
    <w:rsid w:val="007B1349"/>
    <w:rsid w:val="007B4561"/>
    <w:rsid w:val="007B4AAC"/>
    <w:rsid w:val="007B68A3"/>
    <w:rsid w:val="007B7424"/>
    <w:rsid w:val="007B76DA"/>
    <w:rsid w:val="007C2541"/>
    <w:rsid w:val="007D66A8"/>
    <w:rsid w:val="007D773D"/>
    <w:rsid w:val="007E003F"/>
    <w:rsid w:val="007E2DE8"/>
    <w:rsid w:val="007E4ECB"/>
    <w:rsid w:val="007F1A04"/>
    <w:rsid w:val="007F2043"/>
    <w:rsid w:val="007F40D6"/>
    <w:rsid w:val="00802E72"/>
    <w:rsid w:val="00805C71"/>
    <w:rsid w:val="00805F1D"/>
    <w:rsid w:val="008107BE"/>
    <w:rsid w:val="008164F2"/>
    <w:rsid w:val="00821395"/>
    <w:rsid w:val="008214A3"/>
    <w:rsid w:val="0082511F"/>
    <w:rsid w:val="00830E26"/>
    <w:rsid w:val="0083225A"/>
    <w:rsid w:val="0083248C"/>
    <w:rsid w:val="00833123"/>
    <w:rsid w:val="00834857"/>
    <w:rsid w:val="00835D84"/>
    <w:rsid w:val="00836DB0"/>
    <w:rsid w:val="00843576"/>
    <w:rsid w:val="00843B64"/>
    <w:rsid w:val="008470BD"/>
    <w:rsid w:val="00847456"/>
    <w:rsid w:val="008478FC"/>
    <w:rsid w:val="0085346D"/>
    <w:rsid w:val="00863B53"/>
    <w:rsid w:val="00864EC5"/>
    <w:rsid w:val="008672C3"/>
    <w:rsid w:val="00867BFF"/>
    <w:rsid w:val="0087024C"/>
    <w:rsid w:val="008749E1"/>
    <w:rsid w:val="00877DC3"/>
    <w:rsid w:val="0088116D"/>
    <w:rsid w:val="0088480A"/>
    <w:rsid w:val="00885AB9"/>
    <w:rsid w:val="0088757A"/>
    <w:rsid w:val="008957DD"/>
    <w:rsid w:val="008965F0"/>
    <w:rsid w:val="0089738A"/>
    <w:rsid w:val="00897D98"/>
    <w:rsid w:val="008A26B4"/>
    <w:rsid w:val="008A26C5"/>
    <w:rsid w:val="008A6DF2"/>
    <w:rsid w:val="008A742D"/>
    <w:rsid w:val="008A7807"/>
    <w:rsid w:val="008A7881"/>
    <w:rsid w:val="008B0D6B"/>
    <w:rsid w:val="008B245A"/>
    <w:rsid w:val="008B3832"/>
    <w:rsid w:val="008B4CC9"/>
    <w:rsid w:val="008C13F0"/>
    <w:rsid w:val="008C1B8B"/>
    <w:rsid w:val="008C26E8"/>
    <w:rsid w:val="008C2FD9"/>
    <w:rsid w:val="008D03A1"/>
    <w:rsid w:val="008D3AE0"/>
    <w:rsid w:val="008D7C99"/>
    <w:rsid w:val="008E0FCB"/>
    <w:rsid w:val="008E2FFD"/>
    <w:rsid w:val="008E3BAD"/>
    <w:rsid w:val="008F0C55"/>
    <w:rsid w:val="008F7036"/>
    <w:rsid w:val="008F72A4"/>
    <w:rsid w:val="009025D0"/>
    <w:rsid w:val="009030F9"/>
    <w:rsid w:val="00907D78"/>
    <w:rsid w:val="00912435"/>
    <w:rsid w:val="00914B47"/>
    <w:rsid w:val="00915481"/>
    <w:rsid w:val="0091667F"/>
    <w:rsid w:val="009210E1"/>
    <w:rsid w:val="0092178C"/>
    <w:rsid w:val="0092481F"/>
    <w:rsid w:val="0092493F"/>
    <w:rsid w:val="00924F11"/>
    <w:rsid w:val="00930B88"/>
    <w:rsid w:val="00931570"/>
    <w:rsid w:val="009378DC"/>
    <w:rsid w:val="00940B13"/>
    <w:rsid w:val="00940DCC"/>
    <w:rsid w:val="0094179A"/>
    <w:rsid w:val="0094322F"/>
    <w:rsid w:val="0094459E"/>
    <w:rsid w:val="00944DBC"/>
    <w:rsid w:val="00945010"/>
    <w:rsid w:val="0094547F"/>
    <w:rsid w:val="00946908"/>
    <w:rsid w:val="00950977"/>
    <w:rsid w:val="00951A7B"/>
    <w:rsid w:val="0095350F"/>
    <w:rsid w:val="009564A6"/>
    <w:rsid w:val="00961A33"/>
    <w:rsid w:val="00961F26"/>
    <w:rsid w:val="009628B9"/>
    <w:rsid w:val="009657F4"/>
    <w:rsid w:val="00966842"/>
    <w:rsid w:val="00966B56"/>
    <w:rsid w:val="00966D6A"/>
    <w:rsid w:val="00967621"/>
    <w:rsid w:val="00967E6A"/>
    <w:rsid w:val="009729EF"/>
    <w:rsid w:val="00973F74"/>
    <w:rsid w:val="00976B4B"/>
    <w:rsid w:val="00977B4B"/>
    <w:rsid w:val="00980797"/>
    <w:rsid w:val="0098153A"/>
    <w:rsid w:val="00983B2B"/>
    <w:rsid w:val="00984BFA"/>
    <w:rsid w:val="009935AC"/>
    <w:rsid w:val="009A429D"/>
    <w:rsid w:val="009A4A5C"/>
    <w:rsid w:val="009A6054"/>
    <w:rsid w:val="009A7B58"/>
    <w:rsid w:val="009B0A72"/>
    <w:rsid w:val="009B2018"/>
    <w:rsid w:val="009B4A0F"/>
    <w:rsid w:val="009B5375"/>
    <w:rsid w:val="009B5D55"/>
    <w:rsid w:val="009C0FEC"/>
    <w:rsid w:val="009C11D2"/>
    <w:rsid w:val="009C18A7"/>
    <w:rsid w:val="009C6C70"/>
    <w:rsid w:val="009D0922"/>
    <w:rsid w:val="009D0B63"/>
    <w:rsid w:val="009D1920"/>
    <w:rsid w:val="009E1A50"/>
    <w:rsid w:val="009E307E"/>
    <w:rsid w:val="009E47E3"/>
    <w:rsid w:val="009F49C0"/>
    <w:rsid w:val="009F74C4"/>
    <w:rsid w:val="00A00508"/>
    <w:rsid w:val="00A00646"/>
    <w:rsid w:val="00A03A4A"/>
    <w:rsid w:val="00A04EAB"/>
    <w:rsid w:val="00A074E9"/>
    <w:rsid w:val="00A07870"/>
    <w:rsid w:val="00A07F19"/>
    <w:rsid w:val="00A10C09"/>
    <w:rsid w:val="00A11A24"/>
    <w:rsid w:val="00A11E7E"/>
    <w:rsid w:val="00A1348D"/>
    <w:rsid w:val="00A142D1"/>
    <w:rsid w:val="00A1489E"/>
    <w:rsid w:val="00A15940"/>
    <w:rsid w:val="00A232EE"/>
    <w:rsid w:val="00A25779"/>
    <w:rsid w:val="00A2643F"/>
    <w:rsid w:val="00A27B86"/>
    <w:rsid w:val="00A3593B"/>
    <w:rsid w:val="00A4175F"/>
    <w:rsid w:val="00A430BA"/>
    <w:rsid w:val="00A43CAB"/>
    <w:rsid w:val="00A44411"/>
    <w:rsid w:val="00A45614"/>
    <w:rsid w:val="00A469FA"/>
    <w:rsid w:val="00A50E94"/>
    <w:rsid w:val="00A5417D"/>
    <w:rsid w:val="00A5462A"/>
    <w:rsid w:val="00A54FF2"/>
    <w:rsid w:val="00A55B01"/>
    <w:rsid w:val="00A56B5B"/>
    <w:rsid w:val="00A56E7C"/>
    <w:rsid w:val="00A603FF"/>
    <w:rsid w:val="00A6335E"/>
    <w:rsid w:val="00A647E8"/>
    <w:rsid w:val="00A657DD"/>
    <w:rsid w:val="00A666A6"/>
    <w:rsid w:val="00A675FD"/>
    <w:rsid w:val="00A71D95"/>
    <w:rsid w:val="00A72437"/>
    <w:rsid w:val="00A731B7"/>
    <w:rsid w:val="00A7733F"/>
    <w:rsid w:val="00A804B6"/>
    <w:rsid w:val="00A80611"/>
    <w:rsid w:val="00A84ADF"/>
    <w:rsid w:val="00A84B15"/>
    <w:rsid w:val="00A84F8F"/>
    <w:rsid w:val="00A87016"/>
    <w:rsid w:val="00A92F65"/>
    <w:rsid w:val="00A97074"/>
    <w:rsid w:val="00AA2618"/>
    <w:rsid w:val="00AA7851"/>
    <w:rsid w:val="00AA7D1F"/>
    <w:rsid w:val="00AA7E36"/>
    <w:rsid w:val="00AB0C33"/>
    <w:rsid w:val="00AB1F69"/>
    <w:rsid w:val="00AB3D97"/>
    <w:rsid w:val="00AB5340"/>
    <w:rsid w:val="00AC010E"/>
    <w:rsid w:val="00AC01CC"/>
    <w:rsid w:val="00AC16B8"/>
    <w:rsid w:val="00AC4348"/>
    <w:rsid w:val="00AC7C96"/>
    <w:rsid w:val="00AD047E"/>
    <w:rsid w:val="00AD1AD9"/>
    <w:rsid w:val="00AE145D"/>
    <w:rsid w:val="00AE237D"/>
    <w:rsid w:val="00AE2480"/>
    <w:rsid w:val="00AE2A3D"/>
    <w:rsid w:val="00AE3C27"/>
    <w:rsid w:val="00AE502A"/>
    <w:rsid w:val="00AF0DF7"/>
    <w:rsid w:val="00AF4F20"/>
    <w:rsid w:val="00AF6CAC"/>
    <w:rsid w:val="00AF7C07"/>
    <w:rsid w:val="00AF7C27"/>
    <w:rsid w:val="00AF7F8B"/>
    <w:rsid w:val="00B03595"/>
    <w:rsid w:val="00B125F2"/>
    <w:rsid w:val="00B134A7"/>
    <w:rsid w:val="00B13D45"/>
    <w:rsid w:val="00B14764"/>
    <w:rsid w:val="00B22C93"/>
    <w:rsid w:val="00B23D78"/>
    <w:rsid w:val="00B26058"/>
    <w:rsid w:val="00B2650F"/>
    <w:rsid w:val="00B26E5E"/>
    <w:rsid w:val="00B27589"/>
    <w:rsid w:val="00B27663"/>
    <w:rsid w:val="00B34DAD"/>
    <w:rsid w:val="00B37EF9"/>
    <w:rsid w:val="00B405B7"/>
    <w:rsid w:val="00B455EE"/>
    <w:rsid w:val="00B45E6D"/>
    <w:rsid w:val="00B46853"/>
    <w:rsid w:val="00B47045"/>
    <w:rsid w:val="00B50E88"/>
    <w:rsid w:val="00B52222"/>
    <w:rsid w:val="00B523A2"/>
    <w:rsid w:val="00B5341A"/>
    <w:rsid w:val="00B54FE7"/>
    <w:rsid w:val="00B56A31"/>
    <w:rsid w:val="00B57C47"/>
    <w:rsid w:val="00B66901"/>
    <w:rsid w:val="00B67EC4"/>
    <w:rsid w:val="00B71E6D"/>
    <w:rsid w:val="00B72070"/>
    <w:rsid w:val="00B779E1"/>
    <w:rsid w:val="00B81BE2"/>
    <w:rsid w:val="00B81F04"/>
    <w:rsid w:val="00B859A3"/>
    <w:rsid w:val="00B917AE"/>
    <w:rsid w:val="00B91EE1"/>
    <w:rsid w:val="00B978D5"/>
    <w:rsid w:val="00BA0090"/>
    <w:rsid w:val="00BA1A67"/>
    <w:rsid w:val="00BA34F3"/>
    <w:rsid w:val="00BA3CEA"/>
    <w:rsid w:val="00BB1890"/>
    <w:rsid w:val="00BB22DD"/>
    <w:rsid w:val="00BB49DE"/>
    <w:rsid w:val="00BC07FE"/>
    <w:rsid w:val="00BC7AF6"/>
    <w:rsid w:val="00BD0163"/>
    <w:rsid w:val="00BD122C"/>
    <w:rsid w:val="00BD159E"/>
    <w:rsid w:val="00BD1FFD"/>
    <w:rsid w:val="00BD4D45"/>
    <w:rsid w:val="00BD4DE0"/>
    <w:rsid w:val="00BD597B"/>
    <w:rsid w:val="00BD5DE3"/>
    <w:rsid w:val="00BD5F1E"/>
    <w:rsid w:val="00BD6278"/>
    <w:rsid w:val="00BE1519"/>
    <w:rsid w:val="00BE4D96"/>
    <w:rsid w:val="00BE5B5F"/>
    <w:rsid w:val="00BE6B0C"/>
    <w:rsid w:val="00BE73D9"/>
    <w:rsid w:val="00BE799A"/>
    <w:rsid w:val="00BF26E8"/>
    <w:rsid w:val="00BF4AFA"/>
    <w:rsid w:val="00BF7747"/>
    <w:rsid w:val="00C048C9"/>
    <w:rsid w:val="00C06DDA"/>
    <w:rsid w:val="00C117C8"/>
    <w:rsid w:val="00C15AC1"/>
    <w:rsid w:val="00C161E3"/>
    <w:rsid w:val="00C26F55"/>
    <w:rsid w:val="00C27328"/>
    <w:rsid w:val="00C278CC"/>
    <w:rsid w:val="00C30C63"/>
    <w:rsid w:val="00C326E2"/>
    <w:rsid w:val="00C32B37"/>
    <w:rsid w:val="00C365C7"/>
    <w:rsid w:val="00C36B8B"/>
    <w:rsid w:val="00C40E57"/>
    <w:rsid w:val="00C43C87"/>
    <w:rsid w:val="00C47DBF"/>
    <w:rsid w:val="00C51A3C"/>
    <w:rsid w:val="00C51D16"/>
    <w:rsid w:val="00C52128"/>
    <w:rsid w:val="00C53666"/>
    <w:rsid w:val="00C542DB"/>
    <w:rsid w:val="00C552FF"/>
    <w:rsid w:val="00C558DA"/>
    <w:rsid w:val="00C55AF3"/>
    <w:rsid w:val="00C60713"/>
    <w:rsid w:val="00C648DA"/>
    <w:rsid w:val="00C65E1F"/>
    <w:rsid w:val="00C66265"/>
    <w:rsid w:val="00C67E4A"/>
    <w:rsid w:val="00C70B49"/>
    <w:rsid w:val="00C7567A"/>
    <w:rsid w:val="00C7574E"/>
    <w:rsid w:val="00C75C7C"/>
    <w:rsid w:val="00C75E94"/>
    <w:rsid w:val="00C81951"/>
    <w:rsid w:val="00C83A8F"/>
    <w:rsid w:val="00C84759"/>
    <w:rsid w:val="00C86BF3"/>
    <w:rsid w:val="00C917D9"/>
    <w:rsid w:val="00C945E1"/>
    <w:rsid w:val="00C97578"/>
    <w:rsid w:val="00CA3FD3"/>
    <w:rsid w:val="00CA6C7F"/>
    <w:rsid w:val="00CA78AF"/>
    <w:rsid w:val="00CB1CB5"/>
    <w:rsid w:val="00CB4799"/>
    <w:rsid w:val="00CB6F8C"/>
    <w:rsid w:val="00CC0260"/>
    <w:rsid w:val="00CC10A6"/>
    <w:rsid w:val="00CC7752"/>
    <w:rsid w:val="00CC7F4E"/>
    <w:rsid w:val="00CD2811"/>
    <w:rsid w:val="00CD5EB8"/>
    <w:rsid w:val="00CD6AC7"/>
    <w:rsid w:val="00CD7044"/>
    <w:rsid w:val="00CE08B9"/>
    <w:rsid w:val="00CE4288"/>
    <w:rsid w:val="00CE4301"/>
    <w:rsid w:val="00CE524C"/>
    <w:rsid w:val="00CE6790"/>
    <w:rsid w:val="00CF0178"/>
    <w:rsid w:val="00CF141F"/>
    <w:rsid w:val="00CF25EA"/>
    <w:rsid w:val="00CF2BFA"/>
    <w:rsid w:val="00CF4777"/>
    <w:rsid w:val="00CF5AF8"/>
    <w:rsid w:val="00D067BB"/>
    <w:rsid w:val="00D070CC"/>
    <w:rsid w:val="00D10A28"/>
    <w:rsid w:val="00D1352A"/>
    <w:rsid w:val="00D13EDE"/>
    <w:rsid w:val="00D1403D"/>
    <w:rsid w:val="00D143A3"/>
    <w:rsid w:val="00D169AF"/>
    <w:rsid w:val="00D17DB9"/>
    <w:rsid w:val="00D17DE7"/>
    <w:rsid w:val="00D22813"/>
    <w:rsid w:val="00D25249"/>
    <w:rsid w:val="00D255A7"/>
    <w:rsid w:val="00D278A1"/>
    <w:rsid w:val="00D36DA4"/>
    <w:rsid w:val="00D41FAF"/>
    <w:rsid w:val="00D44172"/>
    <w:rsid w:val="00D46C2D"/>
    <w:rsid w:val="00D50EA8"/>
    <w:rsid w:val="00D526D8"/>
    <w:rsid w:val="00D53BA2"/>
    <w:rsid w:val="00D54771"/>
    <w:rsid w:val="00D54C3C"/>
    <w:rsid w:val="00D63B8C"/>
    <w:rsid w:val="00D654E4"/>
    <w:rsid w:val="00D66A5C"/>
    <w:rsid w:val="00D67CA4"/>
    <w:rsid w:val="00D712FD"/>
    <w:rsid w:val="00D72CB6"/>
    <w:rsid w:val="00D7357D"/>
    <w:rsid w:val="00D7381F"/>
    <w:rsid w:val="00D739CC"/>
    <w:rsid w:val="00D74187"/>
    <w:rsid w:val="00D8093D"/>
    <w:rsid w:val="00D8108C"/>
    <w:rsid w:val="00D81438"/>
    <w:rsid w:val="00D816AC"/>
    <w:rsid w:val="00D842AE"/>
    <w:rsid w:val="00D9211C"/>
    <w:rsid w:val="00D92685"/>
    <w:rsid w:val="00D92DE0"/>
    <w:rsid w:val="00D92FEF"/>
    <w:rsid w:val="00D93A0F"/>
    <w:rsid w:val="00D94E0F"/>
    <w:rsid w:val="00DA1BCA"/>
    <w:rsid w:val="00DA3FFA"/>
    <w:rsid w:val="00DA5460"/>
    <w:rsid w:val="00DA57EE"/>
    <w:rsid w:val="00DA7299"/>
    <w:rsid w:val="00DB36B7"/>
    <w:rsid w:val="00DB3E23"/>
    <w:rsid w:val="00DC15BA"/>
    <w:rsid w:val="00DC46FF"/>
    <w:rsid w:val="00DC4809"/>
    <w:rsid w:val="00DC5254"/>
    <w:rsid w:val="00DC787B"/>
    <w:rsid w:val="00DD1A4F"/>
    <w:rsid w:val="00DD3107"/>
    <w:rsid w:val="00DD470E"/>
    <w:rsid w:val="00DD5EFF"/>
    <w:rsid w:val="00DD6857"/>
    <w:rsid w:val="00DD7C2C"/>
    <w:rsid w:val="00DE1DB0"/>
    <w:rsid w:val="00DE24D9"/>
    <w:rsid w:val="00DE5F77"/>
    <w:rsid w:val="00DE6E55"/>
    <w:rsid w:val="00DF09BA"/>
    <w:rsid w:val="00DF235E"/>
    <w:rsid w:val="00DF5628"/>
    <w:rsid w:val="00DF5660"/>
    <w:rsid w:val="00E01568"/>
    <w:rsid w:val="00E01B68"/>
    <w:rsid w:val="00E020B6"/>
    <w:rsid w:val="00E024FD"/>
    <w:rsid w:val="00E025E4"/>
    <w:rsid w:val="00E0574F"/>
    <w:rsid w:val="00E06797"/>
    <w:rsid w:val="00E068E5"/>
    <w:rsid w:val="00E079D8"/>
    <w:rsid w:val="00E10B01"/>
    <w:rsid w:val="00E122BC"/>
    <w:rsid w:val="00E1265B"/>
    <w:rsid w:val="00E13B48"/>
    <w:rsid w:val="00E1404F"/>
    <w:rsid w:val="00E1469F"/>
    <w:rsid w:val="00E15E67"/>
    <w:rsid w:val="00E20332"/>
    <w:rsid w:val="00E212EF"/>
    <w:rsid w:val="00E21C83"/>
    <w:rsid w:val="00E23407"/>
    <w:rsid w:val="00E24ADA"/>
    <w:rsid w:val="00E256F6"/>
    <w:rsid w:val="00E266F7"/>
    <w:rsid w:val="00E27466"/>
    <w:rsid w:val="00E32F59"/>
    <w:rsid w:val="00E35A20"/>
    <w:rsid w:val="00E37F15"/>
    <w:rsid w:val="00E417B4"/>
    <w:rsid w:val="00E440CD"/>
    <w:rsid w:val="00E45EFA"/>
    <w:rsid w:val="00E46D9A"/>
    <w:rsid w:val="00E509D1"/>
    <w:rsid w:val="00E52062"/>
    <w:rsid w:val="00E565FF"/>
    <w:rsid w:val="00E600D6"/>
    <w:rsid w:val="00E6097B"/>
    <w:rsid w:val="00E63C75"/>
    <w:rsid w:val="00E64F1B"/>
    <w:rsid w:val="00E65388"/>
    <w:rsid w:val="00E67833"/>
    <w:rsid w:val="00E67A70"/>
    <w:rsid w:val="00E7181B"/>
    <w:rsid w:val="00E73A27"/>
    <w:rsid w:val="00E74ACB"/>
    <w:rsid w:val="00E76F07"/>
    <w:rsid w:val="00E85B7D"/>
    <w:rsid w:val="00E9121B"/>
    <w:rsid w:val="00E930D5"/>
    <w:rsid w:val="00E94B48"/>
    <w:rsid w:val="00E964EB"/>
    <w:rsid w:val="00E96614"/>
    <w:rsid w:val="00EA0AE2"/>
    <w:rsid w:val="00EA2729"/>
    <w:rsid w:val="00EA292F"/>
    <w:rsid w:val="00EA2C43"/>
    <w:rsid w:val="00EA39E5"/>
    <w:rsid w:val="00EA6CE7"/>
    <w:rsid w:val="00EA7AC3"/>
    <w:rsid w:val="00EB1122"/>
    <w:rsid w:val="00EB1474"/>
    <w:rsid w:val="00EB3106"/>
    <w:rsid w:val="00EC2661"/>
    <w:rsid w:val="00EC5A46"/>
    <w:rsid w:val="00EC63E2"/>
    <w:rsid w:val="00ED0087"/>
    <w:rsid w:val="00ED10A7"/>
    <w:rsid w:val="00ED1F3E"/>
    <w:rsid w:val="00ED5E0F"/>
    <w:rsid w:val="00EE1BA8"/>
    <w:rsid w:val="00EE1E98"/>
    <w:rsid w:val="00EE2CA4"/>
    <w:rsid w:val="00EE397B"/>
    <w:rsid w:val="00EE4483"/>
    <w:rsid w:val="00EE5261"/>
    <w:rsid w:val="00EE5A9E"/>
    <w:rsid w:val="00EF22B3"/>
    <w:rsid w:val="00EF469A"/>
    <w:rsid w:val="00EF5AF5"/>
    <w:rsid w:val="00EF62ED"/>
    <w:rsid w:val="00F03215"/>
    <w:rsid w:val="00F03B69"/>
    <w:rsid w:val="00F07A50"/>
    <w:rsid w:val="00F113DA"/>
    <w:rsid w:val="00F16A11"/>
    <w:rsid w:val="00F23184"/>
    <w:rsid w:val="00F25F15"/>
    <w:rsid w:val="00F2672C"/>
    <w:rsid w:val="00F27767"/>
    <w:rsid w:val="00F3153A"/>
    <w:rsid w:val="00F319FC"/>
    <w:rsid w:val="00F31B67"/>
    <w:rsid w:val="00F355D6"/>
    <w:rsid w:val="00F37DC8"/>
    <w:rsid w:val="00F439B3"/>
    <w:rsid w:val="00F45AA8"/>
    <w:rsid w:val="00F502DD"/>
    <w:rsid w:val="00F511D5"/>
    <w:rsid w:val="00F52A1B"/>
    <w:rsid w:val="00F52B6C"/>
    <w:rsid w:val="00F5429E"/>
    <w:rsid w:val="00F56824"/>
    <w:rsid w:val="00F638FC"/>
    <w:rsid w:val="00F650C3"/>
    <w:rsid w:val="00F657EC"/>
    <w:rsid w:val="00F65D85"/>
    <w:rsid w:val="00F6647C"/>
    <w:rsid w:val="00F679CE"/>
    <w:rsid w:val="00F67AEB"/>
    <w:rsid w:val="00F719FC"/>
    <w:rsid w:val="00F7203C"/>
    <w:rsid w:val="00F74BFC"/>
    <w:rsid w:val="00F74CE7"/>
    <w:rsid w:val="00F75453"/>
    <w:rsid w:val="00F8091E"/>
    <w:rsid w:val="00F8228E"/>
    <w:rsid w:val="00F8564D"/>
    <w:rsid w:val="00F8615C"/>
    <w:rsid w:val="00F87E8F"/>
    <w:rsid w:val="00F92030"/>
    <w:rsid w:val="00F93372"/>
    <w:rsid w:val="00F9461E"/>
    <w:rsid w:val="00F95830"/>
    <w:rsid w:val="00F969E5"/>
    <w:rsid w:val="00F97AEE"/>
    <w:rsid w:val="00F97E54"/>
    <w:rsid w:val="00FA084A"/>
    <w:rsid w:val="00FA1539"/>
    <w:rsid w:val="00FA1C95"/>
    <w:rsid w:val="00FA4245"/>
    <w:rsid w:val="00FA44DD"/>
    <w:rsid w:val="00FA4695"/>
    <w:rsid w:val="00FA6675"/>
    <w:rsid w:val="00FA6BB0"/>
    <w:rsid w:val="00FB1DFB"/>
    <w:rsid w:val="00FB2421"/>
    <w:rsid w:val="00FC1299"/>
    <w:rsid w:val="00FC1E0F"/>
    <w:rsid w:val="00FD0179"/>
    <w:rsid w:val="00FD2D77"/>
    <w:rsid w:val="00FD3873"/>
    <w:rsid w:val="00FD5860"/>
    <w:rsid w:val="00FD719D"/>
    <w:rsid w:val="00FE352D"/>
    <w:rsid w:val="00FE40EB"/>
    <w:rsid w:val="00FE4D02"/>
    <w:rsid w:val="00FE51C9"/>
    <w:rsid w:val="00FE7B2F"/>
    <w:rsid w:val="00FE7D62"/>
    <w:rsid w:val="00FF3819"/>
    <w:rsid w:val="00FF62DC"/>
    <w:rsid w:val="02BAAA92"/>
    <w:rsid w:val="04A1BF49"/>
    <w:rsid w:val="061932AB"/>
    <w:rsid w:val="0841DD8A"/>
    <w:rsid w:val="0939A324"/>
    <w:rsid w:val="0B345B00"/>
    <w:rsid w:val="116D010D"/>
    <w:rsid w:val="16493441"/>
    <w:rsid w:val="1D2C02FC"/>
    <w:rsid w:val="262B9DE8"/>
    <w:rsid w:val="2A110796"/>
    <w:rsid w:val="2C385DC6"/>
    <w:rsid w:val="2C3A8FCB"/>
    <w:rsid w:val="2D79FD51"/>
    <w:rsid w:val="2E79855C"/>
    <w:rsid w:val="31E263F0"/>
    <w:rsid w:val="34492EAA"/>
    <w:rsid w:val="34C0463F"/>
    <w:rsid w:val="3EB91B48"/>
    <w:rsid w:val="47E8A378"/>
    <w:rsid w:val="54950658"/>
    <w:rsid w:val="5E1D525E"/>
    <w:rsid w:val="5EC203AE"/>
    <w:rsid w:val="62C8C5FF"/>
    <w:rsid w:val="63403828"/>
    <w:rsid w:val="69EDFE3E"/>
    <w:rsid w:val="786538A8"/>
    <w:rsid w:val="78663A05"/>
    <w:rsid w:val="7B163B1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75A9"/>
  <w15:chartTrackingRefBased/>
  <w15:docId w15:val="{0F1D821A-D145-4427-9878-6006C2A0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BF26E8"/>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BF26E8"/>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BF26E8"/>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BF26E8"/>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BF26E8"/>
    <w:pPr>
      <w:numPr>
        <w:numId w:val="31"/>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BF26E8"/>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BF26E8"/>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BF26E8"/>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BF26E8"/>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BF26E8"/>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BF26E8"/>
    <w:rPr>
      <w:rFonts w:ascii="Times New Roman" w:hAnsi="Times New Roman"/>
      <w:b/>
      <w:sz w:val="18"/>
      <w:lang w:val="fr-FR"/>
    </w:rPr>
  </w:style>
  <w:style w:type="table" w:customStyle="1" w:styleId="Tabledocright">
    <w:name w:val="Table_doc_right"/>
    <w:basedOn w:val="TableNormal"/>
    <w:rsid w:val="00BF26E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BF26E8"/>
    <w:pPr>
      <w:ind w:left="1000"/>
    </w:pPr>
    <w:rPr>
      <w:sz w:val="18"/>
      <w:szCs w:val="18"/>
    </w:rPr>
  </w:style>
  <w:style w:type="paragraph" w:styleId="TOC7">
    <w:name w:val="toc 7"/>
    <w:basedOn w:val="Normal"/>
    <w:next w:val="Normal"/>
    <w:autoRedefine/>
    <w:semiHidden/>
    <w:rsid w:val="00BF26E8"/>
    <w:pPr>
      <w:ind w:left="1200"/>
    </w:pPr>
    <w:rPr>
      <w:sz w:val="18"/>
      <w:szCs w:val="18"/>
    </w:rPr>
  </w:style>
  <w:style w:type="paragraph" w:styleId="TOC8">
    <w:name w:val="toc 8"/>
    <w:basedOn w:val="Normal"/>
    <w:next w:val="Normal"/>
    <w:autoRedefine/>
    <w:semiHidden/>
    <w:rsid w:val="00BF26E8"/>
    <w:pPr>
      <w:ind w:left="1400"/>
    </w:pPr>
    <w:rPr>
      <w:sz w:val="18"/>
      <w:szCs w:val="18"/>
    </w:rPr>
  </w:style>
  <w:style w:type="paragraph" w:styleId="TOC9">
    <w:name w:val="toc 9"/>
    <w:basedOn w:val="Normal"/>
    <w:next w:val="Normal"/>
    <w:autoRedefine/>
    <w:semiHidden/>
    <w:rsid w:val="00BF26E8"/>
    <w:pPr>
      <w:ind w:left="1600"/>
    </w:pPr>
    <w:rPr>
      <w:sz w:val="18"/>
      <w:szCs w:val="18"/>
    </w:rPr>
  </w:style>
  <w:style w:type="paragraph" w:customStyle="1" w:styleId="Titlefigure">
    <w:name w:val="Title_figure"/>
    <w:basedOn w:val="Titletable"/>
    <w:next w:val="NormalNonumber"/>
    <w:rsid w:val="00BF26E8"/>
    <w:rPr>
      <w:bCs w:val="0"/>
    </w:rPr>
  </w:style>
  <w:style w:type="paragraph" w:styleId="TableofFigures">
    <w:name w:val="table of figures"/>
    <w:basedOn w:val="Normal"/>
    <w:next w:val="Normal"/>
    <w:autoRedefine/>
    <w:semiHidden/>
    <w:rsid w:val="00BF26E8"/>
    <w:pPr>
      <w:ind w:left="1814" w:hanging="567"/>
    </w:pPr>
  </w:style>
  <w:style w:type="paragraph" w:customStyle="1" w:styleId="CH1">
    <w:name w:val="CH1"/>
    <w:basedOn w:val="Normal-pool"/>
    <w:next w:val="CH2"/>
    <w:qFormat/>
    <w:rsid w:val="00BF26E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BF26E8"/>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BF26E8"/>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BF26E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BF26E8"/>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DE24D9"/>
    <w:pPr>
      <w:tabs>
        <w:tab w:val="left" w:pos="4321"/>
        <w:tab w:val="right" w:pos="8641"/>
      </w:tabs>
      <w:spacing w:before="60"/>
    </w:pPr>
    <w:rPr>
      <w:b/>
      <w:sz w:val="18"/>
    </w:rPr>
  </w:style>
  <w:style w:type="paragraph" w:customStyle="1" w:styleId="Footer-pool">
    <w:name w:val="Footer-pool"/>
    <w:basedOn w:val="Normal"/>
    <w:next w:val="Normal"/>
    <w:rsid w:val="00BF26E8"/>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BF26E8"/>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BF26E8"/>
    <w:rPr>
      <w:rFonts w:eastAsia="Times New Roman"/>
      <w:szCs w:val="18"/>
      <w:vertAlign w:val="superscript"/>
      <w:lang w:val="fr-FR" w:eastAsia="en-US"/>
    </w:rPr>
  </w:style>
  <w:style w:type="table" w:customStyle="1" w:styleId="AATable">
    <w:name w:val="AA_Table"/>
    <w:basedOn w:val="TableNormal"/>
    <w:semiHidden/>
    <w:rsid w:val="00DE24D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BF26E8"/>
    <w:pPr>
      <w:keepNext/>
      <w:keepLines/>
      <w:suppressAutoHyphens/>
    </w:pPr>
    <w:rPr>
      <w:b/>
    </w:rPr>
  </w:style>
  <w:style w:type="paragraph" w:customStyle="1" w:styleId="AATitle2">
    <w:name w:val="AA_Title2"/>
    <w:basedOn w:val="AATitle"/>
    <w:qFormat/>
    <w:rsid w:val="00BF26E8"/>
    <w:pPr>
      <w:keepNext w:val="0"/>
      <w:keepLines w:val="0"/>
      <w:spacing w:before="120" w:after="120"/>
    </w:pPr>
  </w:style>
  <w:style w:type="paragraph" w:customStyle="1" w:styleId="BBTitle">
    <w:name w:val="BB_Title"/>
    <w:basedOn w:val="Normal-pool"/>
    <w:link w:val="BBTitleChar"/>
    <w:qFormat/>
    <w:rsid w:val="00BF26E8"/>
    <w:pPr>
      <w:keepNext/>
      <w:keepLines/>
      <w:suppressAutoHyphens/>
      <w:spacing w:before="320" w:after="240"/>
      <w:ind w:left="1247" w:right="567"/>
    </w:pPr>
    <w:rPr>
      <w:b/>
      <w:sz w:val="28"/>
      <w:szCs w:val="28"/>
    </w:rPr>
  </w:style>
  <w:style w:type="paragraph" w:customStyle="1" w:styleId="CH4">
    <w:name w:val="CH4"/>
    <w:basedOn w:val="Normal-pool"/>
    <w:next w:val="Normalnumber"/>
    <w:rsid w:val="00BF26E8"/>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BF26E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BF26E8"/>
    <w:rPr>
      <w:color w:val="0000FF"/>
      <w:u w:val="none"/>
      <w:lang w:val="fr-FR"/>
    </w:rPr>
  </w:style>
  <w:style w:type="numbering" w:customStyle="1" w:styleId="Normallist">
    <w:name w:val="Normal_list"/>
    <w:basedOn w:val="NoList"/>
    <w:rsid w:val="00BF26E8"/>
    <w:pPr>
      <w:numPr>
        <w:numId w:val="1"/>
      </w:numPr>
    </w:pPr>
  </w:style>
  <w:style w:type="paragraph" w:customStyle="1" w:styleId="NormalNonumber">
    <w:name w:val="Normal_No_number"/>
    <w:basedOn w:val="Normal-pool"/>
    <w:qFormat/>
    <w:rsid w:val="00BF26E8"/>
    <w:pPr>
      <w:spacing w:after="120"/>
      <w:ind w:left="1247"/>
    </w:pPr>
  </w:style>
  <w:style w:type="paragraph" w:customStyle="1" w:styleId="Normalnumber">
    <w:name w:val="Normal_number"/>
    <w:basedOn w:val="Normal"/>
    <w:link w:val="NormalnumberChar"/>
    <w:qFormat/>
    <w:rsid w:val="00BF26E8"/>
    <w:pPr>
      <w:numPr>
        <w:numId w:val="28"/>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BF26E8"/>
    <w:pPr>
      <w:keepNext/>
      <w:keepLines/>
      <w:suppressAutoHyphens/>
      <w:spacing w:after="60"/>
      <w:ind w:left="1247"/>
    </w:pPr>
    <w:rPr>
      <w:b/>
      <w:bCs/>
    </w:rPr>
  </w:style>
  <w:style w:type="paragraph" w:styleId="TOC1">
    <w:name w:val="toc 1"/>
    <w:basedOn w:val="Normal"/>
    <w:next w:val="Normal"/>
    <w:autoRedefine/>
    <w:uiPriority w:val="39"/>
    <w:unhideWhenUsed/>
    <w:rsid w:val="00BF26E8"/>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BF26E8"/>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BF26E8"/>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BF26E8"/>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BF26E8"/>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link w:val="ZZAnxheaderChar"/>
    <w:rsid w:val="00BF26E8"/>
    <w:rPr>
      <w:b/>
      <w:bCs/>
      <w:sz w:val="28"/>
      <w:szCs w:val="22"/>
    </w:rPr>
  </w:style>
  <w:style w:type="paragraph" w:customStyle="1" w:styleId="ZZAnxtitle">
    <w:name w:val="ZZ_Anx_title"/>
    <w:basedOn w:val="Normal-pool"/>
    <w:link w:val="ZZAnxtitleChar"/>
    <w:rsid w:val="00BF26E8"/>
    <w:pPr>
      <w:spacing w:before="360" w:after="120"/>
      <w:ind w:left="1247"/>
    </w:pPr>
    <w:rPr>
      <w:b/>
      <w:bCs/>
      <w:sz w:val="28"/>
      <w:szCs w:val="26"/>
    </w:rPr>
  </w:style>
  <w:style w:type="paragraph" w:styleId="NormalWeb">
    <w:name w:val="Normal (Web)"/>
    <w:basedOn w:val="Normal"/>
    <w:uiPriority w:val="99"/>
    <w:semiHidden/>
    <w:unhideWhenUsed/>
    <w:rsid w:val="00DE24D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F26E8"/>
    <w:pPr>
      <w:spacing w:before="40" w:after="40"/>
    </w:pPr>
    <w:rPr>
      <w:sz w:val="18"/>
    </w:rPr>
  </w:style>
  <w:style w:type="paragraph" w:customStyle="1" w:styleId="Footnote-Text">
    <w:name w:val="Footnote-Text"/>
    <w:basedOn w:val="Normal-pool"/>
    <w:rsid w:val="00BF26E8"/>
    <w:pPr>
      <w:spacing w:before="20" w:after="40"/>
      <w:ind w:left="1247"/>
    </w:pPr>
    <w:rPr>
      <w:sz w:val="18"/>
    </w:rPr>
  </w:style>
  <w:style w:type="paragraph" w:customStyle="1" w:styleId="AConvName">
    <w:name w:val="A_ConvName"/>
    <w:basedOn w:val="Normal-pool"/>
    <w:next w:val="Normal-pool"/>
    <w:rsid w:val="00BF26E8"/>
    <w:pPr>
      <w:tabs>
        <w:tab w:val="clear" w:pos="1247"/>
      </w:tabs>
      <w:spacing w:before="120" w:after="240"/>
    </w:pPr>
    <w:rPr>
      <w:rFonts w:ascii="Arial" w:hAnsi="Arial"/>
      <w:b/>
      <w:sz w:val="28"/>
    </w:rPr>
  </w:style>
  <w:style w:type="paragraph" w:customStyle="1" w:styleId="ASymbol">
    <w:name w:val="A_Symbol"/>
    <w:basedOn w:val="Normal-pool"/>
    <w:rsid w:val="00BF26E8"/>
    <w:pPr>
      <w:tabs>
        <w:tab w:val="clear" w:pos="1247"/>
      </w:tabs>
    </w:pPr>
  </w:style>
  <w:style w:type="paragraph" w:customStyle="1" w:styleId="AText">
    <w:name w:val="A_Text"/>
    <w:basedOn w:val="Normal-pool"/>
    <w:rsid w:val="00BF26E8"/>
    <w:pPr>
      <w:spacing w:before="120"/>
    </w:pPr>
  </w:style>
  <w:style w:type="paragraph" w:customStyle="1" w:styleId="ATwoLetters">
    <w:name w:val="A_TwoLetters"/>
    <w:basedOn w:val="Normal-pool"/>
    <w:next w:val="Normal-pool"/>
    <w:rsid w:val="00BF26E8"/>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BF26E8"/>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DE24D9"/>
    <w:rPr>
      <w:rFonts w:ascii="Tahoma" w:hAnsi="Tahoma" w:cs="Tahoma"/>
      <w:sz w:val="16"/>
      <w:szCs w:val="16"/>
    </w:rPr>
  </w:style>
  <w:style w:type="character" w:customStyle="1" w:styleId="BalloonTextChar">
    <w:name w:val="Balloon Text Char"/>
    <w:basedOn w:val="DefaultParagraphFont"/>
    <w:link w:val="BalloonText"/>
    <w:rsid w:val="00DE24D9"/>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BF26E8"/>
    <w:rPr>
      <w:sz w:val="16"/>
      <w:szCs w:val="16"/>
      <w:lang w:val="fr-FR"/>
    </w:rPr>
  </w:style>
  <w:style w:type="paragraph" w:styleId="CommentText">
    <w:name w:val="annotation text"/>
    <w:basedOn w:val="Normal"/>
    <w:link w:val="CommentTextChar"/>
    <w:unhideWhenUsed/>
    <w:rsid w:val="00BF26E8"/>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BF26E8"/>
    <w:rPr>
      <w:rFonts w:eastAsia="Times New Roman"/>
      <w:lang w:val="fr-FR" w:eastAsia="en-US"/>
    </w:rPr>
  </w:style>
  <w:style w:type="paragraph" w:styleId="CommentSubject">
    <w:name w:val="annotation subject"/>
    <w:basedOn w:val="CommentText"/>
    <w:next w:val="CommentText"/>
    <w:link w:val="CommentSubjectChar"/>
    <w:semiHidden/>
    <w:unhideWhenUsed/>
    <w:rsid w:val="00BF26E8"/>
    <w:rPr>
      <w:b/>
      <w:bCs/>
    </w:rPr>
  </w:style>
  <w:style w:type="character" w:customStyle="1" w:styleId="CommentSubjectChar">
    <w:name w:val="Comment Subject Char"/>
    <w:basedOn w:val="CommentTextChar"/>
    <w:link w:val="CommentSubject"/>
    <w:semiHidden/>
    <w:rsid w:val="00BF26E8"/>
    <w:rPr>
      <w:rFonts w:eastAsia="Times New Roman"/>
      <w:b/>
      <w:bCs/>
      <w:lang w:val="fr-FR" w:eastAsia="en-US"/>
    </w:rPr>
  </w:style>
  <w:style w:type="character" w:styleId="FollowedHyperlink">
    <w:name w:val="FollowedHyperlink"/>
    <w:uiPriority w:val="99"/>
    <w:semiHidden/>
    <w:rsid w:val="00BF26E8"/>
    <w:rPr>
      <w:color w:val="0000FF"/>
      <w:u w:val="none"/>
      <w:lang w:val="fr-FR"/>
    </w:rPr>
  </w:style>
  <w:style w:type="character" w:customStyle="1" w:styleId="FooterChar">
    <w:name w:val="Footer Char"/>
    <w:basedOn w:val="DefaultParagraphFont"/>
    <w:link w:val="Footer"/>
    <w:uiPriority w:val="99"/>
    <w:rsid w:val="00BF26E8"/>
    <w:rPr>
      <w:rFonts w:eastAsia="Times New Roman"/>
      <w:lang w:val="fr-FR" w:eastAsia="en-US"/>
    </w:rPr>
  </w:style>
  <w:style w:type="character" w:customStyle="1" w:styleId="HeaderChar">
    <w:name w:val="Header Char"/>
    <w:basedOn w:val="DefaultParagraphFont"/>
    <w:link w:val="Header"/>
    <w:uiPriority w:val="99"/>
    <w:semiHidden/>
    <w:rsid w:val="00BF26E8"/>
    <w:rPr>
      <w:rFonts w:eastAsia="Times New Roman"/>
      <w:lang w:val="fr-FR" w:eastAsia="en-US"/>
    </w:rPr>
  </w:style>
  <w:style w:type="character" w:customStyle="1" w:styleId="Heading1Char">
    <w:name w:val="Heading 1 Char"/>
    <w:basedOn w:val="DefaultParagraphFont"/>
    <w:link w:val="Heading1"/>
    <w:rsid w:val="00BF26E8"/>
    <w:rPr>
      <w:rFonts w:eastAsia="Times New Roman"/>
      <w:b/>
      <w:sz w:val="28"/>
      <w:szCs w:val="28"/>
      <w:lang w:val="fr-FR"/>
    </w:rPr>
  </w:style>
  <w:style w:type="character" w:customStyle="1" w:styleId="Heading2Char">
    <w:name w:val="Heading 2 Char"/>
    <w:basedOn w:val="DefaultParagraphFont"/>
    <w:link w:val="Heading2"/>
    <w:rsid w:val="00BF26E8"/>
    <w:rPr>
      <w:rFonts w:eastAsia="Times New Roman"/>
      <w:b/>
      <w:sz w:val="24"/>
      <w:szCs w:val="24"/>
      <w:lang w:val="fr-FR"/>
    </w:rPr>
  </w:style>
  <w:style w:type="character" w:customStyle="1" w:styleId="Heading3Char">
    <w:name w:val="Heading 3 Char"/>
    <w:basedOn w:val="DefaultParagraphFont"/>
    <w:link w:val="Heading3"/>
    <w:rsid w:val="00BF26E8"/>
    <w:rPr>
      <w:rFonts w:eastAsia="Times New Roman"/>
      <w:b/>
      <w:lang w:val="fr-FR"/>
    </w:rPr>
  </w:style>
  <w:style w:type="character" w:customStyle="1" w:styleId="Heading4Char">
    <w:name w:val="Heading 4 Char"/>
    <w:basedOn w:val="DefaultParagraphFont"/>
    <w:link w:val="Heading4"/>
    <w:rsid w:val="00BF26E8"/>
    <w:rPr>
      <w:rFonts w:eastAsia="Times New Roman"/>
      <w:b/>
      <w:lang w:val="fr-FR" w:eastAsia="en-US"/>
    </w:rPr>
  </w:style>
  <w:style w:type="character" w:customStyle="1" w:styleId="Heading5Char">
    <w:name w:val="Heading 5 Char"/>
    <w:basedOn w:val="DefaultParagraphFont"/>
    <w:link w:val="Heading5"/>
    <w:rsid w:val="00BF26E8"/>
    <w:rPr>
      <w:rFonts w:eastAsia="Times New Roman"/>
      <w:b/>
      <w:lang w:val="fr-FR"/>
    </w:rPr>
  </w:style>
  <w:style w:type="character" w:customStyle="1" w:styleId="Heading6Char">
    <w:name w:val="Heading 6 Char"/>
    <w:basedOn w:val="DefaultParagraphFont"/>
    <w:link w:val="Heading6"/>
    <w:rsid w:val="00BF26E8"/>
    <w:rPr>
      <w:rFonts w:eastAsia="Times New Roman"/>
      <w:bCs/>
      <w:sz w:val="24"/>
      <w:lang w:val="fr-FR"/>
    </w:rPr>
  </w:style>
  <w:style w:type="character" w:customStyle="1" w:styleId="Heading7Char">
    <w:name w:val="Heading 7 Char"/>
    <w:basedOn w:val="DefaultParagraphFont"/>
    <w:link w:val="Heading7"/>
    <w:rsid w:val="00BF26E8"/>
    <w:rPr>
      <w:rFonts w:eastAsia="Times New Roman"/>
      <w:b/>
      <w:snapToGrid w:val="0"/>
      <w:u w:val="single"/>
      <w:lang w:val="fr-FR"/>
    </w:rPr>
  </w:style>
  <w:style w:type="character" w:customStyle="1" w:styleId="Heading8Char">
    <w:name w:val="Heading 8 Char"/>
    <w:basedOn w:val="DefaultParagraphFont"/>
    <w:link w:val="Heading8"/>
    <w:rsid w:val="00BF26E8"/>
    <w:rPr>
      <w:rFonts w:eastAsia="Times New Roman"/>
      <w:b/>
      <w:snapToGrid w:val="0"/>
      <w:u w:val="single"/>
      <w:lang w:val="fr-FR"/>
    </w:rPr>
  </w:style>
  <w:style w:type="character" w:customStyle="1" w:styleId="Heading9Char">
    <w:name w:val="Heading 9 Char"/>
    <w:basedOn w:val="DefaultParagraphFont"/>
    <w:link w:val="Heading9"/>
    <w:rsid w:val="00BF26E8"/>
    <w:rPr>
      <w:rFonts w:eastAsia="Times New Roman"/>
      <w:snapToGrid w:val="0"/>
      <w:u w:val="single"/>
      <w:lang w:val="fr-FR"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E24D9"/>
    <w:pPr>
      <w:ind w:left="720"/>
      <w:contextualSpacing/>
    </w:pPr>
  </w:style>
  <w:style w:type="paragraph" w:styleId="NoSpacing">
    <w:name w:val="No Spacing"/>
    <w:uiPriority w:val="1"/>
    <w:semiHidden/>
    <w:qFormat/>
    <w:rsid w:val="00DE24D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BF26E8"/>
    <w:rPr>
      <w:rFonts w:eastAsia="Times New Roman"/>
      <w:lang w:eastAsia="en-US"/>
    </w:rPr>
  </w:style>
  <w:style w:type="character" w:styleId="PlaceholderText">
    <w:name w:val="Placeholder Text"/>
    <w:basedOn w:val="DefaultParagraphFont"/>
    <w:uiPriority w:val="99"/>
    <w:semiHidden/>
    <w:rsid w:val="00DE24D9"/>
    <w:rPr>
      <w:color w:val="808080"/>
      <w:lang w:val="fr-FR"/>
    </w:rPr>
  </w:style>
  <w:style w:type="table" w:styleId="TableGrid">
    <w:name w:val="Table Grid"/>
    <w:basedOn w:val="TableNormal"/>
    <w:uiPriority w:val="39"/>
    <w:rsid w:val="00D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BF26E8"/>
    <w:pPr>
      <w:spacing w:before="120" w:after="240"/>
    </w:pPr>
    <w:rPr>
      <w:rFonts w:eastAsia="Times New Roman"/>
    </w:rPr>
  </w:style>
  <w:style w:type="character" w:customStyle="1" w:styleId="ALogoChar">
    <w:name w:val="A_Logo Char"/>
    <w:basedOn w:val="DefaultParagraphFont"/>
    <w:link w:val="ALogo"/>
    <w:rsid w:val="00BF26E8"/>
    <w:rPr>
      <w:rFonts w:eastAsia="Times New Roman"/>
      <w:lang w:val="fr-FR"/>
    </w:rPr>
  </w:style>
  <w:style w:type="paragraph" w:customStyle="1" w:styleId="ASpacer">
    <w:name w:val="A_Spacer"/>
    <w:basedOn w:val="Normal-pool"/>
    <w:link w:val="ASpacerChar"/>
    <w:qFormat/>
    <w:rsid w:val="00BF26E8"/>
    <w:rPr>
      <w:rFonts w:eastAsia="Times New Roman"/>
      <w:sz w:val="2"/>
    </w:rPr>
  </w:style>
  <w:style w:type="character" w:customStyle="1" w:styleId="ASpacerChar">
    <w:name w:val="A_Spacer Char"/>
    <w:basedOn w:val="DefaultParagraphFont"/>
    <w:link w:val="ASpacer"/>
    <w:rsid w:val="00BF26E8"/>
    <w:rPr>
      <w:rFonts w:eastAsia="Times New Roman"/>
      <w:sz w:val="2"/>
      <w:lang w:val="fr-FR"/>
    </w:rPr>
  </w:style>
  <w:style w:type="paragraph" w:customStyle="1" w:styleId="AATitle1">
    <w:name w:val="AA_Title1"/>
    <w:basedOn w:val="Normal-pool"/>
    <w:qFormat/>
    <w:rsid w:val="00BF26E8"/>
  </w:style>
  <w:style w:type="character" w:styleId="UnresolvedMention">
    <w:name w:val="Unresolved Mention"/>
    <w:basedOn w:val="DefaultParagraphFont"/>
    <w:uiPriority w:val="99"/>
    <w:semiHidden/>
    <w:rsid w:val="00DE24D9"/>
    <w:rPr>
      <w:color w:val="605E5C"/>
      <w:shd w:val="clear" w:color="auto" w:fill="E1DFDD"/>
      <w:lang w:val="fr-FR"/>
    </w:rPr>
  </w:style>
  <w:style w:type="paragraph" w:customStyle="1" w:styleId="ANormal">
    <w:name w:val="A_Normal"/>
    <w:basedOn w:val="Normal-pool"/>
    <w:qFormat/>
    <w:rsid w:val="00BF26E8"/>
    <w:rPr>
      <w:rFonts w:eastAsia="Times New Roman"/>
    </w:rPr>
  </w:style>
  <w:style w:type="paragraph" w:customStyle="1" w:styleId="AText0">
    <w:name w:val="A_Text0"/>
    <w:basedOn w:val="AText"/>
    <w:next w:val="Normal-pool"/>
    <w:qFormat/>
    <w:rsid w:val="00BF26E8"/>
    <w:pPr>
      <w:spacing w:before="0" w:after="120"/>
    </w:pPr>
    <w:rPr>
      <w:rFonts w:eastAsia="Times New Roman"/>
    </w:rPr>
  </w:style>
  <w:style w:type="paragraph" w:styleId="Footer">
    <w:name w:val="footer"/>
    <w:basedOn w:val="Normal"/>
    <w:link w:val="FooterChar"/>
    <w:uiPriority w:val="99"/>
    <w:rsid w:val="00BF26E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DE24D9"/>
    <w:rPr>
      <w:rFonts w:eastAsia="Times New Roman"/>
      <w:b/>
      <w:sz w:val="18"/>
      <w:lang w:val="fr-FR" w:eastAsia="en-US"/>
    </w:rPr>
  </w:style>
  <w:style w:type="paragraph" w:customStyle="1" w:styleId="Normal-pool">
    <w:name w:val="Normal-pool"/>
    <w:link w:val="Normal-poolChar"/>
    <w:qFormat/>
    <w:rsid w:val="00BF26E8"/>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BF26E8"/>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BF26E8"/>
    <w:pPr>
      <w:spacing w:before="60"/>
    </w:pPr>
    <w:rPr>
      <w:sz w:val="18"/>
    </w:rPr>
  </w:style>
  <w:style w:type="paragraph" w:styleId="Bibliography">
    <w:name w:val="Bibliography"/>
    <w:basedOn w:val="Normal"/>
    <w:next w:val="Normal"/>
    <w:uiPriority w:val="37"/>
    <w:semiHidden/>
    <w:rsid w:val="00DE24D9"/>
  </w:style>
  <w:style w:type="paragraph" w:styleId="BlockText">
    <w:name w:val="Block Text"/>
    <w:basedOn w:val="Normal"/>
    <w:semiHidden/>
    <w:unhideWhenUsed/>
    <w:rsid w:val="00DE24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E24D9"/>
    <w:pPr>
      <w:spacing w:after="120"/>
    </w:pPr>
  </w:style>
  <w:style w:type="character" w:customStyle="1" w:styleId="BodyTextChar">
    <w:name w:val="Body Text Char"/>
    <w:basedOn w:val="DefaultParagraphFont"/>
    <w:link w:val="BodyText"/>
    <w:semiHidden/>
    <w:rsid w:val="00DE24D9"/>
    <w:rPr>
      <w:rFonts w:eastAsia="Times New Roman"/>
      <w:lang w:val="fr-FR" w:eastAsia="en-US"/>
    </w:rPr>
  </w:style>
  <w:style w:type="paragraph" w:styleId="BodyText2">
    <w:name w:val="Body Text 2"/>
    <w:basedOn w:val="Normal"/>
    <w:link w:val="BodyText2Char"/>
    <w:semiHidden/>
    <w:unhideWhenUsed/>
    <w:rsid w:val="00DE24D9"/>
    <w:pPr>
      <w:spacing w:after="120" w:line="480" w:lineRule="auto"/>
    </w:pPr>
  </w:style>
  <w:style w:type="character" w:customStyle="1" w:styleId="BodyText2Char">
    <w:name w:val="Body Text 2 Char"/>
    <w:basedOn w:val="DefaultParagraphFont"/>
    <w:link w:val="BodyText2"/>
    <w:semiHidden/>
    <w:rsid w:val="00DE24D9"/>
    <w:rPr>
      <w:rFonts w:eastAsia="Times New Roman"/>
      <w:lang w:val="fr-FR" w:eastAsia="en-US"/>
    </w:rPr>
  </w:style>
  <w:style w:type="paragraph" w:styleId="BodyText3">
    <w:name w:val="Body Text 3"/>
    <w:basedOn w:val="Normal"/>
    <w:link w:val="BodyText3Char"/>
    <w:semiHidden/>
    <w:unhideWhenUsed/>
    <w:rsid w:val="00DE24D9"/>
    <w:pPr>
      <w:spacing w:after="120"/>
    </w:pPr>
    <w:rPr>
      <w:sz w:val="16"/>
      <w:szCs w:val="16"/>
    </w:rPr>
  </w:style>
  <w:style w:type="character" w:customStyle="1" w:styleId="BodyText3Char">
    <w:name w:val="Body Text 3 Char"/>
    <w:basedOn w:val="DefaultParagraphFont"/>
    <w:link w:val="BodyText3"/>
    <w:semiHidden/>
    <w:rsid w:val="00DE24D9"/>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DE24D9"/>
    <w:pPr>
      <w:spacing w:after="0"/>
      <w:ind w:firstLine="360"/>
    </w:pPr>
  </w:style>
  <w:style w:type="character" w:customStyle="1" w:styleId="BodyTextFirstIndentChar">
    <w:name w:val="Body Text First Indent Char"/>
    <w:basedOn w:val="BodyTextChar"/>
    <w:link w:val="BodyTextFirstIndent"/>
    <w:semiHidden/>
    <w:rsid w:val="00DE24D9"/>
    <w:rPr>
      <w:rFonts w:eastAsia="Times New Roman"/>
      <w:lang w:val="fr-FR" w:eastAsia="en-US"/>
    </w:rPr>
  </w:style>
  <w:style w:type="paragraph" w:styleId="BodyTextIndent">
    <w:name w:val="Body Text Indent"/>
    <w:basedOn w:val="Normal"/>
    <w:link w:val="BodyTextIndentChar"/>
    <w:semiHidden/>
    <w:unhideWhenUsed/>
    <w:rsid w:val="00DE24D9"/>
    <w:pPr>
      <w:spacing w:after="120"/>
      <w:ind w:left="283"/>
    </w:pPr>
  </w:style>
  <w:style w:type="character" w:customStyle="1" w:styleId="BodyTextIndentChar">
    <w:name w:val="Body Text Indent Char"/>
    <w:basedOn w:val="DefaultParagraphFont"/>
    <w:link w:val="BodyTextIndent"/>
    <w:semiHidden/>
    <w:rsid w:val="00DE24D9"/>
    <w:rPr>
      <w:rFonts w:eastAsia="Times New Roman"/>
      <w:lang w:val="fr-FR" w:eastAsia="en-US"/>
    </w:rPr>
  </w:style>
  <w:style w:type="paragraph" w:styleId="BodyTextFirstIndent2">
    <w:name w:val="Body Text First Indent 2"/>
    <w:basedOn w:val="BodyTextIndent"/>
    <w:link w:val="BodyTextFirstIndent2Char"/>
    <w:semiHidden/>
    <w:unhideWhenUsed/>
    <w:rsid w:val="00DE24D9"/>
    <w:pPr>
      <w:spacing w:after="0"/>
      <w:ind w:left="360" w:firstLine="360"/>
    </w:pPr>
  </w:style>
  <w:style w:type="character" w:customStyle="1" w:styleId="BodyTextFirstIndent2Char">
    <w:name w:val="Body Text First Indent 2 Char"/>
    <w:basedOn w:val="BodyTextIndentChar"/>
    <w:link w:val="BodyTextFirstIndent2"/>
    <w:semiHidden/>
    <w:rsid w:val="00DE24D9"/>
    <w:rPr>
      <w:rFonts w:eastAsia="Times New Roman"/>
      <w:lang w:val="fr-FR" w:eastAsia="en-US"/>
    </w:rPr>
  </w:style>
  <w:style w:type="paragraph" w:styleId="BodyTextIndent2">
    <w:name w:val="Body Text Indent 2"/>
    <w:basedOn w:val="Normal"/>
    <w:link w:val="BodyTextIndent2Char"/>
    <w:semiHidden/>
    <w:unhideWhenUsed/>
    <w:rsid w:val="00DE24D9"/>
    <w:pPr>
      <w:spacing w:after="120" w:line="480" w:lineRule="auto"/>
      <w:ind w:left="283"/>
    </w:pPr>
  </w:style>
  <w:style w:type="character" w:customStyle="1" w:styleId="BodyTextIndent2Char">
    <w:name w:val="Body Text Indent 2 Char"/>
    <w:basedOn w:val="DefaultParagraphFont"/>
    <w:link w:val="BodyTextIndent2"/>
    <w:semiHidden/>
    <w:rsid w:val="00DE24D9"/>
    <w:rPr>
      <w:rFonts w:eastAsia="Times New Roman"/>
      <w:lang w:val="fr-FR" w:eastAsia="en-US"/>
    </w:rPr>
  </w:style>
  <w:style w:type="paragraph" w:styleId="BodyTextIndent3">
    <w:name w:val="Body Text Indent 3"/>
    <w:basedOn w:val="Normal"/>
    <w:link w:val="BodyTextIndent3Char"/>
    <w:semiHidden/>
    <w:unhideWhenUsed/>
    <w:rsid w:val="00DE24D9"/>
    <w:pPr>
      <w:spacing w:after="120"/>
      <w:ind w:left="283"/>
    </w:pPr>
    <w:rPr>
      <w:sz w:val="16"/>
      <w:szCs w:val="16"/>
    </w:rPr>
  </w:style>
  <w:style w:type="character" w:customStyle="1" w:styleId="BodyTextIndent3Char">
    <w:name w:val="Body Text Indent 3 Char"/>
    <w:basedOn w:val="DefaultParagraphFont"/>
    <w:link w:val="BodyTextIndent3"/>
    <w:semiHidden/>
    <w:rsid w:val="00DE24D9"/>
    <w:rPr>
      <w:rFonts w:eastAsia="Times New Roman"/>
      <w:sz w:val="16"/>
      <w:szCs w:val="16"/>
      <w:lang w:val="fr-FR" w:eastAsia="en-US"/>
    </w:rPr>
  </w:style>
  <w:style w:type="character" w:styleId="BookTitle">
    <w:name w:val="Book Title"/>
    <w:basedOn w:val="DefaultParagraphFont"/>
    <w:uiPriority w:val="33"/>
    <w:semiHidden/>
    <w:qFormat/>
    <w:rsid w:val="00DE24D9"/>
    <w:rPr>
      <w:b/>
      <w:bCs/>
      <w:i/>
      <w:iCs/>
      <w:spacing w:val="5"/>
      <w:lang w:val="fr-FR"/>
    </w:rPr>
  </w:style>
  <w:style w:type="paragraph" w:styleId="Caption">
    <w:name w:val="caption"/>
    <w:basedOn w:val="Normal"/>
    <w:next w:val="Normal"/>
    <w:semiHidden/>
    <w:unhideWhenUsed/>
    <w:qFormat/>
    <w:rsid w:val="00DE24D9"/>
    <w:pPr>
      <w:spacing w:after="200"/>
    </w:pPr>
    <w:rPr>
      <w:i/>
      <w:iCs/>
      <w:color w:val="1F497D" w:themeColor="text2"/>
      <w:sz w:val="18"/>
      <w:szCs w:val="18"/>
    </w:rPr>
  </w:style>
  <w:style w:type="paragraph" w:styleId="Closing">
    <w:name w:val="Closing"/>
    <w:basedOn w:val="Normal"/>
    <w:link w:val="ClosingChar"/>
    <w:semiHidden/>
    <w:unhideWhenUsed/>
    <w:rsid w:val="00DE24D9"/>
    <w:pPr>
      <w:ind w:left="4252"/>
    </w:pPr>
  </w:style>
  <w:style w:type="character" w:customStyle="1" w:styleId="ClosingChar">
    <w:name w:val="Closing Char"/>
    <w:basedOn w:val="DefaultParagraphFont"/>
    <w:link w:val="Closing"/>
    <w:semiHidden/>
    <w:rsid w:val="00DE24D9"/>
    <w:rPr>
      <w:rFonts w:eastAsia="Times New Roman"/>
      <w:lang w:val="fr-FR" w:eastAsia="en-US"/>
    </w:rPr>
  </w:style>
  <w:style w:type="table" w:styleId="ColorfulGrid">
    <w:name w:val="Colorful Grid"/>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E24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E24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E24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E24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E24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E24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E24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E24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E24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E24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E24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E24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E24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E24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E24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E24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E24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E24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E24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E24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E24D9"/>
  </w:style>
  <w:style w:type="character" w:customStyle="1" w:styleId="DateChar">
    <w:name w:val="Date Char"/>
    <w:basedOn w:val="DefaultParagraphFont"/>
    <w:link w:val="Date"/>
    <w:semiHidden/>
    <w:rsid w:val="00DE24D9"/>
    <w:rPr>
      <w:rFonts w:eastAsia="Times New Roman"/>
      <w:lang w:val="fr-FR" w:eastAsia="en-US"/>
    </w:rPr>
  </w:style>
  <w:style w:type="paragraph" w:styleId="DocumentMap">
    <w:name w:val="Document Map"/>
    <w:basedOn w:val="Normal"/>
    <w:link w:val="DocumentMapChar"/>
    <w:semiHidden/>
    <w:unhideWhenUsed/>
    <w:rsid w:val="00DE24D9"/>
    <w:rPr>
      <w:rFonts w:ascii="Segoe UI" w:hAnsi="Segoe UI" w:cs="Segoe UI"/>
      <w:sz w:val="16"/>
      <w:szCs w:val="16"/>
    </w:rPr>
  </w:style>
  <w:style w:type="character" w:customStyle="1" w:styleId="DocumentMapChar">
    <w:name w:val="Document Map Char"/>
    <w:basedOn w:val="DefaultParagraphFont"/>
    <w:link w:val="DocumentMap"/>
    <w:semiHidden/>
    <w:rsid w:val="00DE24D9"/>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DE24D9"/>
  </w:style>
  <w:style w:type="character" w:customStyle="1" w:styleId="E-mailSignatureChar">
    <w:name w:val="E-mail Signature Char"/>
    <w:basedOn w:val="DefaultParagraphFont"/>
    <w:link w:val="E-mailSignature"/>
    <w:semiHidden/>
    <w:rsid w:val="00DE24D9"/>
    <w:rPr>
      <w:rFonts w:eastAsia="Times New Roman"/>
      <w:lang w:val="fr-FR" w:eastAsia="en-US"/>
    </w:rPr>
  </w:style>
  <w:style w:type="character" w:styleId="Emphasis">
    <w:name w:val="Emphasis"/>
    <w:basedOn w:val="DefaultParagraphFont"/>
    <w:semiHidden/>
    <w:qFormat/>
    <w:rsid w:val="00DE24D9"/>
    <w:rPr>
      <w:i/>
      <w:iCs/>
      <w:lang w:val="fr-FR"/>
    </w:rPr>
  </w:style>
  <w:style w:type="character" w:styleId="EndnoteReference">
    <w:name w:val="endnote reference"/>
    <w:basedOn w:val="DefaultParagraphFont"/>
    <w:semiHidden/>
    <w:unhideWhenUsed/>
    <w:rsid w:val="00DE24D9"/>
    <w:rPr>
      <w:vertAlign w:val="superscript"/>
      <w:lang w:val="fr-FR"/>
    </w:rPr>
  </w:style>
  <w:style w:type="paragraph" w:styleId="EndnoteText">
    <w:name w:val="endnote text"/>
    <w:basedOn w:val="Normal"/>
    <w:link w:val="EndnoteTextChar"/>
    <w:semiHidden/>
    <w:unhideWhenUsed/>
    <w:rsid w:val="00DE24D9"/>
  </w:style>
  <w:style w:type="character" w:customStyle="1" w:styleId="EndnoteTextChar">
    <w:name w:val="Endnote Text Char"/>
    <w:basedOn w:val="DefaultParagraphFont"/>
    <w:link w:val="EndnoteText"/>
    <w:semiHidden/>
    <w:rsid w:val="00DE24D9"/>
    <w:rPr>
      <w:rFonts w:eastAsia="Times New Roman"/>
      <w:lang w:val="fr-FR" w:eastAsia="en-US"/>
    </w:rPr>
  </w:style>
  <w:style w:type="paragraph" w:styleId="EnvelopeAddress">
    <w:name w:val="envelope address"/>
    <w:basedOn w:val="Normal"/>
    <w:semiHidden/>
    <w:unhideWhenUsed/>
    <w:rsid w:val="00DE24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E24D9"/>
    <w:rPr>
      <w:rFonts w:asciiTheme="majorHAnsi" w:eastAsiaTheme="majorEastAsia" w:hAnsiTheme="majorHAnsi" w:cstheme="majorBidi"/>
    </w:rPr>
  </w:style>
  <w:style w:type="paragraph" w:styleId="FootnoteText">
    <w:name w:val="footnote text"/>
    <w:basedOn w:val="Normal"/>
    <w:link w:val="FootnoteTextChar"/>
    <w:rsid w:val="00BF26E8"/>
    <w:pPr>
      <w:tabs>
        <w:tab w:val="left" w:pos="4082"/>
      </w:tabs>
      <w:spacing w:before="20" w:after="40"/>
      <w:ind w:left="1247"/>
    </w:pPr>
    <w:rPr>
      <w:sz w:val="18"/>
    </w:rPr>
  </w:style>
  <w:style w:type="character" w:customStyle="1" w:styleId="FootnoteTextChar">
    <w:name w:val="Footnote Text Char"/>
    <w:basedOn w:val="DefaultParagraphFont"/>
    <w:link w:val="FootnoteText"/>
    <w:rsid w:val="00DE24D9"/>
    <w:rPr>
      <w:rFonts w:eastAsia="Times New Roman"/>
      <w:sz w:val="18"/>
      <w:lang w:val="fr-FR" w:eastAsia="en-US"/>
    </w:rPr>
  </w:style>
  <w:style w:type="table" w:styleId="GridTable1Light">
    <w:name w:val="Grid Table 1 Light"/>
    <w:basedOn w:val="TableNormal"/>
    <w:uiPriority w:val="46"/>
    <w:rsid w:val="00DE24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24D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E24D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24D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24D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E24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E24D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E24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E24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E24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E24D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E24D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E24D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E24D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E24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E24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E24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E24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E24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E24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E24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E24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E24D9"/>
    <w:rPr>
      <w:color w:val="2B579A"/>
      <w:shd w:val="clear" w:color="auto" w:fill="E1DFDD"/>
      <w:lang w:val="fr-FR"/>
    </w:rPr>
  </w:style>
  <w:style w:type="character" w:styleId="HTMLAcronym">
    <w:name w:val="HTML Acronym"/>
    <w:basedOn w:val="DefaultParagraphFont"/>
    <w:semiHidden/>
    <w:unhideWhenUsed/>
    <w:rsid w:val="00DE24D9"/>
    <w:rPr>
      <w:lang w:val="fr-FR"/>
    </w:rPr>
  </w:style>
  <w:style w:type="paragraph" w:styleId="HTMLAddress">
    <w:name w:val="HTML Address"/>
    <w:basedOn w:val="Normal"/>
    <w:link w:val="HTMLAddressChar"/>
    <w:semiHidden/>
    <w:unhideWhenUsed/>
    <w:rsid w:val="00DE24D9"/>
    <w:rPr>
      <w:i/>
      <w:iCs/>
    </w:rPr>
  </w:style>
  <w:style w:type="character" w:customStyle="1" w:styleId="HTMLAddressChar">
    <w:name w:val="HTML Address Char"/>
    <w:basedOn w:val="DefaultParagraphFont"/>
    <w:link w:val="HTMLAddress"/>
    <w:semiHidden/>
    <w:rsid w:val="00DE24D9"/>
    <w:rPr>
      <w:rFonts w:eastAsia="Times New Roman"/>
      <w:i/>
      <w:iCs/>
      <w:lang w:val="fr-FR" w:eastAsia="en-US"/>
    </w:rPr>
  </w:style>
  <w:style w:type="character" w:styleId="HTMLCite">
    <w:name w:val="HTML Cite"/>
    <w:basedOn w:val="DefaultParagraphFont"/>
    <w:semiHidden/>
    <w:unhideWhenUsed/>
    <w:rsid w:val="00DE24D9"/>
    <w:rPr>
      <w:i/>
      <w:iCs/>
      <w:lang w:val="fr-FR"/>
    </w:rPr>
  </w:style>
  <w:style w:type="character" w:styleId="HTMLCode">
    <w:name w:val="HTML Code"/>
    <w:basedOn w:val="DefaultParagraphFont"/>
    <w:semiHidden/>
    <w:unhideWhenUsed/>
    <w:rsid w:val="00DE24D9"/>
    <w:rPr>
      <w:rFonts w:ascii="Consolas" w:hAnsi="Consolas"/>
      <w:sz w:val="20"/>
      <w:szCs w:val="20"/>
      <w:lang w:val="fr-FR"/>
    </w:rPr>
  </w:style>
  <w:style w:type="character" w:styleId="HTMLDefinition">
    <w:name w:val="HTML Definition"/>
    <w:basedOn w:val="DefaultParagraphFont"/>
    <w:semiHidden/>
    <w:unhideWhenUsed/>
    <w:rsid w:val="00DE24D9"/>
    <w:rPr>
      <w:i/>
      <w:iCs/>
      <w:lang w:val="fr-FR"/>
    </w:rPr>
  </w:style>
  <w:style w:type="character" w:styleId="HTMLKeyboard">
    <w:name w:val="HTML Keyboard"/>
    <w:basedOn w:val="DefaultParagraphFont"/>
    <w:semiHidden/>
    <w:unhideWhenUsed/>
    <w:rsid w:val="00DE24D9"/>
    <w:rPr>
      <w:rFonts w:ascii="Consolas" w:hAnsi="Consolas"/>
      <w:sz w:val="20"/>
      <w:szCs w:val="20"/>
      <w:lang w:val="fr-FR"/>
    </w:rPr>
  </w:style>
  <w:style w:type="paragraph" w:styleId="HTMLPreformatted">
    <w:name w:val="HTML Preformatted"/>
    <w:basedOn w:val="Normal"/>
    <w:link w:val="HTMLPreformattedChar"/>
    <w:semiHidden/>
    <w:unhideWhenUsed/>
    <w:rsid w:val="00DE24D9"/>
    <w:rPr>
      <w:rFonts w:ascii="Consolas" w:hAnsi="Consolas"/>
    </w:rPr>
  </w:style>
  <w:style w:type="character" w:customStyle="1" w:styleId="HTMLPreformattedChar">
    <w:name w:val="HTML Preformatted Char"/>
    <w:basedOn w:val="DefaultParagraphFont"/>
    <w:link w:val="HTMLPreformatted"/>
    <w:semiHidden/>
    <w:rsid w:val="00DE24D9"/>
    <w:rPr>
      <w:rFonts w:ascii="Consolas" w:eastAsia="Times New Roman" w:hAnsi="Consolas"/>
      <w:lang w:val="fr-FR" w:eastAsia="en-US"/>
    </w:rPr>
  </w:style>
  <w:style w:type="character" w:styleId="HTMLSample">
    <w:name w:val="HTML Sample"/>
    <w:basedOn w:val="DefaultParagraphFont"/>
    <w:semiHidden/>
    <w:unhideWhenUsed/>
    <w:rsid w:val="00DE24D9"/>
    <w:rPr>
      <w:rFonts w:ascii="Consolas" w:hAnsi="Consolas"/>
      <w:sz w:val="24"/>
      <w:szCs w:val="24"/>
      <w:lang w:val="fr-FR"/>
    </w:rPr>
  </w:style>
  <w:style w:type="character" w:styleId="HTMLTypewriter">
    <w:name w:val="HTML Typewriter"/>
    <w:basedOn w:val="DefaultParagraphFont"/>
    <w:semiHidden/>
    <w:unhideWhenUsed/>
    <w:rsid w:val="00DE24D9"/>
    <w:rPr>
      <w:rFonts w:ascii="Consolas" w:hAnsi="Consolas"/>
      <w:sz w:val="20"/>
      <w:szCs w:val="20"/>
      <w:lang w:val="fr-FR"/>
    </w:rPr>
  </w:style>
  <w:style w:type="character" w:styleId="HTMLVariable">
    <w:name w:val="HTML Variable"/>
    <w:basedOn w:val="DefaultParagraphFont"/>
    <w:semiHidden/>
    <w:unhideWhenUsed/>
    <w:rsid w:val="00DE24D9"/>
    <w:rPr>
      <w:i/>
      <w:iCs/>
      <w:lang w:val="fr-FR"/>
    </w:rPr>
  </w:style>
  <w:style w:type="paragraph" w:styleId="Index1">
    <w:name w:val="index 1"/>
    <w:basedOn w:val="Normal"/>
    <w:next w:val="Normal"/>
    <w:autoRedefine/>
    <w:semiHidden/>
    <w:unhideWhenUsed/>
    <w:rsid w:val="00DE24D9"/>
    <w:pPr>
      <w:tabs>
        <w:tab w:val="clear" w:pos="1247"/>
      </w:tabs>
      <w:ind w:left="200" w:hanging="200"/>
    </w:pPr>
  </w:style>
  <w:style w:type="paragraph" w:styleId="Index2">
    <w:name w:val="index 2"/>
    <w:basedOn w:val="Normal"/>
    <w:next w:val="Normal"/>
    <w:autoRedefine/>
    <w:semiHidden/>
    <w:unhideWhenUsed/>
    <w:rsid w:val="00DE24D9"/>
    <w:pPr>
      <w:tabs>
        <w:tab w:val="clear" w:pos="1247"/>
      </w:tabs>
      <w:ind w:left="400" w:hanging="200"/>
    </w:pPr>
  </w:style>
  <w:style w:type="paragraph" w:styleId="Index3">
    <w:name w:val="index 3"/>
    <w:basedOn w:val="Normal"/>
    <w:next w:val="Normal"/>
    <w:autoRedefine/>
    <w:semiHidden/>
    <w:unhideWhenUsed/>
    <w:rsid w:val="00DE24D9"/>
    <w:pPr>
      <w:tabs>
        <w:tab w:val="clear" w:pos="1247"/>
      </w:tabs>
      <w:ind w:left="600" w:hanging="200"/>
    </w:pPr>
  </w:style>
  <w:style w:type="paragraph" w:styleId="Index4">
    <w:name w:val="index 4"/>
    <w:basedOn w:val="Normal"/>
    <w:next w:val="Normal"/>
    <w:autoRedefine/>
    <w:semiHidden/>
    <w:unhideWhenUsed/>
    <w:rsid w:val="00DE24D9"/>
    <w:pPr>
      <w:tabs>
        <w:tab w:val="clear" w:pos="1247"/>
      </w:tabs>
      <w:ind w:left="800" w:hanging="200"/>
    </w:pPr>
  </w:style>
  <w:style w:type="paragraph" w:styleId="Index5">
    <w:name w:val="index 5"/>
    <w:basedOn w:val="Normal"/>
    <w:next w:val="Normal"/>
    <w:autoRedefine/>
    <w:semiHidden/>
    <w:unhideWhenUsed/>
    <w:rsid w:val="00DE24D9"/>
    <w:pPr>
      <w:tabs>
        <w:tab w:val="clear" w:pos="1247"/>
      </w:tabs>
      <w:ind w:left="1000" w:hanging="200"/>
    </w:pPr>
  </w:style>
  <w:style w:type="paragraph" w:styleId="Index6">
    <w:name w:val="index 6"/>
    <w:basedOn w:val="Normal"/>
    <w:next w:val="Normal"/>
    <w:autoRedefine/>
    <w:semiHidden/>
    <w:unhideWhenUsed/>
    <w:rsid w:val="00DE24D9"/>
    <w:pPr>
      <w:tabs>
        <w:tab w:val="clear" w:pos="1247"/>
      </w:tabs>
      <w:ind w:left="1200" w:hanging="200"/>
    </w:pPr>
  </w:style>
  <w:style w:type="paragraph" w:styleId="Index7">
    <w:name w:val="index 7"/>
    <w:basedOn w:val="Normal"/>
    <w:next w:val="Normal"/>
    <w:autoRedefine/>
    <w:semiHidden/>
    <w:unhideWhenUsed/>
    <w:rsid w:val="00DE24D9"/>
    <w:pPr>
      <w:tabs>
        <w:tab w:val="clear" w:pos="1247"/>
      </w:tabs>
      <w:ind w:left="1400" w:hanging="200"/>
    </w:pPr>
  </w:style>
  <w:style w:type="paragraph" w:styleId="Index8">
    <w:name w:val="index 8"/>
    <w:basedOn w:val="Normal"/>
    <w:next w:val="Normal"/>
    <w:autoRedefine/>
    <w:semiHidden/>
    <w:unhideWhenUsed/>
    <w:rsid w:val="00DE24D9"/>
    <w:pPr>
      <w:tabs>
        <w:tab w:val="clear" w:pos="1247"/>
      </w:tabs>
      <w:ind w:left="1600" w:hanging="200"/>
    </w:pPr>
  </w:style>
  <w:style w:type="paragraph" w:styleId="Index9">
    <w:name w:val="index 9"/>
    <w:basedOn w:val="Normal"/>
    <w:next w:val="Normal"/>
    <w:autoRedefine/>
    <w:semiHidden/>
    <w:unhideWhenUsed/>
    <w:rsid w:val="00DE24D9"/>
    <w:pPr>
      <w:tabs>
        <w:tab w:val="clear" w:pos="1247"/>
      </w:tabs>
      <w:ind w:left="1800" w:hanging="200"/>
    </w:pPr>
  </w:style>
  <w:style w:type="paragraph" w:styleId="IndexHeading">
    <w:name w:val="index heading"/>
    <w:basedOn w:val="Normal"/>
    <w:next w:val="Index1"/>
    <w:semiHidden/>
    <w:unhideWhenUsed/>
    <w:rsid w:val="00DE24D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E24D9"/>
    <w:rPr>
      <w:i/>
      <w:iCs/>
      <w:color w:val="4F81BD" w:themeColor="accent1"/>
      <w:lang w:val="fr-FR"/>
    </w:rPr>
  </w:style>
  <w:style w:type="paragraph" w:styleId="IntenseQuote">
    <w:name w:val="Intense Quote"/>
    <w:basedOn w:val="Normal"/>
    <w:next w:val="Normal"/>
    <w:link w:val="IntenseQuoteChar"/>
    <w:uiPriority w:val="30"/>
    <w:semiHidden/>
    <w:qFormat/>
    <w:rsid w:val="00DE24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E24D9"/>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DE24D9"/>
    <w:rPr>
      <w:b/>
      <w:bCs/>
      <w:smallCaps/>
      <w:color w:val="4F81BD" w:themeColor="accent1"/>
      <w:spacing w:val="5"/>
      <w:lang w:val="fr-FR"/>
    </w:rPr>
  </w:style>
  <w:style w:type="table" w:styleId="LightGrid">
    <w:name w:val="Light Grid"/>
    <w:basedOn w:val="TableNormal"/>
    <w:uiPriority w:val="62"/>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E24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E24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E24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E24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E24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E24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E24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E24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E24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E24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E24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E24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E24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E24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E24D9"/>
    <w:rPr>
      <w:lang w:val="fr-FR"/>
    </w:rPr>
  </w:style>
  <w:style w:type="paragraph" w:styleId="List">
    <w:name w:val="List"/>
    <w:basedOn w:val="Normal"/>
    <w:semiHidden/>
    <w:unhideWhenUsed/>
    <w:rsid w:val="00DE24D9"/>
    <w:pPr>
      <w:ind w:left="283" w:hanging="283"/>
      <w:contextualSpacing/>
    </w:pPr>
  </w:style>
  <w:style w:type="paragraph" w:styleId="List2">
    <w:name w:val="List 2"/>
    <w:basedOn w:val="Normal"/>
    <w:semiHidden/>
    <w:unhideWhenUsed/>
    <w:rsid w:val="00DE24D9"/>
    <w:pPr>
      <w:ind w:left="566" w:hanging="283"/>
      <w:contextualSpacing/>
    </w:pPr>
  </w:style>
  <w:style w:type="paragraph" w:styleId="List3">
    <w:name w:val="List 3"/>
    <w:basedOn w:val="Normal"/>
    <w:semiHidden/>
    <w:unhideWhenUsed/>
    <w:rsid w:val="00DE24D9"/>
    <w:pPr>
      <w:ind w:left="849" w:hanging="283"/>
      <w:contextualSpacing/>
    </w:pPr>
  </w:style>
  <w:style w:type="paragraph" w:styleId="List4">
    <w:name w:val="List 4"/>
    <w:basedOn w:val="Normal"/>
    <w:semiHidden/>
    <w:unhideWhenUsed/>
    <w:rsid w:val="00DE24D9"/>
    <w:pPr>
      <w:ind w:left="1132" w:hanging="283"/>
      <w:contextualSpacing/>
    </w:pPr>
  </w:style>
  <w:style w:type="paragraph" w:styleId="List5">
    <w:name w:val="List 5"/>
    <w:basedOn w:val="Normal"/>
    <w:semiHidden/>
    <w:unhideWhenUsed/>
    <w:rsid w:val="00DE24D9"/>
    <w:pPr>
      <w:ind w:left="1415" w:hanging="283"/>
      <w:contextualSpacing/>
    </w:pPr>
  </w:style>
  <w:style w:type="paragraph" w:styleId="ListBullet">
    <w:name w:val="List Bullet"/>
    <w:basedOn w:val="Normal"/>
    <w:semiHidden/>
    <w:rsid w:val="00DE24D9"/>
    <w:pPr>
      <w:numPr>
        <w:numId w:val="6"/>
      </w:numPr>
      <w:contextualSpacing/>
    </w:pPr>
  </w:style>
  <w:style w:type="paragraph" w:styleId="ListBullet2">
    <w:name w:val="List Bullet 2"/>
    <w:basedOn w:val="Normal"/>
    <w:semiHidden/>
    <w:unhideWhenUsed/>
    <w:rsid w:val="00DE24D9"/>
    <w:pPr>
      <w:numPr>
        <w:numId w:val="7"/>
      </w:numPr>
      <w:contextualSpacing/>
    </w:pPr>
  </w:style>
  <w:style w:type="paragraph" w:styleId="ListBullet3">
    <w:name w:val="List Bullet 3"/>
    <w:basedOn w:val="Normal"/>
    <w:semiHidden/>
    <w:unhideWhenUsed/>
    <w:rsid w:val="00DE24D9"/>
    <w:pPr>
      <w:numPr>
        <w:numId w:val="8"/>
      </w:numPr>
      <w:contextualSpacing/>
    </w:pPr>
  </w:style>
  <w:style w:type="paragraph" w:styleId="ListBullet4">
    <w:name w:val="List Bullet 4"/>
    <w:basedOn w:val="Normal"/>
    <w:semiHidden/>
    <w:unhideWhenUsed/>
    <w:rsid w:val="00DE24D9"/>
    <w:pPr>
      <w:numPr>
        <w:numId w:val="9"/>
      </w:numPr>
      <w:contextualSpacing/>
    </w:pPr>
  </w:style>
  <w:style w:type="paragraph" w:styleId="ListBullet5">
    <w:name w:val="List Bullet 5"/>
    <w:basedOn w:val="Normal"/>
    <w:semiHidden/>
    <w:unhideWhenUsed/>
    <w:rsid w:val="00DE24D9"/>
    <w:pPr>
      <w:numPr>
        <w:numId w:val="10"/>
      </w:numPr>
      <w:contextualSpacing/>
    </w:pPr>
  </w:style>
  <w:style w:type="paragraph" w:styleId="ListContinue">
    <w:name w:val="List Continue"/>
    <w:basedOn w:val="Normal"/>
    <w:semiHidden/>
    <w:unhideWhenUsed/>
    <w:rsid w:val="00DE24D9"/>
    <w:pPr>
      <w:spacing w:after="120"/>
      <w:ind w:left="283"/>
      <w:contextualSpacing/>
    </w:pPr>
  </w:style>
  <w:style w:type="paragraph" w:styleId="ListContinue2">
    <w:name w:val="List Continue 2"/>
    <w:basedOn w:val="Normal"/>
    <w:semiHidden/>
    <w:unhideWhenUsed/>
    <w:rsid w:val="00DE24D9"/>
    <w:pPr>
      <w:spacing w:after="120"/>
      <w:ind w:left="566"/>
      <w:contextualSpacing/>
    </w:pPr>
  </w:style>
  <w:style w:type="paragraph" w:styleId="ListContinue3">
    <w:name w:val="List Continue 3"/>
    <w:basedOn w:val="Normal"/>
    <w:semiHidden/>
    <w:rsid w:val="00DE24D9"/>
    <w:pPr>
      <w:spacing w:after="120"/>
      <w:ind w:left="849"/>
      <w:contextualSpacing/>
    </w:pPr>
  </w:style>
  <w:style w:type="paragraph" w:styleId="ListContinue4">
    <w:name w:val="List Continue 4"/>
    <w:basedOn w:val="Normal"/>
    <w:semiHidden/>
    <w:rsid w:val="00DE24D9"/>
    <w:pPr>
      <w:spacing w:after="120"/>
      <w:ind w:left="1132"/>
      <w:contextualSpacing/>
    </w:pPr>
  </w:style>
  <w:style w:type="paragraph" w:styleId="ListContinue5">
    <w:name w:val="List Continue 5"/>
    <w:basedOn w:val="Normal"/>
    <w:semiHidden/>
    <w:rsid w:val="00DE24D9"/>
    <w:pPr>
      <w:spacing w:after="120"/>
      <w:ind w:left="1415"/>
      <w:contextualSpacing/>
    </w:pPr>
  </w:style>
  <w:style w:type="paragraph" w:styleId="ListNumber">
    <w:name w:val="List Number"/>
    <w:basedOn w:val="Normal"/>
    <w:semiHidden/>
    <w:rsid w:val="00BF26E8"/>
    <w:pPr>
      <w:numPr>
        <w:numId w:val="11"/>
      </w:numPr>
      <w:contextualSpacing/>
    </w:pPr>
  </w:style>
  <w:style w:type="paragraph" w:styleId="ListNumber2">
    <w:name w:val="List Number 2"/>
    <w:basedOn w:val="Normal"/>
    <w:semiHidden/>
    <w:unhideWhenUsed/>
    <w:rsid w:val="00DE24D9"/>
    <w:pPr>
      <w:numPr>
        <w:numId w:val="12"/>
      </w:numPr>
      <w:contextualSpacing/>
    </w:pPr>
  </w:style>
  <w:style w:type="paragraph" w:styleId="ListNumber3">
    <w:name w:val="List Number 3"/>
    <w:basedOn w:val="Normal"/>
    <w:semiHidden/>
    <w:unhideWhenUsed/>
    <w:rsid w:val="00DE24D9"/>
    <w:pPr>
      <w:numPr>
        <w:numId w:val="13"/>
      </w:numPr>
      <w:contextualSpacing/>
    </w:pPr>
  </w:style>
  <w:style w:type="paragraph" w:styleId="ListNumber4">
    <w:name w:val="List Number 4"/>
    <w:basedOn w:val="Normal"/>
    <w:semiHidden/>
    <w:unhideWhenUsed/>
    <w:rsid w:val="00DE24D9"/>
    <w:pPr>
      <w:numPr>
        <w:numId w:val="14"/>
      </w:numPr>
      <w:contextualSpacing/>
    </w:pPr>
  </w:style>
  <w:style w:type="paragraph" w:styleId="ListNumber5">
    <w:name w:val="List Number 5"/>
    <w:basedOn w:val="Normal"/>
    <w:semiHidden/>
    <w:unhideWhenUsed/>
    <w:rsid w:val="00DE24D9"/>
    <w:pPr>
      <w:numPr>
        <w:numId w:val="15"/>
      </w:numPr>
      <w:contextualSpacing/>
    </w:pPr>
  </w:style>
  <w:style w:type="table" w:styleId="ListTable1Light">
    <w:name w:val="List Table 1 Light"/>
    <w:basedOn w:val="TableNormal"/>
    <w:uiPriority w:val="46"/>
    <w:rsid w:val="00DE24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E24D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E24D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E24D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E24D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E24D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E24D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E24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E24D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E24D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E24D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E24D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E24D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E24D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E24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E24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E24D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E24D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E24D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E24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E24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E24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E24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E24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E24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E24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E24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E24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E24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E24D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E24D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E24D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E24D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E24D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E24D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E24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E24D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E24D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E24D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E24D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E24D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E24D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E24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E24D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E24D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E24D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E24D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E24D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E24D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E24D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DE24D9"/>
    <w:rPr>
      <w:rFonts w:ascii="Consolas" w:eastAsia="Times New Roman" w:hAnsi="Consolas"/>
      <w:lang w:val="fr-FR" w:eastAsia="en-US"/>
    </w:rPr>
  </w:style>
  <w:style w:type="table" w:styleId="MediumGrid1">
    <w:name w:val="Medium Grid 1"/>
    <w:basedOn w:val="TableNormal"/>
    <w:uiPriority w:val="67"/>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E24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E24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E24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E24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E24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E24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E24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E24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E24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E24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E24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E24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E24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E24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E24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E24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E24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E24D9"/>
    <w:rPr>
      <w:color w:val="2B579A"/>
      <w:shd w:val="clear" w:color="auto" w:fill="E1DFDD"/>
      <w:lang w:val="fr-FR"/>
    </w:rPr>
  </w:style>
  <w:style w:type="paragraph" w:styleId="MessageHeader">
    <w:name w:val="Message Header"/>
    <w:basedOn w:val="Normal"/>
    <w:link w:val="MessageHeaderChar"/>
    <w:semiHidden/>
    <w:rsid w:val="00DE24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E24D9"/>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DE24D9"/>
    <w:pPr>
      <w:ind w:left="720"/>
    </w:pPr>
  </w:style>
  <w:style w:type="paragraph" w:styleId="NoteHeading">
    <w:name w:val="Note Heading"/>
    <w:basedOn w:val="Normal"/>
    <w:next w:val="Normal"/>
    <w:link w:val="NoteHeadingChar"/>
    <w:semiHidden/>
    <w:unhideWhenUsed/>
    <w:rsid w:val="00DE24D9"/>
  </w:style>
  <w:style w:type="character" w:customStyle="1" w:styleId="NoteHeadingChar">
    <w:name w:val="Note Heading Char"/>
    <w:basedOn w:val="DefaultParagraphFont"/>
    <w:link w:val="NoteHeading"/>
    <w:semiHidden/>
    <w:rsid w:val="00DE24D9"/>
    <w:rPr>
      <w:rFonts w:eastAsia="Times New Roman"/>
      <w:lang w:val="fr-FR" w:eastAsia="en-US"/>
    </w:rPr>
  </w:style>
  <w:style w:type="table" w:styleId="PlainTable1">
    <w:name w:val="Plain Table 1"/>
    <w:basedOn w:val="TableNormal"/>
    <w:uiPriority w:val="41"/>
    <w:rsid w:val="00DE24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2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24D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24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24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E24D9"/>
    <w:rPr>
      <w:rFonts w:ascii="Consolas" w:hAnsi="Consolas"/>
      <w:sz w:val="21"/>
      <w:szCs w:val="21"/>
    </w:rPr>
  </w:style>
  <w:style w:type="character" w:customStyle="1" w:styleId="PlainTextChar">
    <w:name w:val="Plain Text Char"/>
    <w:basedOn w:val="DefaultParagraphFont"/>
    <w:link w:val="PlainText"/>
    <w:semiHidden/>
    <w:rsid w:val="00DE24D9"/>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DE24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E24D9"/>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DE24D9"/>
  </w:style>
  <w:style w:type="character" w:customStyle="1" w:styleId="SalutationChar">
    <w:name w:val="Salutation Char"/>
    <w:basedOn w:val="DefaultParagraphFont"/>
    <w:link w:val="Salutation"/>
    <w:semiHidden/>
    <w:rsid w:val="00DE24D9"/>
    <w:rPr>
      <w:rFonts w:eastAsia="Times New Roman"/>
      <w:lang w:val="fr-FR" w:eastAsia="en-US"/>
    </w:rPr>
  </w:style>
  <w:style w:type="paragraph" w:styleId="Signature">
    <w:name w:val="Signature"/>
    <w:basedOn w:val="Normal"/>
    <w:link w:val="SignatureChar"/>
    <w:semiHidden/>
    <w:unhideWhenUsed/>
    <w:rsid w:val="00DE24D9"/>
    <w:pPr>
      <w:ind w:left="4252"/>
    </w:pPr>
  </w:style>
  <w:style w:type="character" w:customStyle="1" w:styleId="SignatureChar">
    <w:name w:val="Signature Char"/>
    <w:basedOn w:val="DefaultParagraphFont"/>
    <w:link w:val="Signature"/>
    <w:semiHidden/>
    <w:rsid w:val="00DE24D9"/>
    <w:rPr>
      <w:rFonts w:eastAsia="Times New Roman"/>
      <w:lang w:val="fr-FR" w:eastAsia="en-US"/>
    </w:rPr>
  </w:style>
  <w:style w:type="character" w:styleId="SmartHyperlink">
    <w:name w:val="Smart Hyperlink"/>
    <w:basedOn w:val="DefaultParagraphFont"/>
    <w:uiPriority w:val="99"/>
    <w:semiHidden/>
    <w:rsid w:val="00DE24D9"/>
    <w:rPr>
      <w:u w:val="dotted"/>
      <w:lang w:val="fr-FR"/>
    </w:rPr>
  </w:style>
  <w:style w:type="character" w:styleId="SmartLink">
    <w:name w:val="Smart Link"/>
    <w:basedOn w:val="DefaultParagraphFont"/>
    <w:uiPriority w:val="99"/>
    <w:semiHidden/>
    <w:unhideWhenUsed/>
    <w:rsid w:val="00DE24D9"/>
    <w:rPr>
      <w:color w:val="0000FF"/>
      <w:u w:val="single"/>
      <w:shd w:val="clear" w:color="auto" w:fill="F3F2F1"/>
      <w:lang w:val="fr-FR"/>
    </w:rPr>
  </w:style>
  <w:style w:type="character" w:styleId="Strong">
    <w:name w:val="Strong"/>
    <w:basedOn w:val="DefaultParagraphFont"/>
    <w:semiHidden/>
    <w:qFormat/>
    <w:rsid w:val="00DE24D9"/>
    <w:rPr>
      <w:b/>
      <w:bCs/>
      <w:lang w:val="fr-FR"/>
    </w:rPr>
  </w:style>
  <w:style w:type="paragraph" w:styleId="Subtitle">
    <w:name w:val="Subtitle"/>
    <w:basedOn w:val="Normal"/>
    <w:next w:val="Normal"/>
    <w:link w:val="SubtitleChar"/>
    <w:semiHidden/>
    <w:qFormat/>
    <w:rsid w:val="00DE24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E24D9"/>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DE24D9"/>
    <w:rPr>
      <w:i/>
      <w:iCs/>
      <w:color w:val="404040" w:themeColor="text1" w:themeTint="BF"/>
      <w:lang w:val="fr-FR"/>
    </w:rPr>
  </w:style>
  <w:style w:type="character" w:styleId="SubtleReference">
    <w:name w:val="Subtle Reference"/>
    <w:basedOn w:val="DefaultParagraphFont"/>
    <w:uiPriority w:val="31"/>
    <w:semiHidden/>
    <w:qFormat/>
    <w:rsid w:val="00DE24D9"/>
    <w:rPr>
      <w:smallCaps/>
      <w:color w:val="5A5A5A" w:themeColor="text1" w:themeTint="A5"/>
      <w:lang w:val="fr-FR"/>
    </w:rPr>
  </w:style>
  <w:style w:type="table" w:styleId="Table3Deffects1">
    <w:name w:val="Table 3D effect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E24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E24D9"/>
    <w:pPr>
      <w:tabs>
        <w:tab w:val="clear" w:pos="1247"/>
      </w:tabs>
      <w:ind w:left="200" w:hanging="200"/>
    </w:pPr>
  </w:style>
  <w:style w:type="table" w:styleId="TableProfessional">
    <w:name w:val="Table Professional"/>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E24D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E24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E24D9"/>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DE24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E24D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DE24D9"/>
    <w:rPr>
      <w:b/>
      <w:bCs/>
      <w:sz w:val="28"/>
      <w:szCs w:val="22"/>
    </w:rPr>
  </w:style>
  <w:style w:type="character" w:customStyle="1" w:styleId="ZZAnxtitleChar">
    <w:name w:val="ZZ_Anx_title Char"/>
    <w:link w:val="ZZAnxtitle"/>
    <w:rsid w:val="00DE24D9"/>
    <w:rPr>
      <w:b/>
      <w:bCs/>
      <w:sz w:val="28"/>
      <w:szCs w:val="26"/>
    </w:rPr>
  </w:style>
  <w:style w:type="character" w:customStyle="1" w:styleId="Normal-poolChar">
    <w:name w:val="Normal-pool Char"/>
    <w:link w:val="Normal-pool"/>
    <w:locked/>
    <w:rsid w:val="00DE24D9"/>
  </w:style>
  <w:style w:type="character" w:customStyle="1" w:styleId="CH2Char">
    <w:name w:val="CH2 Char"/>
    <w:link w:val="CH2"/>
    <w:rsid w:val="00DE24D9"/>
    <w:rPr>
      <w:b/>
      <w:sz w:val="24"/>
      <w:szCs w:val="24"/>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DE24D9"/>
    <w:pPr>
      <w:tabs>
        <w:tab w:val="clear" w:pos="1247"/>
        <w:tab w:val="clear" w:pos="1814"/>
        <w:tab w:val="clear" w:pos="2381"/>
        <w:tab w:val="clear" w:pos="2948"/>
        <w:tab w:val="clear" w:pos="3515"/>
      </w:tabs>
      <w:spacing w:after="160" w:line="240" w:lineRule="exact"/>
      <w:jc w:val="both"/>
    </w:pPr>
    <w:rPr>
      <w:szCs w:val="18"/>
      <w:vertAlign w:val="superscript"/>
    </w:rPr>
  </w:style>
  <w:style w:type="character" w:customStyle="1" w:styleId="BBTitleChar">
    <w:name w:val="BB_Title Char"/>
    <w:link w:val="BBTitle"/>
    <w:rsid w:val="00DE24D9"/>
    <w:rPr>
      <w:b/>
      <w:sz w:val="28"/>
      <w:szCs w:val="28"/>
    </w:rPr>
  </w:style>
  <w:style w:type="character" w:customStyle="1" w:styleId="normaltextrun">
    <w:name w:val="normaltextrun"/>
    <w:basedOn w:val="DefaultParagraphFont"/>
    <w:rsid w:val="00DE24D9"/>
    <w:rPr>
      <w:lang w:val="fr-FR"/>
    </w:rPr>
  </w:style>
  <w:style w:type="character" w:customStyle="1" w:styleId="eop">
    <w:name w:val="eop"/>
    <w:basedOn w:val="DefaultParagraphFont"/>
    <w:rsid w:val="00DE24D9"/>
    <w:rPr>
      <w:lang w:val="fr-FR"/>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DE24D9"/>
    <w:rPr>
      <w:rFonts w:eastAsia="Times New Roman"/>
      <w:lang w:val="fr-FR" w:eastAsia="en-US"/>
    </w:rPr>
  </w:style>
  <w:style w:type="paragraph" w:styleId="Revision">
    <w:name w:val="Revision"/>
    <w:hidden/>
    <w:uiPriority w:val="99"/>
    <w:semiHidden/>
    <w:rsid w:val="00662C49"/>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reporting/2023" TargetMode="External"/><Relationship Id="rId1" Type="http://schemas.openxmlformats.org/officeDocument/2006/relationships/hyperlink" Target="https://minamataconvention.org/en/parties/reporting/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purl.org/dc/elements/1.1/"/>
    <ds:schemaRef ds:uri="http://schemas.microsoft.com/office/2006/documentManagement/types"/>
    <ds:schemaRef ds:uri="http://purl.org/dc/dcmitype/"/>
    <ds:schemaRef ds:uri="985ec44e-1bab-4c0b-9df0-6ba128686fc9"/>
    <ds:schemaRef ds:uri="http://schemas.microsoft.com/office/infopath/2007/PartnerControls"/>
    <ds:schemaRef ds:uri="http://purl.org/dc/terms/"/>
    <ds:schemaRef ds:uri="25a4600d-fc45-4aed-ad1e-9b44b590e5cc"/>
    <ds:schemaRef ds:uri="http://schemas.openxmlformats.org/package/2006/metadata/core-properties"/>
    <ds:schemaRef ds:uri="786100a8-bbaa-48b6-aa10-6d2082f346b4"/>
    <ds:schemaRef ds:uri="http://schemas.microsoft.com/office/2006/metadata/properties"/>
    <ds:schemaRef ds:uri="http://www.w3.org/XML/1998/namespace"/>
    <ds:schemaRef ds:uri="822da31b-d518-49e2-88cd-1351ccd720a8"/>
  </ds:schemaRefs>
</ds:datastoreItem>
</file>

<file path=customXml/itemProps4.xml><?xml version="1.0" encoding="utf-8"?>
<ds:datastoreItem xmlns:ds="http://schemas.openxmlformats.org/officeDocument/2006/customXml" ds:itemID="{E5259A1D-2E74-412E-A3E3-3A9A14D22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TotalTime>
  <Pages>8</Pages>
  <Words>3654</Words>
  <Characters>20832</Characters>
  <Application>Microsoft Office Word</Application>
  <DocSecurity>0</DocSecurity>
  <PresentationFormat/>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24438</CharactersWithSpaces>
  <SharedDoc>false</SharedDoc>
  <HyperlinkBase/>
  <HLinks>
    <vt:vector size="12" baseType="variant">
      <vt:variant>
        <vt:i4>4718674</vt:i4>
      </vt:variant>
      <vt:variant>
        <vt:i4>3</vt:i4>
      </vt:variant>
      <vt:variant>
        <vt:i4>0</vt:i4>
      </vt:variant>
      <vt:variant>
        <vt:i4>5</vt:i4>
      </vt:variant>
      <vt:variant>
        <vt:lpwstr>https://minamataconvention.org/en/parties/reporting/2023</vt:lpwstr>
      </vt:variant>
      <vt:variant>
        <vt:lpwstr/>
      </vt:variant>
      <vt:variant>
        <vt:i4>4718674</vt:i4>
      </vt:variant>
      <vt:variant>
        <vt:i4>0</vt:i4>
      </vt:variant>
      <vt:variant>
        <vt:i4>0</vt:i4>
      </vt:variant>
      <vt:variant>
        <vt:i4>5</vt:i4>
      </vt:variant>
      <vt:variant>
        <vt:lpwstr>https://minamataconvention.org/en/parties/reporting/2023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Nomeny Rasolomanana</dc:creator>
  <cp:keywords/>
  <dc:description/>
  <cp:lastModifiedBy>My Linh Doan</cp:lastModifiedBy>
  <cp:revision>4</cp:revision>
  <cp:lastPrinted>2025-08-20T08:33:00Z</cp:lastPrinted>
  <dcterms:created xsi:type="dcterms:W3CDTF">2025-08-20T08:33:00Z</dcterms:created>
  <dcterms:modified xsi:type="dcterms:W3CDTF">2025-09-02T14:22:00Z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0x010100D4A186B34AAF4047A570F9DFA6808567</vt:lpwstr>
  </property>
  <property fmtid="{D5CDD505-2E9C-101B-9397-08002B2CF9AE}" pid="11" name="MediaServiceImageTags">
    <vt:lpwstr/>
  </property>
</Properties>
</file>