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DE24D9" w:rsidRPr="00DA57EE" w14:paraId="7514182F" w14:textId="77777777" w:rsidTr="00DE24D9">
        <w:trPr>
          <w:trHeight w:val="850"/>
        </w:trPr>
        <w:tc>
          <w:tcPr>
            <w:tcW w:w="1559" w:type="dxa"/>
          </w:tcPr>
          <w:p w14:paraId="197287C7" w14:textId="6FBD338E" w:rsidR="00DE24D9" w:rsidRPr="00DA57EE" w:rsidRDefault="00DE24D9" w:rsidP="00DE24D9">
            <w:pPr>
              <w:pStyle w:val="AUnitedNations"/>
              <w:rPr>
                <w:rFonts w:eastAsiaTheme="minorEastAsia"/>
              </w:rPr>
            </w:pPr>
            <w:r w:rsidRPr="00DA57EE">
              <w:rPr>
                <w:rFonts w:eastAsiaTheme="minorEastAsia"/>
              </w:rPr>
              <w:t xml:space="preserve">UNITED </w:t>
            </w:r>
            <w:r w:rsidRPr="00DA57EE">
              <w:rPr>
                <w:rFonts w:eastAsiaTheme="minorEastAsia"/>
              </w:rPr>
              <w:br/>
              <w:t>NATIONS</w:t>
            </w:r>
          </w:p>
        </w:tc>
        <w:tc>
          <w:tcPr>
            <w:tcW w:w="6520" w:type="dxa"/>
          </w:tcPr>
          <w:p w14:paraId="59CFA6F2" w14:textId="2C8BB257" w:rsidR="00DE24D9" w:rsidRPr="00DA57EE" w:rsidRDefault="00DE24D9" w:rsidP="00DE24D9">
            <w:pPr>
              <w:pStyle w:val="Normal-pool"/>
              <w:rPr>
                <w:rFonts w:eastAsiaTheme="minorEastAsia"/>
              </w:rPr>
            </w:pPr>
            <w:r w:rsidRPr="00DA57EE">
              <w:rPr>
                <w:rFonts w:eastAsiaTheme="minorEastAsia"/>
                <w:noProof/>
              </w:rPr>
              <w:drawing>
                <wp:anchor distT="0" distB="0" distL="114300" distR="114300" simplePos="0" relativeHeight="251658240" behindDoc="0" locked="0" layoutInCell="1" allowOverlap="1" wp14:anchorId="064588E1" wp14:editId="17580B15">
                  <wp:simplePos x="0" y="0"/>
                  <wp:positionH relativeFrom="column">
                    <wp:posOffset>454</wp:posOffset>
                  </wp:positionH>
                  <wp:positionV relativeFrom="paragraph">
                    <wp:posOffset>998</wp:posOffset>
                  </wp:positionV>
                  <wp:extent cx="1269153" cy="573559"/>
                  <wp:effectExtent l="0" t="0" r="7620" b="0"/>
                  <wp:wrapNone/>
                  <wp:docPr id="393339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3964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E4480F6" w14:textId="77777777" w:rsidR="00DE24D9" w:rsidRPr="00DA57EE" w:rsidRDefault="00DE24D9" w:rsidP="00DE24D9">
            <w:pPr>
              <w:pStyle w:val="Normal-pool"/>
              <w:rPr>
                <w:rFonts w:eastAsiaTheme="minorEastAsia"/>
              </w:rPr>
            </w:pPr>
          </w:p>
        </w:tc>
      </w:tr>
    </w:tbl>
    <w:p w14:paraId="0EC1B297" w14:textId="77777777" w:rsidR="006533B3" w:rsidRPr="00DA57EE" w:rsidRDefault="006533B3" w:rsidP="00DE24D9">
      <w:pPr>
        <w:pStyle w:val="ASpacer"/>
        <w:rPr>
          <w:rFonts w:eastAsiaTheme="minorEastAsia"/>
        </w:rPr>
      </w:pPr>
    </w:p>
    <w:tbl>
      <w:tblPr>
        <w:tblW w:w="9496" w:type="dxa"/>
        <w:tblLook w:val="0000" w:firstRow="0" w:lastRow="0" w:firstColumn="0" w:lastColumn="0" w:noHBand="0" w:noVBand="0"/>
      </w:tblPr>
      <w:tblGrid>
        <w:gridCol w:w="6378"/>
        <w:gridCol w:w="3118"/>
      </w:tblGrid>
      <w:tr w:rsidR="00DE24D9" w:rsidRPr="00DA57EE" w14:paraId="65C869A9" w14:textId="77777777" w:rsidTr="00DE24D9">
        <w:trPr>
          <w:trHeight w:val="340"/>
        </w:trPr>
        <w:tc>
          <w:tcPr>
            <w:tcW w:w="3358" w:type="pct"/>
            <w:vAlign w:val="bottom"/>
          </w:tcPr>
          <w:p w14:paraId="7F43C9CD" w14:textId="77777777" w:rsidR="00DE24D9" w:rsidRPr="00DA57EE" w:rsidRDefault="00DE24D9" w:rsidP="00DE24D9">
            <w:pPr>
              <w:pStyle w:val="Normal-pool"/>
              <w:rPr>
                <w:rFonts w:eastAsiaTheme="minorEastAsia"/>
              </w:rPr>
            </w:pPr>
          </w:p>
        </w:tc>
        <w:tc>
          <w:tcPr>
            <w:tcW w:w="1642" w:type="pct"/>
            <w:noWrap/>
            <w:vAlign w:val="bottom"/>
          </w:tcPr>
          <w:p w14:paraId="66A1BC79" w14:textId="57B39198" w:rsidR="00DE24D9" w:rsidRPr="00DA57EE" w:rsidRDefault="00DE24D9" w:rsidP="00DE24D9">
            <w:pPr>
              <w:pStyle w:val="ASymbol"/>
            </w:pPr>
            <w:r w:rsidRPr="00DA57EE">
              <w:rPr>
                <w:b/>
                <w:sz w:val="28"/>
              </w:rPr>
              <w:t>UNEP</w:t>
            </w:r>
            <w:r w:rsidRPr="00DA57EE">
              <w:t>/MC/COP.</w:t>
            </w:r>
            <w:bookmarkStart w:id="0" w:name="Symbol1A"/>
            <w:r w:rsidRPr="00DA57EE">
              <w:t>6</w:t>
            </w:r>
            <w:bookmarkStart w:id="1" w:name="Symbol1B"/>
            <w:bookmarkEnd w:id="0"/>
            <w:r w:rsidR="00546D20" w:rsidRPr="00DA57EE">
              <w:t>/15</w:t>
            </w:r>
            <w:bookmarkEnd w:id="1"/>
          </w:p>
        </w:tc>
      </w:tr>
    </w:tbl>
    <w:p w14:paraId="5A848D69" w14:textId="77777777" w:rsidR="00DE24D9" w:rsidRPr="00DA57EE" w:rsidRDefault="00DE24D9" w:rsidP="00DE24D9">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DE24D9" w:rsidRPr="00DA57EE" w14:paraId="159C0864" w14:textId="77777777" w:rsidTr="00DE24D9">
        <w:trPr>
          <w:trHeight w:val="2098"/>
        </w:trPr>
        <w:tc>
          <w:tcPr>
            <w:tcW w:w="3685" w:type="dxa"/>
          </w:tcPr>
          <w:p w14:paraId="1F2CE95D" w14:textId="65BBD048" w:rsidR="00DE24D9" w:rsidRPr="00DA57EE" w:rsidRDefault="00DE24D9" w:rsidP="00DE24D9">
            <w:pPr>
              <w:pStyle w:val="ALogo"/>
              <w:rPr>
                <w:rFonts w:eastAsiaTheme="minorEastAsia"/>
              </w:rPr>
            </w:pPr>
            <w:r w:rsidRPr="00DA57EE">
              <w:rPr>
                <w:rFonts w:eastAsiaTheme="minorEastAsia"/>
                <w:noProof/>
              </w:rPr>
              <w:drawing>
                <wp:inline distT="0" distB="0" distL="0" distR="0" wp14:anchorId="713234BE" wp14:editId="741122E5">
                  <wp:extent cx="2202815" cy="1028700"/>
                  <wp:effectExtent l="0" t="0" r="6985" b="0"/>
                  <wp:docPr id="1610138415" name="Picture 2"/>
                  <wp:cNvGraphicFramePr/>
                  <a:graphic xmlns:a="http://schemas.openxmlformats.org/drawingml/2006/main">
                    <a:graphicData uri="http://schemas.openxmlformats.org/drawingml/2006/picture">
                      <pic:pic xmlns:pic="http://schemas.openxmlformats.org/drawingml/2006/picture">
                        <pic:nvPicPr>
                          <pic:cNvPr id="161013841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DA57EE">
              <w:rPr>
                <w:rFonts w:eastAsiaTheme="minorEastAsia"/>
              </w:rPr>
              <w:t xml:space="preserve"> </w:t>
            </w:r>
          </w:p>
          <w:p w14:paraId="045710FD" w14:textId="4D5DB671" w:rsidR="00DE24D9" w:rsidRPr="00DA57EE" w:rsidRDefault="00DE24D9" w:rsidP="00DE24D9">
            <w:pPr>
              <w:pStyle w:val="ALogo"/>
              <w:rPr>
                <w:rFonts w:eastAsiaTheme="minorEastAsia"/>
              </w:rPr>
            </w:pPr>
          </w:p>
        </w:tc>
        <w:tc>
          <w:tcPr>
            <w:tcW w:w="2693" w:type="dxa"/>
          </w:tcPr>
          <w:p w14:paraId="1B3361E3" w14:textId="77777777" w:rsidR="00DE24D9" w:rsidRPr="00DA57EE" w:rsidRDefault="00DE24D9" w:rsidP="00DE24D9">
            <w:pPr>
              <w:pStyle w:val="Normal-pool"/>
              <w:rPr>
                <w:rFonts w:eastAsiaTheme="minorEastAsia"/>
              </w:rPr>
            </w:pPr>
          </w:p>
        </w:tc>
        <w:tc>
          <w:tcPr>
            <w:tcW w:w="3118" w:type="dxa"/>
          </w:tcPr>
          <w:p w14:paraId="06271A0D" w14:textId="5E85E065" w:rsidR="00DE24D9" w:rsidRPr="00DA57EE" w:rsidRDefault="00DE24D9" w:rsidP="00DE24D9">
            <w:pPr>
              <w:pStyle w:val="AText"/>
              <w:rPr>
                <w:rFonts w:eastAsiaTheme="minorEastAsia"/>
              </w:rPr>
            </w:pPr>
            <w:r w:rsidRPr="00DA57EE">
              <w:rPr>
                <w:rFonts w:eastAsiaTheme="minorEastAsia"/>
              </w:rPr>
              <w:t xml:space="preserve">Distr.: </w:t>
            </w:r>
            <w:bookmarkStart w:id="2" w:name="Distribution"/>
            <w:r w:rsidR="00546D20" w:rsidRPr="00DA57EE">
              <w:rPr>
                <w:rFonts w:eastAsiaTheme="minorEastAsia"/>
              </w:rPr>
              <w:t>General</w:t>
            </w:r>
            <w:bookmarkEnd w:id="2"/>
            <w:r w:rsidRPr="00DA57EE">
              <w:rPr>
                <w:rFonts w:eastAsiaTheme="minorEastAsia"/>
              </w:rPr>
              <w:t xml:space="preserve"> </w:t>
            </w:r>
          </w:p>
          <w:p w14:paraId="1CCE9803" w14:textId="5BB64211" w:rsidR="00DE24D9" w:rsidRPr="00DA57EE" w:rsidRDefault="00546D20" w:rsidP="00DE24D9">
            <w:pPr>
              <w:pStyle w:val="AText0"/>
              <w:rPr>
                <w:rFonts w:eastAsiaTheme="minorEastAsia"/>
              </w:rPr>
            </w:pPr>
            <w:bookmarkStart w:id="3" w:name="DistributionDate"/>
            <w:r w:rsidRPr="00DA57EE">
              <w:rPr>
                <w:rFonts w:eastAsiaTheme="minorEastAsia"/>
              </w:rPr>
              <w:t>21 July 2025</w:t>
            </w:r>
            <w:bookmarkEnd w:id="3"/>
            <w:r w:rsidR="00DE24D9" w:rsidRPr="00DA57EE">
              <w:rPr>
                <w:rFonts w:eastAsiaTheme="minorEastAsia"/>
              </w:rPr>
              <w:t xml:space="preserve"> </w:t>
            </w:r>
          </w:p>
          <w:p w14:paraId="1D3F047E" w14:textId="5E34C5FD" w:rsidR="00DE24D9" w:rsidRPr="00DA57EE" w:rsidRDefault="00DE24D9" w:rsidP="00DE24D9">
            <w:pPr>
              <w:pStyle w:val="AText"/>
              <w:rPr>
                <w:rFonts w:eastAsiaTheme="minorEastAsia"/>
              </w:rPr>
            </w:pPr>
            <w:bookmarkStart w:id="4" w:name="DistributionLang"/>
            <w:r w:rsidRPr="00DA57EE">
              <w:rPr>
                <w:rFonts w:eastAsiaTheme="minorEastAsia"/>
              </w:rPr>
              <w:t>Original: English</w:t>
            </w:r>
            <w:bookmarkEnd w:id="4"/>
          </w:p>
        </w:tc>
      </w:tr>
    </w:tbl>
    <w:p w14:paraId="68A5D316" w14:textId="77777777" w:rsidR="00DE24D9" w:rsidRPr="00DA57EE" w:rsidRDefault="00DE24D9" w:rsidP="00DE24D9">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DE24D9" w:rsidRPr="00DA57EE" w14:paraId="50403618" w14:textId="77777777" w:rsidTr="00DE24D9">
        <w:trPr>
          <w:trHeight w:val="57"/>
        </w:trPr>
        <w:tc>
          <w:tcPr>
            <w:tcW w:w="5301" w:type="dxa"/>
          </w:tcPr>
          <w:p w14:paraId="46A1E441" w14:textId="77777777" w:rsidR="00DE24D9" w:rsidRPr="00DA57EE" w:rsidRDefault="00DE24D9" w:rsidP="00DE24D9">
            <w:pPr>
              <w:pStyle w:val="AATitle"/>
              <w:rPr>
                <w:rFonts w:eastAsiaTheme="minorEastAsia"/>
              </w:rPr>
            </w:pPr>
            <w:bookmarkStart w:id="5" w:name="CorNot1Text"/>
            <w:r w:rsidRPr="00DA57EE">
              <w:rPr>
                <w:rFonts w:eastAsiaTheme="minorEastAsia"/>
              </w:rPr>
              <w:t xml:space="preserve">Conference of the Parties to the </w:t>
            </w:r>
            <w:r w:rsidRPr="00DA57EE">
              <w:rPr>
                <w:rFonts w:eastAsiaTheme="minorEastAsia"/>
              </w:rPr>
              <w:br/>
              <w:t xml:space="preserve">Minamata Convention on Mercury </w:t>
            </w:r>
          </w:p>
          <w:p w14:paraId="4DF4CA02" w14:textId="6335B26C" w:rsidR="00DE24D9" w:rsidRPr="00DA57EE" w:rsidRDefault="00DE24D9" w:rsidP="00DE24D9">
            <w:pPr>
              <w:pStyle w:val="AATitle"/>
              <w:rPr>
                <w:rFonts w:eastAsiaTheme="minorEastAsia"/>
              </w:rPr>
            </w:pPr>
            <w:r w:rsidRPr="00DA57EE">
              <w:rPr>
                <w:rFonts w:eastAsiaTheme="minorEastAsia"/>
              </w:rPr>
              <w:t>Sixth meeting</w:t>
            </w:r>
            <w:bookmarkEnd w:id="5"/>
            <w:r w:rsidRPr="00DA57EE">
              <w:rPr>
                <w:rFonts w:eastAsiaTheme="minorEastAsia"/>
              </w:rPr>
              <w:t xml:space="preserve"> </w:t>
            </w:r>
          </w:p>
          <w:p w14:paraId="18439280" w14:textId="1F58E57A" w:rsidR="00DE24D9" w:rsidRPr="00DA57EE" w:rsidRDefault="00DE24D9" w:rsidP="00DE24D9">
            <w:pPr>
              <w:pStyle w:val="AATitle1"/>
              <w:rPr>
                <w:rFonts w:eastAsiaTheme="minorEastAsia"/>
              </w:rPr>
            </w:pPr>
            <w:bookmarkStart w:id="6" w:name="CorNot1VenueDate"/>
            <w:r w:rsidRPr="00DA57EE">
              <w:rPr>
                <w:rFonts w:eastAsiaTheme="minorEastAsia"/>
              </w:rPr>
              <w:t>Geneva, 3–7 November 2025</w:t>
            </w:r>
            <w:bookmarkEnd w:id="6"/>
            <w:r w:rsidRPr="00DA57EE">
              <w:rPr>
                <w:rFonts w:eastAsiaTheme="minorEastAsia"/>
              </w:rPr>
              <w:t xml:space="preserve"> </w:t>
            </w:r>
          </w:p>
          <w:p w14:paraId="231A2080" w14:textId="43DC3AD7" w:rsidR="00DE24D9" w:rsidRPr="00DA57EE" w:rsidRDefault="00546D20" w:rsidP="00DE24D9">
            <w:pPr>
              <w:pStyle w:val="AATitle1"/>
              <w:rPr>
                <w:rFonts w:eastAsiaTheme="minorEastAsia"/>
              </w:rPr>
            </w:pPr>
            <w:bookmarkStart w:id="7" w:name="CorNot1AgItem"/>
            <w:r w:rsidRPr="00DA57EE">
              <w:rPr>
                <w:rFonts w:eastAsiaTheme="minorEastAsia"/>
              </w:rPr>
              <w:t>Item 4 (h) of the provisional agenda</w:t>
            </w:r>
            <w:bookmarkEnd w:id="7"/>
            <w:r w:rsidRPr="00DA57EE">
              <w:rPr>
                <w:rStyle w:val="FootnoteReference"/>
                <w:bCs/>
                <w:vertAlign w:val="baseline"/>
              </w:rPr>
              <w:footnoteReference w:customMarkFollows="1" w:id="2"/>
              <w:t>*</w:t>
            </w:r>
            <w:r w:rsidR="00DE24D9" w:rsidRPr="00DA57EE">
              <w:rPr>
                <w:rFonts w:eastAsiaTheme="minorEastAsia"/>
                <w:bCs/>
              </w:rPr>
              <w:t xml:space="preserve"> </w:t>
            </w:r>
          </w:p>
          <w:p w14:paraId="3E8383CB" w14:textId="72CA21FE" w:rsidR="00DE24D9" w:rsidRPr="00DA57EE" w:rsidRDefault="00546D20" w:rsidP="00DE24D9">
            <w:pPr>
              <w:pStyle w:val="AATitle2"/>
              <w:rPr>
                <w:rFonts w:eastAsiaTheme="minorEastAsia"/>
              </w:rPr>
            </w:pPr>
            <w:bookmarkStart w:id="8" w:name="CorNot1AgTitle"/>
            <w:r w:rsidRPr="00DA57EE">
              <w:rPr>
                <w:rFonts w:eastAsiaTheme="minorEastAsia"/>
              </w:rPr>
              <w:t>Matters for consideration or action by the Conference of the Parties: national reporting</w:t>
            </w:r>
            <w:bookmarkEnd w:id="8"/>
            <w:r w:rsidR="00DE24D9" w:rsidRPr="00DA57EE">
              <w:rPr>
                <w:rFonts w:eastAsiaTheme="minorEastAsia"/>
              </w:rPr>
              <w:t xml:space="preserve">  </w:t>
            </w:r>
          </w:p>
        </w:tc>
        <w:tc>
          <w:tcPr>
            <w:tcW w:w="4195" w:type="dxa"/>
          </w:tcPr>
          <w:p w14:paraId="5663DDC8" w14:textId="77777777" w:rsidR="00DE24D9" w:rsidRPr="00DA57EE" w:rsidRDefault="00DE24D9" w:rsidP="00DE24D9">
            <w:pPr>
              <w:pStyle w:val="Normal-pool"/>
              <w:rPr>
                <w:rFonts w:eastAsiaTheme="minorEastAsia"/>
              </w:rPr>
            </w:pPr>
          </w:p>
        </w:tc>
      </w:tr>
    </w:tbl>
    <w:p w14:paraId="317CF0A5" w14:textId="77777777" w:rsidR="00DE24D9" w:rsidRPr="00DA57EE" w:rsidRDefault="00DE24D9" w:rsidP="00546D20">
      <w:pPr>
        <w:pStyle w:val="BBTitle"/>
      </w:pPr>
      <w:r w:rsidRPr="00DA57EE">
        <w:t>National reporting (article 21): second short national reports</w:t>
      </w:r>
    </w:p>
    <w:p w14:paraId="2128BCBD" w14:textId="77777777" w:rsidR="00DE24D9" w:rsidRPr="00DA57EE" w:rsidRDefault="00DE24D9" w:rsidP="00546D20">
      <w:pPr>
        <w:pStyle w:val="CH2"/>
      </w:pPr>
      <w:r w:rsidRPr="00DA57EE">
        <w:tab/>
      </w:r>
      <w:r w:rsidRPr="00DA57EE">
        <w:tab/>
        <w:t>Note by the secretariat</w:t>
      </w:r>
    </w:p>
    <w:p w14:paraId="32DD6D7C" w14:textId="77777777" w:rsidR="00DE24D9" w:rsidRPr="00DA57EE" w:rsidRDefault="00DE24D9" w:rsidP="00DE24D9">
      <w:pPr>
        <w:pStyle w:val="CH1"/>
        <w:rPr>
          <w:noProof/>
        </w:rPr>
      </w:pPr>
      <w:bookmarkStart w:id="9" w:name="_Hlk192252242"/>
      <w:r w:rsidRPr="00DA57EE">
        <w:rPr>
          <w:noProof/>
        </w:rPr>
        <w:tab/>
        <w:t>I.</w:t>
      </w:r>
      <w:r w:rsidRPr="00DA57EE">
        <w:rPr>
          <w:noProof/>
        </w:rPr>
        <w:tab/>
        <w:t>Introduction</w:t>
      </w:r>
    </w:p>
    <w:bookmarkEnd w:id="9"/>
    <w:p w14:paraId="73BE0B2E" w14:textId="36D45419" w:rsidR="00DE24D9" w:rsidRPr="00DA57EE" w:rsidRDefault="00A2643F" w:rsidP="00546D20">
      <w:pPr>
        <w:pStyle w:val="Normalnumber"/>
        <w:tabs>
          <w:tab w:val="clear" w:pos="1247"/>
          <w:tab w:val="clear" w:pos="1814"/>
          <w:tab w:val="clear" w:pos="2381"/>
          <w:tab w:val="clear" w:pos="2948"/>
          <w:tab w:val="clear" w:pos="3515"/>
          <w:tab w:val="left" w:pos="624"/>
        </w:tabs>
      </w:pPr>
      <w:r w:rsidRPr="00DA57EE">
        <w:t>Pursuant to</w:t>
      </w:r>
      <w:r w:rsidR="003D55DB" w:rsidRPr="00DA57EE">
        <w:t xml:space="preserve"> p</w:t>
      </w:r>
      <w:r w:rsidR="00DE24D9" w:rsidRPr="00DA57EE">
        <w:t>aragraph 1 of article 21 of the Minamata Convention on Mercury</w:t>
      </w:r>
      <w:r w:rsidR="003D55DB" w:rsidRPr="00DA57EE">
        <w:t>,</w:t>
      </w:r>
      <w:r w:rsidR="00DE24D9" w:rsidRPr="00DA57EE">
        <w:t xml:space="preserve"> each party </w:t>
      </w:r>
      <w:r w:rsidR="00C51D16" w:rsidRPr="00DA57EE">
        <w:t xml:space="preserve">is to </w:t>
      </w:r>
      <w:r w:rsidR="00DE24D9" w:rsidRPr="00DA57EE">
        <w:t>report to the Conference of the Parties, through the secretariat, on the measures taken to implement the provisions of the Convention and on the effectiveness of such measures and the possible challenges in meeting the objectives of the Convention. Pursuant to decision MC-1/8, on the timing and format of reporting, parties were to submit their second short national reports, covering the period from 1</w:t>
      </w:r>
      <w:r w:rsidR="00DA57EE" w:rsidRPr="00DA57EE">
        <w:t> </w:t>
      </w:r>
      <w:r w:rsidR="00DE24D9" w:rsidRPr="00DA57EE">
        <w:t>January 2021 to 31 December 2022, by 31 December 2023.</w:t>
      </w:r>
    </w:p>
    <w:p w14:paraId="5CBFDB72" w14:textId="3F8B7567"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Pursuant to paragraph 2 (e) of article 24 of the Convention, section II of the present note</w:t>
      </w:r>
      <w:r w:rsidR="00A2643F" w:rsidRPr="00DA57EE">
        <w:t xml:space="preserve"> contains</w:t>
      </w:r>
      <w:r w:rsidRPr="00DA57EE">
        <w:t xml:space="preserve"> a periodic report to the Conference of the Parties based on the information received pursuant to articles 15 and 21 and other available information.</w:t>
      </w:r>
    </w:p>
    <w:p w14:paraId="47528871" w14:textId="73704A19"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Section III outlines </w:t>
      </w:r>
      <w:r w:rsidR="008F0C55" w:rsidRPr="00DA57EE">
        <w:t xml:space="preserve">the </w:t>
      </w:r>
      <w:r w:rsidRPr="00DA57EE">
        <w:t xml:space="preserve">intersessional work </w:t>
      </w:r>
      <w:r w:rsidR="008F0C55" w:rsidRPr="00DA57EE">
        <w:t xml:space="preserve">conducted </w:t>
      </w:r>
      <w:r w:rsidRPr="00DA57EE">
        <w:t xml:space="preserve">on the </w:t>
      </w:r>
      <w:r w:rsidR="00A10C09" w:rsidRPr="00DA57EE">
        <w:t>o</w:t>
      </w:r>
      <w:r w:rsidRPr="00DA57EE">
        <w:t xml:space="preserve">nline </w:t>
      </w:r>
      <w:r w:rsidR="00A10C09" w:rsidRPr="00DA57EE">
        <w:t>r</w:t>
      </w:r>
      <w:r w:rsidRPr="00DA57EE">
        <w:t xml:space="preserve">eporting </w:t>
      </w:r>
      <w:r w:rsidR="00A10C09" w:rsidRPr="00DA57EE">
        <w:t>t</w:t>
      </w:r>
      <w:r w:rsidRPr="00DA57EE">
        <w:t>ool and reporting guidance pursuant to decision MC-5/13. The updated guidance for completing the national reporting format is set out in document UNEP/MC/COP.6/INF/21.</w:t>
      </w:r>
    </w:p>
    <w:p w14:paraId="444943B2" w14:textId="4435EC69"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Section IV outlines the arrangements </w:t>
      </w:r>
      <w:r w:rsidR="008F0C55" w:rsidRPr="00DA57EE">
        <w:t xml:space="preserve">necessary </w:t>
      </w:r>
      <w:r w:rsidRPr="00DA57EE">
        <w:t xml:space="preserve">for </w:t>
      </w:r>
      <w:r w:rsidR="00A84ADF" w:rsidRPr="00DA57EE">
        <w:t xml:space="preserve">reporting on the results of the secretariat’s </w:t>
      </w:r>
      <w:r w:rsidRPr="00DA57EE">
        <w:t>analy</w:t>
      </w:r>
      <w:r w:rsidR="00343738" w:rsidRPr="00DA57EE">
        <w:t>s</w:t>
      </w:r>
      <w:r w:rsidRPr="00DA57EE">
        <w:t>i</w:t>
      </w:r>
      <w:r w:rsidR="00A84ADF" w:rsidRPr="00DA57EE">
        <w:t>s</w:t>
      </w:r>
      <w:r w:rsidRPr="00DA57EE">
        <w:t xml:space="preserve"> of the second full national reports before</w:t>
      </w:r>
      <w:r w:rsidRPr="00DA57EE">
        <w:rPr>
          <w:noProof/>
        </w:rPr>
        <w:t xml:space="preserve"> </w:t>
      </w:r>
      <w:r w:rsidRPr="00DA57EE">
        <w:t>the</w:t>
      </w:r>
      <w:r w:rsidRPr="00DA57EE">
        <w:rPr>
          <w:noProof/>
        </w:rPr>
        <w:t xml:space="preserve"> seventh meeting of the Conference of </w:t>
      </w:r>
      <w:r w:rsidR="00060038" w:rsidRPr="00DA57EE">
        <w:rPr>
          <w:noProof/>
        </w:rPr>
        <w:t xml:space="preserve">the </w:t>
      </w:r>
      <w:r w:rsidRPr="00DA57EE">
        <w:rPr>
          <w:noProof/>
        </w:rPr>
        <w:t>Parties.</w:t>
      </w:r>
    </w:p>
    <w:p w14:paraId="49B6EC0A" w14:textId="67F3C415"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Section V proposes a draft decision on national reporting for consideration by the Conference of the Parties in the light of parties’ responses </w:t>
      </w:r>
      <w:r w:rsidR="008F0C55" w:rsidRPr="00DA57EE">
        <w:t xml:space="preserve">in </w:t>
      </w:r>
      <w:r w:rsidRPr="00DA57EE">
        <w:t xml:space="preserve">the second short reports. </w:t>
      </w:r>
      <w:r w:rsidR="00321D55" w:rsidRPr="00DA57EE">
        <w:t xml:space="preserve">The text of the draft decision is set out in the annex to the </w:t>
      </w:r>
      <w:r w:rsidR="00AF6CAC" w:rsidRPr="00DA57EE">
        <w:t>note</w:t>
      </w:r>
      <w:r w:rsidR="00321D55" w:rsidRPr="00DA57EE">
        <w:t xml:space="preserve">. </w:t>
      </w:r>
      <w:r w:rsidRPr="00DA57EE">
        <w:t xml:space="preserve">Proposed actions related to </w:t>
      </w:r>
      <w:r w:rsidR="00331728" w:rsidRPr="00DA57EE">
        <w:t xml:space="preserve">the </w:t>
      </w:r>
      <w:r w:rsidRPr="00DA57EE">
        <w:t>issues o</w:t>
      </w:r>
      <w:r w:rsidR="00331728" w:rsidRPr="00DA57EE">
        <w:t>f</w:t>
      </w:r>
      <w:r w:rsidRPr="00DA57EE">
        <w:t xml:space="preserve"> primary mercury mining, stocks and sources, </w:t>
      </w:r>
      <w:r w:rsidR="008F0C55" w:rsidRPr="00DA57EE">
        <w:t xml:space="preserve">and </w:t>
      </w:r>
      <w:r w:rsidRPr="00DA57EE">
        <w:t xml:space="preserve">trade </w:t>
      </w:r>
      <w:r w:rsidR="008F0C55" w:rsidRPr="00DA57EE">
        <w:t xml:space="preserve">in </w:t>
      </w:r>
      <w:r w:rsidRPr="00DA57EE">
        <w:t>mercury are presented in document UNEP/MC/COP.6/5</w:t>
      </w:r>
      <w:r w:rsidR="00343738" w:rsidRPr="00DA57EE">
        <w:t>,</w:t>
      </w:r>
      <w:r w:rsidRPr="00DA57EE">
        <w:t xml:space="preserve"> and those related to mercury waste are presented in document UNEP/MC/COP.6/8.</w:t>
      </w:r>
    </w:p>
    <w:p w14:paraId="098A1673" w14:textId="77777777" w:rsidR="00DE24D9" w:rsidRPr="00DA57EE" w:rsidRDefault="00DE24D9" w:rsidP="004C7CF9">
      <w:pPr>
        <w:pStyle w:val="CH1"/>
      </w:pPr>
      <w:r w:rsidRPr="00DA57EE">
        <w:tab/>
        <w:t>II.</w:t>
      </w:r>
      <w:r w:rsidRPr="00DA57EE">
        <w:tab/>
        <w:t>Periodic report of the secretariat based on information received pursuant to articles 15 and 21 of the Convention</w:t>
      </w:r>
    </w:p>
    <w:p w14:paraId="40F41E75" w14:textId="22B76F78" w:rsidR="00DE24D9" w:rsidRPr="00DA57EE" w:rsidRDefault="00DE24D9" w:rsidP="00546D20">
      <w:pPr>
        <w:pStyle w:val="Normalnumber"/>
        <w:tabs>
          <w:tab w:val="clear" w:pos="1247"/>
          <w:tab w:val="clear" w:pos="1814"/>
          <w:tab w:val="clear" w:pos="2381"/>
          <w:tab w:val="clear" w:pos="2948"/>
          <w:tab w:val="clear" w:pos="3515"/>
          <w:tab w:val="left" w:pos="624"/>
        </w:tabs>
        <w:ind w:left="1247"/>
      </w:pPr>
      <w:proofErr w:type="gramStart"/>
      <w:r w:rsidRPr="00DA57EE">
        <w:t xml:space="preserve">With </w:t>
      </w:r>
      <w:r w:rsidR="00185879" w:rsidRPr="00DA57EE">
        <w:t>regard to</w:t>
      </w:r>
      <w:proofErr w:type="gramEnd"/>
      <w:r w:rsidR="00185879" w:rsidRPr="00DA57EE">
        <w:t xml:space="preserve"> </w:t>
      </w:r>
      <w:r w:rsidRPr="00DA57EE">
        <w:t xml:space="preserve">article 21 submissions, the secretariat reviewed </w:t>
      </w:r>
      <w:r w:rsidR="00185879" w:rsidRPr="00DA57EE">
        <w:t xml:space="preserve">the parties’ </w:t>
      </w:r>
      <w:r w:rsidRPr="00DA57EE">
        <w:t xml:space="preserve">responses to the four recurrent questions concerning measures to implement the Convention and their effectiveness. </w:t>
      </w:r>
      <w:r w:rsidR="0064610C" w:rsidRPr="00DA57EE">
        <w:lastRenderedPageBreak/>
        <w:t xml:space="preserve">Following </w:t>
      </w:r>
      <w:proofErr w:type="gramStart"/>
      <w:r w:rsidR="0064610C" w:rsidRPr="00DA57EE">
        <w:t>are</w:t>
      </w:r>
      <w:proofErr w:type="gramEnd"/>
      <w:r w:rsidR="0064610C" w:rsidRPr="00DA57EE">
        <w:t xml:space="preserve"> </w:t>
      </w:r>
      <w:r w:rsidR="00983B2B" w:rsidRPr="00DA57EE">
        <w:t xml:space="preserve">(a) </w:t>
      </w:r>
      <w:r w:rsidR="0064610C" w:rsidRPr="00DA57EE">
        <w:t>an</w:t>
      </w:r>
      <w:r w:rsidR="00CC7F4E" w:rsidRPr="00DA57EE">
        <w:t xml:space="preserve"> </w:t>
      </w:r>
      <w:r w:rsidRPr="00DA57EE">
        <w:t>outline</w:t>
      </w:r>
      <w:r w:rsidR="0064610C" w:rsidRPr="00DA57EE">
        <w:t xml:space="preserve"> of</w:t>
      </w:r>
      <w:r w:rsidRPr="00DA57EE">
        <w:t xml:space="preserve"> part</w:t>
      </w:r>
      <w:r w:rsidR="001103C4" w:rsidRPr="00DA57EE">
        <w:t>ies’</w:t>
      </w:r>
      <w:r w:rsidRPr="00DA57EE">
        <w:t xml:space="preserve"> reporting performance and</w:t>
      </w:r>
      <w:r w:rsidR="00983B2B" w:rsidRPr="00DA57EE">
        <w:t xml:space="preserve"> (b)</w:t>
      </w:r>
      <w:r w:rsidRPr="00DA57EE">
        <w:t xml:space="preserve"> </w:t>
      </w:r>
      <w:r w:rsidR="00E73A27" w:rsidRPr="00DA57EE">
        <w:t xml:space="preserve">the </w:t>
      </w:r>
      <w:r w:rsidRPr="00DA57EE">
        <w:t>secretariat</w:t>
      </w:r>
      <w:r w:rsidR="00E73A27" w:rsidRPr="00DA57EE">
        <w:t>’s</w:t>
      </w:r>
      <w:r w:rsidRPr="00DA57EE">
        <w:t xml:space="preserve"> observations on </w:t>
      </w:r>
      <w:r w:rsidR="00185879" w:rsidRPr="00DA57EE">
        <w:t xml:space="preserve">the responses in the </w:t>
      </w:r>
      <w:r w:rsidRPr="00DA57EE">
        <w:t>second short reports. Complete reports, as verified by submitting parties and the secretariat, are published on the Convention website</w:t>
      </w:r>
      <w:r w:rsidR="005F10E8" w:rsidRPr="00DA57EE">
        <w:t>.</w:t>
      </w:r>
      <w:r w:rsidRPr="00DA57EE">
        <w:rPr>
          <w:rStyle w:val="FootnoteReference"/>
        </w:rPr>
        <w:footnoteReference w:id="3"/>
      </w:r>
    </w:p>
    <w:p w14:paraId="70414199" w14:textId="55F11408"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As </w:t>
      </w:r>
      <w:r w:rsidR="005F10E8" w:rsidRPr="00DA57EE">
        <w:t xml:space="preserve">at </w:t>
      </w:r>
      <w:r w:rsidRPr="00DA57EE">
        <w:t>31 May 2025, 118 of 137 parties (86</w:t>
      </w:r>
      <w:r w:rsidR="005F10E8" w:rsidRPr="00DA57EE">
        <w:t xml:space="preserve"> per cent</w:t>
      </w:r>
      <w:r w:rsidRPr="00DA57EE">
        <w:t>) had submitted their second short reports</w:t>
      </w:r>
      <w:r w:rsidR="0064591B" w:rsidRPr="00DA57EE">
        <w:t>,</w:t>
      </w:r>
      <w:r w:rsidRPr="00DA57EE">
        <w:t xml:space="preserve"> for the period ending 31 December 202</w:t>
      </w:r>
      <w:r w:rsidR="00185879" w:rsidRPr="00DA57EE">
        <w:t>2</w:t>
      </w:r>
      <w:r w:rsidRPr="00DA57EE">
        <w:t xml:space="preserve">. </w:t>
      </w:r>
      <w:r w:rsidR="005F10E8" w:rsidRPr="00DA57EE">
        <w:t xml:space="preserve">The figure </w:t>
      </w:r>
      <w:r w:rsidRPr="00DA57EE">
        <w:t>includes 91 submissions by the deadline and 27</w:t>
      </w:r>
      <w:r w:rsidR="00DA57EE" w:rsidRPr="00DA57EE">
        <w:t> </w:t>
      </w:r>
      <w:r w:rsidRPr="00DA57EE">
        <w:t>submissions received subsequently</w:t>
      </w:r>
      <w:r w:rsidR="005F10E8" w:rsidRPr="00DA57EE">
        <w:t>.</w:t>
      </w:r>
      <w:r w:rsidRPr="00DA57EE">
        <w:rPr>
          <w:rStyle w:val="FootnoteReference"/>
        </w:rPr>
        <w:footnoteReference w:id="4"/>
      </w:r>
    </w:p>
    <w:p w14:paraId="127E7548" w14:textId="663EBA48"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The reporting rates by region were as follows: 31 of 37 parties from the </w:t>
      </w:r>
      <w:r w:rsidR="000C37DC" w:rsidRPr="00DA57EE">
        <w:t>G</w:t>
      </w:r>
      <w:r w:rsidRPr="00DA57EE">
        <w:t>roup of African States (84</w:t>
      </w:r>
      <w:r w:rsidR="005F10E8" w:rsidRPr="00DA57EE">
        <w:t xml:space="preserve"> per cent</w:t>
      </w:r>
      <w:r w:rsidRPr="00DA57EE">
        <w:t xml:space="preserve">), 26 of 35 parties from the </w:t>
      </w:r>
      <w:r w:rsidR="000C37DC" w:rsidRPr="00DA57EE">
        <w:t>G</w:t>
      </w:r>
      <w:r w:rsidRPr="00DA57EE">
        <w:t>roup of Asia-Pacific States (74</w:t>
      </w:r>
      <w:r w:rsidR="005F10E8" w:rsidRPr="00DA57EE">
        <w:t xml:space="preserve"> per cent</w:t>
      </w:r>
      <w:r w:rsidRPr="00DA57EE">
        <w:t xml:space="preserve">), 16 of 16 parties from the </w:t>
      </w:r>
      <w:r w:rsidR="000C37DC" w:rsidRPr="00DA57EE">
        <w:t>G</w:t>
      </w:r>
      <w:r w:rsidRPr="00DA57EE">
        <w:t>roup of Eastern Europe</w:t>
      </w:r>
      <w:r w:rsidR="00CA3FD3" w:rsidRPr="00DA57EE">
        <w:t>an</w:t>
      </w:r>
      <w:r w:rsidRPr="00DA57EE">
        <w:t xml:space="preserve"> States (100</w:t>
      </w:r>
      <w:r w:rsidR="005F10E8" w:rsidRPr="00DA57EE">
        <w:t xml:space="preserve"> per cent</w:t>
      </w:r>
      <w:r w:rsidRPr="00DA57EE">
        <w:t xml:space="preserve">), 20 of 24 parties from the </w:t>
      </w:r>
      <w:r w:rsidR="000C37DC" w:rsidRPr="00DA57EE">
        <w:t>G</w:t>
      </w:r>
      <w:r w:rsidRPr="00DA57EE">
        <w:t>roup of Latin American and Caribbean States (83</w:t>
      </w:r>
      <w:r w:rsidR="005F10E8" w:rsidRPr="00DA57EE">
        <w:t xml:space="preserve"> per cent</w:t>
      </w:r>
      <w:r w:rsidRPr="00DA57EE">
        <w:t xml:space="preserve">), and 25 of 25 parties from the </w:t>
      </w:r>
      <w:r w:rsidR="000C37DC" w:rsidRPr="00DA57EE">
        <w:t>G</w:t>
      </w:r>
      <w:r w:rsidRPr="00DA57EE">
        <w:t xml:space="preserve">roup of Western European and </w:t>
      </w:r>
      <w:r w:rsidR="000C37DC" w:rsidRPr="00DA57EE">
        <w:t>O</w:t>
      </w:r>
      <w:r w:rsidRPr="00DA57EE">
        <w:t>ther States (100</w:t>
      </w:r>
      <w:r w:rsidR="005F10E8" w:rsidRPr="00DA57EE">
        <w:t xml:space="preserve"> per cent</w:t>
      </w:r>
      <w:r w:rsidRPr="00DA57EE">
        <w:t xml:space="preserve">). </w:t>
      </w:r>
    </w:p>
    <w:p w14:paraId="186617D0" w14:textId="1C5123A5"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As </w:t>
      </w:r>
      <w:r w:rsidR="00CA3FD3" w:rsidRPr="00DA57EE">
        <w:t xml:space="preserve">at </w:t>
      </w:r>
      <w:r w:rsidRPr="00DA57EE">
        <w:t>31 May 2025, 19 reports remained outstanding</w:t>
      </w:r>
      <w:r w:rsidR="00B27663" w:rsidRPr="00DA57EE">
        <w:t>,</w:t>
      </w:r>
      <w:r w:rsidRPr="00DA57EE">
        <w:t xml:space="preserve"> from the following parties: Bahamas</w:t>
      </w:r>
      <w:r w:rsidR="00CA3FD3" w:rsidRPr="00DA57EE">
        <w:t xml:space="preserve"> (The)</w:t>
      </w:r>
      <w:r w:rsidRPr="00DA57EE">
        <w:t>, Central African Republic, Cuba, Djibouti, Gambia, Jordan, Kiribati, Lao People</w:t>
      </w:r>
      <w:r w:rsidR="00CA3FD3" w:rsidRPr="00DA57EE">
        <w:t>’</w:t>
      </w:r>
      <w:r w:rsidRPr="00DA57EE">
        <w:t>s Democratic Republic, Lebanon, Mauritania, Pakistan, Paraguay, Samoa, Sao Tome and Principe, Suriname, Syrian</w:t>
      </w:r>
      <w:r w:rsidR="00DA57EE" w:rsidRPr="00DA57EE">
        <w:t> </w:t>
      </w:r>
      <w:r w:rsidRPr="00DA57EE">
        <w:t>Arab Republic, Tonga, Vanuatu</w:t>
      </w:r>
      <w:r w:rsidR="00F74BFC" w:rsidRPr="00DA57EE">
        <w:t>,</w:t>
      </w:r>
      <w:r w:rsidRPr="00DA57EE">
        <w:t xml:space="preserve"> Zimbabwe</w:t>
      </w:r>
      <w:r w:rsidRPr="00DA57EE">
        <w:rPr>
          <w:rStyle w:val="normaltextrun"/>
          <w:color w:val="000000" w:themeColor="text1"/>
        </w:rPr>
        <w:t>.</w:t>
      </w:r>
      <w:r w:rsidRPr="00DA57EE">
        <w:t xml:space="preserve"> </w:t>
      </w:r>
    </w:p>
    <w:p w14:paraId="1FAC3312" w14:textId="050D7F64"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There are 11 incomplete reports</w:t>
      </w:r>
      <w:r w:rsidR="00B2650F" w:rsidRPr="00DA57EE">
        <w:t xml:space="preserve"> for which the secretariat is</w:t>
      </w:r>
      <w:r w:rsidRPr="00DA57EE">
        <w:t xml:space="preserve"> awaiting clarification of response</w:t>
      </w:r>
      <w:r w:rsidR="00CA3FD3" w:rsidRPr="00DA57EE">
        <w:t>s</w:t>
      </w:r>
      <w:r w:rsidRPr="00DA57EE">
        <w:t xml:space="preserve"> or additional information from the respective national focal points. One party (Kenya) submitted reports voluntarily before the Convention entered into force for </w:t>
      </w:r>
      <w:r w:rsidR="00CA3FD3" w:rsidRPr="00DA57EE">
        <w:t xml:space="preserve">the country </w:t>
      </w:r>
      <w:r w:rsidRPr="00DA57EE">
        <w:t>(2023). Th</w:t>
      </w:r>
      <w:r w:rsidR="00CA3FD3" w:rsidRPr="00DA57EE">
        <w:t>o</w:t>
      </w:r>
      <w:r w:rsidRPr="00DA57EE">
        <w:t xml:space="preserve">se submissions </w:t>
      </w:r>
      <w:r w:rsidR="002B10B1" w:rsidRPr="00DA57EE">
        <w:t xml:space="preserve">have been </w:t>
      </w:r>
      <w:r w:rsidRPr="00DA57EE">
        <w:t>recorded separately by the secretariat.</w:t>
      </w:r>
    </w:p>
    <w:p w14:paraId="2C300F55" w14:textId="0312CC3B" w:rsidR="00DE24D9" w:rsidRPr="00DA57EE" w:rsidRDefault="00DE24D9" w:rsidP="004C7CF9">
      <w:pPr>
        <w:pStyle w:val="Normalnumber"/>
        <w:tabs>
          <w:tab w:val="clear" w:pos="1247"/>
          <w:tab w:val="clear" w:pos="1814"/>
          <w:tab w:val="clear" w:pos="2381"/>
          <w:tab w:val="clear" w:pos="2948"/>
          <w:tab w:val="clear" w:pos="3515"/>
          <w:tab w:val="left" w:pos="624"/>
        </w:tabs>
        <w:ind w:left="1247"/>
      </w:pPr>
      <w:r w:rsidRPr="00DA57EE">
        <w:t xml:space="preserve">Of </w:t>
      </w:r>
      <w:r w:rsidR="00CA3FD3" w:rsidRPr="00DA57EE">
        <w:t xml:space="preserve">the </w:t>
      </w:r>
      <w:r w:rsidRPr="00DA57EE">
        <w:t>118 reporting parties, 116 (98</w:t>
      </w:r>
      <w:r w:rsidR="005F10E8" w:rsidRPr="00DA57EE">
        <w:t xml:space="preserve"> per cent</w:t>
      </w:r>
      <w:r w:rsidRPr="00DA57EE">
        <w:t>) used the online reporting tool</w:t>
      </w:r>
      <w:r w:rsidR="00417544" w:rsidRPr="00DA57EE">
        <w:t>, for which</w:t>
      </w:r>
      <w:r w:rsidRPr="00DA57EE">
        <w:t xml:space="preserve"> </w:t>
      </w:r>
      <w:r w:rsidR="00C945E1" w:rsidRPr="00DA57EE">
        <w:t xml:space="preserve">login </w:t>
      </w:r>
      <w:r w:rsidRPr="00DA57EE">
        <w:t xml:space="preserve">credentials </w:t>
      </w:r>
      <w:r w:rsidR="00417544" w:rsidRPr="00DA57EE">
        <w:t xml:space="preserve">were </w:t>
      </w:r>
      <w:r w:rsidRPr="00DA57EE">
        <w:t xml:space="preserve">issued to national focal points on 5 April 2023, while two parties (Congo and South Africa) submitted reports via email. The secretariat also received an email submission attributed to Zimbabwe, but as it was not submitted by the designated national focal point or contact officer, it has been excluded from the analysis in </w:t>
      </w:r>
      <w:r w:rsidR="00CA3FD3" w:rsidRPr="00DA57EE">
        <w:t xml:space="preserve">the present </w:t>
      </w:r>
      <w:r w:rsidRPr="00DA57EE">
        <w:t xml:space="preserve">report. Official confirmation from </w:t>
      </w:r>
      <w:r w:rsidR="00CA3FD3" w:rsidRPr="00DA57EE">
        <w:t xml:space="preserve">the </w:t>
      </w:r>
      <w:r w:rsidRPr="00DA57EE">
        <w:t xml:space="preserve">national focal point </w:t>
      </w:r>
      <w:r w:rsidR="00CA3FD3" w:rsidRPr="00DA57EE">
        <w:t xml:space="preserve">of Zimbabwe </w:t>
      </w:r>
      <w:r w:rsidRPr="00DA57EE">
        <w:t>remains pending</w:t>
      </w:r>
      <w:r w:rsidR="00CA3FD3" w:rsidRPr="00DA57EE">
        <w:t>.</w:t>
      </w:r>
    </w:p>
    <w:p w14:paraId="4AC908E5" w14:textId="69CFE259" w:rsidR="00DE24D9" w:rsidRPr="00DA57EE" w:rsidRDefault="00DE24D9" w:rsidP="004C7CF9">
      <w:pPr>
        <w:pStyle w:val="Normalnumber"/>
        <w:tabs>
          <w:tab w:val="clear" w:pos="1247"/>
          <w:tab w:val="clear" w:pos="1814"/>
          <w:tab w:val="clear" w:pos="2381"/>
          <w:tab w:val="clear" w:pos="2948"/>
          <w:tab w:val="clear" w:pos="3515"/>
          <w:tab w:val="left" w:pos="624"/>
        </w:tabs>
        <w:ind w:left="1247"/>
      </w:pPr>
      <w:r w:rsidRPr="00DA57EE">
        <w:t xml:space="preserve">In </w:t>
      </w:r>
      <w:r w:rsidR="00CA3FD3" w:rsidRPr="00DA57EE">
        <w:t xml:space="preserve">line </w:t>
      </w:r>
      <w:r w:rsidRPr="00DA57EE">
        <w:t>with</w:t>
      </w:r>
      <w:r w:rsidR="061932AB" w:rsidRPr="00DA57EE">
        <w:t xml:space="preserve"> paragraph 4 of</w:t>
      </w:r>
      <w:r w:rsidR="2E79855C" w:rsidRPr="00DA57EE">
        <w:t xml:space="preserve"> </w:t>
      </w:r>
      <w:r w:rsidR="00463987" w:rsidRPr="00DA57EE">
        <w:t>decision MC-5/15</w:t>
      </w:r>
      <w:r w:rsidR="78663A05" w:rsidRPr="00DA57EE">
        <w:rPr>
          <w:b/>
          <w:bCs/>
        </w:rPr>
        <w:t xml:space="preserve"> </w:t>
      </w:r>
      <w:r w:rsidR="78663A05" w:rsidRPr="00DA57EE">
        <w:t>requesting the s</w:t>
      </w:r>
      <w:r w:rsidR="2E79855C" w:rsidRPr="00DA57EE">
        <w:t>ecretariat</w:t>
      </w:r>
      <w:r w:rsidR="0B345B00" w:rsidRPr="00DA57EE">
        <w:t>,</w:t>
      </w:r>
      <w:r w:rsidR="00A7733F" w:rsidRPr="00DA57EE">
        <w:t xml:space="preserve"> among other things</w:t>
      </w:r>
      <w:r w:rsidR="0B345B00" w:rsidRPr="00DA57EE">
        <w:t>,</w:t>
      </w:r>
      <w:r w:rsidR="7B163B13" w:rsidRPr="00DA57EE">
        <w:t xml:space="preserve"> to</w:t>
      </w:r>
      <w:r w:rsidR="2D79FD51" w:rsidRPr="00DA57EE">
        <w:t xml:space="preserve"> measur</w:t>
      </w:r>
      <w:r w:rsidR="0939A324" w:rsidRPr="00DA57EE">
        <w:t>e</w:t>
      </w:r>
      <w:r w:rsidR="2D79FD51" w:rsidRPr="00DA57EE">
        <w:t xml:space="preserve"> </w:t>
      </w:r>
      <w:r w:rsidR="31E263F0" w:rsidRPr="00DA57EE">
        <w:t>meaningful participation of women in the processes and activities of the secretariat</w:t>
      </w:r>
      <w:r w:rsidR="00A7733F" w:rsidRPr="00DA57EE">
        <w:t>,</w:t>
      </w:r>
      <w:r w:rsidR="54950658" w:rsidRPr="00DA57EE">
        <w:t xml:space="preserve"> </w:t>
      </w:r>
      <w:r w:rsidR="47E8A378" w:rsidRPr="00DA57EE">
        <w:t>the secretariat measured the</w:t>
      </w:r>
      <w:r w:rsidRPr="00DA57EE">
        <w:t xml:space="preserve"> distribution of reporting officers (national focal points and contact officers) for the reporting period</w:t>
      </w:r>
      <w:r w:rsidR="00EA6CE7" w:rsidRPr="00DA57EE">
        <w:t xml:space="preserve"> in question</w:t>
      </w:r>
      <w:r w:rsidRPr="00DA57EE">
        <w:t xml:space="preserve"> as follows: </w:t>
      </w:r>
      <w:r w:rsidR="00C945E1" w:rsidRPr="00DA57EE">
        <w:t xml:space="preserve">out </w:t>
      </w:r>
      <w:r w:rsidR="0010561D" w:rsidRPr="00DA57EE">
        <w:t xml:space="preserve">of 110 reporting officers, </w:t>
      </w:r>
      <w:r w:rsidRPr="00DA57EE">
        <w:t>58 (52.75</w:t>
      </w:r>
      <w:r w:rsidR="005F10E8" w:rsidRPr="00DA57EE">
        <w:t xml:space="preserve"> per cent</w:t>
      </w:r>
      <w:r w:rsidRPr="00DA57EE">
        <w:t xml:space="preserve">) </w:t>
      </w:r>
      <w:r w:rsidR="00BD597B" w:rsidRPr="00DA57EE">
        <w:t>we</w:t>
      </w:r>
      <w:r w:rsidR="0010561D" w:rsidRPr="00DA57EE">
        <w:t xml:space="preserve">re female </w:t>
      </w:r>
      <w:r w:rsidRPr="00DA57EE">
        <w:t>and 52 (47.3</w:t>
      </w:r>
      <w:r w:rsidR="005F10E8" w:rsidRPr="00DA57EE">
        <w:t xml:space="preserve"> per cent</w:t>
      </w:r>
      <w:r w:rsidRPr="00DA57EE">
        <w:t>)</w:t>
      </w:r>
      <w:r w:rsidR="0010561D" w:rsidRPr="00DA57EE">
        <w:t xml:space="preserve"> </w:t>
      </w:r>
      <w:r w:rsidR="00BD597B" w:rsidRPr="00DA57EE">
        <w:t>we</w:t>
      </w:r>
      <w:r w:rsidR="0010561D" w:rsidRPr="00DA57EE">
        <w:t>re male</w:t>
      </w:r>
      <w:r w:rsidRPr="00DA57EE">
        <w:t xml:space="preserve">. </w:t>
      </w:r>
    </w:p>
    <w:p w14:paraId="1D670AF1" w14:textId="72D7168B" w:rsidR="00DE24D9" w:rsidRPr="00DA57EE" w:rsidRDefault="00DE24D9" w:rsidP="001145C1">
      <w:pPr>
        <w:pStyle w:val="Normalnumber"/>
        <w:numPr>
          <w:ilvl w:val="0"/>
          <w:numId w:val="16"/>
        </w:numPr>
        <w:tabs>
          <w:tab w:val="clear" w:pos="1247"/>
          <w:tab w:val="clear" w:pos="1814"/>
          <w:tab w:val="clear" w:pos="2381"/>
          <w:tab w:val="clear" w:pos="2948"/>
          <w:tab w:val="clear" w:pos="3515"/>
          <w:tab w:val="left" w:pos="624"/>
        </w:tabs>
      </w:pPr>
      <w:r w:rsidRPr="00DA57EE">
        <w:t>At its seventh meeting</w:t>
      </w:r>
      <w:r w:rsidR="00CA3FD3" w:rsidRPr="00DA57EE">
        <w:t>,</w:t>
      </w:r>
      <w:r w:rsidRPr="00DA57EE">
        <w:t xml:space="preserve"> in February 2025, the Implementation and Compliance Committee</w:t>
      </w:r>
      <w:r w:rsidR="00CA3FD3" w:rsidRPr="00DA57EE">
        <w:t>,</w:t>
      </w:r>
      <w:r w:rsidRPr="00DA57EE">
        <w:t xml:space="preserve"> in its review of the results of the second short national reports</w:t>
      </w:r>
      <w:r w:rsidR="00CA3FD3" w:rsidRPr="00DA57EE">
        <w:t>,</w:t>
      </w:r>
      <w:r w:rsidRPr="00DA57EE">
        <w:t xml:space="preserve"> welcomed the high reporting performance by parties, noted the importance of </w:t>
      </w:r>
      <w:r w:rsidR="00CA3FD3" w:rsidRPr="00DA57EE">
        <w:t xml:space="preserve">the </w:t>
      </w:r>
      <w:r w:rsidRPr="00DA57EE">
        <w:t>timely submission of national reports</w:t>
      </w:r>
      <w:r w:rsidR="00CA3FD3" w:rsidRPr="00DA57EE">
        <w:t>,</w:t>
      </w:r>
      <w:r w:rsidRPr="00DA57EE">
        <w:t xml:space="preserve"> acknowledged that there was room for further improvement in the reporting rate, requested the secretariat to follow up and to </w:t>
      </w:r>
      <w:r w:rsidR="00CA3FD3" w:rsidRPr="00DA57EE">
        <w:t>contact</w:t>
      </w:r>
      <w:r w:rsidRPr="00DA57EE">
        <w:t xml:space="preserve"> parties </w:t>
      </w:r>
      <w:r w:rsidR="00CA3FD3" w:rsidRPr="00DA57EE">
        <w:t xml:space="preserve">that </w:t>
      </w:r>
      <w:r w:rsidRPr="00DA57EE">
        <w:t>had not yet submitted their second short national reports</w:t>
      </w:r>
      <w:r w:rsidR="00CA3FD3" w:rsidRPr="00DA57EE">
        <w:t>,</w:t>
      </w:r>
      <w:r w:rsidRPr="00DA57EE">
        <w:t xml:space="preserve"> and requested parties </w:t>
      </w:r>
      <w:r w:rsidR="00CA3FD3" w:rsidRPr="00DA57EE">
        <w:t xml:space="preserve">that </w:t>
      </w:r>
      <w:r w:rsidRPr="00DA57EE">
        <w:t>had not yet submitted their second short national reports to do so by 31 May 2025. Two parties (Chile</w:t>
      </w:r>
      <w:r w:rsidR="00DA57EE">
        <w:t> </w:t>
      </w:r>
      <w:r w:rsidRPr="00DA57EE">
        <w:t xml:space="preserve">and Tuvalu) submitted their reports by </w:t>
      </w:r>
      <w:r w:rsidR="00CA3FD3" w:rsidRPr="00DA57EE">
        <w:t>that date</w:t>
      </w:r>
      <w:r w:rsidRPr="00DA57EE">
        <w:t>.</w:t>
      </w:r>
    </w:p>
    <w:p w14:paraId="151B798C" w14:textId="328113F3"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The conclusions and recommendations of the Implementation and Compliance Committee are </w:t>
      </w:r>
      <w:r w:rsidR="00CA3FD3" w:rsidRPr="00DA57EE">
        <w:t xml:space="preserve">set out </w:t>
      </w:r>
      <w:r w:rsidRPr="00DA57EE">
        <w:t xml:space="preserve">in the annex to the report </w:t>
      </w:r>
      <w:r w:rsidR="00232644" w:rsidRPr="00DA57EE">
        <w:t xml:space="preserve">on the work of the Committee </w:t>
      </w:r>
      <w:r w:rsidRPr="00DA57EE">
        <w:t xml:space="preserve">to the sixth meeting of the Conference of the Parties (UNEP/MC/COP.6/14). </w:t>
      </w:r>
    </w:p>
    <w:p w14:paraId="5A12B9F6" w14:textId="489E64C8"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lastRenderedPageBreak/>
        <w:t xml:space="preserve">The secretariat used the conclusions on reporting performance agreed </w:t>
      </w:r>
      <w:r w:rsidR="00232644" w:rsidRPr="00DA57EE">
        <w:t xml:space="preserve">on </w:t>
      </w:r>
      <w:r w:rsidRPr="00DA57EE">
        <w:t xml:space="preserve">by the Committee as a basis for preparing relevant parts of the draft decision </w:t>
      </w:r>
      <w:r w:rsidR="00C945E1" w:rsidRPr="00DA57EE">
        <w:t xml:space="preserve">set out </w:t>
      </w:r>
      <w:r w:rsidRPr="00DA57EE">
        <w:t xml:space="preserve">in </w:t>
      </w:r>
      <w:r w:rsidR="00CA3FD3" w:rsidRPr="00DA57EE">
        <w:t>the annex</w:t>
      </w:r>
      <w:r w:rsidRPr="00DA57EE">
        <w:t xml:space="preserve"> </w:t>
      </w:r>
      <w:r w:rsidR="00CA3FD3" w:rsidRPr="00DA57EE">
        <w:t xml:space="preserve">to the present </w:t>
      </w:r>
      <w:r w:rsidRPr="00DA57EE">
        <w:t>note.</w:t>
      </w:r>
    </w:p>
    <w:p w14:paraId="1B7504DC" w14:textId="67C070F4"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With respect to the review of responses </w:t>
      </w:r>
      <w:r w:rsidR="00790D6E" w:rsidRPr="00DA57EE">
        <w:t xml:space="preserve">in </w:t>
      </w:r>
      <w:r w:rsidRPr="00DA57EE">
        <w:t xml:space="preserve">the second short national reports, the findings </w:t>
      </w:r>
      <w:r w:rsidR="00CA3FD3" w:rsidRPr="00DA57EE">
        <w:t xml:space="preserve">of the secretariat </w:t>
      </w:r>
      <w:r w:rsidRPr="00DA57EE">
        <w:t xml:space="preserve">are organized </w:t>
      </w:r>
      <w:proofErr w:type="gramStart"/>
      <w:r w:rsidR="005618F1" w:rsidRPr="00DA57EE">
        <w:t>on the basis of</w:t>
      </w:r>
      <w:proofErr w:type="gramEnd"/>
      <w:r w:rsidR="00E417B4" w:rsidRPr="00DA57EE">
        <w:t xml:space="preserve"> </w:t>
      </w:r>
      <w:r w:rsidRPr="00DA57EE">
        <w:t xml:space="preserve">the four recurrent reporting questions. Each </w:t>
      </w:r>
      <w:r w:rsidR="00A731B7" w:rsidRPr="00DA57EE">
        <w:t xml:space="preserve">of the </w:t>
      </w:r>
      <w:r w:rsidRPr="00DA57EE">
        <w:t>section</w:t>
      </w:r>
      <w:r w:rsidR="00A731B7" w:rsidRPr="00DA57EE">
        <w:t>s</w:t>
      </w:r>
      <w:r w:rsidRPr="00DA57EE">
        <w:t xml:space="preserve"> </w:t>
      </w:r>
      <w:r w:rsidR="00E417B4" w:rsidRPr="00DA57EE">
        <w:t xml:space="preserve">below </w:t>
      </w:r>
      <w:r w:rsidR="00A731B7" w:rsidRPr="00DA57EE">
        <w:t>provides a description of</w:t>
      </w:r>
      <w:r w:rsidRPr="00DA57EE">
        <w:t xml:space="preserve"> progress</w:t>
      </w:r>
      <w:r w:rsidR="00A731B7" w:rsidRPr="00DA57EE">
        <w:t xml:space="preserve"> made</w:t>
      </w:r>
      <w:r w:rsidRPr="00DA57EE">
        <w:t xml:space="preserve">, challenges </w:t>
      </w:r>
      <w:r w:rsidR="00A731B7" w:rsidRPr="00DA57EE">
        <w:t xml:space="preserve">identified </w:t>
      </w:r>
      <w:r w:rsidRPr="00DA57EE">
        <w:t xml:space="preserve">and relevant Committee conclusions or recommendations on the </w:t>
      </w:r>
      <w:r w:rsidR="009A429D" w:rsidRPr="00DA57EE">
        <w:t xml:space="preserve">respective </w:t>
      </w:r>
      <w:r w:rsidRPr="00DA57EE">
        <w:t>topic.</w:t>
      </w:r>
    </w:p>
    <w:p w14:paraId="73483460" w14:textId="704810C9" w:rsidR="00DE24D9" w:rsidRPr="00DA57EE" w:rsidRDefault="00E930D5" w:rsidP="0094547F">
      <w:pPr>
        <w:pStyle w:val="CH2"/>
      </w:pPr>
      <w:r w:rsidRPr="00DA57EE">
        <w:tab/>
      </w:r>
      <w:r w:rsidR="0094547F" w:rsidRPr="00DA57EE">
        <w:t>A.</w:t>
      </w:r>
      <w:r w:rsidRPr="00DA57EE">
        <w:tab/>
      </w:r>
      <w:r w:rsidR="00DE24D9" w:rsidRPr="00DA57EE">
        <w:t xml:space="preserve">Question 3.1: Primary </w:t>
      </w:r>
      <w:r w:rsidR="00230038" w:rsidRPr="00DA57EE">
        <w:t>m</w:t>
      </w:r>
      <w:r w:rsidR="00DE24D9" w:rsidRPr="00DA57EE">
        <w:t xml:space="preserve">ercury </w:t>
      </w:r>
      <w:r w:rsidR="00230038" w:rsidRPr="00DA57EE">
        <w:t>m</w:t>
      </w:r>
      <w:r w:rsidR="00DE24D9" w:rsidRPr="00DA57EE">
        <w:t>ining</w:t>
      </w:r>
      <w:r w:rsidR="00DE24D9" w:rsidRPr="00DA57EE">
        <w:rPr>
          <w:vertAlign w:val="superscript"/>
        </w:rPr>
        <w:footnoteReference w:id="5"/>
      </w:r>
    </w:p>
    <w:p w14:paraId="340E3984" w14:textId="14CE7459"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Progress</w:t>
      </w:r>
      <w:r w:rsidR="00B46853" w:rsidRPr="00DA57EE">
        <w:t>.</w:t>
      </w:r>
      <w:r w:rsidRPr="00DA57EE">
        <w:t xml:space="preserve"> Reported primary mercury production from formal </w:t>
      </w:r>
      <w:r w:rsidR="00F657EC" w:rsidRPr="00DA57EE">
        <w:t xml:space="preserve">mining </w:t>
      </w:r>
      <w:r w:rsidRPr="00DA57EE">
        <w:t>operations declined during the reporting period. One party reported an 11.4</w:t>
      </w:r>
      <w:r w:rsidR="005F10E8" w:rsidRPr="00DA57EE">
        <w:t xml:space="preserve"> per cent</w:t>
      </w:r>
      <w:r w:rsidRPr="00DA57EE">
        <w:t xml:space="preserve"> decline in production</w:t>
      </w:r>
      <w:r w:rsidR="00570269" w:rsidRPr="00DA57EE">
        <w:t>,</w:t>
      </w:r>
      <w:r w:rsidRPr="00DA57EE">
        <w:t xml:space="preserve"> from 193 metric ton</w:t>
      </w:r>
      <w:r w:rsidR="00E45EFA" w:rsidRPr="00DA57EE">
        <w:t>s</w:t>
      </w:r>
      <w:r w:rsidRPr="00DA57EE">
        <w:t xml:space="preserve"> in 2021 to 171 metric ton</w:t>
      </w:r>
      <w:r w:rsidR="00E45EFA" w:rsidRPr="00DA57EE">
        <w:t>s</w:t>
      </w:r>
      <w:r w:rsidRPr="00DA57EE">
        <w:t xml:space="preserve"> in 2022, while another party reported 0 metric ton</w:t>
      </w:r>
      <w:r w:rsidR="00E45EFA" w:rsidRPr="00DA57EE">
        <w:t>s</w:t>
      </w:r>
      <w:r w:rsidRPr="00DA57EE">
        <w:t xml:space="preserve"> for both 2021 and 2022. One party also reported the presence of illegal primary mercury mines in </w:t>
      </w:r>
      <w:r w:rsidR="00570269" w:rsidRPr="00DA57EE">
        <w:t xml:space="preserve">its </w:t>
      </w:r>
      <w:r w:rsidRPr="00DA57EE">
        <w:t xml:space="preserve">territory during the reporting period, </w:t>
      </w:r>
      <w:r w:rsidR="00E45EFA" w:rsidRPr="00DA57EE">
        <w:t>in accordance with</w:t>
      </w:r>
      <w:r w:rsidRPr="00DA57EE">
        <w:t xml:space="preserve"> paragraph 1 of decision MC-5/2, </w:t>
      </w:r>
      <w:r w:rsidR="00570269" w:rsidRPr="00DA57EE">
        <w:t xml:space="preserve">in </w:t>
      </w:r>
      <w:r w:rsidRPr="00DA57EE">
        <w:t xml:space="preserve">which parties </w:t>
      </w:r>
      <w:r w:rsidR="00570269" w:rsidRPr="00DA57EE">
        <w:t xml:space="preserve">were encouraged </w:t>
      </w:r>
      <w:r w:rsidRPr="00DA57EE">
        <w:t xml:space="preserve">to report on all primary mercury mining activities </w:t>
      </w:r>
      <w:r w:rsidR="00463928" w:rsidRPr="00DA57EE">
        <w:t xml:space="preserve">carried out in their territories, </w:t>
      </w:r>
      <w:r w:rsidRPr="00DA57EE">
        <w:t>irrespective of the</w:t>
      </w:r>
      <w:r w:rsidR="00541FC7" w:rsidRPr="00DA57EE">
        <w:t>ir</w:t>
      </w:r>
      <w:r w:rsidRPr="00DA57EE">
        <w:t xml:space="preserve"> status </w:t>
      </w:r>
      <w:r w:rsidR="00463928" w:rsidRPr="00DA57EE">
        <w:t xml:space="preserve">as </w:t>
      </w:r>
      <w:r w:rsidRPr="00DA57EE">
        <w:t>formal, informal or illegal.</w:t>
      </w:r>
    </w:p>
    <w:p w14:paraId="20C1537F" w14:textId="1E42648F"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Challenges</w:t>
      </w:r>
      <w:r w:rsidR="00B46853" w:rsidRPr="00DA57EE">
        <w:t>.</w:t>
      </w:r>
      <w:r w:rsidRPr="00DA57EE">
        <w:t xml:space="preserve"> The following were reported as challenges: </w:t>
      </w:r>
      <w:r w:rsidR="00570269" w:rsidRPr="00DA57EE">
        <w:t xml:space="preserve">the </w:t>
      </w:r>
      <w:r w:rsidRPr="00DA57EE">
        <w:t xml:space="preserve">information gap </w:t>
      </w:r>
      <w:r w:rsidR="00541FC7" w:rsidRPr="00DA57EE">
        <w:t xml:space="preserve">regarding </w:t>
      </w:r>
      <w:r w:rsidRPr="00DA57EE">
        <w:t xml:space="preserve">informal or illegal activities, including primary mercury mining, and the informal or illegal operations themselves. One party reported that </w:t>
      </w:r>
      <w:r w:rsidR="006E70A7" w:rsidRPr="00DA57EE">
        <w:t xml:space="preserve">its </w:t>
      </w:r>
      <w:proofErr w:type="gramStart"/>
      <w:r w:rsidR="00AF7F8B" w:rsidRPr="00DA57EE">
        <w:t>G</w:t>
      </w:r>
      <w:r w:rsidRPr="00DA57EE">
        <w:t>overnment</w:t>
      </w:r>
      <w:proofErr w:type="gramEnd"/>
      <w:r w:rsidRPr="00DA57EE">
        <w:t xml:space="preserve"> </w:t>
      </w:r>
      <w:r w:rsidR="00541FC7" w:rsidRPr="00DA57EE">
        <w:t xml:space="preserve">had </w:t>
      </w:r>
      <w:r w:rsidRPr="00DA57EE">
        <w:t>never issued a primary mercury (cinnabar) mining licen</w:t>
      </w:r>
      <w:r w:rsidR="00541FC7" w:rsidRPr="00DA57EE">
        <w:t>c</w:t>
      </w:r>
      <w:r w:rsidRPr="00DA57EE">
        <w:t xml:space="preserve">e, </w:t>
      </w:r>
      <w:r w:rsidR="00541FC7" w:rsidRPr="00DA57EE">
        <w:t xml:space="preserve">meaning </w:t>
      </w:r>
      <w:r w:rsidRPr="00DA57EE">
        <w:t xml:space="preserve">that primary mercury mining </w:t>
      </w:r>
      <w:r w:rsidR="00541FC7" w:rsidRPr="00DA57EE">
        <w:t xml:space="preserve">was </w:t>
      </w:r>
      <w:r w:rsidRPr="00DA57EE">
        <w:t xml:space="preserve">illegal in </w:t>
      </w:r>
      <w:r w:rsidR="00541FC7" w:rsidRPr="00DA57EE">
        <w:t>that country</w:t>
      </w:r>
      <w:r w:rsidRPr="00DA57EE">
        <w:t xml:space="preserve">. The party had </w:t>
      </w:r>
      <w:r w:rsidR="00541FC7" w:rsidRPr="00DA57EE">
        <w:t xml:space="preserve">also addressed </w:t>
      </w:r>
      <w:r w:rsidRPr="00DA57EE">
        <w:t xml:space="preserve">the issue of illegal primary mercury mining in its previous reports and had </w:t>
      </w:r>
      <w:r w:rsidR="004C62D8" w:rsidRPr="00DA57EE">
        <w:t xml:space="preserve">mentioned </w:t>
      </w:r>
      <w:r w:rsidRPr="00DA57EE">
        <w:t>the challenge that</w:t>
      </w:r>
      <w:r w:rsidR="00AF7F8B" w:rsidRPr="00DA57EE">
        <w:t>,</w:t>
      </w:r>
      <w:r w:rsidRPr="00DA57EE">
        <w:t xml:space="preserve"> since primary mercury mining </w:t>
      </w:r>
      <w:r w:rsidR="00AF7F8B" w:rsidRPr="00DA57EE">
        <w:t xml:space="preserve">was </w:t>
      </w:r>
      <w:r w:rsidRPr="00DA57EE">
        <w:t xml:space="preserve">illegal, it </w:t>
      </w:r>
      <w:r w:rsidR="00AF7F8B" w:rsidRPr="00DA57EE">
        <w:t xml:space="preserve">was </w:t>
      </w:r>
      <w:r w:rsidRPr="00DA57EE">
        <w:t xml:space="preserve">difficult for the </w:t>
      </w:r>
      <w:r w:rsidR="00AF7F8B" w:rsidRPr="00DA57EE">
        <w:t>G</w:t>
      </w:r>
      <w:r w:rsidRPr="00DA57EE">
        <w:t xml:space="preserve">overnment to know exactly how much primary mercury mining </w:t>
      </w:r>
      <w:r w:rsidR="00AF7F8B" w:rsidRPr="00DA57EE">
        <w:t xml:space="preserve">was carried out </w:t>
      </w:r>
      <w:r w:rsidRPr="00DA57EE">
        <w:t xml:space="preserve">in the party’s territory. Another party was only able to report on the official production of mercury. In its explanation </w:t>
      </w:r>
      <w:r w:rsidR="00AF7F8B" w:rsidRPr="00DA57EE">
        <w:t xml:space="preserve">on </w:t>
      </w:r>
      <w:r w:rsidRPr="00DA57EE">
        <w:t xml:space="preserve">question 3.1, the party did not discount the possibility of illegal </w:t>
      </w:r>
      <w:r w:rsidR="00AF7F8B" w:rsidRPr="00DA57EE">
        <w:t xml:space="preserve">mercury </w:t>
      </w:r>
      <w:r w:rsidRPr="00DA57EE">
        <w:t xml:space="preserve">production occurring in its territory. </w:t>
      </w:r>
      <w:r w:rsidR="006E70A7" w:rsidRPr="00DA57EE">
        <w:t>In its full report (</w:t>
      </w:r>
      <w:r w:rsidR="00FD0179" w:rsidRPr="00DA57EE">
        <w:t>submitted in 2</w:t>
      </w:r>
      <w:r w:rsidR="006E70A7" w:rsidRPr="00DA57EE">
        <w:t>021), t</w:t>
      </w:r>
      <w:r w:rsidRPr="00DA57EE">
        <w:t xml:space="preserve">he same party mentioned the persistence of illegal mercury production </w:t>
      </w:r>
      <w:r w:rsidR="004C62D8" w:rsidRPr="00DA57EE">
        <w:t xml:space="preserve">that </w:t>
      </w:r>
      <w:r w:rsidRPr="00DA57EE">
        <w:t xml:space="preserve">it had identified through its environmental monitoring efforts </w:t>
      </w:r>
      <w:r w:rsidR="004C62D8" w:rsidRPr="00DA57EE">
        <w:t xml:space="preserve">and </w:t>
      </w:r>
      <w:r w:rsidRPr="00DA57EE">
        <w:t xml:space="preserve">that </w:t>
      </w:r>
      <w:r w:rsidR="004C62D8" w:rsidRPr="00DA57EE">
        <w:t xml:space="preserve">might </w:t>
      </w:r>
      <w:r w:rsidRPr="00DA57EE">
        <w:t xml:space="preserve">be additional to its known closed mines. </w:t>
      </w:r>
    </w:p>
    <w:p w14:paraId="33AD011C" w14:textId="61965A15" w:rsidR="00DE24D9" w:rsidRPr="00DA57EE" w:rsidRDefault="00CA3FD3" w:rsidP="003D55DB">
      <w:pPr>
        <w:pStyle w:val="Normalnumber"/>
        <w:tabs>
          <w:tab w:val="clear" w:pos="1247"/>
          <w:tab w:val="clear" w:pos="1814"/>
          <w:tab w:val="clear" w:pos="2381"/>
          <w:tab w:val="clear" w:pos="2948"/>
          <w:tab w:val="clear" w:pos="3515"/>
          <w:tab w:val="left" w:pos="624"/>
        </w:tabs>
        <w:ind w:left="1247"/>
      </w:pPr>
      <w:r w:rsidRPr="00DA57EE">
        <w:rPr>
          <w:i/>
          <w:iCs/>
        </w:rPr>
        <w:t xml:space="preserve">Committee </w:t>
      </w:r>
      <w:r w:rsidR="00DE24D9" w:rsidRPr="00DA57EE">
        <w:rPr>
          <w:i/>
          <w:iCs/>
        </w:rPr>
        <w:t>recommendation</w:t>
      </w:r>
      <w:r w:rsidR="00B46853" w:rsidRPr="00DA57EE">
        <w:t>.</w:t>
      </w:r>
      <w:r w:rsidR="00DE24D9" w:rsidRPr="00DA57EE">
        <w:t> At its seventh meeting, the Committee recommended that the Conference of the Parties</w:t>
      </w:r>
      <w:r w:rsidR="00AF7F8B" w:rsidRPr="00DA57EE">
        <w:t>, at its six</w:t>
      </w:r>
      <w:r w:rsidR="00FD3873" w:rsidRPr="00DA57EE">
        <w:t>th</w:t>
      </w:r>
      <w:r w:rsidR="00AF7F8B" w:rsidRPr="00DA57EE">
        <w:t xml:space="preserve"> meeting,</w:t>
      </w:r>
      <w:r w:rsidR="00DE24D9" w:rsidRPr="00DA57EE">
        <w:t xml:space="preserve"> consider inviting parties to submit information on experiences and challenges faced in the implementation of paragraph 3 of article 3, specifically </w:t>
      </w:r>
      <w:proofErr w:type="gramStart"/>
      <w:r w:rsidR="00DE24D9" w:rsidRPr="00DA57EE">
        <w:t>taking into account</w:t>
      </w:r>
      <w:proofErr w:type="gramEnd"/>
      <w:r w:rsidR="00DE24D9" w:rsidRPr="00DA57EE">
        <w:t xml:space="preserve"> any information already provided in response to paragraph 4 of decision MC-5/2</w:t>
      </w:r>
      <w:r w:rsidR="00AF7F8B" w:rsidRPr="00DA57EE">
        <w:t>.</w:t>
      </w:r>
    </w:p>
    <w:p w14:paraId="0F105E13" w14:textId="19F2E478" w:rsidR="00DE24D9" w:rsidRPr="00DA57EE" w:rsidRDefault="00E930D5" w:rsidP="0094547F">
      <w:pPr>
        <w:pStyle w:val="CH2"/>
      </w:pPr>
      <w:r w:rsidRPr="00DA57EE">
        <w:tab/>
      </w:r>
      <w:r w:rsidR="0094547F" w:rsidRPr="00DA57EE">
        <w:t>B.</w:t>
      </w:r>
      <w:r w:rsidRPr="00DA57EE">
        <w:tab/>
      </w:r>
      <w:r w:rsidR="00DE24D9" w:rsidRPr="00DA57EE">
        <w:t xml:space="preserve">Question 3.3: Stocks and </w:t>
      </w:r>
      <w:r w:rsidR="0098153A" w:rsidRPr="00DA57EE">
        <w:t>s</w:t>
      </w:r>
      <w:r w:rsidR="00DE24D9" w:rsidRPr="00DA57EE">
        <w:t xml:space="preserve">ources of </w:t>
      </w:r>
      <w:r w:rsidR="0098153A" w:rsidRPr="00DA57EE">
        <w:t>m</w:t>
      </w:r>
      <w:r w:rsidR="00DE24D9" w:rsidRPr="00DA57EE">
        <w:t>ercury</w:t>
      </w:r>
      <w:r w:rsidR="00DE24D9" w:rsidRPr="00DA57EE">
        <w:rPr>
          <w:vertAlign w:val="superscript"/>
        </w:rPr>
        <w:footnoteReference w:id="6"/>
      </w:r>
    </w:p>
    <w:p w14:paraId="01F5BCA6" w14:textId="750DC442"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Progress</w:t>
      </w:r>
      <w:r w:rsidRPr="00DA57EE">
        <w:t xml:space="preserve">. There has been an improvement in the quality of responses </w:t>
      </w:r>
      <w:r w:rsidR="00AF7F8B" w:rsidRPr="00DA57EE">
        <w:t xml:space="preserve">to </w:t>
      </w:r>
      <w:r w:rsidRPr="00DA57EE">
        <w:t xml:space="preserve">question 3.3. </w:t>
      </w:r>
      <w:r w:rsidR="00FD3873" w:rsidRPr="00DA57EE">
        <w:t>In their reports, p</w:t>
      </w:r>
      <w:r w:rsidRPr="00DA57EE">
        <w:t xml:space="preserve">arties provided a good overview of the outcomes of endeavours to identify stocks and sources of mercury and clearer distinctions between identified stocks and sources, quantities of mercury identified and reported, and additional descriptions of the endeavours </w:t>
      </w:r>
      <w:r w:rsidR="00453A9E" w:rsidRPr="00DA57EE">
        <w:t>made</w:t>
      </w:r>
      <w:r w:rsidRPr="00DA57EE">
        <w:t>.</w:t>
      </w:r>
      <w:r w:rsidRPr="00DA57EE">
        <w:rPr>
          <w:vertAlign w:val="superscript"/>
        </w:rPr>
        <w:footnoteReference w:id="7"/>
      </w:r>
      <w:r w:rsidRPr="00DA57EE">
        <w:t xml:space="preserve"> </w:t>
      </w:r>
    </w:p>
    <w:p w14:paraId="4B52D331" w14:textId="6AC5023E"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Challenges</w:t>
      </w:r>
      <w:r w:rsidR="00B46853" w:rsidRPr="00DA57EE">
        <w:t>.</w:t>
      </w:r>
      <w:r w:rsidRPr="00DA57EE">
        <w:t xml:space="preserve"> </w:t>
      </w:r>
      <w:r w:rsidR="008F7036" w:rsidRPr="00DA57EE">
        <w:t>The d</w:t>
      </w:r>
      <w:r w:rsidRPr="00DA57EE">
        <w:t xml:space="preserve">ata </w:t>
      </w:r>
      <w:r w:rsidR="008F7036" w:rsidRPr="00DA57EE">
        <w:t xml:space="preserve">on </w:t>
      </w:r>
      <w:r w:rsidRPr="00DA57EE">
        <w:t xml:space="preserve">reported inventories </w:t>
      </w:r>
      <w:r w:rsidR="008F7036" w:rsidRPr="00DA57EE">
        <w:t xml:space="preserve">of </w:t>
      </w:r>
      <w:r w:rsidRPr="00DA57EE">
        <w:t xml:space="preserve">stocks and sources in the Minamata </w:t>
      </w:r>
      <w:r w:rsidR="004A1DF6" w:rsidRPr="00DA57EE">
        <w:t>i</w:t>
      </w:r>
      <w:r w:rsidRPr="00DA57EE">
        <w:t xml:space="preserve">nitial </w:t>
      </w:r>
      <w:r w:rsidR="004A1DF6" w:rsidRPr="00DA57EE">
        <w:t>a</w:t>
      </w:r>
      <w:r w:rsidRPr="00DA57EE">
        <w:t>ssessments</w:t>
      </w:r>
      <w:r w:rsidR="008F7036" w:rsidRPr="00DA57EE">
        <w:t xml:space="preserve"> may be outdated,</w:t>
      </w:r>
      <w:r w:rsidRPr="00DA57EE">
        <w:t xml:space="preserve"> </w:t>
      </w:r>
      <w:r w:rsidR="008F7036" w:rsidRPr="00DA57EE">
        <w:t>c</w:t>
      </w:r>
      <w:r w:rsidRPr="00DA57EE">
        <w:t xml:space="preserve">onsidering that </w:t>
      </w:r>
      <w:r w:rsidR="008F7036" w:rsidRPr="00DA57EE">
        <w:t xml:space="preserve">the majority </w:t>
      </w:r>
      <w:r w:rsidRPr="00DA57EE">
        <w:t xml:space="preserve">of the 71 assessments </w:t>
      </w:r>
      <w:r w:rsidR="00A074E9" w:rsidRPr="00DA57EE">
        <w:t xml:space="preserve">were </w:t>
      </w:r>
      <w:r w:rsidRPr="00DA57EE">
        <w:t>submitted to the secretariat in 2018 (21 submissions), 2019 (15 submissions) and 2017 (11 submissions), with three parties submitting their assessments as early as 2016.</w:t>
      </w:r>
      <w:r w:rsidRPr="00DA57EE">
        <w:rPr>
          <w:vertAlign w:val="superscript"/>
        </w:rPr>
        <w:footnoteReference w:id="8"/>
      </w:r>
      <w:r w:rsidRPr="00DA57EE">
        <w:t xml:space="preserve"> One party explained in its report that </w:t>
      </w:r>
      <w:r w:rsidR="008F7036" w:rsidRPr="00DA57EE">
        <w:t xml:space="preserve">its </w:t>
      </w:r>
      <w:r w:rsidRPr="00DA57EE">
        <w:t xml:space="preserve">initial inventory covered the period from 2017 to 2019 and that no new inventory </w:t>
      </w:r>
      <w:r w:rsidR="008F7036" w:rsidRPr="00DA57EE">
        <w:t xml:space="preserve">had </w:t>
      </w:r>
      <w:r w:rsidRPr="00DA57EE">
        <w:t xml:space="preserve">been </w:t>
      </w:r>
      <w:r w:rsidR="00573B9C" w:rsidRPr="00DA57EE">
        <w:t>prepared</w:t>
      </w:r>
      <w:r w:rsidR="00EA7AC3" w:rsidRPr="00DA57EE">
        <w:t xml:space="preserve"> </w:t>
      </w:r>
      <w:r w:rsidRPr="00DA57EE">
        <w:t>for the reporting period</w:t>
      </w:r>
      <w:r w:rsidR="00EA7AC3" w:rsidRPr="00DA57EE">
        <w:t xml:space="preserve"> ending on 31 December 2022</w:t>
      </w:r>
      <w:r w:rsidRPr="00DA57EE">
        <w:t xml:space="preserve">. Three parties with completed </w:t>
      </w:r>
      <w:r w:rsidR="00EA7AC3" w:rsidRPr="00DA57EE">
        <w:t>i</w:t>
      </w:r>
      <w:r w:rsidRPr="00DA57EE">
        <w:t xml:space="preserve">nitial </w:t>
      </w:r>
      <w:r w:rsidR="00EA7AC3" w:rsidRPr="00DA57EE">
        <w:t>a</w:t>
      </w:r>
      <w:r w:rsidRPr="00DA57EE">
        <w:t>ssessments also explained in their report</w:t>
      </w:r>
      <w:r w:rsidR="008F7036" w:rsidRPr="00DA57EE">
        <w:t>s</w:t>
      </w:r>
      <w:r w:rsidRPr="00DA57EE">
        <w:t xml:space="preserve"> </w:t>
      </w:r>
      <w:r w:rsidR="008F7036" w:rsidRPr="00DA57EE">
        <w:t xml:space="preserve">that </w:t>
      </w:r>
      <w:r w:rsidRPr="00DA57EE">
        <w:t xml:space="preserve">they </w:t>
      </w:r>
      <w:r w:rsidR="008F7036" w:rsidRPr="00DA57EE">
        <w:t xml:space="preserve">had </w:t>
      </w:r>
      <w:r w:rsidRPr="00DA57EE">
        <w:t xml:space="preserve">no financial resources or lacked </w:t>
      </w:r>
      <w:r w:rsidR="008F7036" w:rsidRPr="00DA57EE">
        <w:t xml:space="preserve">the </w:t>
      </w:r>
      <w:r w:rsidRPr="00DA57EE">
        <w:t xml:space="preserve">technical capacity </w:t>
      </w:r>
      <w:r w:rsidR="008F7036" w:rsidRPr="00DA57EE">
        <w:t xml:space="preserve">necessary </w:t>
      </w:r>
      <w:r w:rsidRPr="00DA57EE">
        <w:t xml:space="preserve">to </w:t>
      </w:r>
      <w:r w:rsidR="00EA7AC3" w:rsidRPr="00DA57EE">
        <w:t>take</w:t>
      </w:r>
      <w:r w:rsidRPr="00DA57EE">
        <w:t xml:space="preserve"> inventory of stocks and sources. </w:t>
      </w:r>
      <w:r w:rsidR="008F7036" w:rsidRPr="00DA57EE">
        <w:t xml:space="preserve">Of the 51 </w:t>
      </w:r>
      <w:r w:rsidRPr="00DA57EE">
        <w:t xml:space="preserve">parties </w:t>
      </w:r>
      <w:r w:rsidR="008F7036" w:rsidRPr="00DA57EE">
        <w:t xml:space="preserve">that </w:t>
      </w:r>
      <w:r w:rsidRPr="00DA57EE">
        <w:t xml:space="preserve">responded to part C </w:t>
      </w:r>
      <w:r w:rsidR="00EA7AC3" w:rsidRPr="00DA57EE">
        <w:t>(C</w:t>
      </w:r>
      <w:r w:rsidRPr="00DA57EE">
        <w:t>omments on possible challenges in meeting the objectives of the Convention</w:t>
      </w:r>
      <w:r w:rsidR="00EA7AC3" w:rsidRPr="00DA57EE">
        <w:t>)</w:t>
      </w:r>
      <w:r w:rsidRPr="00DA57EE">
        <w:t xml:space="preserve">, </w:t>
      </w:r>
      <w:r w:rsidR="008F7036" w:rsidRPr="00DA57EE">
        <w:t xml:space="preserve">14 </w:t>
      </w:r>
      <w:r w:rsidR="00573B9C" w:rsidRPr="00DA57EE">
        <w:t xml:space="preserve">parties </w:t>
      </w:r>
      <w:r w:rsidR="008F7036" w:rsidRPr="00DA57EE">
        <w:t>(27</w:t>
      </w:r>
      <w:r w:rsidR="00DA57EE" w:rsidRPr="00DA57EE">
        <w:t> </w:t>
      </w:r>
      <w:r w:rsidR="008F7036" w:rsidRPr="00DA57EE">
        <w:t>per</w:t>
      </w:r>
      <w:r w:rsidR="00DA57EE" w:rsidRPr="00DA57EE">
        <w:t> </w:t>
      </w:r>
      <w:r w:rsidR="008F7036" w:rsidRPr="00DA57EE">
        <w:t xml:space="preserve">cent) </w:t>
      </w:r>
      <w:r w:rsidRPr="00DA57EE">
        <w:t xml:space="preserve">reported </w:t>
      </w:r>
      <w:r w:rsidR="008F7036" w:rsidRPr="00DA57EE">
        <w:t xml:space="preserve">a </w:t>
      </w:r>
      <w:r w:rsidRPr="00DA57EE">
        <w:t>lack of technical resources</w:t>
      </w:r>
      <w:r w:rsidRPr="00DA57EE">
        <w:rPr>
          <w:vertAlign w:val="superscript"/>
        </w:rPr>
        <w:footnoteReference w:id="9"/>
      </w:r>
      <w:r w:rsidRPr="00DA57EE">
        <w:t xml:space="preserve"> as a concern. Other parties may </w:t>
      </w:r>
      <w:r w:rsidR="002708F5" w:rsidRPr="00DA57EE">
        <w:t xml:space="preserve">face </w:t>
      </w:r>
      <w:r w:rsidRPr="00DA57EE">
        <w:t xml:space="preserve">similar </w:t>
      </w:r>
      <w:r w:rsidRPr="00DA57EE">
        <w:lastRenderedPageBreak/>
        <w:t>situat</w:t>
      </w:r>
      <w:r w:rsidR="002708F5" w:rsidRPr="00DA57EE">
        <w:t>ions</w:t>
      </w:r>
      <w:r w:rsidRPr="00DA57EE">
        <w:t xml:space="preserve"> in updating the</w:t>
      </w:r>
      <w:r w:rsidR="002708F5" w:rsidRPr="00DA57EE">
        <w:t>ir</w:t>
      </w:r>
      <w:r w:rsidRPr="00DA57EE">
        <w:t xml:space="preserve"> mercury inventor</w:t>
      </w:r>
      <w:r w:rsidR="002708F5" w:rsidRPr="00DA57EE">
        <w:t>ies</w:t>
      </w:r>
      <w:r w:rsidRPr="00DA57EE">
        <w:t xml:space="preserve"> after their assessments but have not </w:t>
      </w:r>
      <w:r w:rsidR="00573B9C" w:rsidRPr="00DA57EE">
        <w:t>mentioned those challenges</w:t>
      </w:r>
      <w:r w:rsidRPr="00DA57EE">
        <w:t xml:space="preserve"> in their report</w:t>
      </w:r>
      <w:r w:rsidR="002708F5" w:rsidRPr="00DA57EE">
        <w:t>s</w:t>
      </w:r>
      <w:r w:rsidRPr="00DA57EE">
        <w:t>.</w:t>
      </w:r>
    </w:p>
    <w:p w14:paraId="437CE30F" w14:textId="535AEA59" w:rsidR="00DE24D9" w:rsidRPr="00DA57EE" w:rsidRDefault="0098153A" w:rsidP="003D55DB">
      <w:pPr>
        <w:pStyle w:val="Normalnumber"/>
        <w:tabs>
          <w:tab w:val="clear" w:pos="1247"/>
          <w:tab w:val="clear" w:pos="1814"/>
          <w:tab w:val="clear" w:pos="2381"/>
          <w:tab w:val="clear" w:pos="2948"/>
          <w:tab w:val="clear" w:pos="3515"/>
          <w:tab w:val="left" w:pos="624"/>
        </w:tabs>
        <w:ind w:left="1247"/>
      </w:pPr>
      <w:r w:rsidRPr="00DA57EE">
        <w:rPr>
          <w:i/>
          <w:iCs/>
        </w:rPr>
        <w:t xml:space="preserve">Committee </w:t>
      </w:r>
      <w:r w:rsidR="00DE24D9" w:rsidRPr="00DA57EE">
        <w:rPr>
          <w:i/>
          <w:iCs/>
        </w:rPr>
        <w:t>recommendation</w:t>
      </w:r>
      <w:r w:rsidR="00573B9C" w:rsidRPr="00DA57EE">
        <w:rPr>
          <w:i/>
          <w:iCs/>
        </w:rPr>
        <w:t>.</w:t>
      </w:r>
      <w:r w:rsidR="00DE24D9" w:rsidRPr="00DA57EE">
        <w:t> </w:t>
      </w:r>
      <w:r w:rsidR="002B7A38" w:rsidRPr="00DA57EE">
        <w:t>A</w:t>
      </w:r>
      <w:r w:rsidR="00DE24D9" w:rsidRPr="00DA57EE">
        <w:t xml:space="preserve">t its seventh meeting, </w:t>
      </w:r>
      <w:r w:rsidR="002B7A38" w:rsidRPr="00DA57EE">
        <w:t xml:space="preserve">the Committee </w:t>
      </w:r>
      <w:r w:rsidR="00DE24D9" w:rsidRPr="00DA57EE">
        <w:t xml:space="preserve">noted that parties </w:t>
      </w:r>
      <w:r w:rsidR="002B7A38" w:rsidRPr="00DA57EE">
        <w:t xml:space="preserve">that </w:t>
      </w:r>
      <w:r w:rsidR="00DE24D9" w:rsidRPr="00DA57EE">
        <w:t>rel</w:t>
      </w:r>
      <w:r w:rsidR="003B029F" w:rsidRPr="00DA57EE">
        <w:t>ied</w:t>
      </w:r>
      <w:r w:rsidR="00DE24D9" w:rsidRPr="00DA57EE">
        <w:t xml:space="preserve"> </w:t>
      </w:r>
      <w:r w:rsidR="002708F5" w:rsidRPr="00DA57EE">
        <w:t xml:space="preserve">solely </w:t>
      </w:r>
      <w:r w:rsidR="00DE24D9" w:rsidRPr="00DA57EE">
        <w:t xml:space="preserve">on </w:t>
      </w:r>
      <w:r w:rsidR="00447984" w:rsidRPr="00DA57EE">
        <w:t xml:space="preserve">the results of </w:t>
      </w:r>
      <w:r w:rsidR="00DE24D9" w:rsidRPr="00DA57EE">
        <w:t xml:space="preserve">their </w:t>
      </w:r>
      <w:r w:rsidR="00447984" w:rsidRPr="00DA57EE">
        <w:t xml:space="preserve">Minamata initial assessments </w:t>
      </w:r>
      <w:r w:rsidR="00DE24D9" w:rsidRPr="00DA57EE">
        <w:t>m</w:t>
      </w:r>
      <w:r w:rsidR="00AC4348" w:rsidRPr="00DA57EE">
        <w:t>ight</w:t>
      </w:r>
      <w:r w:rsidR="00DE24D9" w:rsidRPr="00DA57EE">
        <w:t xml:space="preserve"> need to consider more up-to-date sources of information. </w:t>
      </w:r>
    </w:p>
    <w:p w14:paraId="291F8247" w14:textId="61DD3CA9" w:rsidR="00DE24D9" w:rsidRPr="00DA57EE" w:rsidRDefault="00E930D5" w:rsidP="0094547F">
      <w:pPr>
        <w:pStyle w:val="CH2"/>
      </w:pPr>
      <w:r w:rsidRPr="00DA57EE">
        <w:tab/>
      </w:r>
      <w:r w:rsidR="0094547F" w:rsidRPr="00DA57EE">
        <w:t>C.</w:t>
      </w:r>
      <w:r w:rsidRPr="00DA57EE">
        <w:tab/>
      </w:r>
      <w:r w:rsidR="00DE24D9" w:rsidRPr="00DA57EE">
        <w:t xml:space="preserve">Question 3.5: Mercury </w:t>
      </w:r>
      <w:r w:rsidR="0098153A" w:rsidRPr="00DA57EE">
        <w:t>t</w:t>
      </w:r>
      <w:r w:rsidR="00DE24D9" w:rsidRPr="00DA57EE">
        <w:t>rade</w:t>
      </w:r>
      <w:r w:rsidR="00DE24D9" w:rsidRPr="00DA57EE">
        <w:rPr>
          <w:vertAlign w:val="superscript"/>
        </w:rPr>
        <w:footnoteReference w:id="10"/>
      </w:r>
      <w:r w:rsidR="00DE24D9" w:rsidRPr="00DA57EE">
        <w:rPr>
          <w:vertAlign w:val="superscript"/>
        </w:rPr>
        <w:t xml:space="preserve"> </w:t>
      </w:r>
    </w:p>
    <w:p w14:paraId="38D5B0BD" w14:textId="7B4F255A"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Progress</w:t>
      </w:r>
      <w:r w:rsidR="00B46853" w:rsidRPr="00DA57EE">
        <w:t>.</w:t>
      </w:r>
      <w:r w:rsidRPr="00DA57EE">
        <w:t xml:space="preserve"> The rate of </w:t>
      </w:r>
      <w:r w:rsidR="00DA5460" w:rsidRPr="00DA57EE">
        <w:t xml:space="preserve">submission of </w:t>
      </w:r>
      <w:r w:rsidRPr="00DA57EE">
        <w:t>trade consent forms to the secretariat rose to 57</w:t>
      </w:r>
      <w:r w:rsidR="005F10E8" w:rsidRPr="00DA57EE">
        <w:t xml:space="preserve"> per cent</w:t>
      </w:r>
      <w:r w:rsidRPr="00DA57EE">
        <w:t xml:space="preserve"> (4</w:t>
      </w:r>
      <w:r w:rsidR="00DA57EE" w:rsidRPr="00DA57EE">
        <w:t> </w:t>
      </w:r>
      <w:r w:rsidR="002708F5" w:rsidRPr="00DA57EE">
        <w:t xml:space="preserve">of </w:t>
      </w:r>
      <w:r w:rsidRPr="00DA57EE">
        <w:t xml:space="preserve">7 parties) submitting forms in the current cycle, compared </w:t>
      </w:r>
      <w:r w:rsidR="00573B9C" w:rsidRPr="00DA57EE">
        <w:t xml:space="preserve">with </w:t>
      </w:r>
      <w:r w:rsidRPr="00DA57EE">
        <w:t>50</w:t>
      </w:r>
      <w:r w:rsidR="005F10E8" w:rsidRPr="00DA57EE">
        <w:t xml:space="preserve"> per cent</w:t>
      </w:r>
      <w:r w:rsidRPr="00DA57EE">
        <w:t xml:space="preserve"> (3</w:t>
      </w:r>
      <w:r w:rsidR="002708F5" w:rsidRPr="00DA57EE">
        <w:t xml:space="preserve"> of </w:t>
      </w:r>
      <w:r w:rsidRPr="00DA57EE">
        <w:t>6 parties) in the previous cycle.</w:t>
      </w:r>
    </w:p>
    <w:p w14:paraId="78EA1F6B" w14:textId="7CFC60B2"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Challenges</w:t>
      </w:r>
      <w:r w:rsidR="00106AC9" w:rsidRPr="00DA57EE">
        <w:t>. The following challenges were reported</w:t>
      </w:r>
      <w:r w:rsidRPr="00DA57EE">
        <w:t>:</w:t>
      </w:r>
    </w:p>
    <w:p w14:paraId="48C44721" w14:textId="07EE6B57" w:rsidR="00DE24D9" w:rsidRPr="00DA57EE" w:rsidRDefault="00DE24D9" w:rsidP="00E930D5">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DA57EE">
        <w:t xml:space="preserve">The trade forms were incomplete (e.g. </w:t>
      </w:r>
      <w:r w:rsidR="00976B4B" w:rsidRPr="00DA57EE">
        <w:t xml:space="preserve">because of </w:t>
      </w:r>
      <w:r w:rsidRPr="00DA57EE">
        <w:t xml:space="preserve">missing signatures, unclear mercury sources, and </w:t>
      </w:r>
      <w:r w:rsidR="00976B4B" w:rsidRPr="00DA57EE">
        <w:t>missing</w:t>
      </w:r>
      <w:r w:rsidRPr="00DA57EE">
        <w:t xml:space="preserve"> evidence of the importing</w:t>
      </w:r>
      <w:r w:rsidR="00C648DA" w:rsidRPr="00DA57EE">
        <w:t xml:space="preserve"> </w:t>
      </w:r>
      <w:r w:rsidRPr="00DA57EE">
        <w:t>party</w:t>
      </w:r>
      <w:r w:rsidR="004F7F53" w:rsidRPr="00DA57EE">
        <w:t>’</w:t>
      </w:r>
      <w:r w:rsidRPr="00DA57EE">
        <w:t>s consent)</w:t>
      </w:r>
      <w:r w:rsidR="00C648DA" w:rsidRPr="00DA57EE">
        <w:t>,</w:t>
      </w:r>
      <w:r w:rsidRPr="00DA57EE">
        <w:t xml:space="preserve"> and it is unclear whether the information provided in lieu of trade consent forms meets all the requirements of article 3. The information shared by </w:t>
      </w:r>
      <w:r w:rsidR="00C648DA" w:rsidRPr="00DA57EE">
        <w:t xml:space="preserve">one </w:t>
      </w:r>
      <w:r w:rsidRPr="00DA57EE">
        <w:t>party included the quantity of mercury traded and the purpose of the import. However, information on the source of the mercury</w:t>
      </w:r>
      <w:r w:rsidR="00D94E0F" w:rsidRPr="00DA57EE">
        <w:t>,</w:t>
      </w:r>
      <w:r w:rsidRPr="00DA57EE">
        <w:t xml:space="preserve"> </w:t>
      </w:r>
      <w:r w:rsidR="00976B4B" w:rsidRPr="00DA57EE">
        <w:t xml:space="preserve">on </w:t>
      </w:r>
      <w:r w:rsidR="00D94E0F" w:rsidRPr="00DA57EE">
        <w:t xml:space="preserve">whether </w:t>
      </w:r>
      <w:r w:rsidRPr="00DA57EE">
        <w:t>the mercury ha</w:t>
      </w:r>
      <w:r w:rsidR="00D94E0F" w:rsidRPr="00DA57EE">
        <w:t>d</w:t>
      </w:r>
      <w:r w:rsidRPr="00DA57EE">
        <w:t xml:space="preserve"> been determined by the exporting party to be excess mercury from the decommissioning of chlor-alkali facilities</w:t>
      </w:r>
      <w:r w:rsidR="00D94E0F" w:rsidRPr="00DA57EE">
        <w:t>,</w:t>
      </w:r>
      <w:r w:rsidRPr="00DA57EE">
        <w:t xml:space="preserve"> </w:t>
      </w:r>
      <w:r w:rsidR="00D94E0F" w:rsidRPr="00DA57EE">
        <w:t xml:space="preserve">and </w:t>
      </w:r>
      <w:r w:rsidR="00976B4B" w:rsidRPr="00DA57EE">
        <w:t xml:space="preserve">on </w:t>
      </w:r>
      <w:r w:rsidRPr="00DA57EE">
        <w:t>the indication of consent by the importing party, among other information, was not immediately apparent from the submission</w:t>
      </w:r>
      <w:r w:rsidR="00C648DA" w:rsidRPr="00DA57EE">
        <w:t>;</w:t>
      </w:r>
    </w:p>
    <w:p w14:paraId="2CE98F30" w14:textId="39E4BFAB" w:rsidR="00DE24D9" w:rsidRPr="00DA57EE" w:rsidRDefault="00DE24D9" w:rsidP="00E930D5">
      <w:pPr>
        <w:pStyle w:val="Normalnumber"/>
        <w:numPr>
          <w:ilvl w:val="1"/>
          <w:numId w:val="1"/>
        </w:numPr>
        <w:tabs>
          <w:tab w:val="clear" w:pos="1247"/>
          <w:tab w:val="clear" w:pos="1814"/>
          <w:tab w:val="clear" w:pos="2381"/>
          <w:tab w:val="clear" w:pos="2495"/>
          <w:tab w:val="clear" w:pos="2948"/>
          <w:tab w:val="clear" w:pos="3515"/>
          <w:tab w:val="left" w:pos="624"/>
        </w:tabs>
        <w:ind w:left="1247" w:firstLine="624"/>
      </w:pPr>
      <w:r w:rsidRPr="00DA57EE">
        <w:t xml:space="preserve">Concern </w:t>
      </w:r>
      <w:r w:rsidR="00F719FC" w:rsidRPr="00DA57EE">
        <w:t xml:space="preserve">about </w:t>
      </w:r>
      <w:r w:rsidRPr="00DA57EE">
        <w:t xml:space="preserve">informal or illegal trade in mercury was also </w:t>
      </w:r>
      <w:r w:rsidR="00F719FC" w:rsidRPr="00DA57EE">
        <w:t xml:space="preserve">mentioned </w:t>
      </w:r>
      <w:r w:rsidRPr="00DA57EE">
        <w:t>by parties in their response</w:t>
      </w:r>
      <w:r w:rsidR="00F719FC" w:rsidRPr="00DA57EE">
        <w:t>s</w:t>
      </w:r>
      <w:r w:rsidRPr="00DA57EE">
        <w:t xml:space="preserve"> </w:t>
      </w:r>
      <w:r w:rsidR="00D94E0F" w:rsidRPr="00DA57EE">
        <w:t xml:space="preserve">in </w:t>
      </w:r>
      <w:r w:rsidRPr="00DA57EE">
        <w:t>part C</w:t>
      </w:r>
      <w:r w:rsidR="00FA1539" w:rsidRPr="00DA57EE">
        <w:t>.</w:t>
      </w:r>
      <w:r w:rsidR="00FA1539" w:rsidRPr="00DA57EE">
        <w:rPr>
          <w:vertAlign w:val="superscript"/>
        </w:rPr>
        <w:footnoteReference w:id="11"/>
      </w:r>
      <w:r w:rsidRPr="00DA57EE">
        <w:rPr>
          <w:vertAlign w:val="superscript"/>
        </w:rPr>
        <w:t xml:space="preserve"> </w:t>
      </w:r>
    </w:p>
    <w:p w14:paraId="1726E1E2" w14:textId="33DF7871" w:rsidR="00DE24D9" w:rsidRPr="00DA57EE" w:rsidRDefault="00B46853" w:rsidP="003D55DB">
      <w:pPr>
        <w:pStyle w:val="Normalnumber"/>
        <w:tabs>
          <w:tab w:val="clear" w:pos="1247"/>
          <w:tab w:val="clear" w:pos="1814"/>
          <w:tab w:val="clear" w:pos="2381"/>
          <w:tab w:val="clear" w:pos="2948"/>
          <w:tab w:val="clear" w:pos="3515"/>
          <w:tab w:val="left" w:pos="624"/>
        </w:tabs>
        <w:ind w:left="1247"/>
      </w:pPr>
      <w:r w:rsidRPr="00DA57EE">
        <w:rPr>
          <w:i/>
          <w:iCs/>
        </w:rPr>
        <w:t xml:space="preserve">Committee </w:t>
      </w:r>
      <w:r w:rsidR="00DE24D9" w:rsidRPr="00DA57EE">
        <w:rPr>
          <w:i/>
          <w:iCs/>
        </w:rPr>
        <w:t>conclusion</w:t>
      </w:r>
      <w:r w:rsidR="00573B9C" w:rsidRPr="00DA57EE">
        <w:rPr>
          <w:i/>
          <w:iCs/>
        </w:rPr>
        <w:t>.</w:t>
      </w:r>
      <w:r w:rsidR="00DE24D9" w:rsidRPr="00DA57EE">
        <w:t xml:space="preserve"> </w:t>
      </w:r>
      <w:r w:rsidR="00321F91" w:rsidRPr="00DA57EE">
        <w:t>A</w:t>
      </w:r>
      <w:r w:rsidR="00DE24D9" w:rsidRPr="00DA57EE">
        <w:t xml:space="preserve">t its seventh meeting, </w:t>
      </w:r>
      <w:r w:rsidR="00321F91" w:rsidRPr="00DA57EE">
        <w:t xml:space="preserve">the Committee </w:t>
      </w:r>
      <w:r w:rsidR="00DE24D9" w:rsidRPr="00DA57EE">
        <w:t xml:space="preserve">decided to re-examine this issue at its next meeting </w:t>
      </w:r>
      <w:proofErr w:type="gramStart"/>
      <w:r w:rsidR="00DE24D9" w:rsidRPr="00DA57EE">
        <w:t>in light of</w:t>
      </w:r>
      <w:proofErr w:type="gramEnd"/>
      <w:r w:rsidR="00DE24D9" w:rsidRPr="00DA57EE">
        <w:t xml:space="preserve"> the information compiled by the secretariat pursuant to paragraph 4 of decision MC-5/2 on experiences and challenges faced in the implementation of article 3 as well as activities undertaken in relation to the Bali Declaration on combating illegal trade in mercury.</w:t>
      </w:r>
    </w:p>
    <w:p w14:paraId="49B44C7B" w14:textId="1F1C671C" w:rsidR="00DE24D9" w:rsidRPr="00DA57EE" w:rsidRDefault="00E930D5" w:rsidP="0094547F">
      <w:pPr>
        <w:pStyle w:val="CH2"/>
      </w:pPr>
      <w:r w:rsidRPr="00DA57EE">
        <w:tab/>
      </w:r>
      <w:r w:rsidR="0094547F" w:rsidRPr="00DA57EE">
        <w:t>D.</w:t>
      </w:r>
      <w:r w:rsidRPr="00DA57EE">
        <w:tab/>
      </w:r>
      <w:r w:rsidR="00DE24D9" w:rsidRPr="00DA57EE">
        <w:t xml:space="preserve">Question 11.2: Mercury </w:t>
      </w:r>
      <w:r w:rsidR="0098153A" w:rsidRPr="00DA57EE">
        <w:t>w</w:t>
      </w:r>
      <w:r w:rsidR="00DE24D9" w:rsidRPr="00DA57EE">
        <w:t>aste</w:t>
      </w:r>
      <w:r w:rsidR="00DE24D9" w:rsidRPr="00DA57EE">
        <w:rPr>
          <w:rStyle w:val="FootnoteReference"/>
          <w:bCs/>
        </w:rPr>
        <w:footnoteReference w:id="12"/>
      </w:r>
      <w:r w:rsidR="00DE24D9" w:rsidRPr="00DA57EE">
        <w:t xml:space="preserve"> </w:t>
      </w:r>
    </w:p>
    <w:p w14:paraId="24E6D910" w14:textId="71904F9C"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Progress</w:t>
      </w:r>
      <w:r w:rsidR="00B46853" w:rsidRPr="00DA57EE">
        <w:t>.</w:t>
      </w:r>
      <w:r w:rsidRPr="00DA57EE">
        <w:t xml:space="preserve"> </w:t>
      </w:r>
      <w:r w:rsidR="004F1797" w:rsidRPr="00DA57EE">
        <w:t>T</w:t>
      </w:r>
      <w:r w:rsidRPr="00DA57EE">
        <w:t xml:space="preserve">he information reported on the final disposal methods </w:t>
      </w:r>
      <w:r w:rsidR="003560A2" w:rsidRPr="00DA57EE">
        <w:t>used</w:t>
      </w:r>
      <w:r w:rsidRPr="00DA57EE">
        <w:t xml:space="preserve"> </w:t>
      </w:r>
      <w:r w:rsidR="004F1797" w:rsidRPr="00DA57EE">
        <w:t xml:space="preserve">has improved </w:t>
      </w:r>
      <w:r w:rsidRPr="00DA57EE">
        <w:t>since the previous reporting</w:t>
      </w:r>
      <w:r w:rsidR="004F1797" w:rsidRPr="00DA57EE">
        <w:t xml:space="preserve"> period</w:t>
      </w:r>
      <w:r w:rsidRPr="00DA57EE">
        <w:t xml:space="preserve">, </w:t>
      </w:r>
      <w:proofErr w:type="gramStart"/>
      <w:r w:rsidR="004F1797" w:rsidRPr="00DA57EE">
        <w:t>in particular since</w:t>
      </w:r>
      <w:proofErr w:type="gramEnd"/>
      <w:r w:rsidR="004F1797" w:rsidRPr="00DA57EE">
        <w:t xml:space="preserve"> </w:t>
      </w:r>
      <w:r w:rsidRPr="00DA57EE">
        <w:t xml:space="preserve">the definition of </w:t>
      </w:r>
      <w:r w:rsidR="00D10A28" w:rsidRPr="00DA57EE">
        <w:t>“</w:t>
      </w:r>
      <w:r w:rsidRPr="00DA57EE">
        <w:t>final disposal</w:t>
      </w:r>
      <w:r w:rsidR="00D10A28" w:rsidRPr="00DA57EE">
        <w:t>”</w:t>
      </w:r>
      <w:r w:rsidR="00321F91" w:rsidRPr="00DA57EE">
        <w:t xml:space="preserve"> was clarified by the Conference of the Parties in decision MC-4/8</w:t>
      </w:r>
      <w:r w:rsidRPr="00DA57EE">
        <w:t xml:space="preserve">. </w:t>
      </w:r>
    </w:p>
    <w:p w14:paraId="4721EE23" w14:textId="58112461"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rPr>
          <w:i/>
          <w:iCs/>
        </w:rPr>
        <w:t>Challenge</w:t>
      </w:r>
      <w:r w:rsidR="00B46853" w:rsidRPr="00DA57EE">
        <w:rPr>
          <w:i/>
          <w:iCs/>
        </w:rPr>
        <w:t>s</w:t>
      </w:r>
      <w:r w:rsidR="00B46853" w:rsidRPr="00DA57EE">
        <w:t>.</w:t>
      </w:r>
      <w:r w:rsidRPr="00DA57EE">
        <w:t xml:space="preserve"> Some of the final disposal methods reported by parties did not clarify specific elements of disposal methods for waste consisting of mercury or mercury compounds</w:t>
      </w:r>
      <w:r w:rsidR="00AF6CAC" w:rsidRPr="00DA57EE">
        <w:t xml:space="preserve"> as outlined</w:t>
      </w:r>
      <w:r w:rsidRPr="00DA57EE">
        <w:t xml:space="preserve"> in the technical guidelines</w:t>
      </w:r>
      <w:r w:rsidR="000F2D8B" w:rsidRPr="00DA57EE">
        <w:t xml:space="preserve"> developed under the Basel Convention on the Control of Transboundary Movements of Hazardous Wastes and Their Disposal</w:t>
      </w:r>
      <w:r w:rsidRPr="00DA57EE">
        <w:t>, including stabilization and solidification.</w:t>
      </w:r>
      <w:r w:rsidR="001C4069" w:rsidRPr="00DA57EE">
        <w:rPr>
          <w:vertAlign w:val="superscript"/>
        </w:rPr>
        <w:footnoteReference w:id="13"/>
      </w:r>
      <w:r w:rsidRPr="00DA57EE">
        <w:t xml:space="preserve"> </w:t>
      </w:r>
    </w:p>
    <w:p w14:paraId="7BB99ECF" w14:textId="6339B9F3" w:rsidR="00DE24D9" w:rsidRPr="00DA57EE" w:rsidRDefault="0098153A" w:rsidP="003D55DB">
      <w:pPr>
        <w:pStyle w:val="Normalnumber"/>
        <w:tabs>
          <w:tab w:val="clear" w:pos="1247"/>
          <w:tab w:val="clear" w:pos="1814"/>
          <w:tab w:val="clear" w:pos="2381"/>
          <w:tab w:val="clear" w:pos="2948"/>
          <w:tab w:val="clear" w:pos="3515"/>
          <w:tab w:val="left" w:pos="624"/>
        </w:tabs>
        <w:ind w:left="1247"/>
      </w:pPr>
      <w:r w:rsidRPr="00DA57EE">
        <w:rPr>
          <w:i/>
          <w:iCs/>
        </w:rPr>
        <w:t xml:space="preserve">Committee </w:t>
      </w:r>
      <w:r w:rsidR="00DE24D9" w:rsidRPr="00DA57EE">
        <w:rPr>
          <w:i/>
          <w:iCs/>
        </w:rPr>
        <w:t>recommendation</w:t>
      </w:r>
      <w:r w:rsidR="00B46853" w:rsidRPr="00DA57EE">
        <w:t>.</w:t>
      </w:r>
      <w:r w:rsidR="00DE24D9" w:rsidRPr="00DA57EE">
        <w:t> </w:t>
      </w:r>
      <w:r w:rsidR="00B46853" w:rsidRPr="00DA57EE">
        <w:t>The Committee e</w:t>
      </w:r>
      <w:r w:rsidR="00DE24D9" w:rsidRPr="00DA57EE">
        <w:t>ncouraged parties to further elaborate, as appropriate, on their final disposal methods in their upcoming second full national report</w:t>
      </w:r>
      <w:r w:rsidR="001C4069" w:rsidRPr="00DA57EE">
        <w:t>s</w:t>
      </w:r>
      <w:r w:rsidR="00DE24D9" w:rsidRPr="00DA57EE">
        <w:t xml:space="preserve">, </w:t>
      </w:r>
      <w:proofErr w:type="gramStart"/>
      <w:r w:rsidR="00DE24D9" w:rsidRPr="00DA57EE">
        <w:t>taking into account</w:t>
      </w:r>
      <w:proofErr w:type="gramEnd"/>
      <w:r w:rsidR="00DE24D9" w:rsidRPr="00DA57EE">
        <w:t xml:space="preserve"> paragraph 3 of the annex to decision MC-4/8, which provide</w:t>
      </w:r>
      <w:r w:rsidR="0019423E" w:rsidRPr="00DA57EE">
        <w:t>s</w:t>
      </w:r>
      <w:r w:rsidR="00DE24D9" w:rsidRPr="00DA57EE">
        <w:t xml:space="preserve"> clarification </w:t>
      </w:r>
      <w:r w:rsidR="00B46853" w:rsidRPr="00DA57EE">
        <w:t xml:space="preserve">as to </w:t>
      </w:r>
      <w:r w:rsidR="00DE24D9" w:rsidRPr="00DA57EE">
        <w:t xml:space="preserve">where parties may look for information </w:t>
      </w:r>
      <w:r w:rsidR="00B46853" w:rsidRPr="00DA57EE">
        <w:t xml:space="preserve">on </w:t>
      </w:r>
      <w:r w:rsidR="00DE24D9" w:rsidRPr="00DA57EE">
        <w:t>how to define “final disposal” and how they might find national facilities using techniques for final disposal.</w:t>
      </w:r>
    </w:p>
    <w:p w14:paraId="1B0E7332" w14:textId="0090D9B9" w:rsidR="00DE24D9" w:rsidRPr="00DA57EE" w:rsidRDefault="00E930D5" w:rsidP="00E930D5">
      <w:pPr>
        <w:pStyle w:val="CH3"/>
      </w:pPr>
      <w:r w:rsidRPr="00DA57EE">
        <w:tab/>
      </w:r>
      <w:r w:rsidRPr="00DA57EE">
        <w:tab/>
      </w:r>
      <w:r w:rsidR="00DE24D9" w:rsidRPr="00DA57EE">
        <w:t>Part C: Comments regarding possible challenges in meeting the objectives of the Convention</w:t>
      </w:r>
    </w:p>
    <w:p w14:paraId="146612B8" w14:textId="530A3C53" w:rsidR="00DE24D9" w:rsidRPr="00DA57EE" w:rsidRDefault="00DE24D9" w:rsidP="003D55DB">
      <w:pPr>
        <w:pStyle w:val="Normalnumber"/>
        <w:tabs>
          <w:tab w:val="clear" w:pos="1247"/>
          <w:tab w:val="clear" w:pos="1814"/>
          <w:tab w:val="clear" w:pos="2381"/>
          <w:tab w:val="clear" w:pos="2948"/>
          <w:tab w:val="clear" w:pos="3515"/>
          <w:tab w:val="left" w:pos="624"/>
        </w:tabs>
        <w:ind w:left="1247"/>
      </w:pPr>
      <w:r w:rsidRPr="00DA57EE">
        <w:t>A total of 51 parties provided response</w:t>
      </w:r>
      <w:r w:rsidR="00B125F2" w:rsidRPr="00DA57EE">
        <w:t>s</w:t>
      </w:r>
      <w:r w:rsidRPr="00DA57EE">
        <w:t xml:space="preserve"> in part C of the reporting format. </w:t>
      </w:r>
      <w:r w:rsidR="00AE3C27" w:rsidRPr="00DA57EE">
        <w:t xml:space="preserve">Of those </w:t>
      </w:r>
      <w:r w:rsidRPr="00DA57EE">
        <w:t>parties</w:t>
      </w:r>
      <w:r w:rsidR="00AE3C27" w:rsidRPr="00DA57EE">
        <w:t>,</w:t>
      </w:r>
      <w:r w:rsidRPr="00DA57EE">
        <w:t xml:space="preserve"> </w:t>
      </w:r>
      <w:r w:rsidR="00AE3C27" w:rsidRPr="00DA57EE">
        <w:t>22</w:t>
      </w:r>
      <w:r w:rsidR="00DA57EE">
        <w:t> </w:t>
      </w:r>
      <w:r w:rsidRPr="00DA57EE">
        <w:t>(43</w:t>
      </w:r>
      <w:r w:rsidR="005F10E8" w:rsidRPr="00DA57EE">
        <w:t xml:space="preserve"> per cent</w:t>
      </w:r>
      <w:r w:rsidRPr="00DA57EE">
        <w:t xml:space="preserve">) cited </w:t>
      </w:r>
      <w:r w:rsidR="00AE3C27" w:rsidRPr="00DA57EE">
        <w:t xml:space="preserve">a </w:t>
      </w:r>
      <w:r w:rsidRPr="00DA57EE">
        <w:t xml:space="preserve">lack of financial resources or access to </w:t>
      </w:r>
      <w:r w:rsidR="00BD122C" w:rsidRPr="00DA57EE">
        <w:t xml:space="preserve">such </w:t>
      </w:r>
      <w:r w:rsidRPr="00DA57EE">
        <w:t xml:space="preserve">resources as a major challenge. </w:t>
      </w:r>
      <w:r w:rsidR="00AE3C27" w:rsidRPr="00DA57EE">
        <w:t xml:space="preserve">Sixteen </w:t>
      </w:r>
      <w:r w:rsidRPr="00DA57EE">
        <w:t>parties (31</w:t>
      </w:r>
      <w:r w:rsidR="005F10E8" w:rsidRPr="00DA57EE">
        <w:t xml:space="preserve"> per cent</w:t>
      </w:r>
      <w:r w:rsidRPr="00DA57EE">
        <w:t xml:space="preserve">) cited </w:t>
      </w:r>
      <w:r w:rsidR="00AE3C27" w:rsidRPr="00DA57EE">
        <w:t xml:space="preserve">a </w:t>
      </w:r>
      <w:r w:rsidRPr="00DA57EE">
        <w:t>lack of institutional capacity</w:t>
      </w:r>
      <w:r w:rsidR="00B125F2" w:rsidRPr="00DA57EE">
        <w:t xml:space="preserve"> as a challenge</w:t>
      </w:r>
      <w:r w:rsidRPr="00DA57EE">
        <w:t xml:space="preserve">, including the need to </w:t>
      </w:r>
      <w:r w:rsidR="00BD122C" w:rsidRPr="00DA57EE">
        <w:t xml:space="preserve">build </w:t>
      </w:r>
      <w:r w:rsidRPr="00DA57EE">
        <w:t>capacit</w:t>
      </w:r>
      <w:r w:rsidR="00BD122C" w:rsidRPr="00DA57EE">
        <w:t>y</w:t>
      </w:r>
      <w:r w:rsidRPr="00DA57EE">
        <w:t xml:space="preserve"> </w:t>
      </w:r>
      <w:r w:rsidR="00BD122C" w:rsidRPr="00DA57EE">
        <w:t xml:space="preserve">among </w:t>
      </w:r>
      <w:r w:rsidRPr="00DA57EE">
        <w:t>enforcement officers</w:t>
      </w:r>
      <w:r w:rsidR="00E266F7" w:rsidRPr="00DA57EE">
        <w:t xml:space="preserve"> more effectively</w:t>
      </w:r>
      <w:r w:rsidRPr="00DA57EE">
        <w:t>, update regulations or laws</w:t>
      </w:r>
      <w:r w:rsidR="00140105" w:rsidRPr="00DA57EE">
        <w:t>,</w:t>
      </w:r>
      <w:r w:rsidRPr="00DA57EE">
        <w:t xml:space="preserve"> </w:t>
      </w:r>
      <w:r w:rsidR="00BD122C" w:rsidRPr="00DA57EE">
        <w:t xml:space="preserve">and </w:t>
      </w:r>
      <w:r w:rsidRPr="00DA57EE">
        <w:t xml:space="preserve">improve regional coordination. </w:t>
      </w:r>
      <w:r w:rsidR="00AE3C27" w:rsidRPr="00DA57EE">
        <w:t xml:space="preserve">Fourteen </w:t>
      </w:r>
      <w:r w:rsidRPr="00DA57EE">
        <w:t>parties (27</w:t>
      </w:r>
      <w:r w:rsidR="005F10E8" w:rsidRPr="00DA57EE">
        <w:t xml:space="preserve"> per cent</w:t>
      </w:r>
      <w:r w:rsidRPr="00DA57EE">
        <w:t xml:space="preserve">) reported </w:t>
      </w:r>
      <w:r w:rsidR="00AE3C27" w:rsidRPr="00DA57EE">
        <w:t xml:space="preserve">a </w:t>
      </w:r>
      <w:r w:rsidRPr="00DA57EE">
        <w:t xml:space="preserve">lack of technical resources as a concern. </w:t>
      </w:r>
      <w:r w:rsidR="00AE3C27" w:rsidRPr="00DA57EE">
        <w:t xml:space="preserve">Another </w:t>
      </w:r>
      <w:r w:rsidRPr="00DA57EE">
        <w:t>14</w:t>
      </w:r>
      <w:r w:rsidRPr="00DA57EE" w:rsidDel="003F05B9">
        <w:t xml:space="preserve"> </w:t>
      </w:r>
      <w:r w:rsidRPr="00DA57EE">
        <w:t>parties (27</w:t>
      </w:r>
      <w:r w:rsidR="005F10E8" w:rsidRPr="00DA57EE">
        <w:t xml:space="preserve"> per cent</w:t>
      </w:r>
      <w:r w:rsidRPr="00DA57EE">
        <w:t xml:space="preserve">) reported </w:t>
      </w:r>
      <w:r w:rsidR="006C0B8D" w:rsidRPr="00DA57EE">
        <w:t xml:space="preserve">challenges related to </w:t>
      </w:r>
      <w:r w:rsidRPr="00DA57EE">
        <w:t xml:space="preserve">trade </w:t>
      </w:r>
      <w:r w:rsidR="00AE3C27" w:rsidRPr="00DA57EE">
        <w:t xml:space="preserve">in </w:t>
      </w:r>
      <w:r w:rsidRPr="00DA57EE">
        <w:t xml:space="preserve">mercury </w:t>
      </w:r>
      <w:r w:rsidR="00AE3C27" w:rsidRPr="00DA57EE">
        <w:t xml:space="preserve">and </w:t>
      </w:r>
      <w:r w:rsidR="00DA57EE" w:rsidRPr="00DA57EE">
        <w:t>mercury</w:t>
      </w:r>
      <w:r w:rsidR="00DA57EE" w:rsidRPr="00DA57EE">
        <w:noBreakHyphen/>
      </w:r>
      <w:r w:rsidRPr="00DA57EE">
        <w:t xml:space="preserve">added products, including illicit trafficking, illegal trade </w:t>
      </w:r>
      <w:r w:rsidR="004133AB" w:rsidRPr="00DA57EE">
        <w:t>and</w:t>
      </w:r>
      <w:r w:rsidRPr="00DA57EE">
        <w:t xml:space="preserve"> smuggling of mercury for use in </w:t>
      </w:r>
      <w:r w:rsidR="00BD122C" w:rsidRPr="00DA57EE">
        <w:t>artisanal and small-scale gold mining</w:t>
      </w:r>
      <w:r w:rsidRPr="00DA57EE">
        <w:t xml:space="preserve"> and of prohibited mercury-added products. Three</w:t>
      </w:r>
      <w:r w:rsidRPr="00DA57EE" w:rsidDel="003F05B9">
        <w:t xml:space="preserve"> </w:t>
      </w:r>
      <w:r w:rsidRPr="00DA57EE">
        <w:t xml:space="preserve">parties </w:t>
      </w:r>
      <w:r w:rsidRPr="00DA57EE">
        <w:lastRenderedPageBreak/>
        <w:t>(6</w:t>
      </w:r>
      <w:r w:rsidR="00DA57EE">
        <w:t> </w:t>
      </w:r>
      <w:r w:rsidR="005F10E8" w:rsidRPr="00DA57EE">
        <w:t>per</w:t>
      </w:r>
      <w:r w:rsidR="00DA57EE">
        <w:t> </w:t>
      </w:r>
      <w:r w:rsidR="005F10E8" w:rsidRPr="00DA57EE">
        <w:t>cent</w:t>
      </w:r>
      <w:r w:rsidRPr="00DA57EE">
        <w:t xml:space="preserve">) reported that domestic trade </w:t>
      </w:r>
      <w:r w:rsidR="00AE3C27" w:rsidRPr="00DA57EE">
        <w:t xml:space="preserve">in </w:t>
      </w:r>
      <w:r w:rsidRPr="00DA57EE">
        <w:t xml:space="preserve">mercury </w:t>
      </w:r>
      <w:r w:rsidR="00AE3C27" w:rsidRPr="00DA57EE">
        <w:t xml:space="preserve">was </w:t>
      </w:r>
      <w:r w:rsidRPr="00DA57EE">
        <w:t xml:space="preserve">a challenge, citing the use of electronic platforms </w:t>
      </w:r>
      <w:r w:rsidR="00BD122C" w:rsidRPr="00DA57EE">
        <w:t xml:space="preserve">to </w:t>
      </w:r>
      <w:r w:rsidRPr="00DA57EE">
        <w:t>sell mercury or mercury</w:t>
      </w:r>
      <w:r w:rsidR="00AE3C27" w:rsidRPr="00DA57EE">
        <w:t>-</w:t>
      </w:r>
      <w:r w:rsidRPr="00DA57EE">
        <w:t xml:space="preserve">added products </w:t>
      </w:r>
      <w:r w:rsidR="00BD122C" w:rsidRPr="00DA57EE">
        <w:t xml:space="preserve">on </w:t>
      </w:r>
      <w:r w:rsidRPr="00DA57EE">
        <w:t>local market</w:t>
      </w:r>
      <w:r w:rsidR="00B125F2" w:rsidRPr="00DA57EE">
        <w:t>s</w:t>
      </w:r>
      <w:r w:rsidRPr="00DA57EE">
        <w:t>.</w:t>
      </w:r>
    </w:p>
    <w:p w14:paraId="2AE8D03F" w14:textId="77777777" w:rsidR="00DE24D9" w:rsidRPr="00DA57EE" w:rsidRDefault="00DE24D9" w:rsidP="004C7CF9">
      <w:pPr>
        <w:pStyle w:val="CH1"/>
      </w:pPr>
      <w:r w:rsidRPr="00DA57EE">
        <w:tab/>
        <w:t>III.</w:t>
      </w:r>
      <w:r w:rsidRPr="00DA57EE">
        <w:tab/>
        <w:t>Update to the reporting guidance and other measures to support parties in national reporting</w:t>
      </w:r>
    </w:p>
    <w:p w14:paraId="4089CB97" w14:textId="0815D2A3"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Pursuant to </w:t>
      </w:r>
      <w:r w:rsidR="00E020B6" w:rsidRPr="00DA57EE">
        <w:t xml:space="preserve">paragraph 3 of </w:t>
      </w:r>
      <w:r w:rsidRPr="00DA57EE">
        <w:t xml:space="preserve">decision MC-5/13, </w:t>
      </w:r>
      <w:r w:rsidR="00E020B6" w:rsidRPr="00DA57EE">
        <w:t xml:space="preserve">in </w:t>
      </w:r>
      <w:r w:rsidRPr="00DA57EE">
        <w:t xml:space="preserve">which </w:t>
      </w:r>
      <w:r w:rsidR="00E020B6" w:rsidRPr="00DA57EE">
        <w:t xml:space="preserve">the Conference of the Parties </w:t>
      </w:r>
      <w:r w:rsidRPr="00DA57EE">
        <w:t xml:space="preserve">called on parties to submit their first full national reports by 31 December 2023, 87 </w:t>
      </w:r>
      <w:r w:rsidR="00E020B6" w:rsidRPr="00DA57EE">
        <w:t xml:space="preserve">of 123 </w:t>
      </w:r>
      <w:r w:rsidRPr="00DA57EE">
        <w:t>parties (7</w:t>
      </w:r>
      <w:r w:rsidR="00382AF5" w:rsidRPr="00DA57EE">
        <w:t>1</w:t>
      </w:r>
      <w:r w:rsidR="005F10E8" w:rsidRPr="00DA57EE">
        <w:t xml:space="preserve"> per cent</w:t>
      </w:r>
      <w:r w:rsidRPr="00DA57EE">
        <w:t xml:space="preserve">) </w:t>
      </w:r>
      <w:r w:rsidR="00E020B6" w:rsidRPr="00DA57EE">
        <w:t xml:space="preserve">had </w:t>
      </w:r>
      <w:r w:rsidRPr="00DA57EE">
        <w:t xml:space="preserve">submitted </w:t>
      </w:r>
      <w:r w:rsidR="00E020B6" w:rsidRPr="00DA57EE">
        <w:t xml:space="preserve">their reports </w:t>
      </w:r>
      <w:r w:rsidRPr="00DA57EE">
        <w:t xml:space="preserve">by the deadline. </w:t>
      </w:r>
      <w:r w:rsidR="00E020B6" w:rsidRPr="00DA57EE">
        <w:t>As at 5 July 202</w:t>
      </w:r>
      <w:r w:rsidR="00C67E4A" w:rsidRPr="00DA57EE">
        <w:t>5</w:t>
      </w:r>
      <w:r w:rsidR="00E020B6" w:rsidRPr="00DA57EE">
        <w:t xml:space="preserve">, </w:t>
      </w:r>
      <w:r w:rsidRPr="00DA57EE">
        <w:t xml:space="preserve">117 </w:t>
      </w:r>
      <w:r w:rsidR="00E020B6" w:rsidRPr="00DA57EE">
        <w:t xml:space="preserve">of 123 </w:t>
      </w:r>
      <w:r w:rsidRPr="00DA57EE">
        <w:t>parties (95</w:t>
      </w:r>
      <w:r w:rsidR="005F10E8" w:rsidRPr="00DA57EE">
        <w:t xml:space="preserve"> per cent</w:t>
      </w:r>
      <w:r w:rsidRPr="00DA57EE">
        <w:t xml:space="preserve">) </w:t>
      </w:r>
      <w:r w:rsidR="00E020B6" w:rsidRPr="00DA57EE">
        <w:t xml:space="preserve">had </w:t>
      </w:r>
      <w:r w:rsidRPr="00DA57EE">
        <w:t>submitted their first full national report</w:t>
      </w:r>
      <w:r w:rsidR="00DD470E" w:rsidRPr="00DA57EE">
        <w:t>s</w:t>
      </w:r>
      <w:r w:rsidRPr="00DA57EE">
        <w:t>.</w:t>
      </w:r>
    </w:p>
    <w:p w14:paraId="01543D5F" w14:textId="64EE1449"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In response to paragraph 6 of decision MC-5/13, the online reporting tool for the second full national report</w:t>
      </w:r>
      <w:r w:rsidR="009B5375" w:rsidRPr="00DA57EE">
        <w:t>s</w:t>
      </w:r>
      <w:r w:rsidRPr="00DA57EE">
        <w:t xml:space="preserve"> was updated to reflect the amendments to the reporting format adopted by the </w:t>
      </w:r>
      <w:r w:rsidR="00E020B6" w:rsidRPr="00DA57EE">
        <w:t xml:space="preserve">Conference of the Parties </w:t>
      </w:r>
      <w:r w:rsidRPr="00DA57EE">
        <w:t xml:space="preserve">in </w:t>
      </w:r>
      <w:r w:rsidR="00E020B6" w:rsidRPr="00DA57EE">
        <w:t xml:space="preserve">that </w:t>
      </w:r>
      <w:r w:rsidRPr="00DA57EE">
        <w:t>decision. The online reporting tool was launched on 6</w:t>
      </w:r>
      <w:r w:rsidR="00DD470E" w:rsidRPr="00DA57EE">
        <w:t> </w:t>
      </w:r>
      <w:r w:rsidRPr="00DA57EE">
        <w:t xml:space="preserve">March 2025. </w:t>
      </w:r>
      <w:r w:rsidR="00DD470E" w:rsidRPr="00DA57EE">
        <w:t>Individual</w:t>
      </w:r>
      <w:r w:rsidRPr="00DA57EE">
        <w:t xml:space="preserve"> </w:t>
      </w:r>
      <w:r w:rsidR="004C7CF9" w:rsidRPr="00DA57EE">
        <w:t>log</w:t>
      </w:r>
      <w:r w:rsidRPr="00DA57EE">
        <w:t xml:space="preserve">in credentials to access the online reporting tool </w:t>
      </w:r>
      <w:r w:rsidR="00E020B6" w:rsidRPr="00DA57EE">
        <w:t xml:space="preserve">were </w:t>
      </w:r>
      <w:r w:rsidRPr="00DA57EE">
        <w:t xml:space="preserve">sent to all national focal points on 3 March 2025 to enable </w:t>
      </w:r>
      <w:r w:rsidR="00E020B6" w:rsidRPr="00DA57EE">
        <w:t xml:space="preserve">them to </w:t>
      </w:r>
      <w:r w:rsidRPr="00DA57EE">
        <w:t>familiariz</w:t>
      </w:r>
      <w:r w:rsidR="00E020B6" w:rsidRPr="00DA57EE">
        <w:t>e</w:t>
      </w:r>
      <w:r w:rsidRPr="00DA57EE">
        <w:t xml:space="preserve"> </w:t>
      </w:r>
      <w:r w:rsidR="00E020B6" w:rsidRPr="00DA57EE">
        <w:t xml:space="preserve">themselves </w:t>
      </w:r>
      <w:r w:rsidRPr="00DA57EE">
        <w:t>with the updated tool prior to its launch.</w:t>
      </w:r>
    </w:p>
    <w:p w14:paraId="17C30D00" w14:textId="296EDAFE"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As requested by the Conference of the Parties in paragraph 6 of decision MC-5/13, the secretariat reflected all 19 amended reporting format questions </w:t>
      </w:r>
      <w:r w:rsidR="00966D6A" w:rsidRPr="00DA57EE">
        <w:t xml:space="preserve">in the </w:t>
      </w:r>
      <w:r w:rsidRPr="00DA57EE">
        <w:t xml:space="preserve">guidance for completing the national reporting format (UNEP/MC/COP.6/INF/21). The updated guidance document was posted on the Convention website on 6 March 2025 and was made available in English for </w:t>
      </w:r>
      <w:r w:rsidR="00C917D9" w:rsidRPr="00DA57EE">
        <w:t xml:space="preserve">parties to </w:t>
      </w:r>
      <w:r w:rsidRPr="00DA57EE">
        <w:t>use in completing their second full national reports. Other language versions will be prepared subject to the availability of resources.</w:t>
      </w:r>
    </w:p>
    <w:p w14:paraId="30D68847" w14:textId="2E11ABAF"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Five Minamata </w:t>
      </w:r>
      <w:r w:rsidR="00E020B6" w:rsidRPr="00DA57EE">
        <w:t>o</w:t>
      </w:r>
      <w:r w:rsidRPr="00DA57EE">
        <w:t xml:space="preserve">nline sessions were conducted to support parties in preparing and submitting their second full national reports: </w:t>
      </w:r>
      <w:r w:rsidR="002A0FD5" w:rsidRPr="00DA57EE">
        <w:t xml:space="preserve">the </w:t>
      </w:r>
      <w:r w:rsidRPr="00DA57EE">
        <w:t xml:space="preserve">launch </w:t>
      </w:r>
      <w:r w:rsidR="002A0FD5" w:rsidRPr="00DA57EE">
        <w:t xml:space="preserve">of </w:t>
      </w:r>
      <w:r w:rsidRPr="00DA57EE">
        <w:t>the online reporting tool</w:t>
      </w:r>
      <w:r w:rsidR="00A804B6" w:rsidRPr="00DA57EE">
        <w:t xml:space="preserve"> on 6 March 2025</w:t>
      </w:r>
      <w:r w:rsidR="00A00646" w:rsidRPr="00DA57EE">
        <w:t>,</w:t>
      </w:r>
      <w:r w:rsidRPr="00DA57EE">
        <w:t xml:space="preserve"> sessions</w:t>
      </w:r>
      <w:r w:rsidR="00A804B6" w:rsidRPr="00DA57EE">
        <w:t xml:space="preserve"> in English and French on 26 March 2025</w:t>
      </w:r>
      <w:r w:rsidR="00A00646" w:rsidRPr="00DA57EE">
        <w:t>,</w:t>
      </w:r>
      <w:r w:rsidRPr="00DA57EE">
        <w:t xml:space="preserve"> </w:t>
      </w:r>
      <w:r w:rsidR="00A804B6" w:rsidRPr="00DA57EE">
        <w:t xml:space="preserve">a session in </w:t>
      </w:r>
      <w:r w:rsidRPr="00DA57EE">
        <w:t xml:space="preserve">Spanish </w:t>
      </w:r>
      <w:r w:rsidR="00A804B6" w:rsidRPr="00DA57EE">
        <w:t>on 27 March 2025</w:t>
      </w:r>
      <w:r w:rsidR="00A00646" w:rsidRPr="00DA57EE">
        <w:t>,</w:t>
      </w:r>
      <w:r w:rsidRPr="00DA57EE">
        <w:t xml:space="preserve"> </w:t>
      </w:r>
      <w:r w:rsidR="00A804B6" w:rsidRPr="00DA57EE">
        <w:t xml:space="preserve">and a </w:t>
      </w:r>
      <w:r w:rsidRPr="00DA57EE">
        <w:t>session</w:t>
      </w:r>
      <w:r w:rsidR="00A804B6" w:rsidRPr="00DA57EE">
        <w:t xml:space="preserve"> in Arabic on 15 April 2025</w:t>
      </w:r>
      <w:r w:rsidRPr="00DA57EE">
        <w:t>. Sessions for new parties and a top</w:t>
      </w:r>
      <w:r w:rsidR="00E020B6" w:rsidRPr="00DA57EE">
        <w:t>-</w:t>
      </w:r>
      <w:r w:rsidRPr="00DA57EE">
        <w:t xml:space="preserve">up session on completing the second full national report are planned </w:t>
      </w:r>
      <w:r w:rsidR="00E020B6" w:rsidRPr="00DA57EE">
        <w:t>for</w:t>
      </w:r>
      <w:r w:rsidRPr="00DA57EE">
        <w:t xml:space="preserve"> the </w:t>
      </w:r>
      <w:r w:rsidR="006C1B67" w:rsidRPr="00DA57EE">
        <w:t xml:space="preserve">fourth </w:t>
      </w:r>
      <w:r w:rsidRPr="00DA57EE">
        <w:t>quarter of 2025.</w:t>
      </w:r>
    </w:p>
    <w:p w14:paraId="3136D184" w14:textId="0FD47762" w:rsidR="00DE24D9" w:rsidRPr="00DA57EE" w:rsidRDefault="00DE24D9" w:rsidP="00546D20">
      <w:pPr>
        <w:pStyle w:val="CH1"/>
      </w:pPr>
      <w:r w:rsidRPr="00DA57EE">
        <w:tab/>
        <w:t>IV.</w:t>
      </w:r>
      <w:r w:rsidRPr="00DA57EE">
        <w:tab/>
        <w:t xml:space="preserve">Analysis of national reports in preparation for the seventh meeting of the Conference of </w:t>
      </w:r>
      <w:r w:rsidR="00060038" w:rsidRPr="00DA57EE">
        <w:t xml:space="preserve">the </w:t>
      </w:r>
      <w:r w:rsidRPr="00DA57EE">
        <w:t>Parties</w:t>
      </w:r>
    </w:p>
    <w:p w14:paraId="1F107C40" w14:textId="498BCD92" w:rsidR="00DE24D9" w:rsidRPr="00DA57EE" w:rsidRDefault="00DE24D9" w:rsidP="00546D20">
      <w:pPr>
        <w:pStyle w:val="Normalnumber"/>
        <w:tabs>
          <w:tab w:val="clear" w:pos="1247"/>
          <w:tab w:val="clear" w:pos="1814"/>
          <w:tab w:val="clear" w:pos="2381"/>
          <w:tab w:val="clear" w:pos="2948"/>
          <w:tab w:val="clear" w:pos="3515"/>
          <w:tab w:val="left" w:pos="624"/>
        </w:tabs>
        <w:ind w:left="1247"/>
      </w:pPr>
      <w:r w:rsidRPr="00DA57EE">
        <w:t xml:space="preserve">The seventh meeting of the Conference of </w:t>
      </w:r>
      <w:r w:rsidR="00060038" w:rsidRPr="00DA57EE">
        <w:t xml:space="preserve">the </w:t>
      </w:r>
      <w:r w:rsidRPr="00DA57EE">
        <w:t>Parties is expected to be held in June 2027. Given the shortened intersessional period, the secretariat will prepar</w:t>
      </w:r>
      <w:r w:rsidR="00132246" w:rsidRPr="00DA57EE">
        <w:t>e</w:t>
      </w:r>
      <w:r w:rsidRPr="00DA57EE">
        <w:t xml:space="preserve"> to immediately review the completeness of the reports, analy</w:t>
      </w:r>
      <w:r w:rsidR="001661CD" w:rsidRPr="00DA57EE">
        <w:t>s</w:t>
      </w:r>
      <w:r w:rsidRPr="00DA57EE">
        <w:t xml:space="preserve">e the responses and work with parties to ensure that </w:t>
      </w:r>
      <w:r w:rsidR="001661CD" w:rsidRPr="00DA57EE">
        <w:t xml:space="preserve">the </w:t>
      </w:r>
      <w:r w:rsidRPr="00DA57EE">
        <w:t>report on the results is prepared in time for the eighth meeting of the Implementation and Compliance Committee</w:t>
      </w:r>
      <w:r w:rsidR="001661CD" w:rsidRPr="00DA57EE">
        <w:t>,</w:t>
      </w:r>
      <w:r w:rsidRPr="00DA57EE">
        <w:t xml:space="preserve"> in September 2026. The cooperation of parties in submitting national reports </w:t>
      </w:r>
      <w:r w:rsidR="001661CD" w:rsidRPr="00DA57EE">
        <w:t xml:space="preserve">by </w:t>
      </w:r>
      <w:r w:rsidRPr="00DA57EE">
        <w:t xml:space="preserve">the deadline </w:t>
      </w:r>
      <w:r w:rsidR="001661CD" w:rsidRPr="00DA57EE">
        <w:t xml:space="preserve">of </w:t>
      </w:r>
      <w:r w:rsidRPr="00DA57EE">
        <w:t>31</w:t>
      </w:r>
      <w:r w:rsidR="004C7CF9" w:rsidRPr="00DA57EE">
        <w:t> </w:t>
      </w:r>
      <w:r w:rsidRPr="00DA57EE">
        <w:t>December 2025 will be critical to ensur</w:t>
      </w:r>
      <w:r w:rsidR="001661CD" w:rsidRPr="00DA57EE">
        <w:t>ing</w:t>
      </w:r>
      <w:r w:rsidRPr="00DA57EE">
        <w:t xml:space="preserve"> </w:t>
      </w:r>
      <w:r w:rsidR="001661CD" w:rsidRPr="00DA57EE">
        <w:t xml:space="preserve">that </w:t>
      </w:r>
      <w:r w:rsidRPr="00DA57EE">
        <w:t xml:space="preserve">the secretariat’s report </w:t>
      </w:r>
      <w:r w:rsidR="001661CD" w:rsidRPr="00DA57EE">
        <w:t>is</w:t>
      </w:r>
      <w:r w:rsidRPr="00DA57EE">
        <w:t xml:space="preserve"> comprehensive and available for review </w:t>
      </w:r>
      <w:r w:rsidR="001661CD" w:rsidRPr="00DA57EE">
        <w:t xml:space="preserve">by </w:t>
      </w:r>
      <w:r w:rsidRPr="00DA57EE">
        <w:t>the Committee.</w:t>
      </w:r>
    </w:p>
    <w:p w14:paraId="567B636D" w14:textId="77777777" w:rsidR="00DE24D9" w:rsidRPr="00DA57EE" w:rsidRDefault="00DE24D9" w:rsidP="00546D20">
      <w:pPr>
        <w:pStyle w:val="CH1"/>
      </w:pPr>
      <w:r w:rsidRPr="00DA57EE">
        <w:tab/>
        <w:t>V.</w:t>
      </w:r>
      <w:r w:rsidRPr="00DA57EE">
        <w:tab/>
        <w:t>Suggested action by the Conference of the Parties</w:t>
      </w:r>
    </w:p>
    <w:p w14:paraId="635A0597" w14:textId="248A4183" w:rsidR="00546D20" w:rsidRPr="00DA57EE" w:rsidRDefault="00DE24D9" w:rsidP="003D55DB">
      <w:pPr>
        <w:pStyle w:val="Normalnumber"/>
        <w:tabs>
          <w:tab w:val="clear" w:pos="1247"/>
          <w:tab w:val="clear" w:pos="1814"/>
          <w:tab w:val="clear" w:pos="2381"/>
          <w:tab w:val="clear" w:pos="2948"/>
          <w:tab w:val="clear" w:pos="3515"/>
          <w:tab w:val="left" w:pos="624"/>
        </w:tabs>
        <w:ind w:left="1247"/>
        <w:rPr>
          <w:noProof/>
        </w:rPr>
        <w:sectPr w:rsidR="00546D20" w:rsidRPr="00DA57EE" w:rsidSect="004C7CF9">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r w:rsidRPr="00DA57EE">
        <w:rPr>
          <w:noProof/>
        </w:rPr>
        <w:t xml:space="preserve">The Conference of the Parties may wish to consider adopting a decision along the lines set out in the annex to the present </w:t>
      </w:r>
      <w:r w:rsidR="00132246" w:rsidRPr="00DA57EE">
        <w:rPr>
          <w:noProof/>
        </w:rPr>
        <w:t>note</w:t>
      </w:r>
      <w:r w:rsidRPr="00DA57EE">
        <w:rPr>
          <w:noProof/>
        </w:rPr>
        <w:t>.</w:t>
      </w:r>
    </w:p>
    <w:p w14:paraId="04AAE7AC" w14:textId="07459E91" w:rsidR="00DE24D9" w:rsidRPr="00DA57EE" w:rsidRDefault="00DE24D9" w:rsidP="004C7CF9">
      <w:pPr>
        <w:pStyle w:val="ZZAnxheader"/>
      </w:pPr>
      <w:r w:rsidRPr="00DA57EE">
        <w:lastRenderedPageBreak/>
        <w:t>Annex</w:t>
      </w:r>
    </w:p>
    <w:p w14:paraId="2B8656A6" w14:textId="77777777" w:rsidR="00DE24D9" w:rsidRPr="00DA57EE" w:rsidRDefault="00DE24D9" w:rsidP="004C7CF9">
      <w:pPr>
        <w:pStyle w:val="ZZAnxtitle"/>
      </w:pPr>
      <w:r w:rsidRPr="00DA57EE">
        <w:t>Draft decision MC-6</w:t>
      </w:r>
      <w:proofErr w:type="gramStart"/>
      <w:r w:rsidRPr="00DA57EE">
        <w:t>/[</w:t>
      </w:r>
      <w:proofErr w:type="gramEnd"/>
      <w:r w:rsidRPr="00DA57EE">
        <w:t>--]: National reporting (article 21): second short national reports</w:t>
      </w:r>
    </w:p>
    <w:p w14:paraId="5BB6FBBD" w14:textId="77777777"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rPr>
          <w:i/>
          <w:iCs/>
          <w:noProof/>
        </w:rPr>
      </w:pPr>
      <w:r w:rsidRPr="00DA57EE">
        <w:rPr>
          <w:i/>
          <w:iCs/>
          <w:noProof/>
        </w:rPr>
        <w:t>The Conference of the Parties,</w:t>
      </w:r>
    </w:p>
    <w:p w14:paraId="15E46EE9" w14:textId="508A1852"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rPr>
      </w:pPr>
      <w:r w:rsidRPr="00DA57EE">
        <w:rPr>
          <w:i/>
          <w:iCs/>
          <w:noProof/>
        </w:rPr>
        <w:t xml:space="preserve">Emphasizing </w:t>
      </w:r>
      <w:r w:rsidRPr="00DA57EE">
        <w:t xml:space="preserve">the importance of reporting, and recalling </w:t>
      </w:r>
      <w:r w:rsidR="00E35A20" w:rsidRPr="00DA57EE">
        <w:t xml:space="preserve">the </w:t>
      </w:r>
      <w:r w:rsidRPr="00DA57EE">
        <w:t xml:space="preserve">obligation </w:t>
      </w:r>
      <w:r w:rsidR="00E35A20" w:rsidRPr="00DA57EE">
        <w:t xml:space="preserve">of parties </w:t>
      </w:r>
      <w:r w:rsidRPr="00DA57EE">
        <w:t xml:space="preserve">to submit their national reports </w:t>
      </w:r>
      <w:r w:rsidR="002609D8" w:rsidRPr="00DA57EE">
        <w:t xml:space="preserve">in </w:t>
      </w:r>
      <w:r w:rsidRPr="00DA57EE">
        <w:t>accord</w:t>
      </w:r>
      <w:r w:rsidR="002609D8" w:rsidRPr="00DA57EE">
        <w:t>ance</w:t>
      </w:r>
      <w:r w:rsidRPr="00DA57EE">
        <w:t xml:space="preserve"> </w:t>
      </w:r>
      <w:r w:rsidR="002609D8" w:rsidRPr="00DA57EE">
        <w:t xml:space="preserve">with </w:t>
      </w:r>
      <w:r w:rsidRPr="00DA57EE">
        <w:t xml:space="preserve">article 21 of the </w:t>
      </w:r>
      <w:r w:rsidR="00945010" w:rsidRPr="00DA57EE">
        <w:t xml:space="preserve">Minamata </w:t>
      </w:r>
      <w:r w:rsidRPr="00DA57EE">
        <w:t>Convention</w:t>
      </w:r>
      <w:r w:rsidR="00945010" w:rsidRPr="00DA57EE">
        <w:t xml:space="preserve"> on Mercury</w:t>
      </w:r>
      <w:r w:rsidR="00132246" w:rsidRPr="00DA57EE">
        <w:t>,</w:t>
      </w:r>
    </w:p>
    <w:p w14:paraId="777F8DAC" w14:textId="2BE72D4E"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rPr>
      </w:pPr>
      <w:r w:rsidRPr="00DA57EE">
        <w:rPr>
          <w:i/>
          <w:iCs/>
          <w:noProof/>
        </w:rPr>
        <w:t>Considering</w:t>
      </w:r>
      <w:r w:rsidRPr="00DA57EE">
        <w:rPr>
          <w:noProof/>
        </w:rPr>
        <w:t xml:space="preserve"> the report </w:t>
      </w:r>
      <w:r w:rsidR="00945010" w:rsidRPr="00DA57EE">
        <w:rPr>
          <w:noProof/>
        </w:rPr>
        <w:t xml:space="preserve">on the work </w:t>
      </w:r>
      <w:r w:rsidRPr="00DA57EE">
        <w:rPr>
          <w:noProof/>
        </w:rPr>
        <w:t>of the Implementation and Compliance Committee at its seventh meeting</w:t>
      </w:r>
      <w:r w:rsidR="002609D8" w:rsidRPr="00DA57EE">
        <w:rPr>
          <w:noProof/>
        </w:rPr>
        <w:t>,</w:t>
      </w:r>
      <w:r w:rsidRPr="00DA57EE">
        <w:rPr>
          <w:noProof/>
        </w:rPr>
        <w:t xml:space="preserve"> including its conclusions on the reporting performance of parties</w:t>
      </w:r>
      <w:r w:rsidR="00132246" w:rsidRPr="00DA57EE">
        <w:rPr>
          <w:noProof/>
        </w:rPr>
        <w:t>,</w:t>
      </w:r>
      <w:r w:rsidR="002609D8" w:rsidRPr="00DA57EE">
        <w:rPr>
          <w:rStyle w:val="FootnoteReference"/>
        </w:rPr>
        <w:footnoteReference w:id="14"/>
      </w:r>
      <w:r w:rsidRPr="00DA57EE">
        <w:rPr>
          <w:noProof/>
        </w:rPr>
        <w:t xml:space="preserve"> </w:t>
      </w:r>
    </w:p>
    <w:p w14:paraId="736B060E" w14:textId="58A33241"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rPr>
          <w:noProof/>
        </w:rPr>
      </w:pPr>
      <w:r w:rsidRPr="00DA57EE">
        <w:rPr>
          <w:i/>
          <w:iCs/>
          <w:noProof/>
        </w:rPr>
        <w:t xml:space="preserve">Recognizing </w:t>
      </w:r>
      <w:r w:rsidRPr="00DA57EE">
        <w:rPr>
          <w:noProof/>
        </w:rPr>
        <w:t xml:space="preserve">the challenges in implementing the trade obligations under article 3 </w:t>
      </w:r>
      <w:r w:rsidR="00A5417D" w:rsidRPr="00DA57EE">
        <w:rPr>
          <w:noProof/>
        </w:rPr>
        <w:t xml:space="preserve">of the Convention </w:t>
      </w:r>
      <w:r w:rsidRPr="00DA57EE">
        <w:rPr>
          <w:noProof/>
        </w:rPr>
        <w:t xml:space="preserve">posed by informal or illegal primary mercury mining and trade </w:t>
      </w:r>
      <w:r w:rsidR="00013DDC" w:rsidRPr="00DA57EE">
        <w:rPr>
          <w:noProof/>
        </w:rPr>
        <w:t xml:space="preserve">in mercury </w:t>
      </w:r>
      <w:r w:rsidRPr="00DA57EE">
        <w:rPr>
          <w:noProof/>
        </w:rPr>
        <w:t xml:space="preserve">that do not conform </w:t>
      </w:r>
      <w:r w:rsidR="00E35A20" w:rsidRPr="00DA57EE">
        <w:rPr>
          <w:noProof/>
        </w:rPr>
        <w:t xml:space="preserve">with </w:t>
      </w:r>
      <w:r w:rsidRPr="00DA57EE">
        <w:rPr>
          <w:noProof/>
        </w:rPr>
        <w:t>the provisions of the Convention, including gathering data and reporting on such activities</w:t>
      </w:r>
      <w:r w:rsidR="00132246" w:rsidRPr="00DA57EE">
        <w:rPr>
          <w:noProof/>
        </w:rPr>
        <w:t>,</w:t>
      </w:r>
      <w:r w:rsidRPr="00DA57EE">
        <w:rPr>
          <w:noProof/>
        </w:rPr>
        <w:t xml:space="preserve"> </w:t>
      </w:r>
    </w:p>
    <w:p w14:paraId="6BD4299D" w14:textId="07CBCCEC"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pPr>
      <w:r w:rsidRPr="00DA57EE">
        <w:rPr>
          <w:i/>
          <w:iCs/>
          <w:noProof/>
        </w:rPr>
        <w:t>Welcoming</w:t>
      </w:r>
      <w:r w:rsidRPr="00DA57EE">
        <w:t xml:space="preserve"> the efforts of parties to report on informal or illegal primary mercury mining and trade, including as they relate to the artisanal and small-scale gold mining sector</w:t>
      </w:r>
      <w:r w:rsidR="00132246" w:rsidRPr="00DA57EE">
        <w:t>,</w:t>
      </w:r>
    </w:p>
    <w:p w14:paraId="454D66D8" w14:textId="64435E39" w:rsidR="00DE24D9" w:rsidRPr="00DA57EE" w:rsidRDefault="00DE24D9" w:rsidP="00546D20">
      <w:pPr>
        <w:pStyle w:val="NormalNonumber"/>
        <w:tabs>
          <w:tab w:val="clear" w:pos="1247"/>
          <w:tab w:val="clear" w:pos="1871"/>
          <w:tab w:val="clear" w:pos="2495"/>
          <w:tab w:val="clear" w:pos="3119"/>
          <w:tab w:val="clear" w:pos="3742"/>
          <w:tab w:val="clear" w:pos="4366"/>
          <w:tab w:val="clear" w:pos="4990"/>
        </w:tabs>
        <w:ind w:firstLine="624"/>
        <w:rPr>
          <w:rStyle w:val="normaltextrun"/>
        </w:rPr>
      </w:pPr>
      <w:r w:rsidRPr="00DA57EE">
        <w:rPr>
          <w:i/>
          <w:iCs/>
          <w:noProof/>
        </w:rPr>
        <w:t xml:space="preserve">Recalling </w:t>
      </w:r>
      <w:r w:rsidRPr="00DA57EE">
        <w:rPr>
          <w:rStyle w:val="normaltextrun"/>
          <w:color w:val="000000"/>
          <w:shd w:val="clear" w:color="auto" w:fill="FFFFFF"/>
        </w:rPr>
        <w:t>paragraph 2 of decision MC-5/2</w:t>
      </w:r>
      <w:r w:rsidR="00B14764" w:rsidRPr="00DA57EE">
        <w:rPr>
          <w:rStyle w:val="normaltextrun"/>
          <w:color w:val="000000"/>
          <w:shd w:val="clear" w:color="auto" w:fill="FFFFFF"/>
        </w:rPr>
        <w:t>, in which it</w:t>
      </w:r>
      <w:r w:rsidRPr="00DA57EE">
        <w:rPr>
          <w:rStyle w:val="normaltextrun"/>
          <w:color w:val="000000"/>
          <w:shd w:val="clear" w:color="auto" w:fill="FFFFFF"/>
        </w:rPr>
        <w:t xml:space="preserve"> encourag</w:t>
      </w:r>
      <w:r w:rsidR="00B14764" w:rsidRPr="00DA57EE">
        <w:rPr>
          <w:rStyle w:val="normaltextrun"/>
          <w:color w:val="000000"/>
          <w:shd w:val="clear" w:color="auto" w:fill="FFFFFF"/>
        </w:rPr>
        <w:t>ed</w:t>
      </w:r>
      <w:r w:rsidRPr="00DA57EE">
        <w:rPr>
          <w:rStyle w:val="normaltextrun"/>
          <w:color w:val="000000"/>
          <w:shd w:val="clear" w:color="auto" w:fill="FFFFFF"/>
        </w:rPr>
        <w:t xml:space="preserve"> parties that did not receive consent for all exports of mercury from the party’s territory to provide more information, if any, in their next national reports</w:t>
      </w:r>
      <w:r w:rsidR="005E7330" w:rsidRPr="00DA57EE">
        <w:rPr>
          <w:rStyle w:val="normaltextrun"/>
          <w:color w:val="000000"/>
          <w:shd w:val="clear" w:color="auto" w:fill="FFFFFF"/>
        </w:rPr>
        <w:t>,</w:t>
      </w:r>
    </w:p>
    <w:p w14:paraId="456F3B38" w14:textId="078291E5" w:rsidR="00DE24D9" w:rsidRPr="00DA57EE"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rPr>
      </w:pPr>
      <w:r w:rsidRPr="00DA57EE">
        <w:rPr>
          <w:i/>
          <w:iCs/>
          <w:noProof/>
        </w:rPr>
        <w:t>Welcomes</w:t>
      </w:r>
      <w:r w:rsidRPr="00DA57EE">
        <w:rPr>
          <w:noProof/>
        </w:rPr>
        <w:t xml:space="preserve"> the high rate of reporting (86 per cent) by parties for the</w:t>
      </w:r>
      <w:r w:rsidR="00E35A20" w:rsidRPr="00DA57EE">
        <w:rPr>
          <w:noProof/>
        </w:rPr>
        <w:t>ir</w:t>
      </w:r>
      <w:r w:rsidRPr="00DA57EE">
        <w:rPr>
          <w:noProof/>
        </w:rPr>
        <w:t xml:space="preserve"> second short national reports</w:t>
      </w:r>
      <w:r w:rsidR="00B14764" w:rsidRPr="00DA57EE">
        <w:rPr>
          <w:noProof/>
        </w:rPr>
        <w:t>,</w:t>
      </w:r>
      <w:r w:rsidRPr="00DA57EE">
        <w:rPr>
          <w:noProof/>
        </w:rPr>
        <w:t xml:space="preserve"> and acknowledges that there is room for further improvement in the reporting rate;</w:t>
      </w:r>
    </w:p>
    <w:p w14:paraId="573FA983" w14:textId="7C920434" w:rsidR="00DE24D9" w:rsidRPr="00DA57EE"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rPr>
      </w:pPr>
      <w:r w:rsidRPr="00DA57EE">
        <w:rPr>
          <w:i/>
          <w:iCs/>
          <w:noProof/>
        </w:rPr>
        <w:t>Encourages</w:t>
      </w:r>
      <w:r w:rsidRPr="00DA57EE">
        <w:rPr>
          <w:noProof/>
        </w:rPr>
        <w:t xml:space="preserve"> </w:t>
      </w:r>
      <w:r w:rsidRPr="00DA57EE">
        <w:t>parties to achieve a high rate of reporting for the second full reports</w:t>
      </w:r>
      <w:r w:rsidR="00B14764" w:rsidRPr="00DA57EE">
        <w:t>,</w:t>
      </w:r>
      <w:r w:rsidRPr="00DA57EE">
        <w:t xml:space="preserve"> due by 31 December 2025</w:t>
      </w:r>
      <w:r w:rsidR="00B14764" w:rsidRPr="00DA57EE">
        <w:t>,</w:t>
      </w:r>
      <w:r w:rsidRPr="00DA57EE">
        <w:t xml:space="preserve"> and requests parties to submit their reports in a timely manner[</w:t>
      </w:r>
      <w:r w:rsidR="00B14764" w:rsidRPr="00DA57EE">
        <w:t xml:space="preserve">, </w:t>
      </w:r>
      <w:r w:rsidRPr="00DA57EE">
        <w:t>noting</w:t>
      </w:r>
      <w:r w:rsidRPr="00DA57EE">
        <w:rPr>
          <w:i/>
          <w:iCs/>
        </w:rPr>
        <w:t xml:space="preserve"> </w:t>
      </w:r>
      <w:r w:rsidRPr="00DA57EE">
        <w:t xml:space="preserve">that the short intersessional period before </w:t>
      </w:r>
      <w:r w:rsidR="00E35A20" w:rsidRPr="00DA57EE">
        <w:t xml:space="preserve">the </w:t>
      </w:r>
      <w:r w:rsidRPr="00DA57EE">
        <w:t xml:space="preserve">seventh meeting of the Conference of </w:t>
      </w:r>
      <w:r w:rsidR="00060038" w:rsidRPr="00DA57EE">
        <w:t xml:space="preserve">the </w:t>
      </w:r>
      <w:r w:rsidRPr="00DA57EE">
        <w:t>Parties will limit the time for analy</w:t>
      </w:r>
      <w:r w:rsidR="00B14764" w:rsidRPr="00DA57EE">
        <w:t>s</w:t>
      </w:r>
      <w:r w:rsidRPr="00DA57EE">
        <w:t>ing the second full national reports and submitting a report to the Implementation and Compliance Committee]</w:t>
      </w:r>
      <w:r w:rsidR="005E7330" w:rsidRPr="00DA57EE">
        <w:t>;</w:t>
      </w:r>
      <w:r w:rsidRPr="00DA57EE">
        <w:rPr>
          <w:rStyle w:val="FootnoteReference"/>
        </w:rPr>
        <w:footnoteReference w:id="15"/>
      </w:r>
    </w:p>
    <w:p w14:paraId="4056DC15" w14:textId="1D486544" w:rsidR="00DE24D9" w:rsidRPr="00DA57EE"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rPr>
      </w:pPr>
      <w:r w:rsidRPr="00DA57EE">
        <w:rPr>
          <w:i/>
          <w:iCs/>
          <w:noProof/>
        </w:rPr>
        <w:t>Reiterates</w:t>
      </w:r>
      <w:r w:rsidRPr="00DA57EE">
        <w:rPr>
          <w:noProof/>
        </w:rPr>
        <w:t xml:space="preserve"> its call </w:t>
      </w:r>
      <w:r w:rsidR="00A2643F" w:rsidRPr="00DA57EE">
        <w:rPr>
          <w:noProof/>
        </w:rPr>
        <w:t>to</w:t>
      </w:r>
      <w:r w:rsidRPr="00DA57EE">
        <w:rPr>
          <w:noProof/>
        </w:rPr>
        <w:t xml:space="preserve"> parties that have received consent to export mercury to parties and/or non-parties to provide to the secretariat either copies of the consent forms used or other suitable information in their reports submitted pursuant to article 21 of the </w:t>
      </w:r>
      <w:r w:rsidR="00A5417D" w:rsidRPr="00DA57EE">
        <w:rPr>
          <w:noProof/>
        </w:rPr>
        <w:t xml:space="preserve">Minamata </w:t>
      </w:r>
      <w:r w:rsidRPr="00DA57EE">
        <w:rPr>
          <w:noProof/>
        </w:rPr>
        <w:t xml:space="preserve">Convention </w:t>
      </w:r>
      <w:r w:rsidR="00A5417D" w:rsidRPr="00DA57EE">
        <w:rPr>
          <w:noProof/>
        </w:rPr>
        <w:t xml:space="preserve">on Mercury </w:t>
      </w:r>
      <w:r w:rsidR="00E35A20" w:rsidRPr="00DA57EE">
        <w:rPr>
          <w:noProof/>
        </w:rPr>
        <w:t xml:space="preserve">in order </w:t>
      </w:r>
      <w:r w:rsidRPr="00DA57EE">
        <w:rPr>
          <w:noProof/>
        </w:rPr>
        <w:t>to show that the relevant requirements of article 3 of the Convention have been met;</w:t>
      </w:r>
    </w:p>
    <w:p w14:paraId="5F45F522" w14:textId="604F41F7" w:rsidR="00DE24D9" w:rsidRPr="00DA57EE" w:rsidRDefault="00570E7B"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rPr>
      </w:pPr>
      <w:r w:rsidRPr="00DA57EE">
        <w:rPr>
          <w:i/>
          <w:iCs/>
          <w:noProof/>
        </w:rPr>
        <w:t>Takes n</w:t>
      </w:r>
      <w:r w:rsidR="00DE24D9" w:rsidRPr="00DA57EE">
        <w:rPr>
          <w:i/>
          <w:iCs/>
          <w:noProof/>
        </w:rPr>
        <w:t>ote</w:t>
      </w:r>
      <w:r w:rsidR="00DE24D9" w:rsidRPr="00DA57EE">
        <w:rPr>
          <w:noProof/>
        </w:rPr>
        <w:t xml:space="preserve"> </w:t>
      </w:r>
      <w:r w:rsidRPr="00DA57EE">
        <w:rPr>
          <w:noProof/>
        </w:rPr>
        <w:t xml:space="preserve">of </w:t>
      </w:r>
      <w:r w:rsidR="00DE24D9" w:rsidRPr="00DA57EE">
        <w:rPr>
          <w:noProof/>
        </w:rPr>
        <w:t>the updates to the guidance for completing the national reporting format as requested in decision MC-5/13</w:t>
      </w:r>
      <w:r w:rsidR="00B14764" w:rsidRPr="00DA57EE">
        <w:rPr>
          <w:noProof/>
        </w:rPr>
        <w:t>,</w:t>
      </w:r>
      <w:r w:rsidR="00B14764" w:rsidRPr="00DA57EE">
        <w:rPr>
          <w:rStyle w:val="FootnoteReference"/>
        </w:rPr>
        <w:footnoteReference w:id="16"/>
      </w:r>
      <w:r w:rsidR="00DE24D9" w:rsidRPr="00DA57EE">
        <w:rPr>
          <w:noProof/>
        </w:rPr>
        <w:t xml:space="preserve"> and encourage</w:t>
      </w:r>
      <w:r w:rsidR="00B14764" w:rsidRPr="00DA57EE">
        <w:rPr>
          <w:noProof/>
        </w:rPr>
        <w:t>s</w:t>
      </w:r>
      <w:r w:rsidR="00DE24D9" w:rsidRPr="00DA57EE">
        <w:rPr>
          <w:noProof/>
        </w:rPr>
        <w:t xml:space="preserve"> parties to use the guidance in </w:t>
      </w:r>
      <w:r w:rsidR="00E35A20" w:rsidRPr="00DA57EE">
        <w:rPr>
          <w:noProof/>
        </w:rPr>
        <w:t xml:space="preserve">the current </w:t>
      </w:r>
      <w:r w:rsidR="00DE24D9" w:rsidRPr="00DA57EE">
        <w:rPr>
          <w:noProof/>
        </w:rPr>
        <w:t xml:space="preserve">and next reporting rounds; </w:t>
      </w:r>
    </w:p>
    <w:p w14:paraId="19D9FB96" w14:textId="77777777" w:rsidR="00DE24D9" w:rsidRPr="00DA57EE" w:rsidRDefault="00DE24D9" w:rsidP="001145C1">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rPr>
          <w:noProof/>
        </w:rPr>
      </w:pPr>
      <w:r w:rsidRPr="00DA57EE">
        <w:rPr>
          <w:i/>
          <w:iCs/>
          <w:noProof/>
        </w:rPr>
        <w:t>Requests</w:t>
      </w:r>
      <w:r w:rsidRPr="00DA57EE">
        <w:rPr>
          <w:noProof/>
        </w:rPr>
        <w:t xml:space="preserve"> the secretariat:</w:t>
      </w:r>
    </w:p>
    <w:p w14:paraId="5A9561FD" w14:textId="0923CB2B" w:rsidR="00DE24D9" w:rsidRPr="00DA57EE"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rPr>
      </w:pPr>
      <w:r w:rsidRPr="00DA57EE">
        <w:rPr>
          <w:noProof/>
        </w:rPr>
        <w:t xml:space="preserve">To collect information on best practices for reporting on informal or illegal activities that do not conform with the provisions of the Convention, with a view to identifying information that would be helpful for assessing their scale and nature, and </w:t>
      </w:r>
      <w:r w:rsidR="00B14764" w:rsidRPr="00DA57EE">
        <w:rPr>
          <w:noProof/>
        </w:rPr>
        <w:t xml:space="preserve">to </w:t>
      </w:r>
      <w:r w:rsidRPr="00DA57EE">
        <w:rPr>
          <w:noProof/>
        </w:rPr>
        <w:t xml:space="preserve">explore how such information could inform tools or reporting elements to support parties facing such challenges; </w:t>
      </w:r>
    </w:p>
    <w:p w14:paraId="2FDCFF1A" w14:textId="056A0C03" w:rsidR="00DE24D9" w:rsidRPr="00DA57EE"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rPr>
      </w:pPr>
      <w:r w:rsidRPr="00DA57EE">
        <w:rPr>
          <w:noProof/>
        </w:rPr>
        <w:t xml:space="preserve">To </w:t>
      </w:r>
      <w:r w:rsidR="00B14764" w:rsidRPr="00DA57EE">
        <w:rPr>
          <w:noProof/>
        </w:rPr>
        <w:t xml:space="preserve">continue </w:t>
      </w:r>
      <w:r w:rsidRPr="00DA57EE">
        <w:rPr>
          <w:noProof/>
        </w:rPr>
        <w:t xml:space="preserve">evaluating, on </w:t>
      </w:r>
      <w:r w:rsidR="00E35A20" w:rsidRPr="00DA57EE">
        <w:rPr>
          <w:noProof/>
        </w:rPr>
        <w:t xml:space="preserve">the basis of </w:t>
      </w:r>
      <w:r w:rsidRPr="00DA57EE">
        <w:rPr>
          <w:noProof/>
        </w:rPr>
        <w:t>parties’ experience of completing the second full reports, any issues that may arise from the reporting format, and to develop proposals for enhancing its ease of use and clarity for consideration by the Conference of the Parties at its future meetings;</w:t>
      </w:r>
    </w:p>
    <w:p w14:paraId="4C335A44" w14:textId="0C8BCD60" w:rsidR="00DE24D9" w:rsidRPr="00DA57EE"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rPr>
      </w:pPr>
      <w:r w:rsidRPr="00DA57EE">
        <w:rPr>
          <w:noProof/>
        </w:rPr>
        <w:t xml:space="preserve">To integrate relevant decisions adopted by the Conference of </w:t>
      </w:r>
      <w:r w:rsidR="00060038" w:rsidRPr="00DA57EE">
        <w:rPr>
          <w:noProof/>
        </w:rPr>
        <w:t xml:space="preserve">the </w:t>
      </w:r>
      <w:r w:rsidRPr="00DA57EE">
        <w:rPr>
          <w:noProof/>
        </w:rPr>
        <w:t xml:space="preserve">Parties at </w:t>
      </w:r>
      <w:r w:rsidR="00E35A20" w:rsidRPr="00DA57EE">
        <w:rPr>
          <w:noProof/>
        </w:rPr>
        <w:t xml:space="preserve">the present </w:t>
      </w:r>
      <w:r w:rsidRPr="00DA57EE">
        <w:rPr>
          <w:noProof/>
        </w:rPr>
        <w:t>and future meetings</w:t>
      </w:r>
      <w:r w:rsidR="007B7424" w:rsidRPr="00DA57EE">
        <w:rPr>
          <w:noProof/>
        </w:rPr>
        <w:t xml:space="preserve"> into the guidance for completing the reporting format</w:t>
      </w:r>
      <w:r w:rsidRPr="00DA57EE">
        <w:rPr>
          <w:noProof/>
        </w:rPr>
        <w:t>, ensuring that national reporting remains consistent with the updated requirements;</w:t>
      </w:r>
    </w:p>
    <w:p w14:paraId="691ACA07" w14:textId="77777777" w:rsidR="00DE24D9" w:rsidRPr="00DA57EE" w:rsidRDefault="00DE24D9" w:rsidP="001145C1">
      <w:pPr>
        <w:pStyle w:val="NormalNonumber"/>
        <w:numPr>
          <w:ilvl w:val="1"/>
          <w:numId w:val="18"/>
        </w:numPr>
        <w:tabs>
          <w:tab w:val="clear" w:pos="1247"/>
          <w:tab w:val="clear" w:pos="1871"/>
          <w:tab w:val="clear" w:pos="2495"/>
          <w:tab w:val="clear" w:pos="3119"/>
          <w:tab w:val="clear" w:pos="3742"/>
          <w:tab w:val="clear" w:pos="4366"/>
          <w:tab w:val="clear" w:pos="4990"/>
        </w:tabs>
        <w:ind w:left="1247" w:firstLine="624"/>
        <w:rPr>
          <w:noProof/>
        </w:rPr>
      </w:pPr>
      <w:r w:rsidRPr="00DA57EE">
        <w:rPr>
          <w:noProof/>
        </w:rPr>
        <w:t>To report to the Conference of the Parties at its seventh meeting on the implementation of the present decision.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582"/>
        <w:gridCol w:w="1583"/>
        <w:gridCol w:w="1583"/>
        <w:gridCol w:w="1583"/>
        <w:gridCol w:w="1583"/>
      </w:tblGrid>
      <w:tr w:rsidR="00DE24D9" w:rsidRPr="00DA57EE" w14:paraId="0C489844" w14:textId="77777777" w:rsidTr="00D974BE">
        <w:tc>
          <w:tcPr>
            <w:tcW w:w="1582" w:type="dxa"/>
          </w:tcPr>
          <w:p w14:paraId="43C55AE4" w14:textId="77777777" w:rsidR="00DE24D9" w:rsidRPr="00DA57EE" w:rsidRDefault="00DE24D9" w:rsidP="00DA57EE">
            <w:pPr>
              <w:pStyle w:val="Normal-pool"/>
              <w:spacing w:before="200"/>
              <w:rPr>
                <w:noProof/>
                <w:sz w:val="6"/>
                <w:szCs w:val="6"/>
              </w:rPr>
            </w:pPr>
          </w:p>
        </w:tc>
        <w:tc>
          <w:tcPr>
            <w:tcW w:w="1582" w:type="dxa"/>
          </w:tcPr>
          <w:p w14:paraId="053CA955" w14:textId="77777777" w:rsidR="00DE24D9" w:rsidRPr="00DA57EE" w:rsidRDefault="00DE24D9" w:rsidP="00DA57EE">
            <w:pPr>
              <w:pStyle w:val="Normal-pool"/>
              <w:spacing w:before="200"/>
              <w:rPr>
                <w:noProof/>
                <w:sz w:val="6"/>
                <w:szCs w:val="6"/>
              </w:rPr>
            </w:pPr>
          </w:p>
        </w:tc>
        <w:tc>
          <w:tcPr>
            <w:tcW w:w="1583" w:type="dxa"/>
          </w:tcPr>
          <w:p w14:paraId="0338E6D1" w14:textId="77777777" w:rsidR="00DE24D9" w:rsidRPr="00DA57EE" w:rsidRDefault="00DE24D9" w:rsidP="00DA57EE">
            <w:pPr>
              <w:pStyle w:val="Normal-pool"/>
              <w:spacing w:before="200"/>
              <w:rPr>
                <w:noProof/>
                <w:sz w:val="6"/>
                <w:szCs w:val="6"/>
              </w:rPr>
            </w:pPr>
          </w:p>
        </w:tc>
        <w:tc>
          <w:tcPr>
            <w:tcW w:w="1583" w:type="dxa"/>
            <w:tcBorders>
              <w:bottom w:val="single" w:sz="4" w:space="0" w:color="auto"/>
            </w:tcBorders>
          </w:tcPr>
          <w:p w14:paraId="38FB9799" w14:textId="77777777" w:rsidR="00DE24D9" w:rsidRPr="00DA57EE" w:rsidRDefault="00DE24D9" w:rsidP="00DA57EE">
            <w:pPr>
              <w:pStyle w:val="Normal-pool"/>
              <w:spacing w:before="200"/>
              <w:rPr>
                <w:noProof/>
                <w:sz w:val="6"/>
                <w:szCs w:val="6"/>
              </w:rPr>
            </w:pPr>
          </w:p>
        </w:tc>
        <w:tc>
          <w:tcPr>
            <w:tcW w:w="1583" w:type="dxa"/>
          </w:tcPr>
          <w:p w14:paraId="26F3A0DA" w14:textId="77777777" w:rsidR="00DE24D9" w:rsidRPr="00DA57EE" w:rsidRDefault="00DE24D9" w:rsidP="00DA57EE">
            <w:pPr>
              <w:pStyle w:val="Normal-pool"/>
              <w:spacing w:before="200"/>
              <w:rPr>
                <w:noProof/>
                <w:sz w:val="6"/>
                <w:szCs w:val="6"/>
              </w:rPr>
            </w:pPr>
          </w:p>
        </w:tc>
        <w:tc>
          <w:tcPr>
            <w:tcW w:w="1583" w:type="dxa"/>
          </w:tcPr>
          <w:p w14:paraId="6B6E949F" w14:textId="77777777" w:rsidR="00DE24D9" w:rsidRPr="00DA57EE" w:rsidRDefault="00DE24D9" w:rsidP="00DA57EE">
            <w:pPr>
              <w:pStyle w:val="Normal-pool"/>
              <w:spacing w:before="200"/>
              <w:rPr>
                <w:noProof/>
                <w:sz w:val="6"/>
                <w:szCs w:val="6"/>
              </w:rPr>
            </w:pPr>
          </w:p>
        </w:tc>
      </w:tr>
    </w:tbl>
    <w:p w14:paraId="1360A97E" w14:textId="1DFA9F69" w:rsidR="00DE24D9" w:rsidRPr="00DA57EE" w:rsidRDefault="00DE24D9" w:rsidP="00546D20">
      <w:pPr>
        <w:pStyle w:val="Normal-pool"/>
        <w:rPr>
          <w:rFonts w:eastAsiaTheme="minorEastAsia"/>
          <w:sz w:val="2"/>
          <w:szCs w:val="2"/>
        </w:rPr>
      </w:pPr>
    </w:p>
    <w:sectPr w:rsidR="00DE24D9" w:rsidRPr="00DA57EE" w:rsidSect="004C7CF9">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8528" w14:textId="77777777" w:rsidR="002D3374" w:rsidRPr="00DE24D9" w:rsidRDefault="002D3374">
      <w:r w:rsidRPr="00DE24D9">
        <w:separator/>
      </w:r>
    </w:p>
  </w:endnote>
  <w:endnote w:type="continuationSeparator" w:id="0">
    <w:p w14:paraId="5BE608F7" w14:textId="77777777" w:rsidR="002D3374" w:rsidRPr="00DE24D9" w:rsidRDefault="002D3374">
      <w:r w:rsidRPr="00DE2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40F3" w14:textId="3B313D33" w:rsidR="007A36F8" w:rsidRPr="004C7CF9" w:rsidRDefault="004C7CF9" w:rsidP="004C7CF9">
    <w:pPr>
      <w:pStyle w:val="Footer-pool"/>
      <w:rPr>
        <w:b w:val="0"/>
      </w:rPr>
    </w:pPr>
    <w:r w:rsidRPr="004C7CF9">
      <w:rPr>
        <w:rStyle w:val="PageNumber"/>
        <w:b/>
      </w:rPr>
      <w:fldChar w:fldCharType="begin"/>
    </w:r>
    <w:r w:rsidRPr="004C7CF9">
      <w:rPr>
        <w:rStyle w:val="PageNumber"/>
        <w:b/>
      </w:rPr>
      <w:instrText xml:space="preserve"> PAGE </w:instrText>
    </w:r>
    <w:r w:rsidRPr="004C7CF9">
      <w:rPr>
        <w:rStyle w:val="PageNumber"/>
        <w:b/>
      </w:rPr>
      <w:fldChar w:fldCharType="separate"/>
    </w:r>
    <w:r w:rsidRPr="004C7CF9">
      <w:rPr>
        <w:rStyle w:val="PageNumber"/>
        <w:b/>
        <w:noProof/>
      </w:rPr>
      <w:t>4</w:t>
    </w:r>
    <w:r w:rsidRPr="004C7CF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5D67" w14:textId="48E03EA8" w:rsidR="007A36F8" w:rsidRPr="004C7CF9" w:rsidRDefault="004C7CF9" w:rsidP="004C7CF9">
    <w:pPr>
      <w:pStyle w:val="Footer-pool"/>
      <w:jc w:val="right"/>
      <w:rPr>
        <w:b w:val="0"/>
        <w:bCs/>
      </w:rPr>
    </w:pPr>
    <w:r w:rsidRPr="004C7CF9">
      <w:rPr>
        <w:rStyle w:val="PageNumber"/>
        <w:b/>
        <w:bCs/>
      </w:rPr>
      <w:fldChar w:fldCharType="begin"/>
    </w:r>
    <w:r w:rsidRPr="004C7CF9">
      <w:rPr>
        <w:rStyle w:val="PageNumber"/>
        <w:b/>
        <w:bCs/>
      </w:rPr>
      <w:instrText xml:space="preserve"> PAGE \* MERGEFORMAT </w:instrText>
    </w:r>
    <w:r w:rsidRPr="004C7CF9">
      <w:rPr>
        <w:rStyle w:val="PageNumber"/>
        <w:b/>
        <w:bCs/>
      </w:rPr>
      <w:fldChar w:fldCharType="separate"/>
    </w:r>
    <w:r w:rsidRPr="004C7CF9">
      <w:rPr>
        <w:rStyle w:val="PageNumber"/>
        <w:b/>
        <w:bCs/>
        <w:noProof/>
      </w:rPr>
      <w:t>3</w:t>
    </w:r>
    <w:r w:rsidRPr="004C7CF9">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D0B2" w14:textId="46D8638B" w:rsidR="00DE24D9" w:rsidRPr="00DE24D9" w:rsidRDefault="00DA57EE" w:rsidP="004C7CF9">
    <w:pPr>
      <w:pStyle w:val="Footer-jobnumber"/>
    </w:pPr>
    <w:bookmarkStart w:id="12" w:name="FooterJobDate"/>
    <w:r>
      <w:t>K2511943[E]</w:t>
    </w:r>
    <w:r>
      <w:tab/>
    </w:r>
    <w:r w:rsidR="00DA5863">
      <w:t>0209</w:t>
    </w:r>
    <w:r>
      <w:t>25</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E261" w14:textId="77777777" w:rsidR="002D3374" w:rsidRPr="00DE24D9" w:rsidRDefault="002D3374" w:rsidP="004C7CF9">
      <w:pPr>
        <w:pStyle w:val="Footnote-Separator"/>
        <w:rPr>
          <w:szCs w:val="18"/>
        </w:rPr>
      </w:pPr>
      <w:r>
        <w:separator/>
      </w:r>
    </w:p>
  </w:footnote>
  <w:footnote w:type="continuationSeparator" w:id="0">
    <w:p w14:paraId="226C2743" w14:textId="77777777" w:rsidR="002D3374" w:rsidRPr="00DE24D9" w:rsidRDefault="002D3374" w:rsidP="004C7CF9">
      <w:pPr>
        <w:pStyle w:val="Footnote-Separator"/>
      </w:pPr>
      <w:r w:rsidRPr="00DE24D9">
        <w:continuationSeparator/>
      </w:r>
    </w:p>
  </w:footnote>
  <w:footnote w:type="continuationNotice" w:id="1">
    <w:p w14:paraId="4B80081B" w14:textId="77777777" w:rsidR="002D3374" w:rsidRPr="00DE24D9" w:rsidRDefault="002D3374" w:rsidP="004C7CF9">
      <w:pPr>
        <w:pStyle w:val="ASpacer"/>
      </w:pPr>
    </w:p>
  </w:footnote>
  <w:footnote w:id="2">
    <w:p w14:paraId="0CA60BAA" w14:textId="2CDE5431" w:rsidR="00546D20" w:rsidRPr="00DA57EE" w:rsidRDefault="00546D20"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vertAlign w:val="baseline"/>
        </w:rPr>
        <w:t>*</w:t>
      </w:r>
      <w:r w:rsidRPr="00DA57EE">
        <w:rPr>
          <w:szCs w:val="18"/>
        </w:rPr>
        <w:t xml:space="preserve"> UNEP/MC/COP.6/1</w:t>
      </w:r>
      <w:r w:rsidR="00DA5863">
        <w:rPr>
          <w:szCs w:val="18"/>
        </w:rPr>
        <w:t>/Rev.1</w:t>
      </w:r>
      <w:r w:rsidRPr="00DA57EE">
        <w:rPr>
          <w:szCs w:val="18"/>
        </w:rPr>
        <w:t>.</w:t>
      </w:r>
    </w:p>
  </w:footnote>
  <w:footnote w:id="3">
    <w:p w14:paraId="58280F0A" w14:textId="6A52914C"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00DE24D9" w:rsidRPr="00DA57EE">
        <w:rPr>
          <w:szCs w:val="18"/>
        </w:rPr>
        <w:t xml:space="preserve"> </w:t>
      </w:r>
      <w:r w:rsidR="00C7567A" w:rsidRPr="00DA57EE">
        <w:rPr>
          <w:szCs w:val="18"/>
        </w:rPr>
        <w:t xml:space="preserve">See </w:t>
      </w:r>
      <w:hyperlink r:id="rId1" w:history="1">
        <w:r w:rsidR="00DE24D9" w:rsidRPr="00DA57EE">
          <w:rPr>
            <w:rStyle w:val="Hyperlink"/>
            <w:szCs w:val="18"/>
          </w:rPr>
          <w:t>https://minamataconvention.org/en/parties/reporting/2023</w:t>
        </w:r>
      </w:hyperlink>
      <w:r w:rsidR="00DE24D9" w:rsidRPr="00DA57EE">
        <w:rPr>
          <w:szCs w:val="18"/>
        </w:rPr>
        <w:t xml:space="preserve">. </w:t>
      </w:r>
    </w:p>
  </w:footnote>
  <w:footnote w:id="4">
    <w:p w14:paraId="0C8F1A0B" w14:textId="4A2B1D28"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lang w:val="en-CA"/>
        </w:rPr>
      </w:pPr>
      <w:r w:rsidRPr="00DA57EE">
        <w:rPr>
          <w:rStyle w:val="FootnoteReference"/>
          <w:sz w:val="18"/>
        </w:rPr>
        <w:footnoteRef/>
      </w:r>
      <w:r w:rsidR="00DE24D9" w:rsidRPr="00DA57EE">
        <w:rPr>
          <w:szCs w:val="18"/>
        </w:rPr>
        <w:t xml:space="preserve"> The following parties submitted their second short national reports: </w:t>
      </w:r>
      <w:bookmarkStart w:id="10" w:name="_Hlk204625589"/>
      <w:r w:rsidR="00DE24D9" w:rsidRPr="00DA57EE">
        <w:rPr>
          <w:rStyle w:val="normaltextrun"/>
          <w:color w:val="000000" w:themeColor="text1"/>
          <w:szCs w:val="18"/>
        </w:rPr>
        <w:t xml:space="preserve">Afghanistan, Albania, Antigua and Barbuda, Argentina, Armenia, Australia, Austria, Bahrain, Belgium, Benin, Bolivia (Plurinational State of), Botswana, Brazil, Bulgaria, Burkina Faso, Burundi, Cambodia, Cameroon, Canada, Chad, Chile, China (including Hong Kong </w:t>
      </w:r>
      <w:r w:rsidR="00F95830" w:rsidRPr="00DA57EE">
        <w:rPr>
          <w:rStyle w:val="normaltextrun"/>
          <w:color w:val="000000" w:themeColor="text1"/>
          <w:szCs w:val="18"/>
        </w:rPr>
        <w:t>Special Administrative Region</w:t>
      </w:r>
      <w:r w:rsidR="00DE24D9" w:rsidRPr="00DA57EE">
        <w:rPr>
          <w:rStyle w:val="normaltextrun"/>
          <w:color w:val="000000" w:themeColor="text1"/>
          <w:szCs w:val="18"/>
        </w:rPr>
        <w:t xml:space="preserve"> and Macao </w:t>
      </w:r>
      <w:r w:rsidR="00C278CC" w:rsidRPr="00DA57EE">
        <w:rPr>
          <w:rStyle w:val="normaltextrun"/>
          <w:color w:val="000000" w:themeColor="text1"/>
          <w:szCs w:val="18"/>
        </w:rPr>
        <w:t>Special Administrative Region</w:t>
      </w:r>
      <w:r w:rsidR="00DE24D9" w:rsidRPr="00DA57EE">
        <w:rPr>
          <w:rStyle w:val="normaltextrun"/>
          <w:color w:val="000000" w:themeColor="text1"/>
          <w:szCs w:val="18"/>
        </w:rPr>
        <w:t>), Colombia, Comoros, Congo, Costa Rica, Côte d</w:t>
      </w:r>
      <w:r w:rsidR="00403DB2" w:rsidRPr="00DA57EE">
        <w:rPr>
          <w:rStyle w:val="normaltextrun"/>
          <w:color w:val="000000" w:themeColor="text1"/>
          <w:szCs w:val="18"/>
        </w:rPr>
        <w:t>’</w:t>
      </w:r>
      <w:r w:rsidR="00DE24D9" w:rsidRPr="00DA57EE">
        <w:rPr>
          <w:rStyle w:val="normaltextrun"/>
          <w:color w:val="000000" w:themeColor="text1"/>
          <w:szCs w:val="18"/>
        </w:rPr>
        <w:t>Ivoire, Croatia, Cyprus, Czechia, Denmark, Dominican Republic, Ecuador, El Salvador, Equatorial Guinea, Estonia, Eswatini, European Union, Finland, France, Gabon, Germany, Ghana, Greece, Guinea, Guinea-Bissau, Guyana, Honduras, Hungary, Iceland, India, Indonesia, Iran (Islamic Republic of), Iraq, Ireland, Italy, Jamaica, Japan, Kuwait, Latvia, Lesotho, Liechtenstein, Lithuania, Luxembourg, Madagascar, Mali, Malta, Marshall Islands, Mauritius, Mexico, Monaco, Mongolia, Montenegro, Namibia, Netherlands</w:t>
      </w:r>
      <w:r w:rsidR="00403DB2" w:rsidRPr="00DA57EE">
        <w:rPr>
          <w:rStyle w:val="normaltextrun"/>
          <w:color w:val="000000" w:themeColor="text1"/>
          <w:szCs w:val="18"/>
        </w:rPr>
        <w:t xml:space="preserve"> (Kingdom of the)</w:t>
      </w:r>
      <w:r w:rsidR="00DE24D9" w:rsidRPr="00DA57EE">
        <w:rPr>
          <w:rStyle w:val="normaltextrun"/>
          <w:color w:val="000000" w:themeColor="text1"/>
          <w:szCs w:val="18"/>
        </w:rPr>
        <w:t>, Nicaragua, Niger, Nigeria, North Macedonia, Norway, Oman, Palau, Panama, Peru, Philippines, Poland, Portugal, Qatar, Republic of Korea, Republic of Moldova, Romania, Rwanda, Saint Kitts and Nevis, Saint Lucia, Saudi Arabia, Senegal, Seychelles, Sierra Leone, Singapore, Slovakia, Slovenia, South Africa, Spain, Sri Lanka, State of Palestine, Sweden, Switzerland, Thailand, Togo, Tuvalu, Uganda, United Arab Emirates, United Kingdom of Great Britain and Northern Ireland, United Republic of Tanzania, United States of America, Uruguay, Viet Nam</w:t>
      </w:r>
      <w:r w:rsidR="00F74BFC" w:rsidRPr="00DA57EE">
        <w:rPr>
          <w:rStyle w:val="normaltextrun"/>
          <w:color w:val="000000" w:themeColor="text1"/>
          <w:szCs w:val="18"/>
        </w:rPr>
        <w:t>,</w:t>
      </w:r>
      <w:r w:rsidR="00DE24D9" w:rsidRPr="00DA57EE">
        <w:rPr>
          <w:rStyle w:val="normaltextrun"/>
          <w:color w:val="000000" w:themeColor="text1"/>
          <w:szCs w:val="18"/>
        </w:rPr>
        <w:t xml:space="preserve"> Zambia</w:t>
      </w:r>
      <w:bookmarkEnd w:id="10"/>
      <w:r w:rsidR="00DE24D9" w:rsidRPr="00DA57EE">
        <w:rPr>
          <w:rStyle w:val="normaltextrun"/>
          <w:color w:val="000000" w:themeColor="text1"/>
          <w:szCs w:val="18"/>
        </w:rPr>
        <w:t>.</w:t>
      </w:r>
    </w:p>
  </w:footnote>
  <w:footnote w:id="5">
    <w:p w14:paraId="68E6DB0E" w14:textId="73514822"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00DE24D9" w:rsidRPr="00DA57EE">
        <w:rPr>
          <w:szCs w:val="18"/>
        </w:rPr>
        <w:t xml:space="preserve"> </w:t>
      </w:r>
      <w:r w:rsidR="009A429D" w:rsidRPr="00DA57EE">
        <w:rPr>
          <w:szCs w:val="18"/>
        </w:rPr>
        <w:t>See</w:t>
      </w:r>
      <w:r w:rsidR="00DE24D9" w:rsidRPr="00DA57EE">
        <w:rPr>
          <w:szCs w:val="18"/>
        </w:rPr>
        <w:t xml:space="preserve"> document UNEP/MC/COP.6/INF/20</w:t>
      </w:r>
      <w:r w:rsidR="009A429D" w:rsidRPr="00DA57EE">
        <w:rPr>
          <w:szCs w:val="18"/>
        </w:rPr>
        <w:t xml:space="preserve"> for the </w:t>
      </w:r>
      <w:r w:rsidR="009A429D" w:rsidRPr="00DA57EE">
        <w:rPr>
          <w:szCs w:val="18"/>
          <w:lang w:val="en-US"/>
        </w:rPr>
        <w:t xml:space="preserve">full text of </w:t>
      </w:r>
      <w:r w:rsidR="009A429D" w:rsidRPr="00DA57EE">
        <w:rPr>
          <w:szCs w:val="18"/>
          <w:lang w:val="en-CA"/>
        </w:rPr>
        <w:t>question 3.1</w:t>
      </w:r>
      <w:r w:rsidR="00DE24D9" w:rsidRPr="00DA57EE">
        <w:rPr>
          <w:szCs w:val="18"/>
        </w:rPr>
        <w:t>.</w:t>
      </w:r>
    </w:p>
  </w:footnote>
  <w:footnote w:id="6">
    <w:p w14:paraId="7B6E97BA" w14:textId="6EE84D03"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lang w:val="en-CA"/>
        </w:rPr>
      </w:pPr>
      <w:r w:rsidRPr="00DA57EE">
        <w:rPr>
          <w:rStyle w:val="FootnoteReference"/>
          <w:sz w:val="18"/>
        </w:rPr>
        <w:footnoteRef/>
      </w:r>
      <w:r w:rsidR="00DE24D9" w:rsidRPr="00DA57EE">
        <w:rPr>
          <w:szCs w:val="18"/>
          <w:lang w:val="en-US"/>
        </w:rPr>
        <w:t xml:space="preserve"> </w:t>
      </w:r>
      <w:r w:rsidR="009A429D" w:rsidRPr="00DA57EE">
        <w:rPr>
          <w:szCs w:val="18"/>
          <w:lang w:val="en-US"/>
        </w:rPr>
        <w:t>See</w:t>
      </w:r>
      <w:r w:rsidR="00DE24D9" w:rsidRPr="00DA57EE">
        <w:rPr>
          <w:szCs w:val="18"/>
          <w:lang w:val="en-CA"/>
        </w:rPr>
        <w:t xml:space="preserve"> document UNEP/MC/COP.6/INF/20</w:t>
      </w:r>
      <w:r w:rsidR="009A429D" w:rsidRPr="00DA57EE">
        <w:rPr>
          <w:szCs w:val="18"/>
          <w:lang w:val="en-CA"/>
        </w:rPr>
        <w:t xml:space="preserve"> </w:t>
      </w:r>
      <w:r w:rsidR="009A429D" w:rsidRPr="00DA57EE">
        <w:rPr>
          <w:szCs w:val="18"/>
        </w:rPr>
        <w:t xml:space="preserve">for the </w:t>
      </w:r>
      <w:r w:rsidR="009A429D" w:rsidRPr="00DA57EE">
        <w:rPr>
          <w:szCs w:val="18"/>
          <w:lang w:val="en-US"/>
        </w:rPr>
        <w:t xml:space="preserve">full text of </w:t>
      </w:r>
      <w:r w:rsidR="009A429D" w:rsidRPr="00DA57EE">
        <w:rPr>
          <w:szCs w:val="18"/>
          <w:lang w:val="en-CA"/>
        </w:rPr>
        <w:t>question 3.3</w:t>
      </w:r>
      <w:r w:rsidR="00DE24D9" w:rsidRPr="00DA57EE">
        <w:rPr>
          <w:szCs w:val="18"/>
          <w:lang w:val="en-CA"/>
        </w:rPr>
        <w:t>.</w:t>
      </w:r>
    </w:p>
  </w:footnote>
  <w:footnote w:id="7">
    <w:p w14:paraId="5CBFAD22" w14:textId="25A3BF9A"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lang w:val="en-US"/>
        </w:rPr>
      </w:pPr>
      <w:r w:rsidRPr="00DA57EE">
        <w:rPr>
          <w:rStyle w:val="FootnoteReference"/>
          <w:sz w:val="18"/>
        </w:rPr>
        <w:footnoteRef/>
      </w:r>
      <w:r w:rsidR="00DE24D9" w:rsidRPr="00DA57EE">
        <w:rPr>
          <w:szCs w:val="18"/>
          <w:lang w:val="en-US"/>
        </w:rPr>
        <w:t xml:space="preserve"> Pursuant to </w:t>
      </w:r>
      <w:bookmarkStart w:id="11" w:name="_Hlk204682500"/>
      <w:r w:rsidR="009A429D" w:rsidRPr="00DA57EE">
        <w:rPr>
          <w:szCs w:val="18"/>
          <w:lang w:val="en-US"/>
        </w:rPr>
        <w:t xml:space="preserve">paragraph 5 of </w:t>
      </w:r>
      <w:r w:rsidR="00DE24D9" w:rsidRPr="00DA57EE">
        <w:rPr>
          <w:szCs w:val="18"/>
          <w:lang w:val="en-US"/>
        </w:rPr>
        <w:t>decision MC-5/2</w:t>
      </w:r>
      <w:bookmarkEnd w:id="11"/>
      <w:r w:rsidR="00DE24D9" w:rsidRPr="00DA57EE">
        <w:rPr>
          <w:szCs w:val="18"/>
          <w:lang w:val="en-US"/>
        </w:rPr>
        <w:t xml:space="preserve">, the secretariat </w:t>
      </w:r>
      <w:r w:rsidR="00401EEE" w:rsidRPr="00DA57EE">
        <w:rPr>
          <w:szCs w:val="18"/>
          <w:lang w:val="en-US"/>
        </w:rPr>
        <w:t xml:space="preserve">has prepared a </w:t>
      </w:r>
      <w:r w:rsidR="00DE24D9" w:rsidRPr="00DA57EE">
        <w:rPr>
          <w:szCs w:val="18"/>
          <w:lang w:val="en-US"/>
        </w:rPr>
        <w:t>draft update to the existing guidance on stocks</w:t>
      </w:r>
      <w:r w:rsidR="00401EEE" w:rsidRPr="00DA57EE">
        <w:rPr>
          <w:szCs w:val="18"/>
          <w:lang w:val="en-US"/>
        </w:rPr>
        <w:t>,</w:t>
      </w:r>
      <w:r w:rsidR="00DE24D9" w:rsidRPr="00DA57EE">
        <w:rPr>
          <w:szCs w:val="18"/>
          <w:lang w:val="en-US"/>
        </w:rPr>
        <w:t xml:space="preserve"> adopted in decision MC-1/2</w:t>
      </w:r>
      <w:r w:rsidR="00401EEE" w:rsidRPr="00DA57EE">
        <w:rPr>
          <w:szCs w:val="18"/>
          <w:lang w:val="en-US"/>
        </w:rPr>
        <w:t>,</w:t>
      </w:r>
      <w:r w:rsidR="00DE24D9" w:rsidRPr="00DA57EE">
        <w:rPr>
          <w:szCs w:val="18"/>
          <w:lang w:val="en-US"/>
        </w:rPr>
        <w:t xml:space="preserve"> to include types of action that could be taken to fulfil the continuing obligation to </w:t>
      </w:r>
      <w:proofErr w:type="spellStart"/>
      <w:r w:rsidR="00DE24D9" w:rsidRPr="00DA57EE">
        <w:rPr>
          <w:szCs w:val="18"/>
          <w:lang w:val="en-US"/>
        </w:rPr>
        <w:t>endeavour</w:t>
      </w:r>
      <w:proofErr w:type="spellEnd"/>
      <w:r w:rsidR="00DE24D9" w:rsidRPr="00DA57EE">
        <w:rPr>
          <w:szCs w:val="18"/>
          <w:lang w:val="en-US"/>
        </w:rPr>
        <w:t xml:space="preserve"> to identify stocks and sources </w:t>
      </w:r>
      <w:r w:rsidR="00084BF3" w:rsidRPr="00DA57EE">
        <w:rPr>
          <w:szCs w:val="18"/>
          <w:lang w:val="en-US"/>
        </w:rPr>
        <w:t>in accordance with</w:t>
      </w:r>
      <w:r w:rsidR="00DE24D9" w:rsidRPr="00DA57EE">
        <w:rPr>
          <w:szCs w:val="18"/>
          <w:lang w:val="en-US"/>
        </w:rPr>
        <w:t xml:space="preserve"> paragraph 5 (a) of article 3 of the Convention</w:t>
      </w:r>
      <w:r w:rsidR="00401EEE" w:rsidRPr="00DA57EE">
        <w:rPr>
          <w:szCs w:val="18"/>
          <w:lang w:val="en-US"/>
        </w:rPr>
        <w:t>.</w:t>
      </w:r>
      <w:r w:rsidR="00DE24D9" w:rsidRPr="00DA57EE">
        <w:rPr>
          <w:szCs w:val="18"/>
          <w:lang w:val="en-US"/>
        </w:rPr>
        <w:t xml:space="preserve"> </w:t>
      </w:r>
      <w:r w:rsidR="00401EEE" w:rsidRPr="00DA57EE">
        <w:rPr>
          <w:szCs w:val="18"/>
          <w:lang w:val="en-US"/>
        </w:rPr>
        <w:t xml:space="preserve">The updated guidance </w:t>
      </w:r>
      <w:r w:rsidR="00DE24D9" w:rsidRPr="00DA57EE">
        <w:rPr>
          <w:szCs w:val="18"/>
          <w:lang w:val="en-US"/>
        </w:rPr>
        <w:t xml:space="preserve">can be found in annex I </w:t>
      </w:r>
      <w:r w:rsidR="00401EEE" w:rsidRPr="00DA57EE">
        <w:rPr>
          <w:szCs w:val="18"/>
          <w:lang w:val="en-US"/>
        </w:rPr>
        <w:t xml:space="preserve">to </w:t>
      </w:r>
      <w:r w:rsidR="00DE24D9" w:rsidRPr="00DA57EE">
        <w:rPr>
          <w:szCs w:val="18"/>
          <w:lang w:val="en-US"/>
        </w:rPr>
        <w:t>document UNEP/MC/COP.6/5.</w:t>
      </w:r>
    </w:p>
  </w:footnote>
  <w:footnote w:id="8">
    <w:p w14:paraId="4061E737" w14:textId="1A3D9B14"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lang w:val="en-CA"/>
        </w:rPr>
      </w:pPr>
      <w:r w:rsidRPr="00DA57EE">
        <w:rPr>
          <w:rStyle w:val="FootnoteReference"/>
          <w:sz w:val="18"/>
        </w:rPr>
        <w:footnoteRef/>
      </w:r>
      <w:r w:rsidR="00DE24D9" w:rsidRPr="00DA57EE">
        <w:rPr>
          <w:szCs w:val="18"/>
          <w:lang w:val="en-US"/>
        </w:rPr>
        <w:t xml:space="preserve"> </w:t>
      </w:r>
      <w:r w:rsidR="00DE24D9" w:rsidRPr="00DA57EE">
        <w:rPr>
          <w:szCs w:val="18"/>
          <w:lang w:val="en-CA"/>
        </w:rPr>
        <w:t xml:space="preserve">See document UNEP/MC/COP.6/9 </w:t>
      </w:r>
      <w:r w:rsidR="00401EEE" w:rsidRPr="00DA57EE">
        <w:rPr>
          <w:szCs w:val="18"/>
          <w:lang w:val="en-CA"/>
        </w:rPr>
        <w:t xml:space="preserve">for </w:t>
      </w:r>
      <w:r w:rsidR="00DE24D9" w:rsidRPr="00DA57EE">
        <w:rPr>
          <w:szCs w:val="18"/>
          <w:lang w:val="en-CA"/>
        </w:rPr>
        <w:t xml:space="preserve">a proposal to provide guidance to the Global Environment Facility to support parties </w:t>
      </w:r>
      <w:r w:rsidR="00401EEE" w:rsidRPr="00DA57EE">
        <w:rPr>
          <w:szCs w:val="18"/>
          <w:lang w:val="en-CA"/>
        </w:rPr>
        <w:t xml:space="preserve">in </w:t>
      </w:r>
      <w:r w:rsidR="00DE24D9" w:rsidRPr="00DA57EE">
        <w:rPr>
          <w:szCs w:val="18"/>
          <w:lang w:val="en-CA"/>
        </w:rPr>
        <w:t>identify</w:t>
      </w:r>
      <w:r w:rsidR="00401EEE" w:rsidRPr="00DA57EE">
        <w:rPr>
          <w:szCs w:val="18"/>
          <w:lang w:val="en-CA"/>
        </w:rPr>
        <w:t>ing</w:t>
      </w:r>
      <w:r w:rsidR="00DE24D9" w:rsidRPr="00DA57EE">
        <w:rPr>
          <w:szCs w:val="18"/>
          <w:lang w:val="en-CA"/>
        </w:rPr>
        <w:t xml:space="preserve"> stocks and sources of mercury.</w:t>
      </w:r>
    </w:p>
  </w:footnote>
  <w:footnote w:id="9">
    <w:p w14:paraId="06EFF81C" w14:textId="2C60BA19"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00DE24D9" w:rsidRPr="00DA57EE">
        <w:rPr>
          <w:szCs w:val="18"/>
        </w:rPr>
        <w:t xml:space="preserve"> Technical resources covered a broad range of topics for parties reporting under part C of the report</w:t>
      </w:r>
      <w:r w:rsidR="00401EEE" w:rsidRPr="00DA57EE">
        <w:rPr>
          <w:szCs w:val="18"/>
        </w:rPr>
        <w:t>ing format</w:t>
      </w:r>
      <w:r w:rsidR="00DE24D9" w:rsidRPr="00DA57EE">
        <w:rPr>
          <w:szCs w:val="18"/>
        </w:rPr>
        <w:t xml:space="preserve">, which can include, but </w:t>
      </w:r>
      <w:r w:rsidR="00321F91" w:rsidRPr="00DA57EE">
        <w:rPr>
          <w:szCs w:val="18"/>
        </w:rPr>
        <w:t xml:space="preserve">is </w:t>
      </w:r>
      <w:r w:rsidR="00DE24D9" w:rsidRPr="00DA57EE">
        <w:rPr>
          <w:szCs w:val="18"/>
        </w:rPr>
        <w:t>not limited to, data-gathering capacity and research.</w:t>
      </w:r>
    </w:p>
  </w:footnote>
  <w:footnote w:id="10">
    <w:p w14:paraId="3F0DF674" w14:textId="7FEB5E1F"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00DE24D9" w:rsidRPr="00DA57EE">
        <w:rPr>
          <w:szCs w:val="18"/>
        </w:rPr>
        <w:t xml:space="preserve"> </w:t>
      </w:r>
      <w:r w:rsidR="00401EEE" w:rsidRPr="00DA57EE">
        <w:rPr>
          <w:szCs w:val="18"/>
        </w:rPr>
        <w:t xml:space="preserve">See </w:t>
      </w:r>
      <w:r w:rsidR="00DE24D9" w:rsidRPr="00DA57EE">
        <w:rPr>
          <w:szCs w:val="18"/>
        </w:rPr>
        <w:t>document UNEP/MC/COP.6/INF/20</w:t>
      </w:r>
      <w:r w:rsidR="00401EEE" w:rsidRPr="00DA57EE">
        <w:rPr>
          <w:szCs w:val="18"/>
        </w:rPr>
        <w:t xml:space="preserve"> </w:t>
      </w:r>
      <w:r w:rsidR="00401EEE" w:rsidRPr="00DA57EE">
        <w:rPr>
          <w:szCs w:val="18"/>
          <w:lang w:val="en-US"/>
        </w:rPr>
        <w:t xml:space="preserve">for the full text of </w:t>
      </w:r>
      <w:r w:rsidR="00401EEE" w:rsidRPr="00DA57EE">
        <w:rPr>
          <w:szCs w:val="18"/>
          <w:lang w:val="en-CA"/>
        </w:rPr>
        <w:t>question 3.5</w:t>
      </w:r>
      <w:r w:rsidR="00DE24D9" w:rsidRPr="00DA57EE">
        <w:rPr>
          <w:szCs w:val="18"/>
        </w:rPr>
        <w:t>.</w:t>
      </w:r>
    </w:p>
  </w:footnote>
  <w:footnote w:id="11">
    <w:p w14:paraId="78F05DD8" w14:textId="111268CE" w:rsidR="00FA1539" w:rsidRPr="00DA57EE" w:rsidRDefault="00FA1539" w:rsidP="00DA57EE">
      <w:pPr>
        <w:pStyle w:val="Footnote-Text"/>
        <w:tabs>
          <w:tab w:val="clear" w:pos="1247"/>
          <w:tab w:val="clear" w:pos="1871"/>
          <w:tab w:val="clear" w:pos="2495"/>
          <w:tab w:val="clear" w:pos="3119"/>
          <w:tab w:val="clear" w:pos="3742"/>
          <w:tab w:val="clear" w:pos="4366"/>
          <w:tab w:val="clear" w:pos="4990"/>
        </w:tabs>
        <w:rPr>
          <w:szCs w:val="18"/>
          <w:lang w:val="en-CA"/>
        </w:rPr>
      </w:pPr>
      <w:r w:rsidRPr="00DA57EE">
        <w:rPr>
          <w:rStyle w:val="FootnoteReference"/>
          <w:sz w:val="18"/>
        </w:rPr>
        <w:footnoteRef/>
      </w:r>
      <w:r w:rsidRPr="00DA57EE">
        <w:rPr>
          <w:szCs w:val="18"/>
          <w:lang w:val="en-CA"/>
        </w:rPr>
        <w:t xml:space="preserve"> For findings in this regard, see document UNEP/MC/COP.6/5. For information on the responses in the second short national reports and on historical trends observed by the secretariat over the three reporting cycles, see document UNEP/MC/COP.6/INF/20.</w:t>
      </w:r>
    </w:p>
  </w:footnote>
  <w:footnote w:id="12">
    <w:p w14:paraId="15B4A765" w14:textId="6571E364"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00DE24D9" w:rsidRPr="00DA57EE">
        <w:rPr>
          <w:szCs w:val="18"/>
        </w:rPr>
        <w:t xml:space="preserve"> </w:t>
      </w:r>
      <w:r w:rsidR="00D10A28" w:rsidRPr="00DA57EE">
        <w:rPr>
          <w:szCs w:val="18"/>
        </w:rPr>
        <w:t>See</w:t>
      </w:r>
      <w:r w:rsidR="00DE24D9" w:rsidRPr="00DA57EE">
        <w:rPr>
          <w:szCs w:val="18"/>
        </w:rPr>
        <w:t xml:space="preserve"> </w:t>
      </w:r>
      <w:r w:rsidR="00AC4348" w:rsidRPr="00DA57EE">
        <w:rPr>
          <w:szCs w:val="18"/>
        </w:rPr>
        <w:t xml:space="preserve">document </w:t>
      </w:r>
      <w:r w:rsidR="00DE24D9" w:rsidRPr="00DA57EE">
        <w:rPr>
          <w:szCs w:val="18"/>
        </w:rPr>
        <w:t>UNEP/MC/COP.6/INF/20</w:t>
      </w:r>
      <w:r w:rsidR="00D10A28" w:rsidRPr="00DA57EE">
        <w:rPr>
          <w:szCs w:val="18"/>
        </w:rPr>
        <w:t xml:space="preserve"> for </w:t>
      </w:r>
      <w:r w:rsidR="00D10A28" w:rsidRPr="00DA57EE">
        <w:rPr>
          <w:szCs w:val="18"/>
          <w:lang w:val="en-US"/>
        </w:rPr>
        <w:t xml:space="preserve">the full text of </w:t>
      </w:r>
      <w:r w:rsidR="00D10A28" w:rsidRPr="00DA57EE">
        <w:rPr>
          <w:szCs w:val="18"/>
          <w:lang w:val="en-CA"/>
        </w:rPr>
        <w:t>question 11.2</w:t>
      </w:r>
      <w:r w:rsidR="00DE24D9" w:rsidRPr="00DA57EE">
        <w:rPr>
          <w:szCs w:val="18"/>
        </w:rPr>
        <w:t>.</w:t>
      </w:r>
    </w:p>
  </w:footnote>
  <w:footnote w:id="13">
    <w:p w14:paraId="01A9262C" w14:textId="017EAFED" w:rsidR="001C4069" w:rsidRPr="00DA57EE" w:rsidRDefault="001C4069" w:rsidP="00DA57EE">
      <w:pPr>
        <w:pStyle w:val="Footnote-Text"/>
        <w:tabs>
          <w:tab w:val="clear" w:pos="1247"/>
          <w:tab w:val="clear" w:pos="1871"/>
          <w:tab w:val="clear" w:pos="2495"/>
          <w:tab w:val="clear" w:pos="3119"/>
          <w:tab w:val="clear" w:pos="3742"/>
          <w:tab w:val="clear" w:pos="4366"/>
          <w:tab w:val="clear" w:pos="4990"/>
        </w:tabs>
        <w:rPr>
          <w:szCs w:val="18"/>
        </w:rPr>
      </w:pPr>
      <w:r w:rsidRPr="00DA57EE">
        <w:rPr>
          <w:rStyle w:val="FootnoteReference"/>
          <w:sz w:val="18"/>
        </w:rPr>
        <w:footnoteRef/>
      </w:r>
      <w:r w:rsidRPr="00DA57EE">
        <w:rPr>
          <w:szCs w:val="18"/>
        </w:rPr>
        <w:t xml:space="preserve"> For </w:t>
      </w:r>
      <w:r w:rsidR="00573B9C" w:rsidRPr="00DA57EE">
        <w:rPr>
          <w:szCs w:val="18"/>
        </w:rPr>
        <w:t>further</w:t>
      </w:r>
      <w:r w:rsidRPr="00DA57EE">
        <w:rPr>
          <w:szCs w:val="18"/>
        </w:rPr>
        <w:t xml:space="preserve"> information, see </w:t>
      </w:r>
      <w:r w:rsidR="00E7181B" w:rsidRPr="00DA57EE">
        <w:rPr>
          <w:szCs w:val="18"/>
        </w:rPr>
        <w:t xml:space="preserve">documents </w:t>
      </w:r>
      <w:r w:rsidRPr="00DA57EE">
        <w:rPr>
          <w:szCs w:val="18"/>
        </w:rPr>
        <w:t>UNEP/MC/COP.6/8 and UNEP/MC/COP.6/INF/12.</w:t>
      </w:r>
    </w:p>
  </w:footnote>
  <w:footnote w:id="14">
    <w:p w14:paraId="20405878" w14:textId="6832B87B" w:rsidR="002609D8" w:rsidRPr="00DA57EE" w:rsidRDefault="002609D8" w:rsidP="00DA57EE">
      <w:pPr>
        <w:pStyle w:val="Footnote-Text"/>
        <w:tabs>
          <w:tab w:val="clear" w:pos="1247"/>
          <w:tab w:val="clear" w:pos="1871"/>
          <w:tab w:val="clear" w:pos="2495"/>
          <w:tab w:val="clear" w:pos="3119"/>
          <w:tab w:val="clear" w:pos="3742"/>
          <w:tab w:val="clear" w:pos="4366"/>
          <w:tab w:val="clear" w:pos="4990"/>
        </w:tabs>
        <w:rPr>
          <w:szCs w:val="18"/>
          <w:lang w:val="en-US"/>
        </w:rPr>
      </w:pPr>
      <w:r w:rsidRPr="00DA57EE">
        <w:rPr>
          <w:rStyle w:val="FootnoteReference"/>
          <w:sz w:val="18"/>
        </w:rPr>
        <w:footnoteRef/>
      </w:r>
      <w:r w:rsidRPr="00DA57EE">
        <w:rPr>
          <w:szCs w:val="18"/>
          <w:lang w:val="en-US"/>
        </w:rPr>
        <w:t xml:space="preserve"> UNEP/MC/COP.6/14.</w:t>
      </w:r>
    </w:p>
  </w:footnote>
  <w:footnote w:id="15">
    <w:p w14:paraId="4E868CB5" w14:textId="5D2D4DFD" w:rsidR="00DE24D9" w:rsidRPr="00DA57EE" w:rsidRDefault="004C7CF9" w:rsidP="00DA57EE">
      <w:pPr>
        <w:pStyle w:val="Footnote-Text"/>
        <w:tabs>
          <w:tab w:val="clear" w:pos="1247"/>
          <w:tab w:val="clear" w:pos="1871"/>
          <w:tab w:val="clear" w:pos="2495"/>
          <w:tab w:val="clear" w:pos="3119"/>
          <w:tab w:val="clear" w:pos="3742"/>
          <w:tab w:val="clear" w:pos="4366"/>
          <w:tab w:val="clear" w:pos="4990"/>
        </w:tabs>
        <w:rPr>
          <w:szCs w:val="18"/>
          <w:lang w:val="en-US"/>
        </w:rPr>
      </w:pPr>
      <w:r w:rsidRPr="00DA57EE">
        <w:rPr>
          <w:rStyle w:val="FootnoteReference"/>
          <w:sz w:val="18"/>
        </w:rPr>
        <w:footnoteRef/>
      </w:r>
      <w:r w:rsidR="00DE24D9" w:rsidRPr="00DA57EE">
        <w:rPr>
          <w:szCs w:val="18"/>
          <w:lang w:val="en-US"/>
        </w:rPr>
        <w:t xml:space="preserve"> Pending the date of the seventh meeting of the Conference of </w:t>
      </w:r>
      <w:r w:rsidR="00060038" w:rsidRPr="00DA57EE">
        <w:rPr>
          <w:szCs w:val="18"/>
          <w:lang w:val="en-US"/>
        </w:rPr>
        <w:t xml:space="preserve">the </w:t>
      </w:r>
      <w:r w:rsidR="00DE24D9" w:rsidRPr="00DA57EE">
        <w:rPr>
          <w:szCs w:val="18"/>
          <w:lang w:val="en-US"/>
        </w:rPr>
        <w:t>Parties</w:t>
      </w:r>
      <w:r w:rsidR="00B14764" w:rsidRPr="00DA57EE">
        <w:rPr>
          <w:szCs w:val="18"/>
          <w:lang w:val="en-US"/>
        </w:rPr>
        <w:t>,</w:t>
      </w:r>
      <w:r w:rsidR="00DE24D9" w:rsidRPr="00DA57EE">
        <w:rPr>
          <w:szCs w:val="18"/>
          <w:lang w:val="en-US"/>
        </w:rPr>
        <w:t xml:space="preserve"> to be decided by </w:t>
      </w:r>
      <w:r w:rsidR="00DE5F77" w:rsidRPr="00DA57EE">
        <w:rPr>
          <w:szCs w:val="18"/>
          <w:lang w:val="en-US"/>
        </w:rPr>
        <w:t xml:space="preserve">the </w:t>
      </w:r>
      <w:r w:rsidR="00B14764" w:rsidRPr="00DA57EE">
        <w:rPr>
          <w:szCs w:val="18"/>
          <w:lang w:val="en-US"/>
        </w:rPr>
        <w:t xml:space="preserve">Conference at its </w:t>
      </w:r>
      <w:r w:rsidR="00DE5F77" w:rsidRPr="00DA57EE">
        <w:rPr>
          <w:szCs w:val="18"/>
          <w:lang w:val="en-US"/>
        </w:rPr>
        <w:t>sixth meeting.</w:t>
      </w:r>
    </w:p>
  </w:footnote>
  <w:footnote w:id="16">
    <w:p w14:paraId="6E3567B9" w14:textId="65233D10" w:rsidR="00B14764" w:rsidRPr="00DA57EE" w:rsidRDefault="00B14764" w:rsidP="00DA57EE">
      <w:pPr>
        <w:pStyle w:val="Footnote-Text"/>
        <w:tabs>
          <w:tab w:val="clear" w:pos="1247"/>
          <w:tab w:val="clear" w:pos="1871"/>
          <w:tab w:val="clear" w:pos="2495"/>
          <w:tab w:val="clear" w:pos="3119"/>
          <w:tab w:val="clear" w:pos="3742"/>
          <w:tab w:val="clear" w:pos="4366"/>
          <w:tab w:val="clear" w:pos="4990"/>
        </w:tabs>
        <w:rPr>
          <w:szCs w:val="18"/>
          <w:lang w:val="en-US"/>
        </w:rPr>
      </w:pPr>
      <w:r w:rsidRPr="00DA57EE">
        <w:rPr>
          <w:rStyle w:val="FootnoteReference"/>
          <w:sz w:val="18"/>
        </w:rPr>
        <w:footnoteRef/>
      </w:r>
      <w:r w:rsidRPr="00DA57EE">
        <w:rPr>
          <w:szCs w:val="18"/>
          <w:lang w:val="en-US"/>
        </w:rPr>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A00B" w14:textId="16827389" w:rsidR="007A36F8" w:rsidRPr="004C7CF9" w:rsidRDefault="004C7CF9" w:rsidP="004C7CF9">
    <w:pPr>
      <w:pStyle w:val="Header-pool"/>
    </w:pPr>
    <w:r>
      <w:fldChar w:fldCharType="begin"/>
    </w:r>
    <w:r>
      <w:instrText xml:space="preserve"> StyleRef A_Symbol </w:instrText>
    </w:r>
    <w:r>
      <w:fldChar w:fldCharType="separate"/>
    </w:r>
    <w:r w:rsidR="00DA5863">
      <w:rPr>
        <w:noProof/>
      </w:rPr>
      <w:t>UNEP/MC/COP.6/15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A16E" w14:textId="40558275" w:rsidR="007A36F8" w:rsidRPr="004C7CF9" w:rsidRDefault="004C7CF9" w:rsidP="004C7CF9">
    <w:pPr>
      <w:pStyle w:val="Header-pool"/>
      <w:jc w:val="right"/>
    </w:pPr>
    <w:r>
      <w:fldChar w:fldCharType="begin"/>
    </w:r>
    <w:r>
      <w:instrText xml:space="preserve"> StyleRef A_Symbol </w:instrText>
    </w:r>
    <w:r>
      <w:fldChar w:fldCharType="separate"/>
    </w:r>
    <w:r w:rsidR="00DA5863">
      <w:rPr>
        <w:noProof/>
      </w:rPr>
      <w:t>UNEP/MC/COP.6/15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06F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B4C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289C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ECE1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BCFA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AC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DE0D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E37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6008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4A7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00E22B74"/>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num>
  <w:num w:numId="2" w16cid:durableId="1242644713">
    <w:abstractNumId w:val="16"/>
  </w:num>
  <w:num w:numId="3" w16cid:durableId="1933662228">
    <w:abstractNumId w:val="14"/>
  </w:num>
  <w:num w:numId="4" w16cid:durableId="1991909117">
    <w:abstractNumId w:val="10"/>
  </w:num>
  <w:num w:numId="5" w16cid:durableId="1138956019">
    <w:abstractNumId w:val="12"/>
  </w:num>
  <w:num w:numId="6" w16cid:durableId="1442410547">
    <w:abstractNumId w:val="9"/>
  </w:num>
  <w:num w:numId="7" w16cid:durableId="1048839486">
    <w:abstractNumId w:val="7"/>
  </w:num>
  <w:num w:numId="8" w16cid:durableId="1928072424">
    <w:abstractNumId w:val="6"/>
  </w:num>
  <w:num w:numId="9" w16cid:durableId="2089573459">
    <w:abstractNumId w:val="5"/>
  </w:num>
  <w:num w:numId="10" w16cid:durableId="363293076">
    <w:abstractNumId w:val="4"/>
  </w:num>
  <w:num w:numId="11" w16cid:durableId="1767923153">
    <w:abstractNumId w:val="8"/>
  </w:num>
  <w:num w:numId="12" w16cid:durableId="1219394481">
    <w:abstractNumId w:val="3"/>
  </w:num>
  <w:num w:numId="13" w16cid:durableId="1254825835">
    <w:abstractNumId w:val="2"/>
  </w:num>
  <w:num w:numId="14" w16cid:durableId="1668632054">
    <w:abstractNumId w:val="1"/>
  </w:num>
  <w:num w:numId="15" w16cid:durableId="1406295387">
    <w:abstractNumId w:val="0"/>
  </w:num>
  <w:num w:numId="16" w16cid:durableId="1653754453">
    <w:abstractNumId w:val="15"/>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948853283">
    <w:abstractNumId w:val="11"/>
  </w:num>
  <w:num w:numId="18" w16cid:durableId="177251174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9"/>
    <w:rsid w:val="00012A9C"/>
    <w:rsid w:val="00013DDC"/>
    <w:rsid w:val="000149E6"/>
    <w:rsid w:val="00016AF3"/>
    <w:rsid w:val="000208C8"/>
    <w:rsid w:val="0002431B"/>
    <w:rsid w:val="000247B0"/>
    <w:rsid w:val="00025528"/>
    <w:rsid w:val="00025CB8"/>
    <w:rsid w:val="00026997"/>
    <w:rsid w:val="00033C4A"/>
    <w:rsid w:val="00033E0B"/>
    <w:rsid w:val="00035EDE"/>
    <w:rsid w:val="00041C72"/>
    <w:rsid w:val="00047B39"/>
    <w:rsid w:val="000509B4"/>
    <w:rsid w:val="00051D3B"/>
    <w:rsid w:val="000533C4"/>
    <w:rsid w:val="00056B2C"/>
    <w:rsid w:val="00060038"/>
    <w:rsid w:val="0006035B"/>
    <w:rsid w:val="00061D18"/>
    <w:rsid w:val="0007166E"/>
    <w:rsid w:val="00071886"/>
    <w:rsid w:val="000742BC"/>
    <w:rsid w:val="000770A6"/>
    <w:rsid w:val="0008041D"/>
    <w:rsid w:val="00082A0C"/>
    <w:rsid w:val="00082DCD"/>
    <w:rsid w:val="00083504"/>
    <w:rsid w:val="00084BF3"/>
    <w:rsid w:val="0008710B"/>
    <w:rsid w:val="000901F6"/>
    <w:rsid w:val="0009640C"/>
    <w:rsid w:val="000B21D5"/>
    <w:rsid w:val="000B22A2"/>
    <w:rsid w:val="000C2A52"/>
    <w:rsid w:val="000C37DC"/>
    <w:rsid w:val="000C46A9"/>
    <w:rsid w:val="000C6663"/>
    <w:rsid w:val="000D33C0"/>
    <w:rsid w:val="000D4886"/>
    <w:rsid w:val="000D5884"/>
    <w:rsid w:val="000D6941"/>
    <w:rsid w:val="000D71B6"/>
    <w:rsid w:val="000E0405"/>
    <w:rsid w:val="000E298C"/>
    <w:rsid w:val="000F2D8B"/>
    <w:rsid w:val="000F6CFF"/>
    <w:rsid w:val="0010561D"/>
    <w:rsid w:val="00106AC9"/>
    <w:rsid w:val="001103C4"/>
    <w:rsid w:val="001145C1"/>
    <w:rsid w:val="00115F73"/>
    <w:rsid w:val="001202E3"/>
    <w:rsid w:val="00123699"/>
    <w:rsid w:val="0013059D"/>
    <w:rsid w:val="00132246"/>
    <w:rsid w:val="00140105"/>
    <w:rsid w:val="0014083A"/>
    <w:rsid w:val="001408FC"/>
    <w:rsid w:val="00141A55"/>
    <w:rsid w:val="00141F2F"/>
    <w:rsid w:val="00142BC9"/>
    <w:rsid w:val="001446A3"/>
    <w:rsid w:val="001459D0"/>
    <w:rsid w:val="00150CB5"/>
    <w:rsid w:val="0015244B"/>
    <w:rsid w:val="00155395"/>
    <w:rsid w:val="001661CD"/>
    <w:rsid w:val="00172E6C"/>
    <w:rsid w:val="00173D27"/>
    <w:rsid w:val="00174739"/>
    <w:rsid w:val="00176C53"/>
    <w:rsid w:val="0018127C"/>
    <w:rsid w:val="00181EC8"/>
    <w:rsid w:val="00181FC0"/>
    <w:rsid w:val="00184349"/>
    <w:rsid w:val="00185879"/>
    <w:rsid w:val="0019161E"/>
    <w:rsid w:val="0019423E"/>
    <w:rsid w:val="00195F33"/>
    <w:rsid w:val="00197C63"/>
    <w:rsid w:val="001A3BC3"/>
    <w:rsid w:val="001A5EE1"/>
    <w:rsid w:val="001A7FF9"/>
    <w:rsid w:val="001B1617"/>
    <w:rsid w:val="001B1C52"/>
    <w:rsid w:val="001B504B"/>
    <w:rsid w:val="001C29FC"/>
    <w:rsid w:val="001C4069"/>
    <w:rsid w:val="001D3874"/>
    <w:rsid w:val="001D5344"/>
    <w:rsid w:val="001D7E75"/>
    <w:rsid w:val="001E1208"/>
    <w:rsid w:val="001E22D1"/>
    <w:rsid w:val="001E3AEE"/>
    <w:rsid w:val="001E56D2"/>
    <w:rsid w:val="001E7D56"/>
    <w:rsid w:val="001F059B"/>
    <w:rsid w:val="001F47BB"/>
    <w:rsid w:val="001F6383"/>
    <w:rsid w:val="001F75DE"/>
    <w:rsid w:val="00200D58"/>
    <w:rsid w:val="002013BE"/>
    <w:rsid w:val="002063A4"/>
    <w:rsid w:val="00206F97"/>
    <w:rsid w:val="0021145B"/>
    <w:rsid w:val="00214277"/>
    <w:rsid w:val="0022224B"/>
    <w:rsid w:val="0022616A"/>
    <w:rsid w:val="0022762D"/>
    <w:rsid w:val="00230038"/>
    <w:rsid w:val="00232303"/>
    <w:rsid w:val="00232644"/>
    <w:rsid w:val="00234806"/>
    <w:rsid w:val="00235E2E"/>
    <w:rsid w:val="002378D6"/>
    <w:rsid w:val="00243D36"/>
    <w:rsid w:val="00244AC1"/>
    <w:rsid w:val="00247707"/>
    <w:rsid w:val="002609D8"/>
    <w:rsid w:val="00263171"/>
    <w:rsid w:val="002708F5"/>
    <w:rsid w:val="00274ED2"/>
    <w:rsid w:val="00277919"/>
    <w:rsid w:val="00286740"/>
    <w:rsid w:val="00287B42"/>
    <w:rsid w:val="002929D8"/>
    <w:rsid w:val="002935C2"/>
    <w:rsid w:val="002A0FD5"/>
    <w:rsid w:val="002A237D"/>
    <w:rsid w:val="002A4C53"/>
    <w:rsid w:val="002B0672"/>
    <w:rsid w:val="002B0CB0"/>
    <w:rsid w:val="002B10B1"/>
    <w:rsid w:val="002B1B4C"/>
    <w:rsid w:val="002B247F"/>
    <w:rsid w:val="002B3C7D"/>
    <w:rsid w:val="002B6F97"/>
    <w:rsid w:val="002B7A38"/>
    <w:rsid w:val="002C145D"/>
    <w:rsid w:val="002C2C3E"/>
    <w:rsid w:val="002C533E"/>
    <w:rsid w:val="002C5525"/>
    <w:rsid w:val="002D027F"/>
    <w:rsid w:val="002D3374"/>
    <w:rsid w:val="002D7A85"/>
    <w:rsid w:val="002D7B60"/>
    <w:rsid w:val="002E0A4E"/>
    <w:rsid w:val="002E19D4"/>
    <w:rsid w:val="002F0362"/>
    <w:rsid w:val="002F1F2F"/>
    <w:rsid w:val="002F4761"/>
    <w:rsid w:val="002F47A5"/>
    <w:rsid w:val="002F5C79"/>
    <w:rsid w:val="002F5F2E"/>
    <w:rsid w:val="003019E2"/>
    <w:rsid w:val="0031413F"/>
    <w:rsid w:val="003148BB"/>
    <w:rsid w:val="00316947"/>
    <w:rsid w:val="003169F8"/>
    <w:rsid w:val="00317976"/>
    <w:rsid w:val="00321D55"/>
    <w:rsid w:val="00321F91"/>
    <w:rsid w:val="00323885"/>
    <w:rsid w:val="00331475"/>
    <w:rsid w:val="00331728"/>
    <w:rsid w:val="003425F4"/>
    <w:rsid w:val="00343738"/>
    <w:rsid w:val="00351A93"/>
    <w:rsid w:val="00352F53"/>
    <w:rsid w:val="00355EA9"/>
    <w:rsid w:val="003560A2"/>
    <w:rsid w:val="003563A2"/>
    <w:rsid w:val="003578DE"/>
    <w:rsid w:val="00364CCE"/>
    <w:rsid w:val="00365F6B"/>
    <w:rsid w:val="0037028F"/>
    <w:rsid w:val="00370BF9"/>
    <w:rsid w:val="00371340"/>
    <w:rsid w:val="003759E2"/>
    <w:rsid w:val="003803FC"/>
    <w:rsid w:val="00382AF5"/>
    <w:rsid w:val="00386999"/>
    <w:rsid w:val="00390145"/>
    <w:rsid w:val="00394379"/>
    <w:rsid w:val="00396257"/>
    <w:rsid w:val="00397EB8"/>
    <w:rsid w:val="003A07AB"/>
    <w:rsid w:val="003A086E"/>
    <w:rsid w:val="003A1DED"/>
    <w:rsid w:val="003A37B8"/>
    <w:rsid w:val="003A4491"/>
    <w:rsid w:val="003A4FD0"/>
    <w:rsid w:val="003A542D"/>
    <w:rsid w:val="003A69D1"/>
    <w:rsid w:val="003A6C11"/>
    <w:rsid w:val="003A7705"/>
    <w:rsid w:val="003B029F"/>
    <w:rsid w:val="003B0A6E"/>
    <w:rsid w:val="003B1545"/>
    <w:rsid w:val="003B176A"/>
    <w:rsid w:val="003B43BA"/>
    <w:rsid w:val="003B4BCD"/>
    <w:rsid w:val="003C035E"/>
    <w:rsid w:val="003C3267"/>
    <w:rsid w:val="003C409D"/>
    <w:rsid w:val="003C5BA6"/>
    <w:rsid w:val="003D55DB"/>
    <w:rsid w:val="003E3A92"/>
    <w:rsid w:val="003F0E85"/>
    <w:rsid w:val="003F3FDE"/>
    <w:rsid w:val="003F717D"/>
    <w:rsid w:val="00401724"/>
    <w:rsid w:val="00401EEE"/>
    <w:rsid w:val="00403246"/>
    <w:rsid w:val="00403DB2"/>
    <w:rsid w:val="00404CB5"/>
    <w:rsid w:val="00405251"/>
    <w:rsid w:val="00407603"/>
    <w:rsid w:val="00410A04"/>
    <w:rsid w:val="00410C55"/>
    <w:rsid w:val="004133AB"/>
    <w:rsid w:val="0041604D"/>
    <w:rsid w:val="00416854"/>
    <w:rsid w:val="00417544"/>
    <w:rsid w:val="00417725"/>
    <w:rsid w:val="0041779A"/>
    <w:rsid w:val="00417B99"/>
    <w:rsid w:val="004243EA"/>
    <w:rsid w:val="0042689B"/>
    <w:rsid w:val="00437F26"/>
    <w:rsid w:val="00444097"/>
    <w:rsid w:val="00445487"/>
    <w:rsid w:val="00447984"/>
    <w:rsid w:val="00453103"/>
    <w:rsid w:val="00453A9E"/>
    <w:rsid w:val="00454769"/>
    <w:rsid w:val="00455534"/>
    <w:rsid w:val="00456D58"/>
    <w:rsid w:val="004631F5"/>
    <w:rsid w:val="00463928"/>
    <w:rsid w:val="00463987"/>
    <w:rsid w:val="00466991"/>
    <w:rsid w:val="0047064C"/>
    <w:rsid w:val="00473CCC"/>
    <w:rsid w:val="00474D90"/>
    <w:rsid w:val="004772F3"/>
    <w:rsid w:val="00477AFF"/>
    <w:rsid w:val="00481F0B"/>
    <w:rsid w:val="0048586E"/>
    <w:rsid w:val="00486C5D"/>
    <w:rsid w:val="004902C6"/>
    <w:rsid w:val="00492E6B"/>
    <w:rsid w:val="00495BFE"/>
    <w:rsid w:val="004966A5"/>
    <w:rsid w:val="00497C54"/>
    <w:rsid w:val="004A1DF6"/>
    <w:rsid w:val="004A42E1"/>
    <w:rsid w:val="004B162C"/>
    <w:rsid w:val="004B1C20"/>
    <w:rsid w:val="004B3DB0"/>
    <w:rsid w:val="004B6C22"/>
    <w:rsid w:val="004C3DBE"/>
    <w:rsid w:val="004C5C96"/>
    <w:rsid w:val="004C62D8"/>
    <w:rsid w:val="004C7CF9"/>
    <w:rsid w:val="004D06A4"/>
    <w:rsid w:val="004D60EA"/>
    <w:rsid w:val="004E2D3A"/>
    <w:rsid w:val="004E53A1"/>
    <w:rsid w:val="004E588A"/>
    <w:rsid w:val="004E59D4"/>
    <w:rsid w:val="004E79AC"/>
    <w:rsid w:val="004F1797"/>
    <w:rsid w:val="004F1A81"/>
    <w:rsid w:val="004F7F53"/>
    <w:rsid w:val="00516BCD"/>
    <w:rsid w:val="005218D9"/>
    <w:rsid w:val="00532E47"/>
    <w:rsid w:val="00534A6D"/>
    <w:rsid w:val="00536186"/>
    <w:rsid w:val="00536826"/>
    <w:rsid w:val="00541FC7"/>
    <w:rsid w:val="00544CBB"/>
    <w:rsid w:val="00546D20"/>
    <w:rsid w:val="00550518"/>
    <w:rsid w:val="00552CD6"/>
    <w:rsid w:val="005618F1"/>
    <w:rsid w:val="005619EF"/>
    <w:rsid w:val="00570269"/>
    <w:rsid w:val="00570E7B"/>
    <w:rsid w:val="005717B9"/>
    <w:rsid w:val="005721A0"/>
    <w:rsid w:val="00572719"/>
    <w:rsid w:val="0057315F"/>
    <w:rsid w:val="00573B9C"/>
    <w:rsid w:val="00575DF1"/>
    <w:rsid w:val="00576104"/>
    <w:rsid w:val="00582871"/>
    <w:rsid w:val="00583F62"/>
    <w:rsid w:val="005849F6"/>
    <w:rsid w:val="00585B5A"/>
    <w:rsid w:val="005940BC"/>
    <w:rsid w:val="00594BA0"/>
    <w:rsid w:val="005A37A6"/>
    <w:rsid w:val="005A61AA"/>
    <w:rsid w:val="005A7D29"/>
    <w:rsid w:val="005C176C"/>
    <w:rsid w:val="005C67C8"/>
    <w:rsid w:val="005C6BAD"/>
    <w:rsid w:val="005D0249"/>
    <w:rsid w:val="005D20CD"/>
    <w:rsid w:val="005D53F4"/>
    <w:rsid w:val="005D6E8C"/>
    <w:rsid w:val="005E7330"/>
    <w:rsid w:val="005E7B61"/>
    <w:rsid w:val="005F100C"/>
    <w:rsid w:val="005F10E8"/>
    <w:rsid w:val="005F68DA"/>
    <w:rsid w:val="005F75E6"/>
    <w:rsid w:val="006014DD"/>
    <w:rsid w:val="00604906"/>
    <w:rsid w:val="0060773B"/>
    <w:rsid w:val="00607D94"/>
    <w:rsid w:val="006157B5"/>
    <w:rsid w:val="00626FC6"/>
    <w:rsid w:val="006303B4"/>
    <w:rsid w:val="006322AF"/>
    <w:rsid w:val="00633CEB"/>
    <w:rsid w:val="00633D3D"/>
    <w:rsid w:val="00633F3A"/>
    <w:rsid w:val="006401C7"/>
    <w:rsid w:val="00641703"/>
    <w:rsid w:val="006431A6"/>
    <w:rsid w:val="00644555"/>
    <w:rsid w:val="0064591B"/>
    <w:rsid w:val="006459F6"/>
    <w:rsid w:val="0064610C"/>
    <w:rsid w:val="006501AD"/>
    <w:rsid w:val="00651BFA"/>
    <w:rsid w:val="006533B3"/>
    <w:rsid w:val="00653D58"/>
    <w:rsid w:val="00662C49"/>
    <w:rsid w:val="00663A80"/>
    <w:rsid w:val="00665A4B"/>
    <w:rsid w:val="00670144"/>
    <w:rsid w:val="006708EF"/>
    <w:rsid w:val="006713CE"/>
    <w:rsid w:val="006731FE"/>
    <w:rsid w:val="006766F1"/>
    <w:rsid w:val="00692E2A"/>
    <w:rsid w:val="006A08C4"/>
    <w:rsid w:val="006A6B8F"/>
    <w:rsid w:val="006A76F2"/>
    <w:rsid w:val="006C0B8D"/>
    <w:rsid w:val="006C1B67"/>
    <w:rsid w:val="006C2AAF"/>
    <w:rsid w:val="006C3DDA"/>
    <w:rsid w:val="006D3277"/>
    <w:rsid w:val="006D7EFB"/>
    <w:rsid w:val="006E0E76"/>
    <w:rsid w:val="006E3003"/>
    <w:rsid w:val="006E6672"/>
    <w:rsid w:val="006E6722"/>
    <w:rsid w:val="006E70A7"/>
    <w:rsid w:val="006F10F1"/>
    <w:rsid w:val="007027B9"/>
    <w:rsid w:val="007070DA"/>
    <w:rsid w:val="00713D8F"/>
    <w:rsid w:val="00714817"/>
    <w:rsid w:val="00715E88"/>
    <w:rsid w:val="0072508B"/>
    <w:rsid w:val="00732257"/>
    <w:rsid w:val="007330F1"/>
    <w:rsid w:val="00734CAA"/>
    <w:rsid w:val="00736583"/>
    <w:rsid w:val="00745483"/>
    <w:rsid w:val="0075055D"/>
    <w:rsid w:val="0075473A"/>
    <w:rsid w:val="00755106"/>
    <w:rsid w:val="0075533C"/>
    <w:rsid w:val="00757581"/>
    <w:rsid w:val="007611A0"/>
    <w:rsid w:val="00761E08"/>
    <w:rsid w:val="00762334"/>
    <w:rsid w:val="007658A0"/>
    <w:rsid w:val="00771992"/>
    <w:rsid w:val="00783907"/>
    <w:rsid w:val="00790D6E"/>
    <w:rsid w:val="00796D3F"/>
    <w:rsid w:val="007A1683"/>
    <w:rsid w:val="007A36F8"/>
    <w:rsid w:val="007A5008"/>
    <w:rsid w:val="007A5C12"/>
    <w:rsid w:val="007A611E"/>
    <w:rsid w:val="007A64B8"/>
    <w:rsid w:val="007A7CB0"/>
    <w:rsid w:val="007B0517"/>
    <w:rsid w:val="007B1349"/>
    <w:rsid w:val="007B4561"/>
    <w:rsid w:val="007B4AAC"/>
    <w:rsid w:val="007B68A3"/>
    <w:rsid w:val="007B7424"/>
    <w:rsid w:val="007B76DA"/>
    <w:rsid w:val="007C2541"/>
    <w:rsid w:val="007D66A8"/>
    <w:rsid w:val="007D773D"/>
    <w:rsid w:val="007E003F"/>
    <w:rsid w:val="007F40D6"/>
    <w:rsid w:val="00802E72"/>
    <w:rsid w:val="00805F1D"/>
    <w:rsid w:val="008107BE"/>
    <w:rsid w:val="008164F2"/>
    <w:rsid w:val="00821395"/>
    <w:rsid w:val="0082511F"/>
    <w:rsid w:val="00830E26"/>
    <w:rsid w:val="0083248C"/>
    <w:rsid w:val="00833123"/>
    <w:rsid w:val="00834857"/>
    <w:rsid w:val="00835D84"/>
    <w:rsid w:val="00836DB0"/>
    <w:rsid w:val="00843576"/>
    <w:rsid w:val="00843B64"/>
    <w:rsid w:val="008470BD"/>
    <w:rsid w:val="00847456"/>
    <w:rsid w:val="008478FC"/>
    <w:rsid w:val="00863B53"/>
    <w:rsid w:val="00864EC5"/>
    <w:rsid w:val="00867BFF"/>
    <w:rsid w:val="00877DC3"/>
    <w:rsid w:val="0088480A"/>
    <w:rsid w:val="00885AB9"/>
    <w:rsid w:val="0088757A"/>
    <w:rsid w:val="008957DD"/>
    <w:rsid w:val="008965F0"/>
    <w:rsid w:val="00897D98"/>
    <w:rsid w:val="008A26B4"/>
    <w:rsid w:val="008A6DF2"/>
    <w:rsid w:val="008A7807"/>
    <w:rsid w:val="008A7881"/>
    <w:rsid w:val="008B0D6B"/>
    <w:rsid w:val="008B245A"/>
    <w:rsid w:val="008B3832"/>
    <w:rsid w:val="008B4CC9"/>
    <w:rsid w:val="008C13F0"/>
    <w:rsid w:val="008C1B8B"/>
    <w:rsid w:val="008C2FD9"/>
    <w:rsid w:val="008D03A1"/>
    <w:rsid w:val="008D3AE0"/>
    <w:rsid w:val="008D7C99"/>
    <w:rsid w:val="008E0FCB"/>
    <w:rsid w:val="008E3BAD"/>
    <w:rsid w:val="008F0C55"/>
    <w:rsid w:val="008F7036"/>
    <w:rsid w:val="008F72A4"/>
    <w:rsid w:val="009030F9"/>
    <w:rsid w:val="00907D78"/>
    <w:rsid w:val="00912435"/>
    <w:rsid w:val="00915481"/>
    <w:rsid w:val="0091667F"/>
    <w:rsid w:val="009210E1"/>
    <w:rsid w:val="0092178C"/>
    <w:rsid w:val="0092493F"/>
    <w:rsid w:val="00924F11"/>
    <w:rsid w:val="00930B88"/>
    <w:rsid w:val="009378DC"/>
    <w:rsid w:val="00940DCC"/>
    <w:rsid w:val="0094179A"/>
    <w:rsid w:val="0094459E"/>
    <w:rsid w:val="00944DBC"/>
    <w:rsid w:val="00945010"/>
    <w:rsid w:val="0094547F"/>
    <w:rsid w:val="00950977"/>
    <w:rsid w:val="00951A7B"/>
    <w:rsid w:val="009564A6"/>
    <w:rsid w:val="00961A33"/>
    <w:rsid w:val="00961F26"/>
    <w:rsid w:val="009628B9"/>
    <w:rsid w:val="009657F4"/>
    <w:rsid w:val="00966842"/>
    <w:rsid w:val="00966B56"/>
    <w:rsid w:val="00966D6A"/>
    <w:rsid w:val="00967621"/>
    <w:rsid w:val="00967E6A"/>
    <w:rsid w:val="00973F74"/>
    <w:rsid w:val="00976B4B"/>
    <w:rsid w:val="00977B4B"/>
    <w:rsid w:val="00980797"/>
    <w:rsid w:val="0098153A"/>
    <w:rsid w:val="00983B2B"/>
    <w:rsid w:val="00984BFA"/>
    <w:rsid w:val="009935AC"/>
    <w:rsid w:val="009A429D"/>
    <w:rsid w:val="009A6054"/>
    <w:rsid w:val="009A7B58"/>
    <w:rsid w:val="009B0A72"/>
    <w:rsid w:val="009B2018"/>
    <w:rsid w:val="009B4A0F"/>
    <w:rsid w:val="009B5375"/>
    <w:rsid w:val="009C0FEC"/>
    <w:rsid w:val="009C11D2"/>
    <w:rsid w:val="009C18A7"/>
    <w:rsid w:val="009C6C70"/>
    <w:rsid w:val="009D0922"/>
    <w:rsid w:val="009D0B63"/>
    <w:rsid w:val="009E1A50"/>
    <w:rsid w:val="009E307E"/>
    <w:rsid w:val="009E47E3"/>
    <w:rsid w:val="009F74C4"/>
    <w:rsid w:val="00A00508"/>
    <w:rsid w:val="00A00646"/>
    <w:rsid w:val="00A03A4A"/>
    <w:rsid w:val="00A074E9"/>
    <w:rsid w:val="00A07870"/>
    <w:rsid w:val="00A07F19"/>
    <w:rsid w:val="00A10C09"/>
    <w:rsid w:val="00A11A24"/>
    <w:rsid w:val="00A1348D"/>
    <w:rsid w:val="00A142D1"/>
    <w:rsid w:val="00A1489E"/>
    <w:rsid w:val="00A232EE"/>
    <w:rsid w:val="00A25779"/>
    <w:rsid w:val="00A2643F"/>
    <w:rsid w:val="00A3593B"/>
    <w:rsid w:val="00A4175F"/>
    <w:rsid w:val="00A430BA"/>
    <w:rsid w:val="00A43CAB"/>
    <w:rsid w:val="00A44411"/>
    <w:rsid w:val="00A45614"/>
    <w:rsid w:val="00A469FA"/>
    <w:rsid w:val="00A50E94"/>
    <w:rsid w:val="00A5417D"/>
    <w:rsid w:val="00A55B01"/>
    <w:rsid w:val="00A56B5B"/>
    <w:rsid w:val="00A56E7C"/>
    <w:rsid w:val="00A603FF"/>
    <w:rsid w:val="00A6335E"/>
    <w:rsid w:val="00A647E8"/>
    <w:rsid w:val="00A657DD"/>
    <w:rsid w:val="00A666A6"/>
    <w:rsid w:val="00A675FD"/>
    <w:rsid w:val="00A71D95"/>
    <w:rsid w:val="00A72437"/>
    <w:rsid w:val="00A731B7"/>
    <w:rsid w:val="00A7733F"/>
    <w:rsid w:val="00A804B6"/>
    <w:rsid w:val="00A80611"/>
    <w:rsid w:val="00A84ADF"/>
    <w:rsid w:val="00A84B15"/>
    <w:rsid w:val="00A87016"/>
    <w:rsid w:val="00A92F65"/>
    <w:rsid w:val="00AA2618"/>
    <w:rsid w:val="00AA7851"/>
    <w:rsid w:val="00AA7D1F"/>
    <w:rsid w:val="00AB0C33"/>
    <w:rsid w:val="00AB1F69"/>
    <w:rsid w:val="00AB3D97"/>
    <w:rsid w:val="00AB5340"/>
    <w:rsid w:val="00AC010E"/>
    <w:rsid w:val="00AC01CC"/>
    <w:rsid w:val="00AC16B8"/>
    <w:rsid w:val="00AC4348"/>
    <w:rsid w:val="00AC7C96"/>
    <w:rsid w:val="00AD047E"/>
    <w:rsid w:val="00AD1AD9"/>
    <w:rsid w:val="00AE145D"/>
    <w:rsid w:val="00AE237D"/>
    <w:rsid w:val="00AE2A3D"/>
    <w:rsid w:val="00AE3C27"/>
    <w:rsid w:val="00AE502A"/>
    <w:rsid w:val="00AF0DF7"/>
    <w:rsid w:val="00AF4F20"/>
    <w:rsid w:val="00AF6CAC"/>
    <w:rsid w:val="00AF7C07"/>
    <w:rsid w:val="00AF7C27"/>
    <w:rsid w:val="00AF7F8B"/>
    <w:rsid w:val="00B03595"/>
    <w:rsid w:val="00B125F2"/>
    <w:rsid w:val="00B13D45"/>
    <w:rsid w:val="00B14764"/>
    <w:rsid w:val="00B22C93"/>
    <w:rsid w:val="00B23D78"/>
    <w:rsid w:val="00B26058"/>
    <w:rsid w:val="00B2650F"/>
    <w:rsid w:val="00B27589"/>
    <w:rsid w:val="00B27663"/>
    <w:rsid w:val="00B34DAD"/>
    <w:rsid w:val="00B37EF9"/>
    <w:rsid w:val="00B405B7"/>
    <w:rsid w:val="00B455EE"/>
    <w:rsid w:val="00B45E6D"/>
    <w:rsid w:val="00B46853"/>
    <w:rsid w:val="00B47045"/>
    <w:rsid w:val="00B52222"/>
    <w:rsid w:val="00B523A2"/>
    <w:rsid w:val="00B5341A"/>
    <w:rsid w:val="00B54FE7"/>
    <w:rsid w:val="00B56A31"/>
    <w:rsid w:val="00B57C47"/>
    <w:rsid w:val="00B66901"/>
    <w:rsid w:val="00B71E6D"/>
    <w:rsid w:val="00B72070"/>
    <w:rsid w:val="00B779E1"/>
    <w:rsid w:val="00B81BE2"/>
    <w:rsid w:val="00B859A3"/>
    <w:rsid w:val="00B91EE1"/>
    <w:rsid w:val="00B978D5"/>
    <w:rsid w:val="00BA0090"/>
    <w:rsid w:val="00BA1A67"/>
    <w:rsid w:val="00BA34F3"/>
    <w:rsid w:val="00BA3CEA"/>
    <w:rsid w:val="00BB1890"/>
    <w:rsid w:val="00BB22DD"/>
    <w:rsid w:val="00BB49DE"/>
    <w:rsid w:val="00BC07FE"/>
    <w:rsid w:val="00BC7AF6"/>
    <w:rsid w:val="00BD0163"/>
    <w:rsid w:val="00BD122C"/>
    <w:rsid w:val="00BD159E"/>
    <w:rsid w:val="00BD1FFD"/>
    <w:rsid w:val="00BD597B"/>
    <w:rsid w:val="00BD5DE3"/>
    <w:rsid w:val="00BD6278"/>
    <w:rsid w:val="00BE1519"/>
    <w:rsid w:val="00BE4D96"/>
    <w:rsid w:val="00BE5B5F"/>
    <w:rsid w:val="00BE6B0C"/>
    <w:rsid w:val="00BE799A"/>
    <w:rsid w:val="00BF7747"/>
    <w:rsid w:val="00C06DDA"/>
    <w:rsid w:val="00C117C8"/>
    <w:rsid w:val="00C26F55"/>
    <w:rsid w:val="00C278CC"/>
    <w:rsid w:val="00C30C63"/>
    <w:rsid w:val="00C32B37"/>
    <w:rsid w:val="00C36B8B"/>
    <w:rsid w:val="00C40E57"/>
    <w:rsid w:val="00C47DBF"/>
    <w:rsid w:val="00C51D16"/>
    <w:rsid w:val="00C52128"/>
    <w:rsid w:val="00C53666"/>
    <w:rsid w:val="00C542DB"/>
    <w:rsid w:val="00C552FF"/>
    <w:rsid w:val="00C558DA"/>
    <w:rsid w:val="00C55AF3"/>
    <w:rsid w:val="00C60713"/>
    <w:rsid w:val="00C648DA"/>
    <w:rsid w:val="00C65E1F"/>
    <w:rsid w:val="00C66265"/>
    <w:rsid w:val="00C67E4A"/>
    <w:rsid w:val="00C70B49"/>
    <w:rsid w:val="00C7567A"/>
    <w:rsid w:val="00C75C7C"/>
    <w:rsid w:val="00C75E94"/>
    <w:rsid w:val="00C81951"/>
    <w:rsid w:val="00C83A8F"/>
    <w:rsid w:val="00C84759"/>
    <w:rsid w:val="00C86BF3"/>
    <w:rsid w:val="00C917D9"/>
    <w:rsid w:val="00C945E1"/>
    <w:rsid w:val="00C97578"/>
    <w:rsid w:val="00CA3FD3"/>
    <w:rsid w:val="00CA6C7F"/>
    <w:rsid w:val="00CA78AF"/>
    <w:rsid w:val="00CB1CB5"/>
    <w:rsid w:val="00CB4799"/>
    <w:rsid w:val="00CB6F8C"/>
    <w:rsid w:val="00CC0260"/>
    <w:rsid w:val="00CC10A6"/>
    <w:rsid w:val="00CC7752"/>
    <w:rsid w:val="00CC7F4E"/>
    <w:rsid w:val="00CD5EB8"/>
    <w:rsid w:val="00CD6AC7"/>
    <w:rsid w:val="00CD7044"/>
    <w:rsid w:val="00CE08B9"/>
    <w:rsid w:val="00CE4288"/>
    <w:rsid w:val="00CE4301"/>
    <w:rsid w:val="00CE524C"/>
    <w:rsid w:val="00CE6790"/>
    <w:rsid w:val="00CF0178"/>
    <w:rsid w:val="00CF141F"/>
    <w:rsid w:val="00CF4777"/>
    <w:rsid w:val="00CF5AF8"/>
    <w:rsid w:val="00D067BB"/>
    <w:rsid w:val="00D070CC"/>
    <w:rsid w:val="00D10A28"/>
    <w:rsid w:val="00D1352A"/>
    <w:rsid w:val="00D13EDE"/>
    <w:rsid w:val="00D1403D"/>
    <w:rsid w:val="00D143A3"/>
    <w:rsid w:val="00D169AF"/>
    <w:rsid w:val="00D17DB9"/>
    <w:rsid w:val="00D17DE7"/>
    <w:rsid w:val="00D25249"/>
    <w:rsid w:val="00D255A7"/>
    <w:rsid w:val="00D278A1"/>
    <w:rsid w:val="00D44172"/>
    <w:rsid w:val="00D46C2D"/>
    <w:rsid w:val="00D526D8"/>
    <w:rsid w:val="00D54771"/>
    <w:rsid w:val="00D54C3C"/>
    <w:rsid w:val="00D63B8C"/>
    <w:rsid w:val="00D67CA4"/>
    <w:rsid w:val="00D712FD"/>
    <w:rsid w:val="00D72CB6"/>
    <w:rsid w:val="00D7357D"/>
    <w:rsid w:val="00D7381F"/>
    <w:rsid w:val="00D739CC"/>
    <w:rsid w:val="00D8093D"/>
    <w:rsid w:val="00D8108C"/>
    <w:rsid w:val="00D816AC"/>
    <w:rsid w:val="00D842AE"/>
    <w:rsid w:val="00D9211C"/>
    <w:rsid w:val="00D92DE0"/>
    <w:rsid w:val="00D92FEF"/>
    <w:rsid w:val="00D93A0F"/>
    <w:rsid w:val="00D94E0F"/>
    <w:rsid w:val="00DA1BCA"/>
    <w:rsid w:val="00DA3FFA"/>
    <w:rsid w:val="00DA5460"/>
    <w:rsid w:val="00DA57EE"/>
    <w:rsid w:val="00DA5863"/>
    <w:rsid w:val="00DA7299"/>
    <w:rsid w:val="00DB36B7"/>
    <w:rsid w:val="00DB3E23"/>
    <w:rsid w:val="00DC15BA"/>
    <w:rsid w:val="00DC46FF"/>
    <w:rsid w:val="00DC5254"/>
    <w:rsid w:val="00DC787B"/>
    <w:rsid w:val="00DD1A4F"/>
    <w:rsid w:val="00DD3107"/>
    <w:rsid w:val="00DD470E"/>
    <w:rsid w:val="00DD5EFF"/>
    <w:rsid w:val="00DD7C2C"/>
    <w:rsid w:val="00DE24D9"/>
    <w:rsid w:val="00DE5F77"/>
    <w:rsid w:val="00DE6E55"/>
    <w:rsid w:val="00DF235E"/>
    <w:rsid w:val="00DF5628"/>
    <w:rsid w:val="00DF5660"/>
    <w:rsid w:val="00E01B68"/>
    <w:rsid w:val="00E020B6"/>
    <w:rsid w:val="00E0574F"/>
    <w:rsid w:val="00E06797"/>
    <w:rsid w:val="00E068E5"/>
    <w:rsid w:val="00E079D8"/>
    <w:rsid w:val="00E10B01"/>
    <w:rsid w:val="00E122BC"/>
    <w:rsid w:val="00E1265B"/>
    <w:rsid w:val="00E13B48"/>
    <w:rsid w:val="00E1404F"/>
    <w:rsid w:val="00E1469F"/>
    <w:rsid w:val="00E212EF"/>
    <w:rsid w:val="00E21C83"/>
    <w:rsid w:val="00E23407"/>
    <w:rsid w:val="00E24ADA"/>
    <w:rsid w:val="00E256F6"/>
    <w:rsid w:val="00E266F7"/>
    <w:rsid w:val="00E32F59"/>
    <w:rsid w:val="00E35A20"/>
    <w:rsid w:val="00E37F15"/>
    <w:rsid w:val="00E417B4"/>
    <w:rsid w:val="00E440CD"/>
    <w:rsid w:val="00E45EFA"/>
    <w:rsid w:val="00E46D9A"/>
    <w:rsid w:val="00E509D1"/>
    <w:rsid w:val="00E52062"/>
    <w:rsid w:val="00E565FF"/>
    <w:rsid w:val="00E600D6"/>
    <w:rsid w:val="00E63C75"/>
    <w:rsid w:val="00E65388"/>
    <w:rsid w:val="00E67833"/>
    <w:rsid w:val="00E67A70"/>
    <w:rsid w:val="00E7181B"/>
    <w:rsid w:val="00E73A27"/>
    <w:rsid w:val="00E74ACB"/>
    <w:rsid w:val="00E76F07"/>
    <w:rsid w:val="00E85B7D"/>
    <w:rsid w:val="00E9121B"/>
    <w:rsid w:val="00E930D5"/>
    <w:rsid w:val="00E94B48"/>
    <w:rsid w:val="00E96614"/>
    <w:rsid w:val="00EA0AE2"/>
    <w:rsid w:val="00EA2729"/>
    <w:rsid w:val="00EA292F"/>
    <w:rsid w:val="00EA2C43"/>
    <w:rsid w:val="00EA39E5"/>
    <w:rsid w:val="00EA6CE7"/>
    <w:rsid w:val="00EA7AC3"/>
    <w:rsid w:val="00EB1122"/>
    <w:rsid w:val="00EB3106"/>
    <w:rsid w:val="00EC5A46"/>
    <w:rsid w:val="00EC63E2"/>
    <w:rsid w:val="00ED0087"/>
    <w:rsid w:val="00ED1F3E"/>
    <w:rsid w:val="00EE1BA8"/>
    <w:rsid w:val="00EE1E98"/>
    <w:rsid w:val="00EE397B"/>
    <w:rsid w:val="00EE4483"/>
    <w:rsid w:val="00EE5261"/>
    <w:rsid w:val="00EE5A9E"/>
    <w:rsid w:val="00EF22B3"/>
    <w:rsid w:val="00EF469A"/>
    <w:rsid w:val="00EF5AF5"/>
    <w:rsid w:val="00F03215"/>
    <w:rsid w:val="00F03B69"/>
    <w:rsid w:val="00F07A50"/>
    <w:rsid w:val="00F113DA"/>
    <w:rsid w:val="00F23184"/>
    <w:rsid w:val="00F25F15"/>
    <w:rsid w:val="00F2672C"/>
    <w:rsid w:val="00F27767"/>
    <w:rsid w:val="00F3153A"/>
    <w:rsid w:val="00F319FC"/>
    <w:rsid w:val="00F31B67"/>
    <w:rsid w:val="00F355D6"/>
    <w:rsid w:val="00F37DC8"/>
    <w:rsid w:val="00F439B3"/>
    <w:rsid w:val="00F45AA8"/>
    <w:rsid w:val="00F502DD"/>
    <w:rsid w:val="00F511D5"/>
    <w:rsid w:val="00F52A1B"/>
    <w:rsid w:val="00F5429E"/>
    <w:rsid w:val="00F638FC"/>
    <w:rsid w:val="00F650C3"/>
    <w:rsid w:val="00F657EC"/>
    <w:rsid w:val="00F65D85"/>
    <w:rsid w:val="00F719FC"/>
    <w:rsid w:val="00F7203C"/>
    <w:rsid w:val="00F74BFC"/>
    <w:rsid w:val="00F75453"/>
    <w:rsid w:val="00F8091E"/>
    <w:rsid w:val="00F8564D"/>
    <w:rsid w:val="00F8615C"/>
    <w:rsid w:val="00F95830"/>
    <w:rsid w:val="00F969E5"/>
    <w:rsid w:val="00F97AEE"/>
    <w:rsid w:val="00F97E54"/>
    <w:rsid w:val="00FA084A"/>
    <w:rsid w:val="00FA1539"/>
    <w:rsid w:val="00FA1C95"/>
    <w:rsid w:val="00FA44DD"/>
    <w:rsid w:val="00FA6675"/>
    <w:rsid w:val="00FA6BB0"/>
    <w:rsid w:val="00FB1DFB"/>
    <w:rsid w:val="00FB2421"/>
    <w:rsid w:val="00FC1299"/>
    <w:rsid w:val="00FC1E0F"/>
    <w:rsid w:val="00FD0179"/>
    <w:rsid w:val="00FD2D77"/>
    <w:rsid w:val="00FD3873"/>
    <w:rsid w:val="00FD5860"/>
    <w:rsid w:val="00FD719D"/>
    <w:rsid w:val="00FE352D"/>
    <w:rsid w:val="00FE40EB"/>
    <w:rsid w:val="00FE4D02"/>
    <w:rsid w:val="00FE51C9"/>
    <w:rsid w:val="00FE7B2F"/>
    <w:rsid w:val="00FE7D62"/>
    <w:rsid w:val="00FF3819"/>
    <w:rsid w:val="00FF62DC"/>
    <w:rsid w:val="02BAAA92"/>
    <w:rsid w:val="04A1BF49"/>
    <w:rsid w:val="061932AB"/>
    <w:rsid w:val="0841DD8A"/>
    <w:rsid w:val="0939A324"/>
    <w:rsid w:val="0B345B00"/>
    <w:rsid w:val="116D010D"/>
    <w:rsid w:val="16493441"/>
    <w:rsid w:val="1D2C02FC"/>
    <w:rsid w:val="262B9DE8"/>
    <w:rsid w:val="2A110796"/>
    <w:rsid w:val="2C385DC6"/>
    <w:rsid w:val="2C3A8FCB"/>
    <w:rsid w:val="2D79FD51"/>
    <w:rsid w:val="2E79855C"/>
    <w:rsid w:val="31E263F0"/>
    <w:rsid w:val="34492EAA"/>
    <w:rsid w:val="34C0463F"/>
    <w:rsid w:val="3EB91B48"/>
    <w:rsid w:val="47E8A378"/>
    <w:rsid w:val="54950658"/>
    <w:rsid w:val="5E1D525E"/>
    <w:rsid w:val="5EC203AE"/>
    <w:rsid w:val="62C8C5FF"/>
    <w:rsid w:val="63403828"/>
    <w:rsid w:val="69EDFE3E"/>
    <w:rsid w:val="786538A8"/>
    <w:rsid w:val="78663A05"/>
    <w:rsid w:val="7B163B1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1EBE"/>
  <w15:chartTrackingRefBased/>
  <w15:docId w15:val="{85ED8E6B-C3F3-46F6-A491-500E425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E24D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DE24D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E24D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E24D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E24D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E24D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E24D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E24D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E24D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E24D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E24D9"/>
    <w:rPr>
      <w:rFonts w:ascii="Times New Roman" w:hAnsi="Times New Roman"/>
      <w:b/>
      <w:sz w:val="18"/>
      <w:lang w:val="en-GB"/>
    </w:rPr>
  </w:style>
  <w:style w:type="table" w:customStyle="1" w:styleId="Tabledocright">
    <w:name w:val="Table_doc_right"/>
    <w:basedOn w:val="TableNormal"/>
    <w:rsid w:val="00DE24D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E24D9"/>
    <w:pPr>
      <w:ind w:left="1000"/>
    </w:pPr>
    <w:rPr>
      <w:sz w:val="18"/>
      <w:szCs w:val="18"/>
    </w:rPr>
  </w:style>
  <w:style w:type="paragraph" w:styleId="TOC7">
    <w:name w:val="toc 7"/>
    <w:basedOn w:val="Normal"/>
    <w:next w:val="Normal"/>
    <w:autoRedefine/>
    <w:semiHidden/>
    <w:rsid w:val="00DE24D9"/>
    <w:pPr>
      <w:ind w:left="1200"/>
    </w:pPr>
    <w:rPr>
      <w:sz w:val="18"/>
      <w:szCs w:val="18"/>
    </w:rPr>
  </w:style>
  <w:style w:type="paragraph" w:styleId="TOC8">
    <w:name w:val="toc 8"/>
    <w:basedOn w:val="Normal"/>
    <w:next w:val="Normal"/>
    <w:autoRedefine/>
    <w:semiHidden/>
    <w:rsid w:val="00DE24D9"/>
    <w:pPr>
      <w:ind w:left="1400"/>
    </w:pPr>
    <w:rPr>
      <w:sz w:val="18"/>
      <w:szCs w:val="18"/>
    </w:rPr>
  </w:style>
  <w:style w:type="paragraph" w:styleId="TOC9">
    <w:name w:val="toc 9"/>
    <w:basedOn w:val="Normal"/>
    <w:next w:val="Normal"/>
    <w:autoRedefine/>
    <w:semiHidden/>
    <w:rsid w:val="00DE24D9"/>
    <w:pPr>
      <w:ind w:left="1600"/>
    </w:pPr>
    <w:rPr>
      <w:sz w:val="18"/>
      <w:szCs w:val="18"/>
    </w:rPr>
  </w:style>
  <w:style w:type="paragraph" w:customStyle="1" w:styleId="Titlefigure">
    <w:name w:val="Title_figure"/>
    <w:basedOn w:val="Titletable"/>
    <w:next w:val="NormalNonumber"/>
    <w:rsid w:val="00DE24D9"/>
    <w:pPr>
      <w:tabs>
        <w:tab w:val="clear" w:pos="4990"/>
      </w:tabs>
    </w:pPr>
    <w:rPr>
      <w:bCs w:val="0"/>
    </w:rPr>
  </w:style>
  <w:style w:type="paragraph" w:styleId="TableofFigures">
    <w:name w:val="table of figures"/>
    <w:basedOn w:val="Normal"/>
    <w:next w:val="Normal"/>
    <w:autoRedefine/>
    <w:semiHidden/>
    <w:rsid w:val="00DE24D9"/>
    <w:pPr>
      <w:ind w:left="1814" w:hanging="567"/>
    </w:pPr>
  </w:style>
  <w:style w:type="paragraph" w:customStyle="1" w:styleId="CH1">
    <w:name w:val="CH1"/>
    <w:basedOn w:val="Normal-pool"/>
    <w:next w:val="CH2"/>
    <w:qFormat/>
    <w:rsid w:val="00DE24D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E24D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E24D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E24D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E24D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E24D9"/>
    <w:pPr>
      <w:tabs>
        <w:tab w:val="left" w:pos="4321"/>
        <w:tab w:val="right" w:pos="8641"/>
      </w:tabs>
      <w:spacing w:before="60"/>
    </w:pPr>
    <w:rPr>
      <w:b/>
      <w:sz w:val="18"/>
    </w:rPr>
  </w:style>
  <w:style w:type="paragraph" w:customStyle="1" w:styleId="Footer-pool">
    <w:name w:val="Footer-pool"/>
    <w:basedOn w:val="Normal-pool"/>
    <w:next w:val="Normal-pool"/>
    <w:rsid w:val="00DE24D9"/>
    <w:pPr>
      <w:tabs>
        <w:tab w:val="right" w:pos="8641"/>
      </w:tabs>
      <w:spacing w:after="120"/>
    </w:pPr>
    <w:rPr>
      <w:b/>
      <w:sz w:val="18"/>
    </w:rPr>
  </w:style>
  <w:style w:type="paragraph" w:customStyle="1" w:styleId="Header-pool">
    <w:name w:val="Header-pool"/>
    <w:basedOn w:val="Normal"/>
    <w:next w:val="Normal"/>
    <w:rsid w:val="00DE24D9"/>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E24D9"/>
    <w:rPr>
      <w:rFonts w:ascii="Times New Roman" w:hAnsi="Times New Roman"/>
      <w:color w:val="auto"/>
      <w:sz w:val="20"/>
      <w:szCs w:val="18"/>
      <w:vertAlign w:val="superscript"/>
      <w:lang w:val="en-GB"/>
    </w:rPr>
  </w:style>
  <w:style w:type="table" w:customStyle="1" w:styleId="AATable">
    <w:name w:val="AA_Table"/>
    <w:basedOn w:val="TableNormal"/>
    <w:semiHidden/>
    <w:rsid w:val="00DE24D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E24D9"/>
    <w:pPr>
      <w:keepNext/>
      <w:keepLines/>
      <w:suppressAutoHyphens/>
    </w:pPr>
    <w:rPr>
      <w:b/>
    </w:rPr>
  </w:style>
  <w:style w:type="paragraph" w:customStyle="1" w:styleId="AATitle2">
    <w:name w:val="AA_Title2"/>
    <w:basedOn w:val="AATitle"/>
    <w:rsid w:val="00DE24D9"/>
    <w:pPr>
      <w:keepNext w:val="0"/>
      <w:keepLines w:val="0"/>
      <w:tabs>
        <w:tab w:val="clear" w:pos="4990"/>
      </w:tabs>
      <w:spacing w:before="120" w:after="120"/>
    </w:pPr>
  </w:style>
  <w:style w:type="paragraph" w:customStyle="1" w:styleId="BBTitle">
    <w:name w:val="BB_Title"/>
    <w:basedOn w:val="Normal-pool"/>
    <w:link w:val="BBTitleChar"/>
    <w:qFormat/>
    <w:rsid w:val="00DE24D9"/>
    <w:pPr>
      <w:keepNext/>
      <w:keepLines/>
      <w:suppressAutoHyphens/>
      <w:spacing w:before="320" w:after="240"/>
      <w:ind w:left="1247" w:right="567"/>
    </w:pPr>
    <w:rPr>
      <w:b/>
      <w:sz w:val="28"/>
      <w:szCs w:val="28"/>
    </w:rPr>
  </w:style>
  <w:style w:type="paragraph" w:customStyle="1" w:styleId="CH4">
    <w:name w:val="CH4"/>
    <w:basedOn w:val="Normal-pool"/>
    <w:next w:val="Normalnumber"/>
    <w:rsid w:val="00DE24D9"/>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DE24D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DE24D9"/>
    <w:rPr>
      <w:color w:val="0000FF"/>
      <w:u w:val="none"/>
      <w:lang w:val="en-GB"/>
    </w:rPr>
  </w:style>
  <w:style w:type="numbering" w:customStyle="1" w:styleId="Normallist">
    <w:name w:val="Normal_list"/>
    <w:basedOn w:val="NoList"/>
    <w:rsid w:val="00DE24D9"/>
    <w:pPr>
      <w:numPr>
        <w:numId w:val="1"/>
      </w:numPr>
    </w:pPr>
  </w:style>
  <w:style w:type="paragraph" w:customStyle="1" w:styleId="NormalNonumber">
    <w:name w:val="Normal_No_number"/>
    <w:basedOn w:val="Normal-pool"/>
    <w:qFormat/>
    <w:rsid w:val="00DE24D9"/>
    <w:pPr>
      <w:spacing w:after="120"/>
      <w:ind w:left="1247"/>
    </w:pPr>
  </w:style>
  <w:style w:type="paragraph" w:customStyle="1" w:styleId="Normalnumber">
    <w:name w:val="Normal_number"/>
    <w:basedOn w:val="Normal"/>
    <w:link w:val="NormalnumberChar"/>
    <w:qFormat/>
    <w:rsid w:val="00DE24D9"/>
    <w:pPr>
      <w:numPr>
        <w:numId w:val="1"/>
      </w:numPr>
      <w:spacing w:after="120"/>
    </w:pPr>
  </w:style>
  <w:style w:type="paragraph" w:customStyle="1" w:styleId="Titletable">
    <w:name w:val="Title_table"/>
    <w:basedOn w:val="Normal-pool"/>
    <w:next w:val="NormalNonumber"/>
    <w:rsid w:val="00DE24D9"/>
    <w:pPr>
      <w:keepNext/>
      <w:keepLines/>
      <w:suppressAutoHyphens/>
      <w:spacing w:after="60"/>
      <w:ind w:left="1247"/>
    </w:pPr>
    <w:rPr>
      <w:b/>
      <w:bCs/>
    </w:rPr>
  </w:style>
  <w:style w:type="paragraph" w:styleId="TOC1">
    <w:name w:val="toc 1"/>
    <w:basedOn w:val="Normal"/>
    <w:next w:val="Normal"/>
    <w:autoRedefine/>
    <w:uiPriority w:val="39"/>
    <w:unhideWhenUsed/>
    <w:rsid w:val="00DE24D9"/>
    <w:pPr>
      <w:tabs>
        <w:tab w:val="right" w:leader="dot" w:pos="9486"/>
      </w:tabs>
      <w:spacing w:before="240"/>
      <w:ind w:left="1984" w:hanging="737"/>
    </w:pPr>
    <w:rPr>
      <w:bCs/>
    </w:rPr>
  </w:style>
  <w:style w:type="paragraph" w:styleId="TOC2">
    <w:name w:val="toc 2"/>
    <w:basedOn w:val="Normal"/>
    <w:next w:val="Normal"/>
    <w:uiPriority w:val="39"/>
    <w:unhideWhenUsed/>
    <w:rsid w:val="00DE24D9"/>
    <w:pPr>
      <w:tabs>
        <w:tab w:val="right" w:leader="dot" w:pos="9486"/>
      </w:tabs>
      <w:spacing w:before="60"/>
      <w:ind w:left="2608" w:hanging="737"/>
    </w:pPr>
  </w:style>
  <w:style w:type="paragraph" w:styleId="TOC3">
    <w:name w:val="toc 3"/>
    <w:basedOn w:val="Normal"/>
    <w:next w:val="Normal"/>
    <w:uiPriority w:val="39"/>
    <w:unhideWhenUsed/>
    <w:rsid w:val="00DE24D9"/>
    <w:pPr>
      <w:tabs>
        <w:tab w:val="right" w:leader="dot" w:pos="9486"/>
      </w:tabs>
      <w:ind w:left="3232" w:hanging="737"/>
    </w:pPr>
    <w:rPr>
      <w:iCs/>
    </w:rPr>
  </w:style>
  <w:style w:type="paragraph" w:styleId="TOC4">
    <w:name w:val="toc 4"/>
    <w:basedOn w:val="Normal"/>
    <w:next w:val="Normal"/>
    <w:uiPriority w:val="39"/>
    <w:unhideWhenUsed/>
    <w:rsid w:val="00DE24D9"/>
    <w:pPr>
      <w:tabs>
        <w:tab w:val="left" w:pos="1000"/>
        <w:tab w:val="right" w:leader="dot" w:pos="9486"/>
      </w:tabs>
      <w:ind w:left="3856" w:hanging="737"/>
    </w:pPr>
    <w:rPr>
      <w:szCs w:val="18"/>
    </w:rPr>
  </w:style>
  <w:style w:type="paragraph" w:styleId="TOC5">
    <w:name w:val="toc 5"/>
    <w:basedOn w:val="Normal"/>
    <w:next w:val="Normal"/>
    <w:uiPriority w:val="39"/>
    <w:rsid w:val="00DE24D9"/>
    <w:pPr>
      <w:tabs>
        <w:tab w:val="right" w:leader="dot" w:pos="9486"/>
      </w:tabs>
      <w:ind w:left="4479" w:hanging="737"/>
    </w:pPr>
    <w:rPr>
      <w:sz w:val="18"/>
      <w:szCs w:val="18"/>
    </w:rPr>
  </w:style>
  <w:style w:type="paragraph" w:customStyle="1" w:styleId="ZZAnxheader">
    <w:name w:val="ZZ_Anx_header"/>
    <w:basedOn w:val="Normal-pool"/>
    <w:link w:val="ZZAnxheaderChar"/>
    <w:rsid w:val="00DE24D9"/>
    <w:rPr>
      <w:b/>
      <w:bCs/>
      <w:sz w:val="28"/>
      <w:szCs w:val="22"/>
    </w:rPr>
  </w:style>
  <w:style w:type="paragraph" w:customStyle="1" w:styleId="ZZAnxtitle">
    <w:name w:val="ZZ_Anx_title"/>
    <w:basedOn w:val="Normal-pool"/>
    <w:link w:val="ZZAnxtitleChar"/>
    <w:rsid w:val="00DE24D9"/>
    <w:pPr>
      <w:spacing w:before="360" w:after="120"/>
      <w:ind w:left="1247"/>
    </w:pPr>
    <w:rPr>
      <w:b/>
      <w:bCs/>
      <w:sz w:val="28"/>
      <w:szCs w:val="26"/>
    </w:rPr>
  </w:style>
  <w:style w:type="paragraph" w:styleId="NormalWeb">
    <w:name w:val="Normal (Web)"/>
    <w:basedOn w:val="Normal"/>
    <w:uiPriority w:val="99"/>
    <w:semiHidden/>
    <w:unhideWhenUsed/>
    <w:rsid w:val="00DE24D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E24D9"/>
    <w:pPr>
      <w:spacing w:before="40" w:after="40"/>
    </w:pPr>
    <w:rPr>
      <w:sz w:val="18"/>
    </w:rPr>
  </w:style>
  <w:style w:type="paragraph" w:customStyle="1" w:styleId="Footnote-Text">
    <w:name w:val="Footnote-Text"/>
    <w:basedOn w:val="Normal-pool"/>
    <w:rsid w:val="00DE24D9"/>
    <w:pPr>
      <w:spacing w:before="20" w:after="40"/>
      <w:ind w:left="1247"/>
    </w:pPr>
    <w:rPr>
      <w:sz w:val="18"/>
    </w:rPr>
  </w:style>
  <w:style w:type="paragraph" w:customStyle="1" w:styleId="AConvName">
    <w:name w:val="A_ConvName"/>
    <w:basedOn w:val="Normal-pool"/>
    <w:next w:val="Normal-pool"/>
    <w:rsid w:val="00DE24D9"/>
    <w:pPr>
      <w:spacing w:before="120" w:after="240"/>
    </w:pPr>
    <w:rPr>
      <w:rFonts w:ascii="Arial" w:hAnsi="Arial"/>
      <w:b/>
      <w:sz w:val="28"/>
    </w:rPr>
  </w:style>
  <w:style w:type="paragraph" w:customStyle="1" w:styleId="ASymbol">
    <w:name w:val="A_Symbol"/>
    <w:basedOn w:val="Normal-pool"/>
    <w:rsid w:val="00DE24D9"/>
    <w:pPr>
      <w:tabs>
        <w:tab w:val="clear" w:pos="624"/>
        <w:tab w:val="clear" w:pos="1247"/>
        <w:tab w:val="right" w:pos="2920"/>
      </w:tabs>
    </w:pPr>
    <w:rPr>
      <w:rFonts w:eastAsia="SimSun"/>
    </w:rPr>
  </w:style>
  <w:style w:type="paragraph" w:customStyle="1" w:styleId="AText">
    <w:name w:val="A_Text"/>
    <w:basedOn w:val="Normal-pool"/>
    <w:rsid w:val="00DE24D9"/>
    <w:pPr>
      <w:spacing w:before="120"/>
    </w:pPr>
  </w:style>
  <w:style w:type="paragraph" w:customStyle="1" w:styleId="ATwoLetters">
    <w:name w:val="A_TwoLetters"/>
    <w:basedOn w:val="Normal-pool"/>
    <w:next w:val="Normal-pool"/>
    <w:rsid w:val="00DE24D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E24D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DE24D9"/>
    <w:rPr>
      <w:rFonts w:ascii="Tahoma" w:hAnsi="Tahoma" w:cs="Tahoma"/>
      <w:sz w:val="16"/>
      <w:szCs w:val="16"/>
    </w:rPr>
  </w:style>
  <w:style w:type="character" w:customStyle="1" w:styleId="BalloonTextChar">
    <w:name w:val="Balloon Text Char"/>
    <w:basedOn w:val="DefaultParagraphFont"/>
    <w:link w:val="BalloonText"/>
    <w:rsid w:val="00DE24D9"/>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DE24D9"/>
    <w:rPr>
      <w:sz w:val="16"/>
      <w:szCs w:val="16"/>
      <w:lang w:val="en-GB"/>
    </w:rPr>
  </w:style>
  <w:style w:type="paragraph" w:styleId="CommentText">
    <w:name w:val="annotation text"/>
    <w:basedOn w:val="Normal"/>
    <w:link w:val="CommentTextChar"/>
    <w:unhideWhenUsed/>
    <w:rsid w:val="00DE24D9"/>
  </w:style>
  <w:style w:type="character" w:customStyle="1" w:styleId="CommentTextChar">
    <w:name w:val="Comment Text Char"/>
    <w:basedOn w:val="DefaultParagraphFont"/>
    <w:link w:val="CommentText"/>
    <w:rsid w:val="00DE24D9"/>
    <w:rPr>
      <w:rFonts w:eastAsia="Times New Roman"/>
      <w:lang w:val="en-GB" w:eastAsia="en-US"/>
    </w:rPr>
  </w:style>
  <w:style w:type="paragraph" w:styleId="CommentSubject">
    <w:name w:val="annotation subject"/>
    <w:basedOn w:val="CommentText"/>
    <w:next w:val="CommentText"/>
    <w:link w:val="CommentSubjectChar"/>
    <w:semiHidden/>
    <w:unhideWhenUsed/>
    <w:rsid w:val="00DE24D9"/>
    <w:rPr>
      <w:b/>
      <w:bCs/>
    </w:rPr>
  </w:style>
  <w:style w:type="character" w:customStyle="1" w:styleId="CommentSubjectChar">
    <w:name w:val="Comment Subject Char"/>
    <w:basedOn w:val="CommentTextChar"/>
    <w:link w:val="CommentSubject"/>
    <w:semiHidden/>
    <w:rsid w:val="00DE24D9"/>
    <w:rPr>
      <w:rFonts w:eastAsia="Times New Roman"/>
      <w:b/>
      <w:bCs/>
      <w:lang w:val="en-GB" w:eastAsia="en-US"/>
    </w:rPr>
  </w:style>
  <w:style w:type="character" w:styleId="FollowedHyperlink">
    <w:name w:val="FollowedHyperlink"/>
    <w:uiPriority w:val="99"/>
    <w:semiHidden/>
    <w:rsid w:val="00DE24D9"/>
    <w:rPr>
      <w:color w:val="0000FF"/>
      <w:u w:val="none"/>
      <w:lang w:val="en-GB"/>
    </w:rPr>
  </w:style>
  <w:style w:type="character" w:customStyle="1" w:styleId="FooterChar">
    <w:name w:val="Footer Char"/>
    <w:basedOn w:val="DefaultParagraphFont"/>
    <w:link w:val="Footer"/>
    <w:uiPriority w:val="99"/>
    <w:rsid w:val="00DE24D9"/>
    <w:rPr>
      <w:rFonts w:eastAsia="Times New Roman"/>
      <w:lang w:val="en-GB" w:eastAsia="en-US"/>
    </w:rPr>
  </w:style>
  <w:style w:type="character" w:customStyle="1" w:styleId="HeaderChar">
    <w:name w:val="Header Char"/>
    <w:basedOn w:val="DefaultParagraphFont"/>
    <w:link w:val="Header"/>
    <w:uiPriority w:val="99"/>
    <w:semiHidden/>
    <w:rsid w:val="00DE24D9"/>
    <w:rPr>
      <w:rFonts w:eastAsia="Times New Roman"/>
      <w:lang w:val="en-GB" w:eastAsia="en-US"/>
    </w:rPr>
  </w:style>
  <w:style w:type="character" w:customStyle="1" w:styleId="Heading1Char">
    <w:name w:val="Heading 1 Char"/>
    <w:basedOn w:val="DefaultParagraphFont"/>
    <w:link w:val="Heading1"/>
    <w:rsid w:val="00DE24D9"/>
    <w:rPr>
      <w:rFonts w:eastAsia="Times New Roman"/>
      <w:b/>
      <w:sz w:val="28"/>
      <w:szCs w:val="28"/>
      <w:lang w:val="en-GB" w:eastAsia="en-US"/>
    </w:rPr>
  </w:style>
  <w:style w:type="character" w:customStyle="1" w:styleId="Heading2Char">
    <w:name w:val="Heading 2 Char"/>
    <w:basedOn w:val="DefaultParagraphFont"/>
    <w:link w:val="Heading2"/>
    <w:rsid w:val="00DE24D9"/>
    <w:rPr>
      <w:rFonts w:eastAsia="Times New Roman"/>
      <w:b/>
      <w:sz w:val="24"/>
      <w:szCs w:val="24"/>
      <w:lang w:val="en-GB" w:eastAsia="en-US"/>
    </w:rPr>
  </w:style>
  <w:style w:type="character" w:customStyle="1" w:styleId="Heading3Char">
    <w:name w:val="Heading 3 Char"/>
    <w:basedOn w:val="DefaultParagraphFont"/>
    <w:link w:val="Heading3"/>
    <w:rsid w:val="00DE24D9"/>
    <w:rPr>
      <w:rFonts w:eastAsia="Times New Roman"/>
      <w:b/>
      <w:lang w:val="en-GB" w:eastAsia="en-US"/>
    </w:rPr>
  </w:style>
  <w:style w:type="character" w:customStyle="1" w:styleId="Heading4Char">
    <w:name w:val="Heading 4 Char"/>
    <w:basedOn w:val="DefaultParagraphFont"/>
    <w:link w:val="Heading4"/>
    <w:rsid w:val="00DE24D9"/>
    <w:rPr>
      <w:rFonts w:eastAsia="Times New Roman"/>
      <w:b/>
      <w:lang w:val="en-GB" w:eastAsia="en-US"/>
    </w:rPr>
  </w:style>
  <w:style w:type="character" w:customStyle="1" w:styleId="Heading5Char">
    <w:name w:val="Heading 5 Char"/>
    <w:basedOn w:val="DefaultParagraphFont"/>
    <w:link w:val="Heading5"/>
    <w:rsid w:val="00DE24D9"/>
    <w:rPr>
      <w:rFonts w:eastAsia="Times New Roman"/>
      <w:b/>
      <w:lang w:val="en-GB" w:eastAsia="en-US"/>
    </w:rPr>
  </w:style>
  <w:style w:type="character" w:customStyle="1" w:styleId="Heading6Char">
    <w:name w:val="Heading 6 Char"/>
    <w:basedOn w:val="DefaultParagraphFont"/>
    <w:link w:val="Heading6"/>
    <w:semiHidden/>
    <w:rsid w:val="00DE24D9"/>
    <w:rPr>
      <w:rFonts w:eastAsia="Times New Roman"/>
      <w:bCs/>
      <w:sz w:val="24"/>
      <w:lang w:val="en-GB" w:eastAsia="en-US"/>
    </w:rPr>
  </w:style>
  <w:style w:type="character" w:customStyle="1" w:styleId="Heading7Char">
    <w:name w:val="Heading 7 Char"/>
    <w:basedOn w:val="DefaultParagraphFont"/>
    <w:link w:val="Heading7"/>
    <w:semiHidden/>
    <w:rsid w:val="00DE24D9"/>
    <w:rPr>
      <w:rFonts w:eastAsia="Times New Roman"/>
      <w:b/>
      <w:snapToGrid w:val="0"/>
      <w:u w:val="single"/>
      <w:lang w:val="en-GB" w:eastAsia="en-US"/>
    </w:rPr>
  </w:style>
  <w:style w:type="character" w:customStyle="1" w:styleId="Heading8Char">
    <w:name w:val="Heading 8 Char"/>
    <w:basedOn w:val="DefaultParagraphFont"/>
    <w:link w:val="Heading8"/>
    <w:semiHidden/>
    <w:rsid w:val="00DE24D9"/>
    <w:rPr>
      <w:rFonts w:eastAsia="Times New Roman"/>
      <w:b/>
      <w:snapToGrid w:val="0"/>
      <w:u w:val="single"/>
      <w:lang w:val="en-GB" w:eastAsia="en-US"/>
    </w:rPr>
  </w:style>
  <w:style w:type="character" w:customStyle="1" w:styleId="Heading9Char">
    <w:name w:val="Heading 9 Char"/>
    <w:basedOn w:val="DefaultParagraphFont"/>
    <w:link w:val="Heading9"/>
    <w:semiHidden/>
    <w:rsid w:val="00DE24D9"/>
    <w:rPr>
      <w:rFonts w:eastAsia="Times New Roman"/>
      <w:snapToGrid w:val="0"/>
      <w:u w:val="single"/>
      <w:lang w:val="en-GB"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E24D9"/>
    <w:pPr>
      <w:ind w:left="720"/>
      <w:contextualSpacing/>
    </w:pPr>
  </w:style>
  <w:style w:type="paragraph" w:styleId="NoSpacing">
    <w:name w:val="No Spacing"/>
    <w:uiPriority w:val="1"/>
    <w:semiHidden/>
    <w:qFormat/>
    <w:rsid w:val="00DE24D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DE24D9"/>
    <w:rPr>
      <w:rFonts w:eastAsia="Times New Roman"/>
      <w:lang w:val="en-GB" w:eastAsia="en-US"/>
    </w:rPr>
  </w:style>
  <w:style w:type="character" w:styleId="PlaceholderText">
    <w:name w:val="Placeholder Text"/>
    <w:basedOn w:val="DefaultParagraphFont"/>
    <w:uiPriority w:val="99"/>
    <w:semiHidden/>
    <w:rsid w:val="00DE24D9"/>
    <w:rPr>
      <w:color w:val="808080"/>
      <w:lang w:val="en-GB"/>
    </w:rPr>
  </w:style>
  <w:style w:type="table" w:styleId="TableGrid">
    <w:name w:val="Table Grid"/>
    <w:basedOn w:val="TableNormal"/>
    <w:uiPriority w:val="39"/>
    <w:rsid w:val="00D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E24D9"/>
    <w:pPr>
      <w:spacing w:before="120" w:after="240"/>
    </w:pPr>
  </w:style>
  <w:style w:type="character" w:customStyle="1" w:styleId="ALogoChar">
    <w:name w:val="A_Logo Char"/>
    <w:basedOn w:val="DefaultParagraphFont"/>
    <w:link w:val="ALogo"/>
    <w:rsid w:val="00DE24D9"/>
    <w:rPr>
      <w:rFonts w:eastAsia="Times New Roman"/>
      <w:lang w:val="en-GB" w:eastAsia="en-US"/>
    </w:rPr>
  </w:style>
  <w:style w:type="paragraph" w:customStyle="1" w:styleId="ASpacer">
    <w:name w:val="A_Spacer"/>
    <w:basedOn w:val="Normal-pool"/>
    <w:link w:val="ASpacerChar"/>
    <w:rsid w:val="00DE24D9"/>
    <w:rPr>
      <w:sz w:val="2"/>
    </w:rPr>
  </w:style>
  <w:style w:type="character" w:customStyle="1" w:styleId="ASpacerChar">
    <w:name w:val="A_Spacer Char"/>
    <w:basedOn w:val="DefaultParagraphFont"/>
    <w:link w:val="ASpacer"/>
    <w:rsid w:val="00DE24D9"/>
    <w:rPr>
      <w:rFonts w:eastAsia="Times New Roman"/>
      <w:sz w:val="2"/>
      <w:lang w:val="en-GB" w:eastAsia="en-US"/>
    </w:rPr>
  </w:style>
  <w:style w:type="paragraph" w:customStyle="1" w:styleId="AATitle1">
    <w:name w:val="AA_Title1"/>
    <w:basedOn w:val="Normal-pool"/>
    <w:rsid w:val="00DE24D9"/>
  </w:style>
  <w:style w:type="character" w:styleId="UnresolvedMention">
    <w:name w:val="Unresolved Mention"/>
    <w:basedOn w:val="DefaultParagraphFont"/>
    <w:uiPriority w:val="99"/>
    <w:semiHidden/>
    <w:rsid w:val="00DE24D9"/>
    <w:rPr>
      <w:color w:val="605E5C"/>
      <w:shd w:val="clear" w:color="auto" w:fill="E1DFDD"/>
      <w:lang w:val="en-GB"/>
    </w:rPr>
  </w:style>
  <w:style w:type="paragraph" w:customStyle="1" w:styleId="ANormal">
    <w:name w:val="A_Normal"/>
    <w:basedOn w:val="Normal-pool"/>
    <w:rsid w:val="00DE24D9"/>
  </w:style>
  <w:style w:type="paragraph" w:customStyle="1" w:styleId="AText0">
    <w:name w:val="A_Text0"/>
    <w:basedOn w:val="AText"/>
    <w:next w:val="AText"/>
    <w:rsid w:val="00DE24D9"/>
    <w:pPr>
      <w:tabs>
        <w:tab w:val="clear" w:pos="4990"/>
      </w:tabs>
      <w:spacing w:before="0" w:after="120"/>
    </w:pPr>
  </w:style>
  <w:style w:type="paragraph" w:styleId="Footer">
    <w:name w:val="footer"/>
    <w:basedOn w:val="Normal"/>
    <w:link w:val="FooterChar"/>
    <w:uiPriority w:val="99"/>
    <w:rsid w:val="00DE24D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E24D9"/>
    <w:rPr>
      <w:rFonts w:eastAsia="Times New Roman"/>
      <w:b/>
      <w:sz w:val="18"/>
      <w:lang w:val="en-GB" w:eastAsia="en-US"/>
    </w:rPr>
  </w:style>
  <w:style w:type="paragraph" w:customStyle="1" w:styleId="Normal-pool">
    <w:name w:val="Normal-pool"/>
    <w:link w:val="Normal-poolChar"/>
    <w:qFormat/>
    <w:rsid w:val="00DE24D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DE24D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E24D9"/>
    <w:pPr>
      <w:spacing w:before="60"/>
      <w:ind w:left="624"/>
    </w:pPr>
    <w:rPr>
      <w:rFonts w:eastAsiaTheme="minorEastAsia"/>
      <w:sz w:val="18"/>
    </w:rPr>
  </w:style>
  <w:style w:type="paragraph" w:styleId="Bibliography">
    <w:name w:val="Bibliography"/>
    <w:basedOn w:val="Normal"/>
    <w:next w:val="Normal"/>
    <w:uiPriority w:val="37"/>
    <w:semiHidden/>
    <w:rsid w:val="00DE24D9"/>
  </w:style>
  <w:style w:type="paragraph" w:styleId="BlockText">
    <w:name w:val="Block Text"/>
    <w:basedOn w:val="Normal"/>
    <w:semiHidden/>
    <w:unhideWhenUsed/>
    <w:rsid w:val="00DE24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24D9"/>
    <w:pPr>
      <w:spacing w:after="120"/>
    </w:pPr>
  </w:style>
  <w:style w:type="character" w:customStyle="1" w:styleId="BodyTextChar">
    <w:name w:val="Body Text Char"/>
    <w:basedOn w:val="DefaultParagraphFont"/>
    <w:link w:val="BodyText"/>
    <w:semiHidden/>
    <w:rsid w:val="00DE24D9"/>
    <w:rPr>
      <w:rFonts w:eastAsia="Times New Roman"/>
      <w:lang w:val="en-GB" w:eastAsia="en-US"/>
    </w:rPr>
  </w:style>
  <w:style w:type="paragraph" w:styleId="BodyText2">
    <w:name w:val="Body Text 2"/>
    <w:basedOn w:val="Normal"/>
    <w:link w:val="BodyText2Char"/>
    <w:semiHidden/>
    <w:unhideWhenUsed/>
    <w:rsid w:val="00DE24D9"/>
    <w:pPr>
      <w:spacing w:after="120" w:line="480" w:lineRule="auto"/>
    </w:pPr>
  </w:style>
  <w:style w:type="character" w:customStyle="1" w:styleId="BodyText2Char">
    <w:name w:val="Body Text 2 Char"/>
    <w:basedOn w:val="DefaultParagraphFont"/>
    <w:link w:val="BodyText2"/>
    <w:semiHidden/>
    <w:rsid w:val="00DE24D9"/>
    <w:rPr>
      <w:rFonts w:eastAsia="Times New Roman"/>
      <w:lang w:val="en-GB" w:eastAsia="en-US"/>
    </w:rPr>
  </w:style>
  <w:style w:type="paragraph" w:styleId="BodyText3">
    <w:name w:val="Body Text 3"/>
    <w:basedOn w:val="Normal"/>
    <w:link w:val="BodyText3Char"/>
    <w:semiHidden/>
    <w:unhideWhenUsed/>
    <w:rsid w:val="00DE24D9"/>
    <w:pPr>
      <w:spacing w:after="120"/>
    </w:pPr>
    <w:rPr>
      <w:sz w:val="16"/>
      <w:szCs w:val="16"/>
    </w:rPr>
  </w:style>
  <w:style w:type="character" w:customStyle="1" w:styleId="BodyText3Char">
    <w:name w:val="Body Text 3 Char"/>
    <w:basedOn w:val="DefaultParagraphFont"/>
    <w:link w:val="BodyText3"/>
    <w:semiHidden/>
    <w:rsid w:val="00DE24D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E24D9"/>
    <w:pPr>
      <w:spacing w:after="0"/>
      <w:ind w:firstLine="360"/>
    </w:pPr>
  </w:style>
  <w:style w:type="character" w:customStyle="1" w:styleId="BodyTextFirstIndentChar">
    <w:name w:val="Body Text First Indent Char"/>
    <w:basedOn w:val="BodyTextChar"/>
    <w:link w:val="BodyTextFirstIndent"/>
    <w:semiHidden/>
    <w:rsid w:val="00DE24D9"/>
    <w:rPr>
      <w:rFonts w:eastAsia="Times New Roman"/>
      <w:lang w:val="en-GB" w:eastAsia="en-US"/>
    </w:rPr>
  </w:style>
  <w:style w:type="paragraph" w:styleId="BodyTextIndent">
    <w:name w:val="Body Text Indent"/>
    <w:basedOn w:val="Normal"/>
    <w:link w:val="BodyTextIndentChar"/>
    <w:semiHidden/>
    <w:unhideWhenUsed/>
    <w:rsid w:val="00DE24D9"/>
    <w:pPr>
      <w:spacing w:after="120"/>
      <w:ind w:left="283"/>
    </w:pPr>
  </w:style>
  <w:style w:type="character" w:customStyle="1" w:styleId="BodyTextIndentChar">
    <w:name w:val="Body Text Indent Char"/>
    <w:basedOn w:val="DefaultParagraphFont"/>
    <w:link w:val="BodyTextIndent"/>
    <w:semiHidden/>
    <w:rsid w:val="00DE24D9"/>
    <w:rPr>
      <w:rFonts w:eastAsia="Times New Roman"/>
      <w:lang w:val="en-GB" w:eastAsia="en-US"/>
    </w:rPr>
  </w:style>
  <w:style w:type="paragraph" w:styleId="BodyTextFirstIndent2">
    <w:name w:val="Body Text First Indent 2"/>
    <w:basedOn w:val="BodyTextIndent"/>
    <w:link w:val="BodyTextFirstIndent2Char"/>
    <w:semiHidden/>
    <w:unhideWhenUsed/>
    <w:rsid w:val="00DE24D9"/>
    <w:pPr>
      <w:spacing w:after="0"/>
      <w:ind w:left="360" w:firstLine="360"/>
    </w:pPr>
  </w:style>
  <w:style w:type="character" w:customStyle="1" w:styleId="BodyTextFirstIndent2Char">
    <w:name w:val="Body Text First Indent 2 Char"/>
    <w:basedOn w:val="BodyTextIndentChar"/>
    <w:link w:val="BodyTextFirstIndent2"/>
    <w:semiHidden/>
    <w:rsid w:val="00DE24D9"/>
    <w:rPr>
      <w:rFonts w:eastAsia="Times New Roman"/>
      <w:lang w:val="en-GB" w:eastAsia="en-US"/>
    </w:rPr>
  </w:style>
  <w:style w:type="paragraph" w:styleId="BodyTextIndent2">
    <w:name w:val="Body Text Indent 2"/>
    <w:basedOn w:val="Normal"/>
    <w:link w:val="BodyTextIndent2Char"/>
    <w:semiHidden/>
    <w:unhideWhenUsed/>
    <w:rsid w:val="00DE24D9"/>
    <w:pPr>
      <w:spacing w:after="120" w:line="480" w:lineRule="auto"/>
      <w:ind w:left="283"/>
    </w:pPr>
  </w:style>
  <w:style w:type="character" w:customStyle="1" w:styleId="BodyTextIndent2Char">
    <w:name w:val="Body Text Indent 2 Char"/>
    <w:basedOn w:val="DefaultParagraphFont"/>
    <w:link w:val="BodyTextIndent2"/>
    <w:semiHidden/>
    <w:rsid w:val="00DE24D9"/>
    <w:rPr>
      <w:rFonts w:eastAsia="Times New Roman"/>
      <w:lang w:val="en-GB" w:eastAsia="en-US"/>
    </w:rPr>
  </w:style>
  <w:style w:type="paragraph" w:styleId="BodyTextIndent3">
    <w:name w:val="Body Text Indent 3"/>
    <w:basedOn w:val="Normal"/>
    <w:link w:val="BodyTextIndent3Char"/>
    <w:semiHidden/>
    <w:unhideWhenUsed/>
    <w:rsid w:val="00DE24D9"/>
    <w:pPr>
      <w:spacing w:after="120"/>
      <w:ind w:left="283"/>
    </w:pPr>
    <w:rPr>
      <w:sz w:val="16"/>
      <w:szCs w:val="16"/>
    </w:rPr>
  </w:style>
  <w:style w:type="character" w:customStyle="1" w:styleId="BodyTextIndent3Char">
    <w:name w:val="Body Text Indent 3 Char"/>
    <w:basedOn w:val="DefaultParagraphFont"/>
    <w:link w:val="BodyTextIndent3"/>
    <w:semiHidden/>
    <w:rsid w:val="00DE24D9"/>
    <w:rPr>
      <w:rFonts w:eastAsia="Times New Roman"/>
      <w:sz w:val="16"/>
      <w:szCs w:val="16"/>
      <w:lang w:val="en-GB" w:eastAsia="en-US"/>
    </w:rPr>
  </w:style>
  <w:style w:type="character" w:styleId="BookTitle">
    <w:name w:val="Book Title"/>
    <w:basedOn w:val="DefaultParagraphFont"/>
    <w:uiPriority w:val="33"/>
    <w:semiHidden/>
    <w:qFormat/>
    <w:rsid w:val="00DE24D9"/>
    <w:rPr>
      <w:b/>
      <w:bCs/>
      <w:i/>
      <w:iCs/>
      <w:spacing w:val="5"/>
      <w:lang w:val="en-GB"/>
    </w:rPr>
  </w:style>
  <w:style w:type="paragraph" w:styleId="Caption">
    <w:name w:val="caption"/>
    <w:basedOn w:val="Normal"/>
    <w:next w:val="Normal"/>
    <w:semiHidden/>
    <w:unhideWhenUsed/>
    <w:qFormat/>
    <w:rsid w:val="00DE24D9"/>
    <w:pPr>
      <w:spacing w:after="200"/>
    </w:pPr>
    <w:rPr>
      <w:i/>
      <w:iCs/>
      <w:color w:val="1F497D" w:themeColor="text2"/>
      <w:sz w:val="18"/>
      <w:szCs w:val="18"/>
    </w:rPr>
  </w:style>
  <w:style w:type="paragraph" w:styleId="Closing">
    <w:name w:val="Closing"/>
    <w:basedOn w:val="Normal"/>
    <w:link w:val="ClosingChar"/>
    <w:semiHidden/>
    <w:unhideWhenUsed/>
    <w:rsid w:val="00DE24D9"/>
    <w:pPr>
      <w:ind w:left="4252"/>
    </w:pPr>
  </w:style>
  <w:style w:type="character" w:customStyle="1" w:styleId="ClosingChar">
    <w:name w:val="Closing Char"/>
    <w:basedOn w:val="DefaultParagraphFont"/>
    <w:link w:val="Closing"/>
    <w:semiHidden/>
    <w:rsid w:val="00DE24D9"/>
    <w:rPr>
      <w:rFonts w:eastAsia="Times New Roman"/>
      <w:lang w:val="en-GB" w:eastAsia="en-US"/>
    </w:rPr>
  </w:style>
  <w:style w:type="table" w:styleId="ColorfulGrid">
    <w:name w:val="Colorful Grid"/>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24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24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24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24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24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24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24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24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24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24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24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24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24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24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24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24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24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24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E24D9"/>
  </w:style>
  <w:style w:type="character" w:customStyle="1" w:styleId="DateChar">
    <w:name w:val="Date Char"/>
    <w:basedOn w:val="DefaultParagraphFont"/>
    <w:link w:val="Date"/>
    <w:semiHidden/>
    <w:rsid w:val="00DE24D9"/>
    <w:rPr>
      <w:rFonts w:eastAsia="Times New Roman"/>
      <w:lang w:val="en-GB" w:eastAsia="en-US"/>
    </w:rPr>
  </w:style>
  <w:style w:type="paragraph" w:styleId="DocumentMap">
    <w:name w:val="Document Map"/>
    <w:basedOn w:val="Normal"/>
    <w:link w:val="DocumentMapChar"/>
    <w:semiHidden/>
    <w:unhideWhenUsed/>
    <w:rsid w:val="00DE24D9"/>
    <w:rPr>
      <w:rFonts w:ascii="Segoe UI" w:hAnsi="Segoe UI" w:cs="Segoe UI"/>
      <w:sz w:val="16"/>
      <w:szCs w:val="16"/>
    </w:rPr>
  </w:style>
  <w:style w:type="character" w:customStyle="1" w:styleId="DocumentMapChar">
    <w:name w:val="Document Map Char"/>
    <w:basedOn w:val="DefaultParagraphFont"/>
    <w:link w:val="DocumentMap"/>
    <w:semiHidden/>
    <w:rsid w:val="00DE24D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E24D9"/>
  </w:style>
  <w:style w:type="character" w:customStyle="1" w:styleId="E-mailSignatureChar">
    <w:name w:val="E-mail Signature Char"/>
    <w:basedOn w:val="DefaultParagraphFont"/>
    <w:link w:val="E-mailSignature"/>
    <w:semiHidden/>
    <w:rsid w:val="00DE24D9"/>
    <w:rPr>
      <w:rFonts w:eastAsia="Times New Roman"/>
      <w:lang w:val="en-GB" w:eastAsia="en-US"/>
    </w:rPr>
  </w:style>
  <w:style w:type="character" w:styleId="Emphasis">
    <w:name w:val="Emphasis"/>
    <w:basedOn w:val="DefaultParagraphFont"/>
    <w:semiHidden/>
    <w:qFormat/>
    <w:rsid w:val="00DE24D9"/>
    <w:rPr>
      <w:i/>
      <w:iCs/>
      <w:lang w:val="en-GB"/>
    </w:rPr>
  </w:style>
  <w:style w:type="character" w:styleId="EndnoteReference">
    <w:name w:val="endnote reference"/>
    <w:basedOn w:val="DefaultParagraphFont"/>
    <w:semiHidden/>
    <w:unhideWhenUsed/>
    <w:rsid w:val="00DE24D9"/>
    <w:rPr>
      <w:vertAlign w:val="superscript"/>
      <w:lang w:val="en-GB"/>
    </w:rPr>
  </w:style>
  <w:style w:type="paragraph" w:styleId="EndnoteText">
    <w:name w:val="endnote text"/>
    <w:basedOn w:val="Normal"/>
    <w:link w:val="EndnoteTextChar"/>
    <w:semiHidden/>
    <w:unhideWhenUsed/>
    <w:rsid w:val="00DE24D9"/>
  </w:style>
  <w:style w:type="character" w:customStyle="1" w:styleId="EndnoteTextChar">
    <w:name w:val="Endnote Text Char"/>
    <w:basedOn w:val="DefaultParagraphFont"/>
    <w:link w:val="EndnoteText"/>
    <w:semiHidden/>
    <w:rsid w:val="00DE24D9"/>
    <w:rPr>
      <w:rFonts w:eastAsia="Times New Roman"/>
      <w:lang w:val="en-GB" w:eastAsia="en-US"/>
    </w:rPr>
  </w:style>
  <w:style w:type="paragraph" w:styleId="EnvelopeAddress">
    <w:name w:val="envelope address"/>
    <w:basedOn w:val="Normal"/>
    <w:semiHidden/>
    <w:unhideWhenUsed/>
    <w:rsid w:val="00DE24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24D9"/>
    <w:rPr>
      <w:rFonts w:asciiTheme="majorHAnsi" w:eastAsiaTheme="majorEastAsia" w:hAnsiTheme="majorHAnsi" w:cstheme="majorBidi"/>
    </w:rPr>
  </w:style>
  <w:style w:type="paragraph" w:styleId="FootnoteText">
    <w:name w:val="footnote text"/>
    <w:basedOn w:val="Normal"/>
    <w:link w:val="FootnoteTextChar"/>
    <w:unhideWhenUsed/>
    <w:rsid w:val="00DE24D9"/>
  </w:style>
  <w:style w:type="character" w:customStyle="1" w:styleId="FootnoteTextChar">
    <w:name w:val="Footnote Text Char"/>
    <w:basedOn w:val="DefaultParagraphFont"/>
    <w:link w:val="FootnoteText"/>
    <w:rsid w:val="00DE24D9"/>
    <w:rPr>
      <w:rFonts w:eastAsia="Times New Roman"/>
      <w:lang w:val="en-GB" w:eastAsia="en-US"/>
    </w:rPr>
  </w:style>
  <w:style w:type="table" w:styleId="GridTable1Light">
    <w:name w:val="Grid Table 1 Light"/>
    <w:basedOn w:val="TableNormal"/>
    <w:uiPriority w:val="46"/>
    <w:rsid w:val="00DE24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24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24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4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24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24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24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24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24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24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24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24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24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24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E24D9"/>
    <w:rPr>
      <w:color w:val="2B579A"/>
      <w:shd w:val="clear" w:color="auto" w:fill="E1DFDD"/>
      <w:lang w:val="en-GB"/>
    </w:rPr>
  </w:style>
  <w:style w:type="character" w:styleId="HTMLAcronym">
    <w:name w:val="HTML Acronym"/>
    <w:basedOn w:val="DefaultParagraphFont"/>
    <w:semiHidden/>
    <w:unhideWhenUsed/>
    <w:rsid w:val="00DE24D9"/>
    <w:rPr>
      <w:lang w:val="en-GB"/>
    </w:rPr>
  </w:style>
  <w:style w:type="paragraph" w:styleId="HTMLAddress">
    <w:name w:val="HTML Address"/>
    <w:basedOn w:val="Normal"/>
    <w:link w:val="HTMLAddressChar"/>
    <w:semiHidden/>
    <w:unhideWhenUsed/>
    <w:rsid w:val="00DE24D9"/>
    <w:rPr>
      <w:i/>
      <w:iCs/>
    </w:rPr>
  </w:style>
  <w:style w:type="character" w:customStyle="1" w:styleId="HTMLAddressChar">
    <w:name w:val="HTML Address Char"/>
    <w:basedOn w:val="DefaultParagraphFont"/>
    <w:link w:val="HTMLAddress"/>
    <w:semiHidden/>
    <w:rsid w:val="00DE24D9"/>
    <w:rPr>
      <w:rFonts w:eastAsia="Times New Roman"/>
      <w:i/>
      <w:iCs/>
      <w:lang w:val="en-GB" w:eastAsia="en-US"/>
    </w:rPr>
  </w:style>
  <w:style w:type="character" w:styleId="HTMLCite">
    <w:name w:val="HTML Cite"/>
    <w:basedOn w:val="DefaultParagraphFont"/>
    <w:semiHidden/>
    <w:unhideWhenUsed/>
    <w:rsid w:val="00DE24D9"/>
    <w:rPr>
      <w:i/>
      <w:iCs/>
      <w:lang w:val="en-GB"/>
    </w:rPr>
  </w:style>
  <w:style w:type="character" w:styleId="HTMLCode">
    <w:name w:val="HTML Code"/>
    <w:basedOn w:val="DefaultParagraphFont"/>
    <w:semiHidden/>
    <w:unhideWhenUsed/>
    <w:rsid w:val="00DE24D9"/>
    <w:rPr>
      <w:rFonts w:ascii="Consolas" w:hAnsi="Consolas"/>
      <w:sz w:val="20"/>
      <w:szCs w:val="20"/>
      <w:lang w:val="en-GB"/>
    </w:rPr>
  </w:style>
  <w:style w:type="character" w:styleId="HTMLDefinition">
    <w:name w:val="HTML Definition"/>
    <w:basedOn w:val="DefaultParagraphFont"/>
    <w:semiHidden/>
    <w:unhideWhenUsed/>
    <w:rsid w:val="00DE24D9"/>
    <w:rPr>
      <w:i/>
      <w:iCs/>
      <w:lang w:val="en-GB"/>
    </w:rPr>
  </w:style>
  <w:style w:type="character" w:styleId="HTMLKeyboard">
    <w:name w:val="HTML Keyboard"/>
    <w:basedOn w:val="DefaultParagraphFont"/>
    <w:semiHidden/>
    <w:unhideWhenUsed/>
    <w:rsid w:val="00DE24D9"/>
    <w:rPr>
      <w:rFonts w:ascii="Consolas" w:hAnsi="Consolas"/>
      <w:sz w:val="20"/>
      <w:szCs w:val="20"/>
      <w:lang w:val="en-GB"/>
    </w:rPr>
  </w:style>
  <w:style w:type="paragraph" w:styleId="HTMLPreformatted">
    <w:name w:val="HTML Preformatted"/>
    <w:basedOn w:val="Normal"/>
    <w:link w:val="HTMLPreformattedChar"/>
    <w:semiHidden/>
    <w:unhideWhenUsed/>
    <w:rsid w:val="00DE24D9"/>
    <w:rPr>
      <w:rFonts w:ascii="Consolas" w:hAnsi="Consolas"/>
    </w:rPr>
  </w:style>
  <w:style w:type="character" w:customStyle="1" w:styleId="HTMLPreformattedChar">
    <w:name w:val="HTML Preformatted Char"/>
    <w:basedOn w:val="DefaultParagraphFont"/>
    <w:link w:val="HTMLPreformatted"/>
    <w:semiHidden/>
    <w:rsid w:val="00DE24D9"/>
    <w:rPr>
      <w:rFonts w:ascii="Consolas" w:eastAsia="Times New Roman" w:hAnsi="Consolas"/>
      <w:lang w:val="en-GB" w:eastAsia="en-US"/>
    </w:rPr>
  </w:style>
  <w:style w:type="character" w:styleId="HTMLSample">
    <w:name w:val="HTML Sample"/>
    <w:basedOn w:val="DefaultParagraphFont"/>
    <w:semiHidden/>
    <w:unhideWhenUsed/>
    <w:rsid w:val="00DE24D9"/>
    <w:rPr>
      <w:rFonts w:ascii="Consolas" w:hAnsi="Consolas"/>
      <w:sz w:val="24"/>
      <w:szCs w:val="24"/>
      <w:lang w:val="en-GB"/>
    </w:rPr>
  </w:style>
  <w:style w:type="character" w:styleId="HTMLTypewriter">
    <w:name w:val="HTML Typewriter"/>
    <w:basedOn w:val="DefaultParagraphFont"/>
    <w:semiHidden/>
    <w:unhideWhenUsed/>
    <w:rsid w:val="00DE24D9"/>
    <w:rPr>
      <w:rFonts w:ascii="Consolas" w:hAnsi="Consolas"/>
      <w:sz w:val="20"/>
      <w:szCs w:val="20"/>
      <w:lang w:val="en-GB"/>
    </w:rPr>
  </w:style>
  <w:style w:type="character" w:styleId="HTMLVariable">
    <w:name w:val="HTML Variable"/>
    <w:basedOn w:val="DefaultParagraphFont"/>
    <w:semiHidden/>
    <w:unhideWhenUsed/>
    <w:rsid w:val="00DE24D9"/>
    <w:rPr>
      <w:i/>
      <w:iCs/>
      <w:lang w:val="en-GB"/>
    </w:rPr>
  </w:style>
  <w:style w:type="paragraph" w:styleId="Index1">
    <w:name w:val="index 1"/>
    <w:basedOn w:val="Normal"/>
    <w:next w:val="Normal"/>
    <w:autoRedefine/>
    <w:semiHidden/>
    <w:unhideWhenUsed/>
    <w:rsid w:val="00DE24D9"/>
    <w:pPr>
      <w:tabs>
        <w:tab w:val="clear" w:pos="1247"/>
      </w:tabs>
      <w:ind w:left="200" w:hanging="200"/>
    </w:pPr>
  </w:style>
  <w:style w:type="paragraph" w:styleId="Index2">
    <w:name w:val="index 2"/>
    <w:basedOn w:val="Normal"/>
    <w:next w:val="Normal"/>
    <w:autoRedefine/>
    <w:semiHidden/>
    <w:unhideWhenUsed/>
    <w:rsid w:val="00DE24D9"/>
    <w:pPr>
      <w:tabs>
        <w:tab w:val="clear" w:pos="1247"/>
      </w:tabs>
      <w:ind w:left="400" w:hanging="200"/>
    </w:pPr>
  </w:style>
  <w:style w:type="paragraph" w:styleId="Index3">
    <w:name w:val="index 3"/>
    <w:basedOn w:val="Normal"/>
    <w:next w:val="Normal"/>
    <w:autoRedefine/>
    <w:semiHidden/>
    <w:unhideWhenUsed/>
    <w:rsid w:val="00DE24D9"/>
    <w:pPr>
      <w:tabs>
        <w:tab w:val="clear" w:pos="1247"/>
      </w:tabs>
      <w:ind w:left="600" w:hanging="200"/>
    </w:pPr>
  </w:style>
  <w:style w:type="paragraph" w:styleId="Index4">
    <w:name w:val="index 4"/>
    <w:basedOn w:val="Normal"/>
    <w:next w:val="Normal"/>
    <w:autoRedefine/>
    <w:semiHidden/>
    <w:unhideWhenUsed/>
    <w:rsid w:val="00DE24D9"/>
    <w:pPr>
      <w:tabs>
        <w:tab w:val="clear" w:pos="1247"/>
      </w:tabs>
      <w:ind w:left="800" w:hanging="200"/>
    </w:pPr>
  </w:style>
  <w:style w:type="paragraph" w:styleId="Index5">
    <w:name w:val="index 5"/>
    <w:basedOn w:val="Normal"/>
    <w:next w:val="Normal"/>
    <w:autoRedefine/>
    <w:semiHidden/>
    <w:unhideWhenUsed/>
    <w:rsid w:val="00DE24D9"/>
    <w:pPr>
      <w:tabs>
        <w:tab w:val="clear" w:pos="1247"/>
      </w:tabs>
      <w:ind w:left="1000" w:hanging="200"/>
    </w:pPr>
  </w:style>
  <w:style w:type="paragraph" w:styleId="Index6">
    <w:name w:val="index 6"/>
    <w:basedOn w:val="Normal"/>
    <w:next w:val="Normal"/>
    <w:autoRedefine/>
    <w:semiHidden/>
    <w:unhideWhenUsed/>
    <w:rsid w:val="00DE24D9"/>
    <w:pPr>
      <w:tabs>
        <w:tab w:val="clear" w:pos="1247"/>
      </w:tabs>
      <w:ind w:left="1200" w:hanging="200"/>
    </w:pPr>
  </w:style>
  <w:style w:type="paragraph" w:styleId="Index7">
    <w:name w:val="index 7"/>
    <w:basedOn w:val="Normal"/>
    <w:next w:val="Normal"/>
    <w:autoRedefine/>
    <w:semiHidden/>
    <w:unhideWhenUsed/>
    <w:rsid w:val="00DE24D9"/>
    <w:pPr>
      <w:tabs>
        <w:tab w:val="clear" w:pos="1247"/>
      </w:tabs>
      <w:ind w:left="1400" w:hanging="200"/>
    </w:pPr>
  </w:style>
  <w:style w:type="paragraph" w:styleId="Index8">
    <w:name w:val="index 8"/>
    <w:basedOn w:val="Normal"/>
    <w:next w:val="Normal"/>
    <w:autoRedefine/>
    <w:semiHidden/>
    <w:unhideWhenUsed/>
    <w:rsid w:val="00DE24D9"/>
    <w:pPr>
      <w:tabs>
        <w:tab w:val="clear" w:pos="1247"/>
      </w:tabs>
      <w:ind w:left="1600" w:hanging="200"/>
    </w:pPr>
  </w:style>
  <w:style w:type="paragraph" w:styleId="Index9">
    <w:name w:val="index 9"/>
    <w:basedOn w:val="Normal"/>
    <w:next w:val="Normal"/>
    <w:autoRedefine/>
    <w:semiHidden/>
    <w:unhideWhenUsed/>
    <w:rsid w:val="00DE24D9"/>
    <w:pPr>
      <w:tabs>
        <w:tab w:val="clear" w:pos="1247"/>
      </w:tabs>
      <w:ind w:left="1800" w:hanging="200"/>
    </w:pPr>
  </w:style>
  <w:style w:type="paragraph" w:styleId="IndexHeading">
    <w:name w:val="index heading"/>
    <w:basedOn w:val="Normal"/>
    <w:next w:val="Index1"/>
    <w:semiHidden/>
    <w:unhideWhenUsed/>
    <w:rsid w:val="00DE24D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E24D9"/>
    <w:rPr>
      <w:i/>
      <w:iCs/>
      <w:color w:val="4F81BD" w:themeColor="accent1"/>
      <w:lang w:val="en-GB"/>
    </w:rPr>
  </w:style>
  <w:style w:type="paragraph" w:styleId="IntenseQuote">
    <w:name w:val="Intense Quote"/>
    <w:basedOn w:val="Normal"/>
    <w:next w:val="Normal"/>
    <w:link w:val="IntenseQuoteChar"/>
    <w:uiPriority w:val="30"/>
    <w:semiHidden/>
    <w:qFormat/>
    <w:rsid w:val="00DE24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E24D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E24D9"/>
    <w:rPr>
      <w:b/>
      <w:bCs/>
      <w:smallCaps/>
      <w:color w:val="4F81BD" w:themeColor="accent1"/>
      <w:spacing w:val="5"/>
      <w:lang w:val="en-GB"/>
    </w:rPr>
  </w:style>
  <w:style w:type="table" w:styleId="LightGrid">
    <w:name w:val="Light Grid"/>
    <w:basedOn w:val="TableNormal"/>
    <w:uiPriority w:val="62"/>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2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24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24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24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24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24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24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E24D9"/>
    <w:rPr>
      <w:lang w:val="en-GB"/>
    </w:rPr>
  </w:style>
  <w:style w:type="paragraph" w:styleId="List">
    <w:name w:val="List"/>
    <w:basedOn w:val="Normal"/>
    <w:semiHidden/>
    <w:unhideWhenUsed/>
    <w:rsid w:val="00DE24D9"/>
    <w:pPr>
      <w:ind w:left="283" w:hanging="283"/>
      <w:contextualSpacing/>
    </w:pPr>
  </w:style>
  <w:style w:type="paragraph" w:styleId="List2">
    <w:name w:val="List 2"/>
    <w:basedOn w:val="Normal"/>
    <w:semiHidden/>
    <w:unhideWhenUsed/>
    <w:rsid w:val="00DE24D9"/>
    <w:pPr>
      <w:ind w:left="566" w:hanging="283"/>
      <w:contextualSpacing/>
    </w:pPr>
  </w:style>
  <w:style w:type="paragraph" w:styleId="List3">
    <w:name w:val="List 3"/>
    <w:basedOn w:val="Normal"/>
    <w:semiHidden/>
    <w:unhideWhenUsed/>
    <w:rsid w:val="00DE24D9"/>
    <w:pPr>
      <w:ind w:left="849" w:hanging="283"/>
      <w:contextualSpacing/>
    </w:pPr>
  </w:style>
  <w:style w:type="paragraph" w:styleId="List4">
    <w:name w:val="List 4"/>
    <w:basedOn w:val="Normal"/>
    <w:semiHidden/>
    <w:unhideWhenUsed/>
    <w:rsid w:val="00DE24D9"/>
    <w:pPr>
      <w:ind w:left="1132" w:hanging="283"/>
      <w:contextualSpacing/>
    </w:pPr>
  </w:style>
  <w:style w:type="paragraph" w:styleId="List5">
    <w:name w:val="List 5"/>
    <w:basedOn w:val="Normal"/>
    <w:semiHidden/>
    <w:unhideWhenUsed/>
    <w:rsid w:val="00DE24D9"/>
    <w:pPr>
      <w:ind w:left="1415" w:hanging="283"/>
      <w:contextualSpacing/>
    </w:pPr>
  </w:style>
  <w:style w:type="paragraph" w:styleId="ListBullet">
    <w:name w:val="List Bullet"/>
    <w:basedOn w:val="Normal"/>
    <w:semiHidden/>
    <w:rsid w:val="00DE24D9"/>
    <w:pPr>
      <w:numPr>
        <w:numId w:val="6"/>
      </w:numPr>
      <w:contextualSpacing/>
    </w:pPr>
  </w:style>
  <w:style w:type="paragraph" w:styleId="ListBullet2">
    <w:name w:val="List Bullet 2"/>
    <w:basedOn w:val="Normal"/>
    <w:semiHidden/>
    <w:unhideWhenUsed/>
    <w:rsid w:val="00DE24D9"/>
    <w:pPr>
      <w:numPr>
        <w:numId w:val="7"/>
      </w:numPr>
      <w:contextualSpacing/>
    </w:pPr>
  </w:style>
  <w:style w:type="paragraph" w:styleId="ListBullet3">
    <w:name w:val="List Bullet 3"/>
    <w:basedOn w:val="Normal"/>
    <w:semiHidden/>
    <w:unhideWhenUsed/>
    <w:rsid w:val="00DE24D9"/>
    <w:pPr>
      <w:numPr>
        <w:numId w:val="8"/>
      </w:numPr>
      <w:contextualSpacing/>
    </w:pPr>
  </w:style>
  <w:style w:type="paragraph" w:styleId="ListBullet4">
    <w:name w:val="List Bullet 4"/>
    <w:basedOn w:val="Normal"/>
    <w:semiHidden/>
    <w:unhideWhenUsed/>
    <w:rsid w:val="00DE24D9"/>
    <w:pPr>
      <w:numPr>
        <w:numId w:val="9"/>
      </w:numPr>
      <w:contextualSpacing/>
    </w:pPr>
  </w:style>
  <w:style w:type="paragraph" w:styleId="ListBullet5">
    <w:name w:val="List Bullet 5"/>
    <w:basedOn w:val="Normal"/>
    <w:semiHidden/>
    <w:unhideWhenUsed/>
    <w:rsid w:val="00DE24D9"/>
    <w:pPr>
      <w:numPr>
        <w:numId w:val="10"/>
      </w:numPr>
      <w:contextualSpacing/>
    </w:pPr>
  </w:style>
  <w:style w:type="paragraph" w:styleId="ListContinue">
    <w:name w:val="List Continue"/>
    <w:basedOn w:val="Normal"/>
    <w:semiHidden/>
    <w:unhideWhenUsed/>
    <w:rsid w:val="00DE24D9"/>
    <w:pPr>
      <w:spacing w:after="120"/>
      <w:ind w:left="283"/>
      <w:contextualSpacing/>
    </w:pPr>
  </w:style>
  <w:style w:type="paragraph" w:styleId="ListContinue2">
    <w:name w:val="List Continue 2"/>
    <w:basedOn w:val="Normal"/>
    <w:semiHidden/>
    <w:unhideWhenUsed/>
    <w:rsid w:val="00DE24D9"/>
    <w:pPr>
      <w:spacing w:after="120"/>
      <w:ind w:left="566"/>
      <w:contextualSpacing/>
    </w:pPr>
  </w:style>
  <w:style w:type="paragraph" w:styleId="ListContinue3">
    <w:name w:val="List Continue 3"/>
    <w:basedOn w:val="Normal"/>
    <w:semiHidden/>
    <w:rsid w:val="00DE24D9"/>
    <w:pPr>
      <w:spacing w:after="120"/>
      <w:ind w:left="849"/>
      <w:contextualSpacing/>
    </w:pPr>
  </w:style>
  <w:style w:type="paragraph" w:styleId="ListContinue4">
    <w:name w:val="List Continue 4"/>
    <w:basedOn w:val="Normal"/>
    <w:semiHidden/>
    <w:rsid w:val="00DE24D9"/>
    <w:pPr>
      <w:spacing w:after="120"/>
      <w:ind w:left="1132"/>
      <w:contextualSpacing/>
    </w:pPr>
  </w:style>
  <w:style w:type="paragraph" w:styleId="ListContinue5">
    <w:name w:val="List Continue 5"/>
    <w:basedOn w:val="Normal"/>
    <w:semiHidden/>
    <w:rsid w:val="00DE24D9"/>
    <w:pPr>
      <w:spacing w:after="120"/>
      <w:ind w:left="1415"/>
      <w:contextualSpacing/>
    </w:pPr>
  </w:style>
  <w:style w:type="paragraph" w:styleId="ListNumber">
    <w:name w:val="List Number"/>
    <w:basedOn w:val="Normal"/>
    <w:semiHidden/>
    <w:rsid w:val="00DE24D9"/>
    <w:pPr>
      <w:numPr>
        <w:numId w:val="11"/>
      </w:numPr>
      <w:contextualSpacing/>
    </w:pPr>
  </w:style>
  <w:style w:type="paragraph" w:styleId="ListNumber2">
    <w:name w:val="List Number 2"/>
    <w:basedOn w:val="Normal"/>
    <w:semiHidden/>
    <w:unhideWhenUsed/>
    <w:rsid w:val="00DE24D9"/>
    <w:pPr>
      <w:numPr>
        <w:numId w:val="12"/>
      </w:numPr>
      <w:contextualSpacing/>
    </w:pPr>
  </w:style>
  <w:style w:type="paragraph" w:styleId="ListNumber3">
    <w:name w:val="List Number 3"/>
    <w:basedOn w:val="Normal"/>
    <w:semiHidden/>
    <w:unhideWhenUsed/>
    <w:rsid w:val="00DE24D9"/>
    <w:pPr>
      <w:numPr>
        <w:numId w:val="13"/>
      </w:numPr>
      <w:contextualSpacing/>
    </w:pPr>
  </w:style>
  <w:style w:type="paragraph" w:styleId="ListNumber4">
    <w:name w:val="List Number 4"/>
    <w:basedOn w:val="Normal"/>
    <w:semiHidden/>
    <w:unhideWhenUsed/>
    <w:rsid w:val="00DE24D9"/>
    <w:pPr>
      <w:numPr>
        <w:numId w:val="14"/>
      </w:numPr>
      <w:contextualSpacing/>
    </w:pPr>
  </w:style>
  <w:style w:type="paragraph" w:styleId="ListNumber5">
    <w:name w:val="List Number 5"/>
    <w:basedOn w:val="Normal"/>
    <w:semiHidden/>
    <w:unhideWhenUsed/>
    <w:rsid w:val="00DE24D9"/>
    <w:pPr>
      <w:numPr>
        <w:numId w:val="15"/>
      </w:numPr>
      <w:contextualSpacing/>
    </w:pPr>
  </w:style>
  <w:style w:type="table" w:styleId="ListTable1Light">
    <w:name w:val="List Table 1 Light"/>
    <w:basedOn w:val="TableNormal"/>
    <w:uiPriority w:val="46"/>
    <w:rsid w:val="00DE24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24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24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24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24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24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24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24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24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24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24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24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24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24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24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24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24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24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24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24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24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24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24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24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24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24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24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24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24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24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24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24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24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24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24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24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24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24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24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24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24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24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E24D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DE24D9"/>
    <w:rPr>
      <w:rFonts w:ascii="Consolas" w:eastAsia="Times New Roman" w:hAnsi="Consolas"/>
      <w:lang w:val="en-GB" w:eastAsia="en-US"/>
    </w:rPr>
  </w:style>
  <w:style w:type="table" w:styleId="MediumGrid1">
    <w:name w:val="Medium Grid 1"/>
    <w:basedOn w:val="TableNormal"/>
    <w:uiPriority w:val="67"/>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24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24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24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24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24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24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24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E24D9"/>
    <w:rPr>
      <w:color w:val="2B579A"/>
      <w:shd w:val="clear" w:color="auto" w:fill="E1DFDD"/>
      <w:lang w:val="en-GB"/>
    </w:rPr>
  </w:style>
  <w:style w:type="paragraph" w:styleId="MessageHeader">
    <w:name w:val="Message Header"/>
    <w:basedOn w:val="Normal"/>
    <w:link w:val="MessageHeaderChar"/>
    <w:semiHidden/>
    <w:rsid w:val="00DE24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24D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E24D9"/>
    <w:pPr>
      <w:ind w:left="720"/>
    </w:pPr>
  </w:style>
  <w:style w:type="paragraph" w:styleId="NoteHeading">
    <w:name w:val="Note Heading"/>
    <w:basedOn w:val="Normal"/>
    <w:next w:val="Normal"/>
    <w:link w:val="NoteHeadingChar"/>
    <w:semiHidden/>
    <w:unhideWhenUsed/>
    <w:rsid w:val="00DE24D9"/>
  </w:style>
  <w:style w:type="character" w:customStyle="1" w:styleId="NoteHeadingChar">
    <w:name w:val="Note Heading Char"/>
    <w:basedOn w:val="DefaultParagraphFont"/>
    <w:link w:val="NoteHeading"/>
    <w:semiHidden/>
    <w:rsid w:val="00DE24D9"/>
    <w:rPr>
      <w:rFonts w:eastAsia="Times New Roman"/>
      <w:lang w:val="en-GB" w:eastAsia="en-US"/>
    </w:rPr>
  </w:style>
  <w:style w:type="table" w:styleId="PlainTable1">
    <w:name w:val="Plain Table 1"/>
    <w:basedOn w:val="TableNormal"/>
    <w:uiPriority w:val="41"/>
    <w:rsid w:val="00DE24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2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24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24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2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E24D9"/>
    <w:rPr>
      <w:rFonts w:ascii="Consolas" w:hAnsi="Consolas"/>
      <w:sz w:val="21"/>
      <w:szCs w:val="21"/>
    </w:rPr>
  </w:style>
  <w:style w:type="character" w:customStyle="1" w:styleId="PlainTextChar">
    <w:name w:val="Plain Text Char"/>
    <w:basedOn w:val="DefaultParagraphFont"/>
    <w:link w:val="PlainText"/>
    <w:semiHidden/>
    <w:rsid w:val="00DE24D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E24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E24D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E24D9"/>
  </w:style>
  <w:style w:type="character" w:customStyle="1" w:styleId="SalutationChar">
    <w:name w:val="Salutation Char"/>
    <w:basedOn w:val="DefaultParagraphFont"/>
    <w:link w:val="Salutation"/>
    <w:semiHidden/>
    <w:rsid w:val="00DE24D9"/>
    <w:rPr>
      <w:rFonts w:eastAsia="Times New Roman"/>
      <w:lang w:val="en-GB" w:eastAsia="en-US"/>
    </w:rPr>
  </w:style>
  <w:style w:type="paragraph" w:styleId="Signature">
    <w:name w:val="Signature"/>
    <w:basedOn w:val="Normal"/>
    <w:link w:val="SignatureChar"/>
    <w:semiHidden/>
    <w:unhideWhenUsed/>
    <w:rsid w:val="00DE24D9"/>
    <w:pPr>
      <w:ind w:left="4252"/>
    </w:pPr>
  </w:style>
  <w:style w:type="character" w:customStyle="1" w:styleId="SignatureChar">
    <w:name w:val="Signature Char"/>
    <w:basedOn w:val="DefaultParagraphFont"/>
    <w:link w:val="Signature"/>
    <w:semiHidden/>
    <w:rsid w:val="00DE24D9"/>
    <w:rPr>
      <w:rFonts w:eastAsia="Times New Roman"/>
      <w:lang w:val="en-GB" w:eastAsia="en-US"/>
    </w:rPr>
  </w:style>
  <w:style w:type="character" w:styleId="SmartHyperlink">
    <w:name w:val="Smart Hyperlink"/>
    <w:basedOn w:val="DefaultParagraphFont"/>
    <w:uiPriority w:val="99"/>
    <w:semiHidden/>
    <w:rsid w:val="00DE24D9"/>
    <w:rPr>
      <w:u w:val="dotted"/>
      <w:lang w:val="en-GB"/>
    </w:rPr>
  </w:style>
  <w:style w:type="character" w:styleId="SmartLink">
    <w:name w:val="Smart Link"/>
    <w:basedOn w:val="DefaultParagraphFont"/>
    <w:uiPriority w:val="99"/>
    <w:semiHidden/>
    <w:unhideWhenUsed/>
    <w:rsid w:val="00DE24D9"/>
    <w:rPr>
      <w:color w:val="0000FF"/>
      <w:u w:val="single"/>
      <w:shd w:val="clear" w:color="auto" w:fill="F3F2F1"/>
      <w:lang w:val="en-GB"/>
    </w:rPr>
  </w:style>
  <w:style w:type="character" w:styleId="Strong">
    <w:name w:val="Strong"/>
    <w:basedOn w:val="DefaultParagraphFont"/>
    <w:semiHidden/>
    <w:qFormat/>
    <w:rsid w:val="00DE24D9"/>
    <w:rPr>
      <w:b/>
      <w:bCs/>
      <w:lang w:val="en-GB"/>
    </w:rPr>
  </w:style>
  <w:style w:type="paragraph" w:styleId="Subtitle">
    <w:name w:val="Subtitle"/>
    <w:basedOn w:val="Normal"/>
    <w:next w:val="Normal"/>
    <w:link w:val="SubtitleChar"/>
    <w:semiHidden/>
    <w:qFormat/>
    <w:rsid w:val="00DE24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E24D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E24D9"/>
    <w:rPr>
      <w:i/>
      <w:iCs/>
      <w:color w:val="404040" w:themeColor="text1" w:themeTint="BF"/>
      <w:lang w:val="en-GB"/>
    </w:rPr>
  </w:style>
  <w:style w:type="character" w:styleId="SubtleReference">
    <w:name w:val="Subtle Reference"/>
    <w:basedOn w:val="DefaultParagraphFont"/>
    <w:uiPriority w:val="31"/>
    <w:semiHidden/>
    <w:qFormat/>
    <w:rsid w:val="00DE24D9"/>
    <w:rPr>
      <w:smallCaps/>
      <w:color w:val="5A5A5A" w:themeColor="text1" w:themeTint="A5"/>
      <w:lang w:val="en-GB"/>
    </w:rPr>
  </w:style>
  <w:style w:type="table" w:styleId="Table3Deffects1">
    <w:name w:val="Table 3D effect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E2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E24D9"/>
    <w:pPr>
      <w:tabs>
        <w:tab w:val="clear" w:pos="1247"/>
      </w:tabs>
      <w:ind w:left="200" w:hanging="200"/>
    </w:pPr>
  </w:style>
  <w:style w:type="table" w:styleId="TableProfessional">
    <w:name w:val="Table Professional"/>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E24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E24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E24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E24D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DE24D9"/>
    <w:rPr>
      <w:rFonts w:eastAsia="Times New Roman"/>
      <w:b/>
      <w:bCs/>
      <w:sz w:val="28"/>
      <w:szCs w:val="22"/>
      <w:lang w:val="en-GB" w:eastAsia="en-US"/>
    </w:rPr>
  </w:style>
  <w:style w:type="character" w:customStyle="1" w:styleId="ZZAnxtitleChar">
    <w:name w:val="ZZ_Anx_title Char"/>
    <w:link w:val="ZZAnxtitle"/>
    <w:rsid w:val="00DE24D9"/>
    <w:rPr>
      <w:rFonts w:eastAsia="Times New Roman"/>
      <w:b/>
      <w:bCs/>
      <w:sz w:val="28"/>
      <w:szCs w:val="26"/>
      <w:lang w:val="en-GB" w:eastAsia="en-US"/>
    </w:rPr>
  </w:style>
  <w:style w:type="character" w:customStyle="1" w:styleId="Normal-poolChar">
    <w:name w:val="Normal-pool Char"/>
    <w:link w:val="Normal-pool"/>
    <w:locked/>
    <w:rsid w:val="00DE24D9"/>
    <w:rPr>
      <w:rFonts w:eastAsia="Times New Roman"/>
      <w:lang w:val="en-GB" w:eastAsia="en-US"/>
    </w:rPr>
  </w:style>
  <w:style w:type="character" w:customStyle="1" w:styleId="CH2Char">
    <w:name w:val="CH2 Char"/>
    <w:link w:val="CH2"/>
    <w:rsid w:val="00DE24D9"/>
    <w:rPr>
      <w:rFonts w:eastAsia="Times New Roman"/>
      <w:b/>
      <w:sz w:val="24"/>
      <w:szCs w:val="24"/>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DE24D9"/>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BBTitleChar">
    <w:name w:val="BB_Title Char"/>
    <w:link w:val="BBTitle"/>
    <w:rsid w:val="00DE24D9"/>
    <w:rPr>
      <w:rFonts w:eastAsia="Times New Roman"/>
      <w:b/>
      <w:sz w:val="28"/>
      <w:szCs w:val="28"/>
      <w:lang w:val="en-GB" w:eastAsia="en-US"/>
    </w:rPr>
  </w:style>
  <w:style w:type="character" w:customStyle="1" w:styleId="normaltextrun">
    <w:name w:val="normaltextrun"/>
    <w:basedOn w:val="DefaultParagraphFont"/>
    <w:rsid w:val="00DE24D9"/>
    <w:rPr>
      <w:lang w:val="en-GB"/>
    </w:rPr>
  </w:style>
  <w:style w:type="character" w:customStyle="1" w:styleId="eop">
    <w:name w:val="eop"/>
    <w:basedOn w:val="DefaultParagraphFont"/>
    <w:rsid w:val="00DE24D9"/>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DE24D9"/>
    <w:rPr>
      <w:rFonts w:eastAsia="Times New Roman"/>
      <w:lang w:val="en-GB" w:eastAsia="en-US"/>
    </w:rPr>
  </w:style>
  <w:style w:type="paragraph" w:styleId="Revision">
    <w:name w:val="Revision"/>
    <w:hidden/>
    <w:uiPriority w:val="99"/>
    <w:semiHidden/>
    <w:rsid w:val="00662C4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parties/reporting/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E990291C-6675-4ED5-ADA0-B9B76B6D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Props/app.xml><?xml version="1.0" encoding="utf-8"?>
<Properties xmlns="http://schemas.openxmlformats.org/officeDocument/2006/extended-properties" xmlns:vt="http://schemas.openxmlformats.org/officeDocument/2006/docPropsVTypes">
  <Template>PlainPage_EN.dotx</Template>
  <TotalTime>3</TotalTime>
  <Pages>6</Pages>
  <Words>3032</Words>
  <Characters>17284</Characters>
  <Application>Microsoft Office Word</Application>
  <DocSecurity>0</DocSecurity>
  <PresentationFormat/>
  <Lines>144</Lines>
  <Paragraphs>40</Paragraphs>
  <ScaleCrop>false</ScaleCrop>
  <Manager/>
  <Company/>
  <LinksUpToDate>false</LinksUpToDate>
  <CharactersWithSpaces>20276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6</cp:revision>
  <cp:lastPrinted>2025-08-04T06:07:00Z</cp:lastPrinted>
  <dcterms:created xsi:type="dcterms:W3CDTF">2025-08-04T06:05:00Z</dcterms:created>
  <dcterms:modified xsi:type="dcterms:W3CDTF">2025-09-02T14:17:00Z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