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F755B8" w:rsidRPr="00BA5C2F" w14:paraId="3B6CB6AC" w14:textId="77777777" w:rsidTr="00F755B8">
        <w:trPr>
          <w:trHeight w:val="850"/>
        </w:trPr>
        <w:tc>
          <w:tcPr>
            <w:tcW w:w="1559" w:type="dxa"/>
          </w:tcPr>
          <w:p w14:paraId="31C8E36C" w14:textId="34A4959E" w:rsidR="00F755B8" w:rsidRPr="00BA5C2F" w:rsidRDefault="00F755B8" w:rsidP="00F755B8">
            <w:pPr>
              <w:pStyle w:val="AUnitedNations"/>
            </w:pPr>
            <w:r w:rsidRPr="00BA5C2F">
              <w:t xml:space="preserve">NATIONS </w:t>
            </w:r>
            <w:r w:rsidRPr="00BA5C2F">
              <w:br/>
              <w:t>UNIES</w:t>
            </w:r>
          </w:p>
        </w:tc>
        <w:tc>
          <w:tcPr>
            <w:tcW w:w="6520" w:type="dxa"/>
          </w:tcPr>
          <w:p w14:paraId="02C96361" w14:textId="12500246" w:rsidR="00F755B8" w:rsidRPr="00BA5C2F" w:rsidRDefault="00F755B8" w:rsidP="00F755B8">
            <w:pPr>
              <w:pStyle w:val="Normal-pool"/>
            </w:pPr>
            <w:r w:rsidRPr="00BA5C2F">
              <w:drawing>
                <wp:anchor distT="0" distB="0" distL="114300" distR="114300" simplePos="0" relativeHeight="251658240" behindDoc="0" locked="0" layoutInCell="1" allowOverlap="1" wp14:anchorId="2273EC8E" wp14:editId="570D5A6B">
                  <wp:simplePos x="0" y="0"/>
                  <wp:positionH relativeFrom="column">
                    <wp:posOffset>-3175</wp:posOffset>
                  </wp:positionH>
                  <wp:positionV relativeFrom="paragraph">
                    <wp:posOffset>1905</wp:posOffset>
                  </wp:positionV>
                  <wp:extent cx="1269153" cy="573559"/>
                  <wp:effectExtent l="0" t="0" r="7620" b="0"/>
                  <wp:wrapNone/>
                  <wp:docPr id="1372515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1504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02F63C1C" w14:textId="77777777" w:rsidR="00F755B8" w:rsidRPr="00BA5C2F" w:rsidRDefault="00F755B8" w:rsidP="00F755B8">
            <w:pPr>
              <w:pStyle w:val="Normal-pool"/>
            </w:pPr>
          </w:p>
        </w:tc>
      </w:tr>
    </w:tbl>
    <w:p w14:paraId="1091DE19" w14:textId="77777777" w:rsidR="00F755B8" w:rsidRPr="00BA5C2F" w:rsidRDefault="00F755B8" w:rsidP="00F755B8">
      <w:pPr>
        <w:pStyle w:val="ASpacer"/>
      </w:pPr>
    </w:p>
    <w:tbl>
      <w:tblPr>
        <w:tblW w:w="9496" w:type="dxa"/>
        <w:tblLook w:val="0000" w:firstRow="0" w:lastRow="0" w:firstColumn="0" w:lastColumn="0" w:noHBand="0" w:noVBand="0"/>
      </w:tblPr>
      <w:tblGrid>
        <w:gridCol w:w="6378"/>
        <w:gridCol w:w="3118"/>
      </w:tblGrid>
      <w:tr w:rsidR="00F755B8" w:rsidRPr="00BA5C2F" w14:paraId="476532BC" w14:textId="77777777" w:rsidTr="00F755B8">
        <w:trPr>
          <w:trHeight w:val="340"/>
        </w:trPr>
        <w:tc>
          <w:tcPr>
            <w:tcW w:w="3358" w:type="pct"/>
            <w:vAlign w:val="bottom"/>
          </w:tcPr>
          <w:p w14:paraId="14E3C034" w14:textId="77777777" w:rsidR="00F755B8" w:rsidRPr="00BA5C2F" w:rsidRDefault="00F755B8" w:rsidP="00F755B8">
            <w:pPr>
              <w:pStyle w:val="Normal-pool"/>
            </w:pPr>
          </w:p>
        </w:tc>
        <w:tc>
          <w:tcPr>
            <w:tcW w:w="1642" w:type="pct"/>
            <w:noWrap/>
            <w:vAlign w:val="bottom"/>
          </w:tcPr>
          <w:p w14:paraId="00513B86" w14:textId="34FA17AB" w:rsidR="00F755B8" w:rsidRPr="00BA5C2F" w:rsidRDefault="00F755B8" w:rsidP="00F755B8">
            <w:pPr>
              <w:pStyle w:val="ASymbol"/>
            </w:pPr>
            <w:r w:rsidRPr="00BA5C2F">
              <w:rPr>
                <w:b/>
                <w:sz w:val="28"/>
              </w:rPr>
              <w:t>UNEP</w:t>
            </w:r>
            <w:r w:rsidRPr="00BA5C2F">
              <w:t>/MC/COP.</w:t>
            </w:r>
            <w:bookmarkStart w:id="0" w:name="Symbol1A"/>
            <w:r w:rsidRPr="00BA5C2F">
              <w:t>6</w:t>
            </w:r>
            <w:bookmarkStart w:id="1" w:name="Symbol1B"/>
            <w:bookmarkEnd w:id="0"/>
            <w:r w:rsidRPr="00BA5C2F">
              <w:t>/13</w:t>
            </w:r>
            <w:bookmarkEnd w:id="1"/>
          </w:p>
        </w:tc>
      </w:tr>
    </w:tbl>
    <w:p w14:paraId="2FD409AB" w14:textId="77777777" w:rsidR="00F755B8" w:rsidRPr="00BA5C2F" w:rsidRDefault="00F755B8" w:rsidP="00F755B8">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F755B8" w:rsidRPr="00BA5C2F" w14:paraId="501B9465" w14:textId="77777777" w:rsidTr="00F755B8">
        <w:trPr>
          <w:trHeight w:val="2098"/>
        </w:trPr>
        <w:tc>
          <w:tcPr>
            <w:tcW w:w="3685" w:type="dxa"/>
          </w:tcPr>
          <w:p w14:paraId="56B78251" w14:textId="3AC77AD8" w:rsidR="00F755B8" w:rsidRPr="00BA5C2F" w:rsidRDefault="00F755B8" w:rsidP="00F755B8">
            <w:pPr>
              <w:pStyle w:val="ALogo"/>
            </w:pPr>
            <w:r w:rsidRPr="00BA5C2F">
              <w:drawing>
                <wp:inline distT="0" distB="0" distL="0" distR="0" wp14:anchorId="11C09613" wp14:editId="4131675B">
                  <wp:extent cx="2202815" cy="1028700"/>
                  <wp:effectExtent l="0" t="0" r="6985" b="0"/>
                  <wp:docPr id="968742393" name="Picture 2"/>
                  <wp:cNvGraphicFramePr/>
                  <a:graphic xmlns:a="http://schemas.openxmlformats.org/drawingml/2006/main">
                    <a:graphicData uri="http://schemas.openxmlformats.org/drawingml/2006/picture">
                      <pic:pic xmlns:pic="http://schemas.openxmlformats.org/drawingml/2006/picture">
                        <pic:nvPicPr>
                          <pic:cNvPr id="96874239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BA5C2F">
              <w:t xml:space="preserve"> </w:t>
            </w:r>
          </w:p>
          <w:p w14:paraId="042728E4" w14:textId="34986DC2" w:rsidR="00F755B8" w:rsidRPr="00BA5C2F" w:rsidRDefault="00F755B8" w:rsidP="00F755B8">
            <w:pPr>
              <w:pStyle w:val="ALogo"/>
            </w:pPr>
          </w:p>
        </w:tc>
        <w:tc>
          <w:tcPr>
            <w:tcW w:w="2693" w:type="dxa"/>
          </w:tcPr>
          <w:p w14:paraId="6D585F42" w14:textId="77777777" w:rsidR="00F755B8" w:rsidRPr="00BA5C2F" w:rsidRDefault="00F755B8" w:rsidP="00F755B8">
            <w:pPr>
              <w:pStyle w:val="Normal-pool"/>
            </w:pPr>
          </w:p>
        </w:tc>
        <w:tc>
          <w:tcPr>
            <w:tcW w:w="3118" w:type="dxa"/>
          </w:tcPr>
          <w:p w14:paraId="508611B1" w14:textId="13A3A598" w:rsidR="00F755B8" w:rsidRPr="00BA5C2F" w:rsidRDefault="00F755B8" w:rsidP="00F755B8">
            <w:pPr>
              <w:pStyle w:val="AText"/>
            </w:pPr>
            <w:r w:rsidRPr="00BA5C2F">
              <w:t xml:space="preserve">Distr. </w:t>
            </w:r>
            <w:bookmarkStart w:id="2" w:name="Distribution"/>
            <w:proofErr w:type="gramStart"/>
            <w:r w:rsidRPr="00BA5C2F">
              <w:t>générale</w:t>
            </w:r>
            <w:bookmarkEnd w:id="2"/>
            <w:proofErr w:type="gramEnd"/>
            <w:r w:rsidRPr="00BA5C2F">
              <w:t xml:space="preserve"> </w:t>
            </w:r>
          </w:p>
          <w:p w14:paraId="69E17923" w14:textId="2CC6C7C3" w:rsidR="00F755B8" w:rsidRPr="00BA5C2F" w:rsidRDefault="00F755B8" w:rsidP="00F755B8">
            <w:pPr>
              <w:pStyle w:val="AText0"/>
            </w:pPr>
            <w:bookmarkStart w:id="3" w:name="DistributionDate"/>
            <w:r w:rsidRPr="00BA5C2F">
              <w:t>18</w:t>
            </w:r>
            <w:r w:rsidR="003B03B3" w:rsidRPr="00BA5C2F">
              <w:t> </w:t>
            </w:r>
            <w:r w:rsidRPr="00BA5C2F">
              <w:t>juillet 2025</w:t>
            </w:r>
            <w:bookmarkEnd w:id="3"/>
            <w:r w:rsidRPr="00BA5C2F">
              <w:t xml:space="preserve"> </w:t>
            </w:r>
          </w:p>
          <w:p w14:paraId="724B5C29" w14:textId="68DD6843" w:rsidR="00F755B8" w:rsidRPr="00BA5C2F" w:rsidRDefault="00F755B8" w:rsidP="00F755B8">
            <w:pPr>
              <w:pStyle w:val="AText"/>
            </w:pPr>
            <w:bookmarkStart w:id="4" w:name="DistributionLang"/>
            <w:r w:rsidRPr="00BA5C2F">
              <w:t xml:space="preserve">Français </w:t>
            </w:r>
            <w:r w:rsidRPr="00BA5C2F">
              <w:br/>
              <w:t>Original</w:t>
            </w:r>
            <w:r w:rsidR="003B03B3" w:rsidRPr="00BA5C2F">
              <w:t> </w:t>
            </w:r>
            <w:r w:rsidRPr="00BA5C2F">
              <w:t>: anglais</w:t>
            </w:r>
            <w:bookmarkEnd w:id="4"/>
          </w:p>
        </w:tc>
      </w:tr>
    </w:tbl>
    <w:p w14:paraId="57A4C4A2" w14:textId="77777777" w:rsidR="00F755B8" w:rsidRPr="00BA5C2F" w:rsidRDefault="00F755B8" w:rsidP="00F755B8">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755B8" w:rsidRPr="00BA5C2F" w14:paraId="5D40443A" w14:textId="77777777" w:rsidTr="00F755B8">
        <w:trPr>
          <w:trHeight w:val="57"/>
        </w:trPr>
        <w:tc>
          <w:tcPr>
            <w:tcW w:w="5301" w:type="dxa"/>
          </w:tcPr>
          <w:p w14:paraId="3E735869" w14:textId="77777777" w:rsidR="00F755B8" w:rsidRPr="00BA5C2F" w:rsidRDefault="00F755B8" w:rsidP="00F755B8">
            <w:pPr>
              <w:pStyle w:val="AATitle"/>
            </w:pPr>
            <w:bookmarkStart w:id="5" w:name="CorNot1Text"/>
            <w:r w:rsidRPr="00BA5C2F">
              <w:t xml:space="preserve">Conférence des Parties à la Convention de </w:t>
            </w:r>
            <w:r w:rsidRPr="00BA5C2F">
              <w:br/>
              <w:t xml:space="preserve">Minamata sur le mercure </w:t>
            </w:r>
          </w:p>
          <w:p w14:paraId="7C24BA03" w14:textId="160D3AA1" w:rsidR="00F755B8" w:rsidRPr="00BA5C2F" w:rsidRDefault="00F755B8" w:rsidP="00F755B8">
            <w:pPr>
              <w:pStyle w:val="AATitle"/>
            </w:pPr>
            <w:r w:rsidRPr="00BA5C2F">
              <w:t>Sixième réunion</w:t>
            </w:r>
            <w:bookmarkEnd w:id="5"/>
            <w:r w:rsidRPr="00BA5C2F">
              <w:t xml:space="preserve"> </w:t>
            </w:r>
          </w:p>
          <w:p w14:paraId="23FB01CA" w14:textId="4D6E947B" w:rsidR="00F755B8" w:rsidRPr="00BA5C2F" w:rsidRDefault="00F755B8" w:rsidP="00F755B8">
            <w:pPr>
              <w:pStyle w:val="AATitle1"/>
            </w:pPr>
            <w:bookmarkStart w:id="6" w:name="CorNot1VenueDate"/>
            <w:r w:rsidRPr="00BA5C2F">
              <w:t>Genève, 3-7 novembre 2025</w:t>
            </w:r>
            <w:bookmarkEnd w:id="6"/>
            <w:r w:rsidRPr="00BA5C2F">
              <w:t xml:space="preserve"> </w:t>
            </w:r>
          </w:p>
          <w:p w14:paraId="2F07E9B4" w14:textId="030A4FC6" w:rsidR="00F755B8" w:rsidRPr="00BA5C2F" w:rsidRDefault="00F755B8" w:rsidP="00F755B8">
            <w:pPr>
              <w:pStyle w:val="AATitle1"/>
            </w:pPr>
            <w:bookmarkStart w:id="7" w:name="CorNot1AgItem"/>
            <w:r w:rsidRPr="00BA5C2F">
              <w:t>Point 4 f) de l</w:t>
            </w:r>
            <w:r w:rsidR="00F9733D" w:rsidRPr="00BA5C2F">
              <w:t>’</w:t>
            </w:r>
            <w:r w:rsidRPr="00BA5C2F">
              <w:t>ordre du jour provisoire</w:t>
            </w:r>
            <w:bookmarkEnd w:id="7"/>
            <w:r w:rsidRPr="00BA5C2F">
              <w:rPr>
                <w:rStyle w:val="FootnoteReference"/>
                <w:rFonts w:eastAsia="SimSun"/>
                <w:vertAlign w:val="baseline"/>
              </w:rPr>
              <w:footnoteReference w:customMarkFollows="1" w:id="2"/>
              <w:t>*</w:t>
            </w:r>
            <w:r w:rsidRPr="00BA5C2F">
              <w:t xml:space="preserve"> </w:t>
            </w:r>
          </w:p>
          <w:p w14:paraId="35A1FC67" w14:textId="274DC3ED" w:rsidR="00F755B8" w:rsidRPr="00BA5C2F" w:rsidRDefault="00F755B8" w:rsidP="00F755B8">
            <w:pPr>
              <w:pStyle w:val="AATitle2"/>
            </w:pPr>
            <w:bookmarkStart w:id="8" w:name="CorNot1AgTitle"/>
            <w:r w:rsidRPr="00BA5C2F">
              <w:t>Questions soumises à la Conférence des Parties pour examen ou décision : renforcement des capacités, assistance technique et transfert de technologies</w:t>
            </w:r>
            <w:bookmarkEnd w:id="8"/>
            <w:r w:rsidRPr="00BA5C2F">
              <w:t xml:space="preserve">  </w:t>
            </w:r>
          </w:p>
        </w:tc>
        <w:tc>
          <w:tcPr>
            <w:tcW w:w="4195" w:type="dxa"/>
          </w:tcPr>
          <w:p w14:paraId="225CCD64" w14:textId="77777777" w:rsidR="00F755B8" w:rsidRPr="00BA5C2F" w:rsidRDefault="00F755B8" w:rsidP="00F755B8">
            <w:pPr>
              <w:pStyle w:val="Normal-pool"/>
            </w:pPr>
          </w:p>
        </w:tc>
      </w:tr>
    </w:tbl>
    <w:p w14:paraId="3F24F2C4" w14:textId="48605258" w:rsidR="008467B7" w:rsidRPr="00BA5C2F" w:rsidRDefault="008467B7" w:rsidP="00F755B8">
      <w:pPr>
        <w:pStyle w:val="BBTitle"/>
        <w:tabs>
          <w:tab w:val="left" w:pos="4990"/>
        </w:tabs>
      </w:pPr>
      <w:r w:rsidRPr="00BA5C2F">
        <w:rPr>
          <w:bCs/>
        </w:rPr>
        <w:t>Mise en œuvre d</w:t>
      </w:r>
      <w:r w:rsidR="00F9733D" w:rsidRPr="00BA5C2F">
        <w:rPr>
          <w:bCs/>
        </w:rPr>
        <w:t>’</w:t>
      </w:r>
      <w:r w:rsidRPr="00BA5C2F">
        <w:rPr>
          <w:bCs/>
        </w:rPr>
        <w:t xml:space="preserve">activités </w:t>
      </w:r>
      <w:r w:rsidRPr="00BA5C2F">
        <w:rPr>
          <w:rFonts w:eastAsia="Times New Roman"/>
          <w:lang w:eastAsia="en-US"/>
        </w:rPr>
        <w:t>conformément</w:t>
      </w:r>
      <w:r w:rsidRPr="00BA5C2F">
        <w:rPr>
          <w:bCs/>
        </w:rPr>
        <w:t xml:space="preserve"> à la décision</w:t>
      </w:r>
      <w:r w:rsidR="003D10A7" w:rsidRPr="00BA5C2F">
        <w:rPr>
          <w:bCs/>
        </w:rPr>
        <w:t> </w:t>
      </w:r>
      <w:r w:rsidRPr="00BA5C2F">
        <w:rPr>
          <w:bCs/>
        </w:rPr>
        <w:t>MC-5/12 et à l</w:t>
      </w:r>
      <w:r w:rsidR="00F9733D" w:rsidRPr="00BA5C2F">
        <w:rPr>
          <w:bCs/>
        </w:rPr>
        <w:t>’</w:t>
      </w:r>
      <w:r w:rsidRPr="00BA5C2F">
        <w:rPr>
          <w:bCs/>
        </w:rPr>
        <w:t>article 14 sur le renforcement des capacités, l</w:t>
      </w:r>
      <w:r w:rsidR="00F9733D" w:rsidRPr="00BA5C2F">
        <w:rPr>
          <w:bCs/>
        </w:rPr>
        <w:t>’</w:t>
      </w:r>
      <w:r w:rsidRPr="00BA5C2F">
        <w:rPr>
          <w:bCs/>
        </w:rPr>
        <w:t>assistance technique et le transfert de technologies</w:t>
      </w:r>
      <w:r w:rsidRPr="00BA5C2F">
        <w:t xml:space="preserve"> </w:t>
      </w:r>
    </w:p>
    <w:p w14:paraId="07821F39" w14:textId="77777777" w:rsidR="008467B7" w:rsidRPr="00BA5C2F" w:rsidRDefault="008467B7" w:rsidP="00887BD4">
      <w:pPr>
        <w:pStyle w:val="CH2"/>
      </w:pPr>
      <w:r w:rsidRPr="00BA5C2F">
        <w:tab/>
      </w:r>
      <w:r w:rsidRPr="00BA5C2F">
        <w:tab/>
      </w:r>
      <w:r w:rsidRPr="00BA5C2F">
        <w:rPr>
          <w:bCs/>
        </w:rPr>
        <w:t>Note du secrétariat</w:t>
      </w:r>
    </w:p>
    <w:p w14:paraId="25F49544" w14:textId="5D736620" w:rsidR="008467B7" w:rsidRPr="00BA5C2F" w:rsidRDefault="00C620FC" w:rsidP="00F755B8">
      <w:pPr>
        <w:pStyle w:val="CH1"/>
        <w:tabs>
          <w:tab w:val="left" w:pos="4990"/>
        </w:tabs>
      </w:pPr>
      <w:r w:rsidRPr="00BA5C2F">
        <w:tab/>
      </w:r>
      <w:r w:rsidR="00F755B8" w:rsidRPr="00BA5C2F">
        <w:t>I.</w:t>
      </w:r>
      <w:r w:rsidRPr="00BA5C2F">
        <w:tab/>
      </w:r>
      <w:r w:rsidR="008467B7" w:rsidRPr="00BA5C2F">
        <w:rPr>
          <w:rFonts w:eastAsia="Times New Roman"/>
          <w:lang w:eastAsia="en-US"/>
        </w:rPr>
        <w:t>Introduction</w:t>
      </w:r>
    </w:p>
    <w:p w14:paraId="330F1716" w14:textId="6E2F52FA" w:rsidR="008467B7" w:rsidRPr="00BA5C2F" w:rsidRDefault="008467B7" w:rsidP="00F755B8">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 xml:space="preserve">La présente note fournit des informations sur </w:t>
      </w:r>
      <w:r w:rsidR="00C620FC" w:rsidRPr="00BA5C2F">
        <w:t>l</w:t>
      </w:r>
      <w:r w:rsidR="00F9733D" w:rsidRPr="00BA5C2F">
        <w:t>’</w:t>
      </w:r>
      <w:r w:rsidRPr="00BA5C2F">
        <w:t>état d</w:t>
      </w:r>
      <w:r w:rsidR="00F9733D" w:rsidRPr="00BA5C2F">
        <w:t>’</w:t>
      </w:r>
      <w:r w:rsidRPr="00BA5C2F">
        <w:t>avancement de l</w:t>
      </w:r>
      <w:r w:rsidR="00F9733D" w:rsidRPr="00BA5C2F">
        <w:t>’</w:t>
      </w:r>
      <w:r w:rsidRPr="00BA5C2F">
        <w:t xml:space="preserve">exécution des mandats confiés au secrétariat dans la décision MC-5/12, que la Conférence des Parties à la Convention de Minamata sur le mercure a adoptée à sa cinquième réunion. </w:t>
      </w:r>
    </w:p>
    <w:p w14:paraId="64F58879" w14:textId="5FF7284C" w:rsidR="008467B7" w:rsidRPr="00BA5C2F" w:rsidRDefault="00350EB1" w:rsidP="00F755B8">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Les mandats énoncés dans la décision MC-5/12 visent principalement les exigences énoncées aux paragraphes 4 et 5 de l</w:t>
      </w:r>
      <w:r w:rsidR="00F9733D" w:rsidRPr="00BA5C2F">
        <w:t>’</w:t>
      </w:r>
      <w:r w:rsidRPr="00BA5C2F">
        <w:t>article</w:t>
      </w:r>
      <w:r w:rsidR="001868AD" w:rsidRPr="00BA5C2F">
        <w:t> </w:t>
      </w:r>
      <w:r w:rsidRPr="00BA5C2F">
        <w:t>14 de la Convention</w:t>
      </w:r>
      <w:r w:rsidR="00D845F1" w:rsidRPr="00BA5C2F">
        <w:t xml:space="preserve"> relatif au</w:t>
      </w:r>
      <w:r w:rsidRPr="00BA5C2F">
        <w:t xml:space="preserve"> renforcement des capacités, </w:t>
      </w:r>
      <w:r w:rsidR="00D845F1" w:rsidRPr="00BA5C2F">
        <w:t>à</w:t>
      </w:r>
      <w:r w:rsidR="00EE4286" w:rsidRPr="00BA5C2F">
        <w:t> </w:t>
      </w:r>
      <w:r w:rsidRPr="00BA5C2F">
        <w:t>l</w:t>
      </w:r>
      <w:r w:rsidR="00F9733D" w:rsidRPr="00BA5C2F">
        <w:t>’</w:t>
      </w:r>
      <w:r w:rsidRPr="00BA5C2F">
        <w:t xml:space="preserve">assistance technique et </w:t>
      </w:r>
      <w:r w:rsidR="00D845F1" w:rsidRPr="00BA5C2F">
        <w:t xml:space="preserve">au </w:t>
      </w:r>
      <w:r w:rsidRPr="00BA5C2F">
        <w:t>transfert de technologies. Le paragraphe</w:t>
      </w:r>
      <w:r w:rsidR="001868AD" w:rsidRPr="00BA5C2F">
        <w:t> </w:t>
      </w:r>
      <w:r w:rsidRPr="00BA5C2F">
        <w:t>4 de l</w:t>
      </w:r>
      <w:r w:rsidR="00F9733D" w:rsidRPr="00BA5C2F">
        <w:t>’</w:t>
      </w:r>
      <w:r w:rsidRPr="00BA5C2F">
        <w:t>article</w:t>
      </w:r>
      <w:r w:rsidR="001868AD" w:rsidRPr="00BA5C2F">
        <w:t> </w:t>
      </w:r>
      <w:r w:rsidRPr="00BA5C2F">
        <w:t>14 prévoit que la Conférence des Parties, au plus tard à sa deuxième réunion et, par la suite, à intervalles réguliers, examine les informations sur les initiatives en cours et les progrès accomplis dans le domaine des technologies de remplacement</w:t>
      </w:r>
      <w:r w:rsidR="006F6041" w:rsidRPr="00BA5C2F">
        <w:t>,</w:t>
      </w:r>
      <w:r w:rsidRPr="00BA5C2F">
        <w:t xml:space="preserve"> évalue les besoins des Parties en matière de technologies de remplacement, en particulier ceux des Parties qui sont des pays en développement</w:t>
      </w:r>
      <w:r w:rsidR="006F6041" w:rsidRPr="00BA5C2F">
        <w:t>, et</w:t>
      </w:r>
      <w:r w:rsidRPr="00BA5C2F">
        <w:t xml:space="preserve"> identifie les défis rencontrés par les Parties, en particulier celles qui sont des pays en développement, en matière de transfert de technologies. Pour ce faire, la Conférence des Parties doit tenir compte des communications et des rapports soumis par les Parties, y compris ceux requis à l</w:t>
      </w:r>
      <w:r w:rsidR="00F9733D" w:rsidRPr="00BA5C2F">
        <w:t>’</w:t>
      </w:r>
      <w:r w:rsidRPr="00BA5C2F">
        <w:t>article</w:t>
      </w:r>
      <w:r w:rsidR="001868AD" w:rsidRPr="00BA5C2F">
        <w:t> </w:t>
      </w:r>
      <w:r w:rsidRPr="00BA5C2F">
        <w:t>21 sur l</w:t>
      </w:r>
      <w:r w:rsidR="00F9733D" w:rsidRPr="00BA5C2F">
        <w:t>’</w:t>
      </w:r>
      <w:r w:rsidRPr="00BA5C2F">
        <w:t>établissement de rapports, ainsi que des informations fournies par d</w:t>
      </w:r>
      <w:r w:rsidR="00F9733D" w:rsidRPr="00BA5C2F">
        <w:t>’</w:t>
      </w:r>
      <w:r w:rsidRPr="00BA5C2F">
        <w:t>autres parties prenantes. Le</w:t>
      </w:r>
      <w:r w:rsidR="00CD0933" w:rsidRPr="00BA5C2F">
        <w:t> </w:t>
      </w:r>
      <w:r w:rsidRPr="00BA5C2F">
        <w:t>paragraphe</w:t>
      </w:r>
      <w:r w:rsidR="001868AD" w:rsidRPr="00BA5C2F">
        <w:t> </w:t>
      </w:r>
      <w:r w:rsidRPr="00BA5C2F">
        <w:t>5 de l</w:t>
      </w:r>
      <w:r w:rsidR="00F9733D" w:rsidRPr="00BA5C2F">
        <w:t>’</w:t>
      </w:r>
      <w:r w:rsidRPr="00BA5C2F">
        <w:t>article</w:t>
      </w:r>
      <w:r w:rsidR="001868AD" w:rsidRPr="00BA5C2F">
        <w:t> </w:t>
      </w:r>
      <w:r w:rsidRPr="00BA5C2F">
        <w:t>14 prévoit que la Conférence des Parties émet des recommandations sur la manière dont le renforcement des capacités, l</w:t>
      </w:r>
      <w:r w:rsidR="00F9733D" w:rsidRPr="00BA5C2F">
        <w:t>’</w:t>
      </w:r>
      <w:r w:rsidRPr="00BA5C2F">
        <w:t>assistance technique et le transfert de technologies pourraient être encore améliorés au titre de l</w:t>
      </w:r>
      <w:r w:rsidR="00F9733D" w:rsidRPr="00BA5C2F">
        <w:t>’</w:t>
      </w:r>
      <w:r w:rsidRPr="00BA5C2F">
        <w:t xml:space="preserve">article 14. </w:t>
      </w:r>
      <w:bookmarkStart w:id="9" w:name="_Hlk135925145"/>
      <w:bookmarkEnd w:id="9"/>
    </w:p>
    <w:p w14:paraId="3A816FDC" w14:textId="3E5F6D87" w:rsidR="008467B7" w:rsidRPr="00BA5C2F" w:rsidRDefault="00C620FC" w:rsidP="00F755B8">
      <w:pPr>
        <w:pStyle w:val="CH1"/>
        <w:tabs>
          <w:tab w:val="left" w:pos="4990"/>
        </w:tabs>
      </w:pPr>
      <w:r w:rsidRPr="00BA5C2F">
        <w:rPr>
          <w:bCs/>
        </w:rPr>
        <w:lastRenderedPageBreak/>
        <w:tab/>
      </w:r>
      <w:r w:rsidR="00F755B8" w:rsidRPr="00BA5C2F">
        <w:rPr>
          <w:bCs/>
        </w:rPr>
        <w:t>II.</w:t>
      </w:r>
      <w:r w:rsidR="008467B7" w:rsidRPr="00BA5C2F">
        <w:tab/>
      </w:r>
      <w:r w:rsidR="008467B7" w:rsidRPr="00BA5C2F">
        <w:rPr>
          <w:rFonts w:eastAsia="Times New Roman"/>
          <w:lang w:eastAsia="en-US"/>
        </w:rPr>
        <w:t>Mise</w:t>
      </w:r>
      <w:r w:rsidR="008467B7" w:rsidRPr="00BA5C2F">
        <w:rPr>
          <w:bCs/>
        </w:rPr>
        <w:t xml:space="preserve"> en œuvre</w:t>
      </w:r>
      <w:bookmarkStart w:id="10" w:name="_Hlk202393005"/>
    </w:p>
    <w:p w14:paraId="12AD25F6" w14:textId="07DA0D24" w:rsidR="008467B7" w:rsidRPr="00BA5C2F" w:rsidRDefault="00C620FC" w:rsidP="00F755B8">
      <w:pPr>
        <w:pStyle w:val="CH2"/>
        <w:tabs>
          <w:tab w:val="left" w:pos="4990"/>
        </w:tabs>
        <w:ind w:right="624"/>
      </w:pPr>
      <w:r w:rsidRPr="00BA5C2F">
        <w:tab/>
      </w:r>
      <w:r w:rsidR="00F755B8" w:rsidRPr="00BA5C2F">
        <w:t>A.</w:t>
      </w:r>
      <w:r w:rsidR="008467B7" w:rsidRPr="00BA5C2F">
        <w:tab/>
        <w:t xml:space="preserve">Étude documentaire sur les </w:t>
      </w:r>
      <w:r w:rsidR="008467B7" w:rsidRPr="00BA5C2F">
        <w:rPr>
          <w:rFonts w:eastAsia="Times New Roman"/>
          <w:lang w:eastAsia="en-US"/>
        </w:rPr>
        <w:t>technologies</w:t>
      </w:r>
      <w:r w:rsidR="008467B7" w:rsidRPr="00BA5C2F">
        <w:t xml:space="preserve"> de remplacement, les difficultés</w:t>
      </w:r>
      <w:r w:rsidR="008467B7" w:rsidRPr="00BA5C2F">
        <w:rPr>
          <w:bCs/>
        </w:rPr>
        <w:t xml:space="preserve"> connexes et les besoins des Parties à la Convention de Minamata sur</w:t>
      </w:r>
      <w:r w:rsidR="00FC642C" w:rsidRPr="00BA5C2F">
        <w:rPr>
          <w:bCs/>
        </w:rPr>
        <w:t> </w:t>
      </w:r>
      <w:r w:rsidR="008467B7" w:rsidRPr="00BA5C2F">
        <w:rPr>
          <w:bCs/>
        </w:rPr>
        <w:t>le</w:t>
      </w:r>
      <w:r w:rsidR="00FC642C" w:rsidRPr="00BA5C2F">
        <w:rPr>
          <w:bCs/>
        </w:rPr>
        <w:t> </w:t>
      </w:r>
      <w:r w:rsidR="008467B7" w:rsidRPr="00BA5C2F">
        <w:rPr>
          <w:bCs/>
        </w:rPr>
        <w:t>mercure</w:t>
      </w:r>
      <w:bookmarkEnd w:id="10"/>
    </w:p>
    <w:p w14:paraId="48C35315" w14:textId="05BCB90F" w:rsidR="004D3D74" w:rsidRPr="00BA5C2F" w:rsidRDefault="008467B7" w:rsidP="00F755B8">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En application de la décision MC-5/12, le secrétariat a élaboré une étude documentaire et des études de cas pour examen par la Conférence des Parties, conformément au paragraphe</w:t>
      </w:r>
      <w:r w:rsidR="001868AD" w:rsidRPr="00BA5C2F">
        <w:t> </w:t>
      </w:r>
      <w:r w:rsidRPr="00BA5C2F">
        <w:t>4 de l</w:t>
      </w:r>
      <w:r w:rsidR="00F9733D" w:rsidRPr="00BA5C2F">
        <w:t>’</w:t>
      </w:r>
      <w:r w:rsidRPr="00BA5C2F">
        <w:t>article</w:t>
      </w:r>
      <w:r w:rsidR="005D7058" w:rsidRPr="00BA5C2F">
        <w:t> </w:t>
      </w:r>
      <w:r w:rsidRPr="00BA5C2F">
        <w:t>14. Un résumé de l</w:t>
      </w:r>
      <w:r w:rsidR="00F9733D" w:rsidRPr="00BA5C2F">
        <w:t>’</w:t>
      </w:r>
      <w:r w:rsidRPr="00BA5C2F">
        <w:t>étude documentaire est présenté ci-dessous, l</w:t>
      </w:r>
      <w:r w:rsidR="00F9733D" w:rsidRPr="00BA5C2F">
        <w:t>’</w:t>
      </w:r>
      <w:r w:rsidRPr="00BA5C2F">
        <w:t xml:space="preserve">étude complète, y compris les études de cas, étant reproduite dans le document UNEP/MC/COP.6/INF/18. </w:t>
      </w:r>
    </w:p>
    <w:p w14:paraId="17961C72" w14:textId="4F25EE82" w:rsidR="008467B7" w:rsidRPr="00BA5C2F" w:rsidRDefault="008467B7" w:rsidP="00F755B8">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L</w:t>
      </w:r>
      <w:r w:rsidR="00F9733D" w:rsidRPr="00BA5C2F">
        <w:t>’</w:t>
      </w:r>
      <w:r w:rsidRPr="00BA5C2F">
        <w:t>étude fournit une vue d</w:t>
      </w:r>
      <w:r w:rsidR="00F9733D" w:rsidRPr="00BA5C2F">
        <w:t>’</w:t>
      </w:r>
      <w:r w:rsidRPr="00BA5C2F">
        <w:t>ensemble des initiatives en matière de technologies de remplacement plutôt qu</w:t>
      </w:r>
      <w:r w:rsidR="00F9733D" w:rsidRPr="00BA5C2F">
        <w:t>’</w:t>
      </w:r>
      <w:r w:rsidRPr="00BA5C2F">
        <w:t>une analyse exhaustive de toutes les technologies disponibles. Conscient qu</w:t>
      </w:r>
      <w:r w:rsidR="00F9733D" w:rsidRPr="00BA5C2F">
        <w:t>’</w:t>
      </w:r>
      <w:r w:rsidRPr="00BA5C2F">
        <w:t>une évaluation exhaustive de chaque technologie de remplacement dépassait la portée de l</w:t>
      </w:r>
      <w:r w:rsidR="00F9733D" w:rsidRPr="00BA5C2F">
        <w:t>’</w:t>
      </w:r>
      <w:r w:rsidRPr="00BA5C2F">
        <w:t>étude, le</w:t>
      </w:r>
      <w:r w:rsidR="005E14F2" w:rsidRPr="00BA5C2F">
        <w:t> </w:t>
      </w:r>
      <w:r w:rsidRPr="00BA5C2F">
        <w:t>secrétariat a mis en exergue des exemples et tendances clefs. Les travaux ont été réalisés dans le cadre d</w:t>
      </w:r>
      <w:r w:rsidR="00F9733D" w:rsidRPr="00BA5C2F">
        <w:t>’</w:t>
      </w:r>
      <w:r w:rsidRPr="00BA5C2F">
        <w:t>un accord de coopération avec l</w:t>
      </w:r>
      <w:r w:rsidR="00F9733D" w:rsidRPr="00BA5C2F">
        <w:t>’</w:t>
      </w:r>
      <w:r w:rsidRPr="00BA5C2F">
        <w:t>Institut des Nations Unies pour la formation et la recherche, le</w:t>
      </w:r>
      <w:r w:rsidR="003E634F" w:rsidRPr="00BA5C2F">
        <w:t> </w:t>
      </w:r>
      <w:r w:rsidRPr="00BA5C2F">
        <w:t>financement provenant de la contribution versée par le Japon au fonds d</w:t>
      </w:r>
      <w:r w:rsidR="00F9733D" w:rsidRPr="00BA5C2F">
        <w:t>’</w:t>
      </w:r>
      <w:r w:rsidRPr="00BA5C2F">
        <w:t>affectation spéciale à</w:t>
      </w:r>
      <w:r w:rsidR="003E634F" w:rsidRPr="00BA5C2F">
        <w:t> </w:t>
      </w:r>
      <w:r w:rsidRPr="00BA5C2F">
        <w:t>des</w:t>
      </w:r>
      <w:r w:rsidR="003E634F" w:rsidRPr="00BA5C2F">
        <w:t> </w:t>
      </w:r>
      <w:r w:rsidRPr="00BA5C2F">
        <w:t>fins déterminées pour la Convention de Minamata sur le mercure au cours de la</w:t>
      </w:r>
      <w:r w:rsidR="005E14F2" w:rsidRPr="00BA5C2F">
        <w:t> </w:t>
      </w:r>
      <w:r w:rsidRPr="00BA5C2F">
        <w:t>période</w:t>
      </w:r>
      <w:r w:rsidR="005E14F2" w:rsidRPr="00BA5C2F">
        <w:t> </w:t>
      </w:r>
      <w:r w:rsidRPr="00BA5C2F">
        <w:t>biennale</w:t>
      </w:r>
      <w:r w:rsidR="005E14F2" w:rsidRPr="00BA5C2F">
        <w:t> </w:t>
      </w:r>
      <w:r w:rsidRPr="00BA5C2F">
        <w:t>2024</w:t>
      </w:r>
      <w:r w:rsidR="00FC642C" w:rsidRPr="00BA5C2F">
        <w:noBreakHyphen/>
      </w:r>
      <w:r w:rsidRPr="00BA5C2F">
        <w:t>2025.</w:t>
      </w:r>
    </w:p>
    <w:p w14:paraId="74CDFF3A" w14:textId="7B8A4E03" w:rsidR="008467B7" w:rsidRPr="00BA5C2F" w:rsidRDefault="0025337E" w:rsidP="00F755B8">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L</w:t>
      </w:r>
      <w:r w:rsidR="00F9733D" w:rsidRPr="00BA5C2F">
        <w:t>’</w:t>
      </w:r>
      <w:r w:rsidRPr="00BA5C2F">
        <w:t>analyse des rapports nationaux a révélé que de nombreuses Parties faisaient face aux difficultés suivantes en matière de technologies de remplacement</w:t>
      </w:r>
      <w:r w:rsidR="00C620FC" w:rsidRPr="00BA5C2F">
        <w:t> :</w:t>
      </w:r>
    </w:p>
    <w:p w14:paraId="1DC54EA8" w14:textId="2D2C7BD6" w:rsidR="008467B7" w:rsidRPr="00BA5C2F" w:rsidRDefault="008467B7" w:rsidP="003C71DC">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Un financement insuffisant, ce qui mettait en évidence l</w:t>
      </w:r>
      <w:r w:rsidR="00F9733D" w:rsidRPr="00BA5C2F">
        <w:t>’</w:t>
      </w:r>
      <w:r w:rsidRPr="00BA5C2F">
        <w:t>écart entre les ressources nécessaires et les ressources disponibles et accessibles</w:t>
      </w:r>
      <w:r w:rsidR="00C620FC" w:rsidRPr="00BA5C2F">
        <w:t> ;</w:t>
      </w:r>
      <w:r w:rsidRPr="00BA5C2F">
        <w:t xml:space="preserve"> </w:t>
      </w:r>
    </w:p>
    <w:p w14:paraId="35673CCD" w14:textId="690DD2C3" w:rsidR="008467B7" w:rsidRPr="00BA5C2F" w:rsidRDefault="006C69F0" w:rsidP="00F755B8">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Un manque de capacités techniques au niveau national, y compris un manque de personnel qualifié, ce qui empêchait le déploiement de technologies de remplacement</w:t>
      </w:r>
      <w:r w:rsidR="00C620FC" w:rsidRPr="00BA5C2F">
        <w:t> ;</w:t>
      </w:r>
    </w:p>
    <w:p w14:paraId="54946009" w14:textId="7C59115F" w:rsidR="008467B7" w:rsidRPr="00BA5C2F" w:rsidRDefault="008467B7" w:rsidP="00F755B8">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Des capacités institutionnelles et des cadres réglementaires insuffisants, ce qui entravait l</w:t>
      </w:r>
      <w:r w:rsidR="00F9733D" w:rsidRPr="00BA5C2F">
        <w:t>’</w:t>
      </w:r>
      <w:r w:rsidRPr="00BA5C2F">
        <w:t>évaluation et l</w:t>
      </w:r>
      <w:r w:rsidR="00F9733D" w:rsidRPr="00BA5C2F">
        <w:t>’</w:t>
      </w:r>
      <w:r w:rsidRPr="00BA5C2F">
        <w:t>approbation des technologies et faisait obstacle à l</w:t>
      </w:r>
      <w:r w:rsidR="00F9733D" w:rsidRPr="00BA5C2F">
        <w:t>’</w:t>
      </w:r>
      <w:r w:rsidRPr="00BA5C2F">
        <w:t>investissement dans les nouvelles technologies en raison des préoccupations en matière de conformité, d</w:t>
      </w:r>
      <w:r w:rsidR="00F9733D" w:rsidRPr="00BA5C2F">
        <w:t>’</w:t>
      </w:r>
      <w:r w:rsidRPr="00BA5C2F">
        <w:t>efficacité et de viabilité à long terme</w:t>
      </w:r>
      <w:r w:rsidR="00C620FC" w:rsidRPr="00BA5C2F">
        <w:t xml:space="preserve"> ; </w:t>
      </w:r>
    </w:p>
    <w:p w14:paraId="5B3511C2" w14:textId="0EF23FF1" w:rsidR="008467B7" w:rsidRPr="00BA5C2F" w:rsidRDefault="008467B7" w:rsidP="00F755B8">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 xml:space="preserve">Des capacités et des moyens de collecte et de suivi des données insuffisants, ce qui créait des lacunes dans les inventaires de mercure, lesquels </w:t>
      </w:r>
      <w:r w:rsidR="000B1B6C" w:rsidRPr="00BA5C2F">
        <w:t xml:space="preserve">doivent </w:t>
      </w:r>
      <w:r w:rsidRPr="00BA5C2F">
        <w:t>éclaire</w:t>
      </w:r>
      <w:r w:rsidR="000B1B6C" w:rsidRPr="00BA5C2F">
        <w:t>r</w:t>
      </w:r>
      <w:r w:rsidRPr="00BA5C2F">
        <w:t xml:space="preserve"> la prise de décisions en matière de politique générale et de stratégie d</w:t>
      </w:r>
      <w:r w:rsidR="00F9733D" w:rsidRPr="00BA5C2F">
        <w:t>’</w:t>
      </w:r>
      <w:r w:rsidRPr="00BA5C2F">
        <w:t>atténuation</w:t>
      </w:r>
      <w:r w:rsidR="00C620FC" w:rsidRPr="00BA5C2F">
        <w:t> ;</w:t>
      </w:r>
    </w:p>
    <w:p w14:paraId="1DF72D2D" w14:textId="50A300EC" w:rsidR="008467B7" w:rsidRPr="00BA5C2F" w:rsidRDefault="008467B7" w:rsidP="00F755B8">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Un accès limité aux technologies de remplacement, à la fois en raison de contraintes financières et de l</w:t>
      </w:r>
      <w:r w:rsidR="00F9733D" w:rsidRPr="00BA5C2F">
        <w:t>’</w:t>
      </w:r>
      <w:r w:rsidRPr="00BA5C2F">
        <w:t xml:space="preserve">indisponibilité </w:t>
      </w:r>
      <w:r w:rsidR="000B1B6C" w:rsidRPr="00BA5C2F">
        <w:t xml:space="preserve">au niveau national </w:t>
      </w:r>
      <w:r w:rsidRPr="00BA5C2F">
        <w:t>de technologies adaptées.</w:t>
      </w:r>
    </w:p>
    <w:p w14:paraId="2E8CC7D4" w14:textId="4A4D59C4" w:rsidR="008467B7" w:rsidRPr="00BA5C2F" w:rsidRDefault="008467B7" w:rsidP="00A569D1">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Parmi les informations essentielles sur la manière dont l</w:t>
      </w:r>
      <w:r w:rsidR="00F9733D" w:rsidRPr="00BA5C2F">
        <w:t>’</w:t>
      </w:r>
      <w:r w:rsidRPr="00BA5C2F">
        <w:t>adoption des technologies de remplacement par les Parties pourrait être améliorée figurent les suivantes</w:t>
      </w:r>
      <w:r w:rsidR="00C620FC" w:rsidRPr="00BA5C2F">
        <w:t> :</w:t>
      </w:r>
    </w:p>
    <w:p w14:paraId="69DAD77F" w14:textId="5A5E32E1" w:rsidR="008467B7" w:rsidRPr="00BA5C2F" w:rsidRDefault="0036142C" w:rsidP="00244366">
      <w:pPr>
        <w:pStyle w:val="Normalnumber"/>
        <w:numPr>
          <w:ilvl w:val="0"/>
          <w:numId w:val="21"/>
        </w:numPr>
        <w:tabs>
          <w:tab w:val="clear" w:pos="1247"/>
          <w:tab w:val="clear" w:pos="1814"/>
          <w:tab w:val="clear" w:pos="2381"/>
          <w:tab w:val="clear" w:pos="2495"/>
          <w:tab w:val="clear" w:pos="2948"/>
          <w:tab w:val="clear" w:pos="3119"/>
          <w:tab w:val="clear" w:pos="3515"/>
          <w:tab w:val="clear" w:pos="3742"/>
          <w:tab w:val="clear" w:pos="4366"/>
          <w:tab w:val="left" w:pos="624"/>
        </w:tabs>
        <w:ind w:left="1247" w:firstLine="624"/>
      </w:pPr>
      <w:r w:rsidRPr="00BA5C2F">
        <w:rPr>
          <w:i/>
          <w:iCs/>
        </w:rPr>
        <w:t>Il existe des technologies de remplacement viables pour un grand nombre des principales catégories de sources de mercure visées par la Convention</w:t>
      </w:r>
      <w:r w:rsidR="004443DA" w:rsidRPr="00BA5C2F">
        <w:rPr>
          <w:i/>
          <w:iCs/>
        </w:rPr>
        <w:t>.</w:t>
      </w:r>
      <w:r w:rsidR="004443DA" w:rsidRPr="00BA5C2F">
        <w:t xml:space="preserve"> Les projets menés dans le cadre du Fonds pour l</w:t>
      </w:r>
      <w:r w:rsidR="00F9733D" w:rsidRPr="00BA5C2F">
        <w:t>’</w:t>
      </w:r>
      <w:r w:rsidR="004443DA" w:rsidRPr="00BA5C2F">
        <w:t>environnement mondial (FEM) et du Programme international spécifique visant à soutenir le renforcement des capacités et l</w:t>
      </w:r>
      <w:r w:rsidR="00F9733D" w:rsidRPr="00BA5C2F">
        <w:t>’</w:t>
      </w:r>
      <w:r w:rsidR="004443DA" w:rsidRPr="00BA5C2F">
        <w:t>assistance technique</w:t>
      </w:r>
      <w:r w:rsidR="008467B7" w:rsidRPr="00BA5C2F">
        <w:rPr>
          <w:rStyle w:val="FootnoteReference"/>
        </w:rPr>
        <w:footnoteReference w:id="3"/>
      </w:r>
      <w:r w:rsidR="004443DA" w:rsidRPr="00BA5C2F">
        <w:t>, ainsi que d</w:t>
      </w:r>
      <w:r w:rsidR="00F9733D" w:rsidRPr="00BA5C2F">
        <w:t>’</w:t>
      </w:r>
      <w:r w:rsidR="004443DA" w:rsidRPr="00BA5C2F">
        <w:t>initiatives telles que le Partenariat mondial sur le mercure</w:t>
      </w:r>
      <w:r w:rsidR="00AD1758" w:rsidRPr="00BA5C2F">
        <w:rPr>
          <w:rStyle w:val="FootnoteReference"/>
        </w:rPr>
        <w:footnoteReference w:id="4"/>
      </w:r>
      <w:r w:rsidR="004443DA" w:rsidRPr="00BA5C2F">
        <w:t>, témoignent des progrès accomplis dans la transition entre les projets pilotes et l</w:t>
      </w:r>
      <w:r w:rsidR="00F9733D" w:rsidRPr="00BA5C2F">
        <w:t>’</w:t>
      </w:r>
      <w:r w:rsidR="004443DA" w:rsidRPr="00BA5C2F">
        <w:t>adoption à l</w:t>
      </w:r>
      <w:r w:rsidR="00F9733D" w:rsidRPr="00BA5C2F">
        <w:t>’</w:t>
      </w:r>
      <w:r w:rsidR="004443DA" w:rsidRPr="00BA5C2F">
        <w:t>échelle nationale des technologies correspondantes, ce qui se traduit par des réductions mesurables de l</w:t>
      </w:r>
      <w:r w:rsidR="00F9733D" w:rsidRPr="00BA5C2F">
        <w:t>’</w:t>
      </w:r>
      <w:r w:rsidR="004443DA" w:rsidRPr="00BA5C2F">
        <w:t>utilisation, des émissions et des rejets de mercure. Les études de cas présentées dans le rapport en fournissent plusieurs exemples</w:t>
      </w:r>
      <w:r w:rsidR="00EE4286" w:rsidRPr="00BA5C2F">
        <w:t> ;</w:t>
      </w:r>
      <w:r w:rsidR="004443DA" w:rsidRPr="00BA5C2F">
        <w:t xml:space="preserve"> </w:t>
      </w:r>
    </w:p>
    <w:p w14:paraId="1E9341A6" w14:textId="6EB4CC72" w:rsidR="00244366" w:rsidRPr="00BA5C2F" w:rsidRDefault="008467B7" w:rsidP="00244366">
      <w:pPr>
        <w:pStyle w:val="Normalnumber"/>
        <w:numPr>
          <w:ilvl w:val="0"/>
          <w:numId w:val="21"/>
        </w:numPr>
        <w:tabs>
          <w:tab w:val="clear" w:pos="1247"/>
          <w:tab w:val="clear" w:pos="1814"/>
          <w:tab w:val="clear" w:pos="2381"/>
          <w:tab w:val="clear" w:pos="2495"/>
          <w:tab w:val="clear" w:pos="2948"/>
          <w:tab w:val="clear" w:pos="3119"/>
          <w:tab w:val="clear" w:pos="3515"/>
          <w:tab w:val="clear" w:pos="3742"/>
          <w:tab w:val="clear" w:pos="4366"/>
          <w:tab w:val="left" w:pos="624"/>
        </w:tabs>
        <w:ind w:left="1247" w:firstLine="624"/>
      </w:pPr>
      <w:r w:rsidRPr="00BA5C2F">
        <w:rPr>
          <w:i/>
          <w:iCs/>
        </w:rPr>
        <w:t xml:space="preserve">Les rapports nationaux </w:t>
      </w:r>
      <w:r w:rsidRPr="00BA5C2F">
        <w:t>soumis</w:t>
      </w:r>
      <w:r w:rsidRPr="00BA5C2F">
        <w:rPr>
          <w:i/>
          <w:iCs/>
        </w:rPr>
        <w:t xml:space="preserve"> par les Parties en application de l</w:t>
      </w:r>
      <w:r w:rsidR="00F9733D" w:rsidRPr="00BA5C2F">
        <w:rPr>
          <w:i/>
          <w:iCs/>
        </w:rPr>
        <w:t>’</w:t>
      </w:r>
      <w:r w:rsidRPr="00BA5C2F">
        <w:rPr>
          <w:i/>
          <w:iCs/>
        </w:rPr>
        <w:t>article</w:t>
      </w:r>
      <w:r w:rsidR="009C61E3" w:rsidRPr="00BA5C2F">
        <w:rPr>
          <w:i/>
          <w:iCs/>
        </w:rPr>
        <w:t> </w:t>
      </w:r>
      <w:r w:rsidRPr="00BA5C2F">
        <w:rPr>
          <w:i/>
          <w:iCs/>
        </w:rPr>
        <w:t>21</w:t>
      </w:r>
      <w:r w:rsidR="00EE4286" w:rsidRPr="00BA5C2F">
        <w:rPr>
          <w:i/>
          <w:iCs/>
        </w:rPr>
        <w:t xml:space="preserve"> </w:t>
      </w:r>
      <w:r w:rsidRPr="00BA5C2F">
        <w:rPr>
          <w:i/>
          <w:iCs/>
        </w:rPr>
        <w:t>constituent une source d</w:t>
      </w:r>
      <w:r w:rsidR="00F9733D" w:rsidRPr="00BA5C2F">
        <w:rPr>
          <w:i/>
          <w:iCs/>
        </w:rPr>
        <w:t>’</w:t>
      </w:r>
      <w:r w:rsidRPr="00BA5C2F">
        <w:rPr>
          <w:i/>
          <w:iCs/>
        </w:rPr>
        <w:t>information essentielle pour évaluer les difficultés et les progrès réalisés dans le cadre de la Convention, y compris les questions relatives aux technologies de remplacement et au transfert de technologies.</w:t>
      </w:r>
      <w:r w:rsidRPr="00BA5C2F">
        <w:t xml:space="preserve"> L</w:t>
      </w:r>
      <w:r w:rsidR="00F9733D" w:rsidRPr="00BA5C2F">
        <w:t>’</w:t>
      </w:r>
      <w:r w:rsidRPr="00BA5C2F">
        <w:t>analyse des rapports nationaux soumis par les Parties et les tendances récentes en matière de financement de projets communiquées par le FEM</w:t>
      </w:r>
      <w:r w:rsidRPr="00BA5C2F">
        <w:rPr>
          <w:vertAlign w:val="superscript"/>
        </w:rPr>
        <w:footnoteReference w:id="5"/>
      </w:r>
      <w:r w:rsidRPr="00BA5C2F">
        <w:t xml:space="preserve"> mettent en évidence le fait qu</w:t>
      </w:r>
      <w:r w:rsidR="00F9733D" w:rsidRPr="00BA5C2F">
        <w:t>’</w:t>
      </w:r>
      <w:r w:rsidRPr="00BA5C2F">
        <w:t>il existe une demande pour des technologies de remplacement dans certains secteurs, y compris l</w:t>
      </w:r>
      <w:r w:rsidR="00F9733D" w:rsidRPr="00BA5C2F">
        <w:t>’</w:t>
      </w:r>
      <w:r w:rsidRPr="00BA5C2F">
        <w:t>extraction minière artisanale et à petite échelle d</w:t>
      </w:r>
      <w:r w:rsidR="00F9733D" w:rsidRPr="00BA5C2F">
        <w:t>’</w:t>
      </w:r>
      <w:r w:rsidRPr="00BA5C2F">
        <w:t>or</w:t>
      </w:r>
      <w:r w:rsidR="00C620FC" w:rsidRPr="00BA5C2F">
        <w:t> ;</w:t>
      </w:r>
      <w:r w:rsidRPr="00BA5C2F">
        <w:t xml:space="preserve"> les produits contenant du mercure ajouté, </w:t>
      </w:r>
      <w:r w:rsidRPr="00BA5C2F">
        <w:lastRenderedPageBreak/>
        <w:t>notamment dans les secteurs de l</w:t>
      </w:r>
      <w:r w:rsidR="00F9733D" w:rsidRPr="00BA5C2F">
        <w:t>’</w:t>
      </w:r>
      <w:r w:rsidRPr="00BA5C2F">
        <w:t>éclairage et des soins de santé (transition vers des dispositifs médicaux et des amalgames dentaires sans mercure)</w:t>
      </w:r>
      <w:r w:rsidR="00C620FC" w:rsidRPr="00BA5C2F">
        <w:t> ;</w:t>
      </w:r>
      <w:r w:rsidRPr="00BA5C2F">
        <w:t xml:space="preserve"> la production de métaux non-ferreux</w:t>
      </w:r>
      <w:r w:rsidR="00C620FC" w:rsidRPr="00BA5C2F">
        <w:t> ;</w:t>
      </w:r>
      <w:r w:rsidRPr="00BA5C2F">
        <w:t xml:space="preserve"> l</w:t>
      </w:r>
      <w:r w:rsidR="00F9733D" w:rsidRPr="00BA5C2F">
        <w:t>’</w:t>
      </w:r>
      <w:r w:rsidRPr="00BA5C2F">
        <w:t>industrie du ciment</w:t>
      </w:r>
      <w:r w:rsidR="00C620FC" w:rsidRPr="00BA5C2F">
        <w:t> ;</w:t>
      </w:r>
      <w:r w:rsidRPr="00BA5C2F">
        <w:t xml:space="preserve"> la gestion des déchets de mercure</w:t>
      </w:r>
      <w:r w:rsidR="00C620FC" w:rsidRPr="00BA5C2F">
        <w:t> ;</w:t>
      </w:r>
      <w:r w:rsidRPr="00BA5C2F">
        <w:t xml:space="preserve"> l</w:t>
      </w:r>
      <w:r w:rsidR="00F9733D" w:rsidRPr="00BA5C2F">
        <w:t>’</w:t>
      </w:r>
      <w:r w:rsidRPr="00BA5C2F">
        <w:t>industrie du chlore-alkali. Toutefois, dans de nombreux cas, les informations sont limitées car les réponses fournies par les Parties dans leurs rapports nationaux sont formulées en termes généraux, les Parties indiquant souvent un manque de « ressources » ou de « capacités » sans nommer précisément leurs besoins en matière d</w:t>
      </w:r>
      <w:r w:rsidR="00F9733D" w:rsidRPr="00BA5C2F">
        <w:t>’</w:t>
      </w:r>
      <w:r w:rsidRPr="00BA5C2F">
        <w:t>équipement, de</w:t>
      </w:r>
      <w:r w:rsidR="003B3F15" w:rsidRPr="00BA5C2F">
        <w:t> </w:t>
      </w:r>
      <w:r w:rsidRPr="00BA5C2F">
        <w:t>compétences, de financement ou d</w:t>
      </w:r>
      <w:r w:rsidR="00F9733D" w:rsidRPr="00BA5C2F">
        <w:t>’</w:t>
      </w:r>
      <w:r w:rsidRPr="00BA5C2F">
        <w:t>infrastructure</w:t>
      </w:r>
      <w:r w:rsidR="003B3F15" w:rsidRPr="00BA5C2F">
        <w:t> ;</w:t>
      </w:r>
    </w:p>
    <w:p w14:paraId="3F145515" w14:textId="7415BDCF" w:rsidR="0061442B" w:rsidRPr="00BA5C2F" w:rsidRDefault="008467B7" w:rsidP="00244366">
      <w:pPr>
        <w:pStyle w:val="Normalnumber"/>
        <w:numPr>
          <w:ilvl w:val="0"/>
          <w:numId w:val="21"/>
        </w:numPr>
        <w:tabs>
          <w:tab w:val="clear" w:pos="1247"/>
          <w:tab w:val="clear" w:pos="1814"/>
          <w:tab w:val="clear" w:pos="2381"/>
          <w:tab w:val="clear" w:pos="2495"/>
          <w:tab w:val="clear" w:pos="2948"/>
          <w:tab w:val="clear" w:pos="3119"/>
          <w:tab w:val="clear" w:pos="3515"/>
          <w:tab w:val="clear" w:pos="3742"/>
          <w:tab w:val="clear" w:pos="4366"/>
          <w:tab w:val="left" w:pos="624"/>
        </w:tabs>
        <w:ind w:left="1247" w:firstLine="624"/>
      </w:pPr>
      <w:r w:rsidRPr="00BA5C2F">
        <w:rPr>
          <w:i/>
          <w:iCs/>
        </w:rPr>
        <w:t>Pour qu</w:t>
      </w:r>
      <w:r w:rsidR="00F9733D" w:rsidRPr="00BA5C2F">
        <w:rPr>
          <w:i/>
          <w:iCs/>
        </w:rPr>
        <w:t>’</w:t>
      </w:r>
      <w:r w:rsidRPr="00BA5C2F">
        <w:rPr>
          <w:i/>
          <w:iCs/>
        </w:rPr>
        <w:t>un transfert de technologie</w:t>
      </w:r>
      <w:r w:rsidR="00190EBD" w:rsidRPr="00BA5C2F">
        <w:rPr>
          <w:i/>
          <w:iCs/>
        </w:rPr>
        <w:t>s</w:t>
      </w:r>
      <w:r w:rsidRPr="00BA5C2F">
        <w:rPr>
          <w:i/>
          <w:iCs/>
        </w:rPr>
        <w:t xml:space="preserve"> soit efficace, il importe de disposer de politiques d</w:t>
      </w:r>
      <w:r w:rsidR="00F9733D" w:rsidRPr="00BA5C2F">
        <w:rPr>
          <w:i/>
          <w:iCs/>
        </w:rPr>
        <w:t>’</w:t>
      </w:r>
      <w:r w:rsidRPr="00BA5C2F">
        <w:rPr>
          <w:i/>
          <w:iCs/>
        </w:rPr>
        <w:t>appui, de préparer les institutions, de dispenser des formations et de suivre les progrès.</w:t>
      </w:r>
      <w:r w:rsidRPr="00BA5C2F">
        <w:t xml:space="preserve"> Le transfert de technologies suppose également l</w:t>
      </w:r>
      <w:r w:rsidR="00F9733D" w:rsidRPr="00BA5C2F">
        <w:t>’</w:t>
      </w:r>
      <w:r w:rsidRPr="00BA5C2F">
        <w:t>existence d</w:t>
      </w:r>
      <w:r w:rsidR="00F9733D" w:rsidRPr="00BA5C2F">
        <w:t>’</w:t>
      </w:r>
      <w:r w:rsidRPr="00BA5C2F">
        <w:t>un financement et la mise en place d</w:t>
      </w:r>
      <w:r w:rsidR="00F9733D" w:rsidRPr="00BA5C2F">
        <w:t>’</w:t>
      </w:r>
      <w:r w:rsidRPr="00BA5C2F">
        <w:t>une collaboration entre les différentes parties prenantes, y compris le donateur et les parties bénéficiaires, à</w:t>
      </w:r>
      <w:r w:rsidR="00F75117" w:rsidRPr="00BA5C2F">
        <w:t> </w:t>
      </w:r>
      <w:r w:rsidRPr="00BA5C2F">
        <w:t>des conditions arrêtées d</w:t>
      </w:r>
      <w:r w:rsidR="00F9733D" w:rsidRPr="00BA5C2F">
        <w:t>’</w:t>
      </w:r>
      <w:r w:rsidRPr="00BA5C2F">
        <w:t>un commun accord. Dans l</w:t>
      </w:r>
      <w:r w:rsidR="00F9733D" w:rsidRPr="00BA5C2F">
        <w:t>’</w:t>
      </w:r>
      <w:r w:rsidRPr="00BA5C2F">
        <w:t>ensemble, le manque de capacités techniques et institutionnelles, l</w:t>
      </w:r>
      <w:r w:rsidR="00F9733D" w:rsidRPr="00BA5C2F">
        <w:t>’</w:t>
      </w:r>
      <w:r w:rsidRPr="00BA5C2F">
        <w:t>insuffisance des financements et l</w:t>
      </w:r>
      <w:r w:rsidR="00F9733D" w:rsidRPr="00BA5C2F">
        <w:t>’</w:t>
      </w:r>
      <w:r w:rsidRPr="00BA5C2F">
        <w:t xml:space="preserve">accès limité aux technologies de remplacement sont les principales difficultés recensées par les Parties dans leurs rapports nationaux </w:t>
      </w:r>
      <w:r w:rsidR="00E47944" w:rsidRPr="00BA5C2F">
        <w:t>en</w:t>
      </w:r>
      <w:r w:rsidRPr="00BA5C2F">
        <w:t xml:space="preserve"> ce qui concerne le transfert de technologies dans le cadre de la Convention. De tels obstacles compromettent à leur tour les capacités des Parties à réaliser des inventaires, à acquérir des technologies de remplacement, à bâtir les infrastructures voulues, à élaborer des cadres réglementaires et à renforcer les capacités d</w:t>
      </w:r>
      <w:r w:rsidR="00F9733D" w:rsidRPr="00BA5C2F">
        <w:t>’</w:t>
      </w:r>
      <w:r w:rsidRPr="00BA5C2F">
        <w:t>absorption de leurs institutions nationales. Les enseignements tirés des études de cas soulignent en outre l</w:t>
      </w:r>
      <w:r w:rsidR="00F9733D" w:rsidRPr="00BA5C2F">
        <w:t>’</w:t>
      </w:r>
      <w:r w:rsidRPr="00BA5C2F">
        <w:t>importance d</w:t>
      </w:r>
      <w:r w:rsidR="00F9733D" w:rsidRPr="00BA5C2F">
        <w:t>’</w:t>
      </w:r>
      <w:r w:rsidRPr="00BA5C2F">
        <w:t>un environnement favorable à l</w:t>
      </w:r>
      <w:r w:rsidR="00F9733D" w:rsidRPr="00BA5C2F">
        <w:t>’</w:t>
      </w:r>
      <w:r w:rsidRPr="00BA5C2F">
        <w:t>adoption des technologies</w:t>
      </w:r>
      <w:r w:rsidR="00245E41" w:rsidRPr="00BA5C2F">
        <w:t> ;</w:t>
      </w:r>
    </w:p>
    <w:p w14:paraId="5504547F" w14:textId="77777777" w:rsidR="0061442B" w:rsidRPr="00BA5C2F" w:rsidRDefault="008467B7" w:rsidP="0061442B">
      <w:pPr>
        <w:pStyle w:val="Normalnumber"/>
        <w:numPr>
          <w:ilvl w:val="0"/>
          <w:numId w:val="21"/>
        </w:numPr>
        <w:tabs>
          <w:tab w:val="clear" w:pos="1247"/>
          <w:tab w:val="clear" w:pos="1814"/>
          <w:tab w:val="clear" w:pos="2381"/>
          <w:tab w:val="clear" w:pos="2495"/>
          <w:tab w:val="clear" w:pos="2948"/>
          <w:tab w:val="clear" w:pos="3119"/>
          <w:tab w:val="clear" w:pos="3515"/>
          <w:tab w:val="clear" w:pos="3742"/>
          <w:tab w:val="clear" w:pos="4366"/>
          <w:tab w:val="left" w:pos="624"/>
        </w:tabs>
        <w:ind w:left="1247" w:firstLine="624"/>
      </w:pPr>
      <w:r w:rsidRPr="00BA5C2F">
        <w:rPr>
          <w:i/>
          <w:iCs/>
        </w:rPr>
        <w:t>La collaboration avec les cadres et accords multilatéraux connexes sur l</w:t>
      </w:r>
      <w:r w:rsidR="00F9733D" w:rsidRPr="00BA5C2F">
        <w:rPr>
          <w:i/>
          <w:iCs/>
        </w:rPr>
        <w:t>’</w:t>
      </w:r>
      <w:r w:rsidRPr="00BA5C2F">
        <w:rPr>
          <w:i/>
          <w:iCs/>
        </w:rPr>
        <w:t>environnement contribue au transfert de technologies et, par conséquent, à des progrès d</w:t>
      </w:r>
      <w:r w:rsidR="00F9733D" w:rsidRPr="00BA5C2F">
        <w:rPr>
          <w:i/>
          <w:iCs/>
        </w:rPr>
        <w:t>’</w:t>
      </w:r>
      <w:r w:rsidRPr="00BA5C2F">
        <w:rPr>
          <w:i/>
          <w:iCs/>
        </w:rPr>
        <w:t>ensemble dans la réalisation de l</w:t>
      </w:r>
      <w:r w:rsidR="00F9733D" w:rsidRPr="00BA5C2F">
        <w:rPr>
          <w:i/>
          <w:iCs/>
        </w:rPr>
        <w:t>’</w:t>
      </w:r>
      <w:r w:rsidRPr="00BA5C2F">
        <w:rPr>
          <w:i/>
          <w:iCs/>
        </w:rPr>
        <w:t>objectif de la Convention de Minamata.</w:t>
      </w:r>
      <w:r w:rsidRPr="00BA5C2F">
        <w:t xml:space="preserve"> L</w:t>
      </w:r>
      <w:r w:rsidR="00F9733D" w:rsidRPr="00BA5C2F">
        <w:t>’</w:t>
      </w:r>
      <w:r w:rsidRPr="00BA5C2F">
        <w:t>étude souligne les avantages et l</w:t>
      </w:r>
      <w:r w:rsidR="00F9733D" w:rsidRPr="00BA5C2F">
        <w:t>’</w:t>
      </w:r>
      <w:r w:rsidRPr="00BA5C2F">
        <w:t>importance pour la mise en œuvre de la Convention de Minamata d</w:t>
      </w:r>
      <w:r w:rsidR="00F9733D" w:rsidRPr="00BA5C2F">
        <w:t>’</w:t>
      </w:r>
      <w:r w:rsidRPr="00BA5C2F">
        <w:t>une coopération technique avec les cadres connexes, tels que la Convention de Bâle sur le contrôle des mouvements transfrontières de déchets dangereux et de leur élimination, la Convention de Rotterdam sur la procédure de consentement préalable en connaissance de cause applicable à certains produits chimiques et pesticides dangereux qui font l</w:t>
      </w:r>
      <w:r w:rsidR="00F9733D" w:rsidRPr="00BA5C2F">
        <w:t>’</w:t>
      </w:r>
      <w:r w:rsidRPr="00BA5C2F">
        <w:t>objet d</w:t>
      </w:r>
      <w:r w:rsidR="00F9733D" w:rsidRPr="00BA5C2F">
        <w:t>’</w:t>
      </w:r>
      <w:r w:rsidRPr="00BA5C2F">
        <w:t>un commerce international et la Convention de Stockholm sur les polluants organiques persistant, y compris les centres régionaux des conventions de Bâle et de Stockholm. En outre, la Conférence des Parties a reconnu à plusieurs reprises l</w:t>
      </w:r>
      <w:r w:rsidR="00F9733D" w:rsidRPr="00BA5C2F">
        <w:t>’</w:t>
      </w:r>
      <w:r w:rsidRPr="00BA5C2F">
        <w:t>importance des travaux techniques menés par le Partenariat mondial sur le mercure, lequel produit des orientations, des données et des projets pilotes dans le cadre de ses travaux à l</w:t>
      </w:r>
      <w:r w:rsidR="00F9733D" w:rsidRPr="00BA5C2F">
        <w:t>’</w:t>
      </w:r>
      <w:r w:rsidRPr="00BA5C2F">
        <w:t>appui de l</w:t>
      </w:r>
      <w:r w:rsidR="00F9733D" w:rsidRPr="00BA5C2F">
        <w:t>’</w:t>
      </w:r>
      <w:r w:rsidRPr="00BA5C2F">
        <w:t>effort global de mise en œuvre</w:t>
      </w:r>
      <w:r w:rsidRPr="00BA5C2F">
        <w:rPr>
          <w:rStyle w:val="FootnoteReference"/>
        </w:rPr>
        <w:footnoteReference w:id="6"/>
      </w:r>
      <w:r w:rsidRPr="00BA5C2F">
        <w:t>. Il est possible d</w:t>
      </w:r>
      <w:r w:rsidR="00F9733D" w:rsidRPr="00BA5C2F">
        <w:t>’</w:t>
      </w:r>
      <w:r w:rsidRPr="00BA5C2F">
        <w:t>étendre ce type de coopération à d</w:t>
      </w:r>
      <w:r w:rsidR="00F9733D" w:rsidRPr="00BA5C2F">
        <w:t>’</w:t>
      </w:r>
      <w:r w:rsidRPr="00BA5C2F">
        <w:t>autres cadres et accords multilatéraux sur l</w:t>
      </w:r>
      <w:r w:rsidR="00F9733D" w:rsidRPr="00BA5C2F">
        <w:t>’</w:t>
      </w:r>
      <w:r w:rsidRPr="00BA5C2F">
        <w:t>environnement</w:t>
      </w:r>
      <w:r w:rsidR="008B03C2" w:rsidRPr="00BA5C2F">
        <w:t> ;</w:t>
      </w:r>
    </w:p>
    <w:p w14:paraId="79163A15" w14:textId="08B9A53A" w:rsidR="008467B7" w:rsidRPr="00BA5C2F" w:rsidRDefault="008467B7" w:rsidP="0061442B">
      <w:pPr>
        <w:pStyle w:val="Normalnumber"/>
        <w:numPr>
          <w:ilvl w:val="0"/>
          <w:numId w:val="21"/>
        </w:numPr>
        <w:tabs>
          <w:tab w:val="clear" w:pos="1247"/>
          <w:tab w:val="clear" w:pos="1814"/>
          <w:tab w:val="clear" w:pos="2381"/>
          <w:tab w:val="clear" w:pos="2495"/>
          <w:tab w:val="clear" w:pos="2948"/>
          <w:tab w:val="clear" w:pos="3119"/>
          <w:tab w:val="clear" w:pos="3515"/>
          <w:tab w:val="clear" w:pos="3742"/>
          <w:tab w:val="clear" w:pos="4366"/>
          <w:tab w:val="left" w:pos="624"/>
        </w:tabs>
        <w:ind w:left="1247" w:firstLine="624"/>
      </w:pPr>
      <w:r w:rsidRPr="00BA5C2F">
        <w:rPr>
          <w:i/>
          <w:iCs/>
        </w:rPr>
        <w:t>Certains besoins, obstacles et perspectives en matière de transfert de technologies devraient être évalués de manière plus approfondie afin d</w:t>
      </w:r>
      <w:r w:rsidR="00F9733D" w:rsidRPr="00BA5C2F">
        <w:rPr>
          <w:i/>
          <w:iCs/>
        </w:rPr>
        <w:t>’</w:t>
      </w:r>
      <w:r w:rsidRPr="00BA5C2F">
        <w:rPr>
          <w:i/>
          <w:iCs/>
        </w:rPr>
        <w:t>aider les Parties à mettre en œuvre la Convention.</w:t>
      </w:r>
      <w:r w:rsidRPr="00BA5C2F">
        <w:t xml:space="preserve"> Les Parties qui sont des pays en développement ou des pays à économie en transition peuvent demander au secrétariat de faciliter l</w:t>
      </w:r>
      <w:r w:rsidR="00F9733D" w:rsidRPr="00BA5C2F">
        <w:t>’</w:t>
      </w:r>
      <w:r w:rsidRPr="00BA5C2F">
        <w:t>octroi d</w:t>
      </w:r>
      <w:r w:rsidR="00F9733D" w:rsidRPr="00BA5C2F">
        <w:t>’</w:t>
      </w:r>
      <w:r w:rsidRPr="00BA5C2F">
        <w:t>une assistance à leur égard, comme le prévoit l</w:t>
      </w:r>
      <w:r w:rsidR="00F9733D" w:rsidRPr="00BA5C2F">
        <w:t>’</w:t>
      </w:r>
      <w:r w:rsidRPr="00BA5C2F">
        <w:t>alinéa</w:t>
      </w:r>
      <w:r w:rsidR="00582686" w:rsidRPr="00BA5C2F">
        <w:t> </w:t>
      </w:r>
      <w:r w:rsidRPr="00BA5C2F">
        <w:t>b) du paragraphe</w:t>
      </w:r>
      <w:r w:rsidR="007D4E4F" w:rsidRPr="00BA5C2F">
        <w:t> </w:t>
      </w:r>
      <w:r w:rsidRPr="00BA5C2F">
        <w:t>2 de l</w:t>
      </w:r>
      <w:r w:rsidR="00F9733D" w:rsidRPr="00BA5C2F">
        <w:t>’</w:t>
      </w:r>
      <w:r w:rsidRPr="00BA5C2F">
        <w:t>article</w:t>
      </w:r>
      <w:r w:rsidR="007D4E4F" w:rsidRPr="00BA5C2F">
        <w:t> </w:t>
      </w:r>
      <w:r w:rsidRPr="00BA5C2F">
        <w:t>24, notamment en matière de transfert de technologies. En</w:t>
      </w:r>
      <w:r w:rsidR="00582686" w:rsidRPr="00BA5C2F">
        <w:t> </w:t>
      </w:r>
      <w:r w:rsidRPr="00BA5C2F">
        <w:t>outre, une enquête pourrait être menée à l</w:t>
      </w:r>
      <w:r w:rsidR="00F9733D" w:rsidRPr="00BA5C2F">
        <w:t>’</w:t>
      </w:r>
      <w:r w:rsidRPr="00BA5C2F">
        <w:t>échelle de la Convention, afin de mieux comprendre certains besoins, obstacles et perspectives technologiques. Cela pourrait faire partie d</w:t>
      </w:r>
      <w:r w:rsidR="00F9733D" w:rsidRPr="00BA5C2F">
        <w:t>’</w:t>
      </w:r>
      <w:r w:rsidRPr="00BA5C2F">
        <w:t xml:space="preserve">un exercice distinct qui ferait fond sur les informations fournies dans les rapports nationaux. </w:t>
      </w:r>
    </w:p>
    <w:p w14:paraId="64BF40AC" w14:textId="136B5499" w:rsidR="008467B7" w:rsidRPr="00BA5C2F" w:rsidRDefault="00EA0502" w:rsidP="00A569D1">
      <w:pPr>
        <w:pStyle w:val="CH2"/>
        <w:tabs>
          <w:tab w:val="left" w:pos="4990"/>
        </w:tabs>
        <w:ind w:right="624"/>
      </w:pPr>
      <w:r w:rsidRPr="00BA5C2F">
        <w:tab/>
      </w:r>
      <w:r w:rsidR="00A569D1" w:rsidRPr="00BA5C2F">
        <w:rPr>
          <w:bCs/>
        </w:rPr>
        <w:t>B.</w:t>
      </w:r>
      <w:r w:rsidR="00C620FC" w:rsidRPr="00BA5C2F">
        <w:tab/>
      </w:r>
      <w:r w:rsidRPr="00BA5C2F">
        <w:rPr>
          <w:bCs/>
        </w:rPr>
        <w:t xml:space="preserve">Élaboration et </w:t>
      </w:r>
      <w:r w:rsidRPr="00BA5C2F">
        <w:rPr>
          <w:rFonts w:eastAsia="Times New Roman"/>
          <w:lang w:eastAsia="en-US"/>
        </w:rPr>
        <w:t>diffusion</w:t>
      </w:r>
      <w:r w:rsidRPr="00BA5C2F">
        <w:rPr>
          <w:bCs/>
        </w:rPr>
        <w:t xml:space="preserve"> d</w:t>
      </w:r>
      <w:r w:rsidR="00F9733D" w:rsidRPr="00BA5C2F">
        <w:rPr>
          <w:bCs/>
        </w:rPr>
        <w:t>’</w:t>
      </w:r>
      <w:r w:rsidRPr="00BA5C2F">
        <w:rPr>
          <w:bCs/>
        </w:rPr>
        <w:t>outils et de supports de formation</w:t>
      </w:r>
    </w:p>
    <w:p w14:paraId="1820E8DE" w14:textId="7E7B4BDA" w:rsidR="008467B7" w:rsidRPr="00BA5C2F" w:rsidRDefault="008467B7" w:rsidP="00A569D1">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Conformément aux fonctions du secrétariat définies à l</w:t>
      </w:r>
      <w:r w:rsidR="00F9733D" w:rsidRPr="00BA5C2F">
        <w:t>’</w:t>
      </w:r>
      <w:r w:rsidRPr="00BA5C2F">
        <w:t>article</w:t>
      </w:r>
      <w:r w:rsidR="00CD5B18" w:rsidRPr="00BA5C2F">
        <w:t> </w:t>
      </w:r>
      <w:r w:rsidRPr="00BA5C2F">
        <w:t>24 de la Convention et comme demandé au paragraphe</w:t>
      </w:r>
      <w:r w:rsidR="001868AD" w:rsidRPr="00BA5C2F">
        <w:t> </w:t>
      </w:r>
      <w:r w:rsidRPr="00BA5C2F">
        <w:t>3 de la décision MC-5/12, le secrétariat a intensifié l</w:t>
      </w:r>
      <w:r w:rsidR="00F9733D" w:rsidRPr="00BA5C2F">
        <w:t>’</w:t>
      </w:r>
      <w:r w:rsidRPr="00BA5C2F">
        <w:t>élaboration et la diffusion d</w:t>
      </w:r>
      <w:r w:rsidR="00F9733D" w:rsidRPr="00BA5C2F">
        <w:t>’</w:t>
      </w:r>
      <w:r w:rsidRPr="00BA5C2F">
        <w:t>outils et de supports de formation et d</w:t>
      </w:r>
      <w:r w:rsidR="00F9733D" w:rsidRPr="00BA5C2F">
        <w:t>’</w:t>
      </w:r>
      <w:r w:rsidRPr="00BA5C2F">
        <w:t>information relatifs à la mise en œuvre des obligations des Parties au titre de la Convention de Minamata, ainsi que de supports de formation et d</w:t>
      </w:r>
      <w:r w:rsidR="00F9733D" w:rsidRPr="00BA5C2F">
        <w:t>’</w:t>
      </w:r>
      <w:r w:rsidRPr="00BA5C2F">
        <w:t>information pour la tenue d</w:t>
      </w:r>
      <w:r w:rsidR="00F9733D" w:rsidRPr="00BA5C2F">
        <w:t>’</w:t>
      </w:r>
      <w:r w:rsidRPr="00BA5C2F">
        <w:t>activités transversales de renforcement des capacités, y compris une formation sur le thème « genre et commerce ». Il s</w:t>
      </w:r>
      <w:r w:rsidR="00F9733D" w:rsidRPr="00BA5C2F">
        <w:t>’</w:t>
      </w:r>
      <w:r w:rsidRPr="00BA5C2F">
        <w:t>agit notamment de documents donnant suite aux recommandations formulées dans le rapport du Comité de mise en œuvre et du respect des obligations à la cinquième réunion de la Conférence des Parties (UNEP/MC/COP.5/14) qui visaient le renforcement des capacités de mise en œuvre des articles 4, 7 et 11 de la Convention.</w:t>
      </w:r>
    </w:p>
    <w:p w14:paraId="00B4DD5B" w14:textId="795934BA" w:rsidR="0028323A" w:rsidRPr="00BA5C2F" w:rsidRDefault="008467B7" w:rsidP="00A569D1">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Depuis 2020, le secrétariat a organisé cinq « saisons » de sessions de formation en ligne intitulées « Minamata Online », dans le but de fournir des informations scientifiques et techniques, des informations relatives à l</w:t>
      </w:r>
      <w:r w:rsidR="00F9733D" w:rsidRPr="00BA5C2F">
        <w:t>’</w:t>
      </w:r>
      <w:r w:rsidRPr="00BA5C2F">
        <w:t>application des articles de la Convention et des informations sur les questions devant être examinées par la Conférence des Parties</w:t>
      </w:r>
      <w:r w:rsidR="00BB121C" w:rsidRPr="00BA5C2F">
        <w:rPr>
          <w:rStyle w:val="FootnoteReference"/>
        </w:rPr>
        <w:footnoteReference w:id="7"/>
      </w:r>
      <w:r w:rsidRPr="00BA5C2F">
        <w:t>. La cinquième saison, qui a eu lieu de</w:t>
      </w:r>
      <w:r w:rsidR="006A498C" w:rsidRPr="00BA5C2F">
        <w:t> </w:t>
      </w:r>
      <w:r w:rsidRPr="00BA5C2F">
        <w:t>mars 2024 à avril 2025, avait pour but d</w:t>
      </w:r>
      <w:r w:rsidR="00F9733D" w:rsidRPr="00BA5C2F">
        <w:t>’</w:t>
      </w:r>
      <w:r w:rsidRPr="00BA5C2F">
        <w:t>aider les Parties dans leurs travaux sur diverses questions intéressant la Convention, y compris les produits contenant du mercure ajouté, le commerce, l</w:t>
      </w:r>
      <w:r w:rsidR="00F9733D" w:rsidRPr="00BA5C2F">
        <w:t>’</w:t>
      </w:r>
      <w:r w:rsidRPr="00BA5C2F">
        <w:t>offre et les déchets de mercure, les préparatifs du deuxième cycle d</w:t>
      </w:r>
      <w:r w:rsidR="00F9733D" w:rsidRPr="00BA5C2F">
        <w:t>’</w:t>
      </w:r>
      <w:r w:rsidRPr="00BA5C2F">
        <w:t>établissement des rapports nationaux complets, la prise en compte des considérations relatives aux populations en situation de vulnérabilité et la mise en œuvre du plan d</w:t>
      </w:r>
      <w:r w:rsidR="00F9733D" w:rsidRPr="00BA5C2F">
        <w:t>’</w:t>
      </w:r>
      <w:r w:rsidRPr="00BA5C2F">
        <w:t>action relatif à l</w:t>
      </w:r>
      <w:r w:rsidR="00F9733D" w:rsidRPr="00BA5C2F">
        <w:t>’</w:t>
      </w:r>
      <w:r w:rsidRPr="00BA5C2F">
        <w:t>égalité des genres, ainsi que de fournir des informations supplémentaires sur les synergies entre la Convention de Minamata et le Cadre mondial de la biodiversité de Kunming-Montréal</w:t>
      </w:r>
      <w:r w:rsidRPr="00BA5C2F">
        <w:rPr>
          <w:vertAlign w:val="superscript"/>
        </w:rPr>
        <w:footnoteReference w:id="8"/>
      </w:r>
      <w:r w:rsidRPr="00BA5C2F">
        <w:t>. La session sur l</w:t>
      </w:r>
      <w:r w:rsidR="00F9733D" w:rsidRPr="00BA5C2F">
        <w:t>’</w:t>
      </w:r>
      <w:r w:rsidRPr="00BA5C2F">
        <w:t>article</w:t>
      </w:r>
      <w:r w:rsidR="005F75C5" w:rsidRPr="00BA5C2F">
        <w:t> </w:t>
      </w:r>
      <w:r w:rsidRPr="00BA5C2F">
        <w:t>4 (produits contenant du mercure ajouté), tenue en juin et juillet 2024, a été financée par l</w:t>
      </w:r>
      <w:r w:rsidR="00F9733D" w:rsidRPr="00BA5C2F">
        <w:t>’</w:t>
      </w:r>
      <w:r w:rsidRPr="00BA5C2F">
        <w:t>Union européenne, et la session sur l</w:t>
      </w:r>
      <w:r w:rsidR="00F9733D" w:rsidRPr="00BA5C2F">
        <w:t>’</w:t>
      </w:r>
      <w:r w:rsidRPr="00BA5C2F">
        <w:t>article</w:t>
      </w:r>
      <w:r w:rsidR="00A6216C" w:rsidRPr="00BA5C2F">
        <w:t> </w:t>
      </w:r>
      <w:r w:rsidRPr="00BA5C2F">
        <w:t>11</w:t>
      </w:r>
      <w:r w:rsidR="00A6216C" w:rsidRPr="00BA5C2F">
        <w:t> </w:t>
      </w:r>
      <w:r w:rsidRPr="00BA5C2F">
        <w:t>(déchets de mercure), tenue en novembre et décembre 2024, a été financée par la Suisse. Ces deux sessions se sont déroulées dans les six langues officielles de l</w:t>
      </w:r>
      <w:r w:rsidR="00F9733D" w:rsidRPr="00BA5C2F">
        <w:t>’</w:t>
      </w:r>
      <w:r w:rsidRPr="00BA5C2F">
        <w:t>Organisation des Nations</w:t>
      </w:r>
      <w:r w:rsidR="00005A8B" w:rsidRPr="00BA5C2F">
        <w:t> </w:t>
      </w:r>
      <w:r w:rsidRPr="00BA5C2F">
        <w:t>Unies. Le secrétariat envisage de créer d</w:t>
      </w:r>
      <w:r w:rsidR="00F9733D" w:rsidRPr="00BA5C2F">
        <w:t>’</w:t>
      </w:r>
      <w:r w:rsidRPr="00BA5C2F">
        <w:t>autres outils d</w:t>
      </w:r>
      <w:r w:rsidR="00F9733D" w:rsidRPr="00BA5C2F">
        <w:t>’</w:t>
      </w:r>
      <w:r w:rsidRPr="00BA5C2F">
        <w:t>apprentissage en ligne, sous réserve de la mise à disposition de ressources à cette fin.</w:t>
      </w:r>
    </w:p>
    <w:p w14:paraId="3E772C56" w14:textId="739D5913" w:rsidR="008467B7" w:rsidRPr="00BA5C2F" w:rsidRDefault="008467B7" w:rsidP="00A569D1">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En 2024, le secrétariat a lancé la plateforme Minamata Tools, laquelle propose des modules de formation interactifs pour aider les Parties à comprendre leurs obligations au titre de la Convention et à s</w:t>
      </w:r>
      <w:r w:rsidR="00F9733D" w:rsidRPr="00BA5C2F">
        <w:t>’</w:t>
      </w:r>
      <w:r w:rsidRPr="00BA5C2F">
        <w:t>en acquitter</w:t>
      </w:r>
      <w:r w:rsidRPr="00BA5C2F">
        <w:rPr>
          <w:vertAlign w:val="superscript"/>
        </w:rPr>
        <w:footnoteReference w:id="9"/>
      </w:r>
      <w:r w:rsidRPr="00BA5C2F">
        <w:t>. Conçus en collaboration avec l</w:t>
      </w:r>
      <w:r w:rsidR="00F9733D" w:rsidRPr="00BA5C2F">
        <w:t>’</w:t>
      </w:r>
      <w:r w:rsidRPr="00BA5C2F">
        <w:t>École des cadres des Nations Unies et financés par l</w:t>
      </w:r>
      <w:r w:rsidR="00F9733D" w:rsidRPr="00BA5C2F">
        <w:t>’</w:t>
      </w:r>
      <w:r w:rsidRPr="00BA5C2F">
        <w:t>Union européenne, les modules couvrent des domaines prioritaires, tels que les sources d</w:t>
      </w:r>
      <w:r w:rsidR="00F9733D" w:rsidRPr="00BA5C2F">
        <w:t>’</w:t>
      </w:r>
      <w:r w:rsidRPr="00BA5C2F">
        <w:t>approvisionnement en mercure et le commerce du mercure, les produits contenant du mercure ajouté et les procédés recourant au mercure, les émissions et l</w:t>
      </w:r>
      <w:r w:rsidR="00F9733D" w:rsidRPr="00BA5C2F">
        <w:t>’</w:t>
      </w:r>
      <w:r w:rsidRPr="00BA5C2F">
        <w:t xml:space="preserve">établissement des rapports nationaux. </w:t>
      </w:r>
    </w:p>
    <w:p w14:paraId="7CECBF86" w14:textId="3B0B39E5" w:rsidR="008467B7" w:rsidRPr="00BA5C2F" w:rsidRDefault="007D7516" w:rsidP="00A569D1">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En guise de troisième format d</w:t>
      </w:r>
      <w:r w:rsidR="00F9733D" w:rsidRPr="00BA5C2F">
        <w:t>’</w:t>
      </w:r>
      <w:r w:rsidRPr="00BA5C2F">
        <w:t>apprentissage, le secrétariat a organisé un certain nombre d</w:t>
      </w:r>
      <w:r w:rsidR="00F9733D" w:rsidRPr="00BA5C2F">
        <w:t>’</w:t>
      </w:r>
      <w:r w:rsidRPr="00BA5C2F">
        <w:t xml:space="preserve">ateliers et de réunions en </w:t>
      </w:r>
      <w:r w:rsidR="00880A01" w:rsidRPr="00BA5C2F">
        <w:t>présentiel</w:t>
      </w:r>
      <w:r w:rsidRPr="00BA5C2F">
        <w:t>, y compris en marge de réunions régionales ou autres. Ces</w:t>
      </w:r>
      <w:r w:rsidR="00E22C0F" w:rsidRPr="00BA5C2F">
        <w:t> </w:t>
      </w:r>
      <w:r w:rsidRPr="00BA5C2F">
        <w:t>ateliers et réunions ont notamment compris</w:t>
      </w:r>
      <w:r w:rsidR="00C620FC" w:rsidRPr="00BA5C2F">
        <w:t> :</w:t>
      </w:r>
      <w:r w:rsidRPr="00BA5C2F">
        <w:t xml:space="preserve"> </w:t>
      </w:r>
    </w:p>
    <w:p w14:paraId="217C612E" w14:textId="7EBB6DB5" w:rsidR="008467B7" w:rsidRPr="00BA5C2F" w:rsidRDefault="00E25835" w:rsidP="003C71DC">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Un atelier consacré au commerce du mercure, financé par l</w:t>
      </w:r>
      <w:r w:rsidR="00F9733D" w:rsidRPr="00BA5C2F">
        <w:t>’</w:t>
      </w:r>
      <w:r w:rsidRPr="00BA5C2F">
        <w:t>Union européenne et tenu aux Philippines en juin 2024, en marge du forum mondial du programme planetGOLD sur l</w:t>
      </w:r>
      <w:r w:rsidR="00F9733D" w:rsidRPr="00BA5C2F">
        <w:t>’</w:t>
      </w:r>
      <w:r w:rsidRPr="00BA5C2F">
        <w:t>extraction minière artisanale et à petite échelle d</w:t>
      </w:r>
      <w:r w:rsidR="00F9733D" w:rsidRPr="00BA5C2F">
        <w:t>’</w:t>
      </w:r>
      <w:r w:rsidRPr="00BA5C2F">
        <w:t>or financé par le FEM</w:t>
      </w:r>
      <w:r w:rsidR="00C620FC" w:rsidRPr="00BA5C2F">
        <w:t> ;</w:t>
      </w:r>
    </w:p>
    <w:p w14:paraId="3BA8F1F6" w14:textId="0D0532D0" w:rsidR="008467B7" w:rsidRPr="00BA5C2F" w:rsidRDefault="00735DB8" w:rsidP="00F755B8">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Un atelier spécialisé sur l</w:t>
      </w:r>
      <w:r w:rsidR="00F9733D" w:rsidRPr="00BA5C2F">
        <w:t>’</w:t>
      </w:r>
      <w:r w:rsidRPr="00BA5C2F">
        <w:t>inventaire des émissions de mercure, financé par l</w:t>
      </w:r>
      <w:r w:rsidR="00F9733D" w:rsidRPr="00BA5C2F">
        <w:t>’</w:t>
      </w:r>
      <w:r w:rsidRPr="00BA5C2F">
        <w:t>Union</w:t>
      </w:r>
      <w:r w:rsidR="00E928D2" w:rsidRPr="00BA5C2F">
        <w:t> </w:t>
      </w:r>
      <w:r w:rsidRPr="00BA5C2F">
        <w:t>européenne et tenu en Afrique du Sud en juillet 2024, en marge de la seizième Conférence internationale sur le mercure en tant que polluant mondial</w:t>
      </w:r>
      <w:r w:rsidR="008467B7" w:rsidRPr="00BA5C2F">
        <w:rPr>
          <w:rStyle w:val="FootnoteReference"/>
        </w:rPr>
        <w:footnoteReference w:id="10"/>
      </w:r>
      <w:r w:rsidR="00C620FC" w:rsidRPr="00BA5C2F">
        <w:t> ;</w:t>
      </w:r>
    </w:p>
    <w:p w14:paraId="5B573272" w14:textId="027F1848" w:rsidR="008467B7" w:rsidRPr="00BA5C2F" w:rsidRDefault="00735DB8" w:rsidP="00F755B8">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Des ateliers financés par l</w:t>
      </w:r>
      <w:r w:rsidR="00F9733D" w:rsidRPr="00BA5C2F">
        <w:t>’</w:t>
      </w:r>
      <w:r w:rsidRPr="00BA5C2F">
        <w:t>Union européenne et tenus en mai et juin 2024 en partenariat avec l</w:t>
      </w:r>
      <w:r w:rsidR="00F9733D" w:rsidRPr="00BA5C2F">
        <w:t>’</w:t>
      </w:r>
      <w:r w:rsidRPr="00BA5C2F">
        <w:t xml:space="preserve">Université Macquarie, </w:t>
      </w:r>
      <w:r w:rsidR="00894E06" w:rsidRPr="00BA5C2F">
        <w:t xml:space="preserve">qui concernaient </w:t>
      </w:r>
      <w:r w:rsidRPr="00BA5C2F">
        <w:t>l</w:t>
      </w:r>
      <w:r w:rsidR="00F9733D" w:rsidRPr="00BA5C2F">
        <w:t>’</w:t>
      </w:r>
      <w:r w:rsidRPr="00BA5C2F">
        <w:t>habilitation de projets sur l</w:t>
      </w:r>
      <w:r w:rsidR="00F9733D" w:rsidRPr="00BA5C2F">
        <w:t>’</w:t>
      </w:r>
      <w:r w:rsidRPr="00BA5C2F">
        <w:t>article</w:t>
      </w:r>
      <w:r w:rsidR="00E928D2" w:rsidRPr="00BA5C2F">
        <w:t> </w:t>
      </w:r>
      <w:r w:rsidRPr="00BA5C2F">
        <w:t>8</w:t>
      </w:r>
      <w:r w:rsidR="00E928D2" w:rsidRPr="00BA5C2F">
        <w:t> </w:t>
      </w:r>
      <w:r w:rsidRPr="00BA5C2F">
        <w:t xml:space="preserve">(émissions) et </w:t>
      </w:r>
      <w:r w:rsidR="00894E06" w:rsidRPr="00BA5C2F">
        <w:t xml:space="preserve">visaient à aider </w:t>
      </w:r>
      <w:r w:rsidRPr="00BA5C2F">
        <w:t>l</w:t>
      </w:r>
      <w:r w:rsidR="00F9733D" w:rsidRPr="00BA5C2F">
        <w:t>’</w:t>
      </w:r>
      <w:r w:rsidRPr="00BA5C2F">
        <w:t>Afrique du Sud, le Pakistan et le Viet Nam dans la mise en</w:t>
      </w:r>
      <w:r w:rsidR="006E0143" w:rsidRPr="00BA5C2F">
        <w:t> </w:t>
      </w:r>
      <w:r w:rsidRPr="00BA5C2F">
        <w:t>œuvre de l</w:t>
      </w:r>
      <w:r w:rsidR="00F9733D" w:rsidRPr="00BA5C2F">
        <w:t>’</w:t>
      </w:r>
      <w:r w:rsidRPr="00BA5C2F">
        <w:t>article 8</w:t>
      </w:r>
      <w:r w:rsidR="00C620FC" w:rsidRPr="00BA5C2F">
        <w:t> ;</w:t>
      </w:r>
      <w:r w:rsidRPr="00BA5C2F">
        <w:t xml:space="preserve"> </w:t>
      </w:r>
    </w:p>
    <w:p w14:paraId="3B373594" w14:textId="4E00696E" w:rsidR="008467B7" w:rsidRPr="00BA5C2F" w:rsidRDefault="00735DB8" w:rsidP="00F755B8">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Une session sur l</w:t>
      </w:r>
      <w:r w:rsidR="00F9733D" w:rsidRPr="00BA5C2F">
        <w:t>’</w:t>
      </w:r>
      <w:r w:rsidRPr="00BA5C2F">
        <w:t>article</w:t>
      </w:r>
      <w:r w:rsidR="001C41A9" w:rsidRPr="00BA5C2F">
        <w:t> </w:t>
      </w:r>
      <w:r w:rsidRPr="00BA5C2F">
        <w:t>12 (sites contaminés) financée par la Suisse et tenue à</w:t>
      </w:r>
      <w:r w:rsidR="000B1FB9" w:rsidRPr="00BA5C2F">
        <w:t> </w:t>
      </w:r>
      <w:r w:rsidRPr="00BA5C2F">
        <w:t>la</w:t>
      </w:r>
      <w:r w:rsidR="000B1FB9" w:rsidRPr="00BA5C2F">
        <w:t> </w:t>
      </w:r>
      <w:r w:rsidRPr="00BA5C2F">
        <w:t>quinzième réunion de l</w:t>
      </w:r>
      <w:r w:rsidR="00F9733D" w:rsidRPr="00BA5C2F">
        <w:t>’</w:t>
      </w:r>
      <w:r w:rsidRPr="00BA5C2F">
        <w:t>International Committee on Contaminated Land</w:t>
      </w:r>
      <w:r w:rsidR="008467B7" w:rsidRPr="00BA5C2F">
        <w:rPr>
          <w:rStyle w:val="FootnoteReference"/>
        </w:rPr>
        <w:footnoteReference w:id="11"/>
      </w:r>
      <w:r w:rsidRPr="00BA5C2F">
        <w:t>, à Berne (Suisse) en</w:t>
      </w:r>
      <w:r w:rsidR="000B1FB9" w:rsidRPr="00BA5C2F">
        <w:t> </w:t>
      </w:r>
      <w:r w:rsidRPr="00BA5C2F">
        <w:t>octobre 2024.</w:t>
      </w:r>
    </w:p>
    <w:p w14:paraId="7431015E" w14:textId="45C7576A" w:rsidR="00E507F5" w:rsidRPr="00BA5C2F" w:rsidRDefault="008467B7" w:rsidP="00F755B8">
      <w:pPr>
        <w:pStyle w:val="ListParagraph"/>
        <w:numPr>
          <w:ilvl w:val="0"/>
          <w:numId w:val="16"/>
        </w:numPr>
      </w:pPr>
      <w:r w:rsidRPr="00BA5C2F">
        <w:t>Les membres du personnel du secrétariat participent au renforcement des capacités et à l</w:t>
      </w:r>
      <w:r w:rsidR="00F9733D" w:rsidRPr="00BA5C2F">
        <w:t>’</w:t>
      </w:r>
      <w:r w:rsidRPr="00BA5C2F">
        <w:t>assistance technique dans le cadre de leurs tâches principales. Les activités menées par le secrétariat en lien avec le renforcement des capacités, l</w:t>
      </w:r>
      <w:r w:rsidR="00F9733D" w:rsidRPr="00BA5C2F">
        <w:t>’</w:t>
      </w:r>
      <w:r w:rsidRPr="00BA5C2F">
        <w:t>assistance technique et le transfert de technologies, autres que celles visant à faciliter des travaux et celles exécutées par l</w:t>
      </w:r>
      <w:r w:rsidR="00F9733D" w:rsidRPr="00BA5C2F">
        <w:t>’</w:t>
      </w:r>
      <w:r w:rsidRPr="00BA5C2F">
        <w:t>intermédiaire du mécanisme de financement, sont réalisées au moyen de contributions volontaires au fonds d</w:t>
      </w:r>
      <w:r w:rsidR="00F9733D" w:rsidRPr="00BA5C2F">
        <w:t>’</w:t>
      </w:r>
      <w:r w:rsidRPr="00BA5C2F">
        <w:t>affectation spéciale. Pour la période biennale 202</w:t>
      </w:r>
      <w:r w:rsidR="006D26AB" w:rsidRPr="00BA5C2F">
        <w:t>6</w:t>
      </w:r>
      <w:r w:rsidR="00DD50F9" w:rsidRPr="00BA5C2F">
        <w:t>-</w:t>
      </w:r>
      <w:r w:rsidRPr="00BA5C2F">
        <w:t>202</w:t>
      </w:r>
      <w:r w:rsidR="006D26AB" w:rsidRPr="00BA5C2F">
        <w:t>7</w:t>
      </w:r>
      <w:r w:rsidRPr="00BA5C2F">
        <w:t>, le programme de travail assorti d</w:t>
      </w:r>
      <w:r w:rsidR="00F9733D" w:rsidRPr="00BA5C2F">
        <w:t>’</w:t>
      </w:r>
      <w:r w:rsidRPr="00BA5C2F">
        <w:t>une fiche descriptive des activités inscrites au budget en matière de renforcement des capacités et d</w:t>
      </w:r>
      <w:r w:rsidR="00F9733D" w:rsidRPr="00BA5C2F">
        <w:t>’</w:t>
      </w:r>
      <w:r w:rsidRPr="00BA5C2F">
        <w:t>assistance technique donne un aperçu des travaux que le secrétariat prévoit d</w:t>
      </w:r>
      <w:r w:rsidR="00F9733D" w:rsidRPr="00BA5C2F">
        <w:t>’</w:t>
      </w:r>
      <w:r w:rsidRPr="00BA5C2F">
        <w:t>entreprendre, au moyen des contributions au fonds d</w:t>
      </w:r>
      <w:r w:rsidR="00F9733D" w:rsidRPr="00BA5C2F">
        <w:t>’</w:t>
      </w:r>
      <w:r w:rsidRPr="00BA5C2F">
        <w:t>affectation spéciale comme décrit dans le document UNEP/MC/COP.6/INF/38. Le secrétariat propose, sous réserve de la disponibilité de ressources, de concevoir la plateforme d</w:t>
      </w:r>
      <w:r w:rsidR="00F9733D" w:rsidRPr="00BA5C2F">
        <w:t>’</w:t>
      </w:r>
      <w:r w:rsidRPr="00BA5C2F">
        <w:t>échange d</w:t>
      </w:r>
      <w:r w:rsidR="00F9733D" w:rsidRPr="00BA5C2F">
        <w:t>’</w:t>
      </w:r>
      <w:r w:rsidRPr="00BA5C2F">
        <w:t>informations sur la Convention de Minamata (Minamata Exchange Platform), telle que présentée dans le document UNEP/MC/COP.6/INF/26, en tant qu</w:t>
      </w:r>
      <w:r w:rsidR="00F9733D" w:rsidRPr="00BA5C2F">
        <w:t>’</w:t>
      </w:r>
      <w:r w:rsidRPr="00BA5C2F">
        <w:t>activité transversale liée à la gestion des connaissances (voir le document UNEP/MC/COP.6/19) qui vise à aider à renforcer les capacités des Parties et des parties prenantes de manière efficace, par la fourniture d</w:t>
      </w:r>
      <w:r w:rsidR="00F9733D" w:rsidRPr="00BA5C2F">
        <w:t>’</w:t>
      </w:r>
      <w:r w:rsidRPr="00BA5C2F">
        <w:t>un accès centralisé aux connaissances scientifiques, techniques et juridiques liées à la mise en œuvre.</w:t>
      </w:r>
    </w:p>
    <w:p w14:paraId="453CEE84" w14:textId="6C739CD3" w:rsidR="008467B7" w:rsidRPr="00BA5C2F" w:rsidRDefault="008467B7" w:rsidP="00A569D1">
      <w:pPr>
        <w:pStyle w:val="CH2"/>
        <w:tabs>
          <w:tab w:val="left" w:pos="4990"/>
        </w:tabs>
        <w:ind w:right="624"/>
      </w:pPr>
      <w:r w:rsidRPr="00BA5C2F">
        <w:tab/>
      </w:r>
      <w:r w:rsidR="00A569D1" w:rsidRPr="00BA5C2F">
        <w:rPr>
          <w:bCs/>
        </w:rPr>
        <w:t>C.</w:t>
      </w:r>
      <w:r w:rsidR="00C620FC" w:rsidRPr="00BA5C2F">
        <w:tab/>
      </w:r>
      <w:r w:rsidRPr="00BA5C2F">
        <w:rPr>
          <w:bCs/>
        </w:rPr>
        <w:t xml:space="preserve">Poursuite et </w:t>
      </w:r>
      <w:r w:rsidRPr="00BA5C2F">
        <w:rPr>
          <w:rFonts w:eastAsia="Times New Roman"/>
          <w:lang w:eastAsia="en-US"/>
        </w:rPr>
        <w:t>renforcement</w:t>
      </w:r>
      <w:r w:rsidRPr="00BA5C2F">
        <w:rPr>
          <w:bCs/>
        </w:rPr>
        <w:t xml:space="preserve"> de la coopération avec le Partenariat mondial sur</w:t>
      </w:r>
      <w:r w:rsidR="00A569D1" w:rsidRPr="00BA5C2F">
        <w:rPr>
          <w:bCs/>
        </w:rPr>
        <w:t> </w:t>
      </w:r>
      <w:r w:rsidRPr="00BA5C2F">
        <w:rPr>
          <w:bCs/>
        </w:rPr>
        <w:t>le mercure</w:t>
      </w:r>
    </w:p>
    <w:p w14:paraId="4D971565" w14:textId="6C5B2B90" w:rsidR="008467B7" w:rsidRPr="00BA5C2F" w:rsidRDefault="008467B7" w:rsidP="00A569D1">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Au paragraphe</w:t>
      </w:r>
      <w:r w:rsidR="00597C56" w:rsidRPr="00BA5C2F">
        <w:t> </w:t>
      </w:r>
      <w:r w:rsidRPr="00BA5C2F">
        <w:t>9 de sa décision MC-5/12, la Conférence des Parties a prié le secrétariat, sous réserve de la disponibilité de ressources, de poursuivre et de renforcer la coopération avec le Partenariat mondial sur le mercure, et de participer avec celui-ci à l</w:t>
      </w:r>
      <w:r w:rsidR="00F9733D" w:rsidRPr="00BA5C2F">
        <w:t>’</w:t>
      </w:r>
      <w:r w:rsidRPr="00BA5C2F">
        <w:t>examen des options permettant d</w:t>
      </w:r>
      <w:r w:rsidR="00F9733D" w:rsidRPr="00BA5C2F">
        <w:t>’</w:t>
      </w:r>
      <w:r w:rsidRPr="00BA5C2F">
        <w:t>améliorer le programme de renforcement des capacités, d</w:t>
      </w:r>
      <w:r w:rsidR="00F9733D" w:rsidRPr="00BA5C2F">
        <w:t>’</w:t>
      </w:r>
      <w:r w:rsidRPr="00BA5C2F">
        <w:t>assistance technique et de transfert de technologies du secrétariat et d</w:t>
      </w:r>
      <w:r w:rsidR="00F9733D" w:rsidRPr="00BA5C2F">
        <w:t>’</w:t>
      </w:r>
      <w:r w:rsidRPr="00BA5C2F">
        <w:t>améliorer l</w:t>
      </w:r>
      <w:r w:rsidR="00F9733D" w:rsidRPr="00BA5C2F">
        <w:t>’</w:t>
      </w:r>
      <w:r w:rsidRPr="00BA5C2F">
        <w:t>appui aux Parties qui coopèrent pour fournir un renforcement des capacités et une assistance technique conformément au paragraphe 1 de l</w:t>
      </w:r>
      <w:r w:rsidR="00F9733D" w:rsidRPr="00BA5C2F">
        <w:t>’</w:t>
      </w:r>
      <w:r w:rsidRPr="00BA5C2F">
        <w:t>article</w:t>
      </w:r>
      <w:r w:rsidR="00DD50F9" w:rsidRPr="00BA5C2F">
        <w:t> </w:t>
      </w:r>
      <w:r w:rsidRPr="00BA5C2F">
        <w:t xml:space="preserve">14. </w:t>
      </w:r>
    </w:p>
    <w:p w14:paraId="381C9C8F" w14:textId="192FFC04" w:rsidR="008467B7" w:rsidRPr="00BA5C2F" w:rsidRDefault="008467B7" w:rsidP="00A569D1">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Le secrétariat a coopéré avec le Partenariat de plusieurs manières, notamment les suivantes</w:t>
      </w:r>
      <w:r w:rsidR="00C620FC" w:rsidRPr="00BA5C2F">
        <w:t> :</w:t>
      </w:r>
    </w:p>
    <w:p w14:paraId="3CAEDDC3" w14:textId="390FEF61" w:rsidR="008467B7" w:rsidRPr="00BA5C2F" w:rsidRDefault="00EE3EB0" w:rsidP="00F755B8">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Participation, avec des représentant(e)s du Partenariat, à des réunions pour l</w:t>
      </w:r>
      <w:r w:rsidR="00F9733D" w:rsidRPr="00BA5C2F">
        <w:t>’</w:t>
      </w:r>
      <w:r w:rsidRPr="00BA5C2F">
        <w:t>élaboration et la mise en œuvre de projets financés par le FEM, auxquels le Partenariat contribue souvent au moyen d</w:t>
      </w:r>
      <w:r w:rsidR="00F9733D" w:rsidRPr="00BA5C2F">
        <w:t>’</w:t>
      </w:r>
      <w:r w:rsidRPr="00BA5C2F">
        <w:t>un appui technique ciblé</w:t>
      </w:r>
      <w:r w:rsidR="008467B7" w:rsidRPr="00BA5C2F">
        <w:rPr>
          <w:rStyle w:val="FootnoteReference"/>
        </w:rPr>
        <w:footnoteReference w:id="12"/>
      </w:r>
      <w:r w:rsidR="00C620FC" w:rsidRPr="00BA5C2F">
        <w:t> ;</w:t>
      </w:r>
    </w:p>
    <w:p w14:paraId="1B7E4414" w14:textId="24E16B14" w:rsidR="008467B7" w:rsidRPr="00BA5C2F" w:rsidRDefault="001076E3" w:rsidP="00F755B8">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Association du Partenariat à l</w:t>
      </w:r>
      <w:r w:rsidR="00F9733D" w:rsidRPr="00BA5C2F">
        <w:t>’</w:t>
      </w:r>
      <w:r w:rsidRPr="00BA5C2F">
        <w:t>examen des demandes présentées dans le cadre du quatrième</w:t>
      </w:r>
      <w:r w:rsidR="00E10938" w:rsidRPr="00BA5C2F">
        <w:t> </w:t>
      </w:r>
      <w:r w:rsidRPr="00BA5C2F">
        <w:t>cycle de dépôt de demandes auprès du Programme international spécifique, ainsi qu</w:t>
      </w:r>
      <w:r w:rsidR="00F9733D" w:rsidRPr="00BA5C2F">
        <w:t>’</w:t>
      </w:r>
      <w:r w:rsidRPr="00BA5C2F">
        <w:t>à la mise en œuvre d</w:t>
      </w:r>
      <w:r w:rsidR="00F9733D" w:rsidRPr="00BA5C2F">
        <w:t>’</w:t>
      </w:r>
      <w:r w:rsidRPr="00BA5C2F">
        <w:t>un certain nombre de projets financés par ce dernier</w:t>
      </w:r>
      <w:r w:rsidR="00C620FC" w:rsidRPr="00BA5C2F">
        <w:t> ;</w:t>
      </w:r>
    </w:p>
    <w:p w14:paraId="56067C9F" w14:textId="65C7BDB1" w:rsidR="008467B7" w:rsidRPr="00BA5C2F" w:rsidRDefault="001076E3" w:rsidP="00F755B8">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Association du Partenariat aux projets de renforcement des capacités du secrétariat, tels</w:t>
      </w:r>
      <w:r w:rsidR="00A86030" w:rsidRPr="00BA5C2F">
        <w:t> </w:t>
      </w:r>
      <w:r w:rsidRPr="00BA5C2F">
        <w:t>que les ateliers visés au paragraphe</w:t>
      </w:r>
      <w:r w:rsidR="003D1FF2" w:rsidRPr="00BA5C2F">
        <w:t> </w:t>
      </w:r>
      <w:r w:rsidRPr="00BA5C2F">
        <w:t>10 ci-dessus</w:t>
      </w:r>
      <w:r w:rsidR="00C620FC" w:rsidRPr="00BA5C2F">
        <w:t> ;</w:t>
      </w:r>
      <w:r w:rsidRPr="00BA5C2F">
        <w:t xml:space="preserve"> </w:t>
      </w:r>
    </w:p>
    <w:p w14:paraId="51E7B2EE" w14:textId="34211454" w:rsidR="008467B7" w:rsidRPr="00BA5C2F" w:rsidRDefault="001076E3" w:rsidP="00F755B8">
      <w:pPr>
        <w:pStyle w:val="Normalnumber"/>
        <w:numPr>
          <w:ilvl w:val="1"/>
          <w:numId w:val="16"/>
        </w:numPr>
        <w:tabs>
          <w:tab w:val="clear" w:pos="567"/>
          <w:tab w:val="clear" w:pos="1247"/>
          <w:tab w:val="clear" w:pos="1814"/>
          <w:tab w:val="clear" w:pos="2381"/>
          <w:tab w:val="clear" w:pos="2948"/>
          <w:tab w:val="clear" w:pos="3515"/>
          <w:tab w:val="left" w:pos="624"/>
        </w:tabs>
        <w:ind w:firstLine="624"/>
      </w:pPr>
      <w:r w:rsidRPr="00BA5C2F">
        <w:t xml:space="preserve">Contribution aux projets et aux manifestations de renforcement des capacités et de </w:t>
      </w:r>
      <w:proofErr w:type="gramStart"/>
      <w:r w:rsidRPr="00BA5C2F">
        <w:t>sensibilisation organisés</w:t>
      </w:r>
      <w:proofErr w:type="gramEnd"/>
      <w:r w:rsidRPr="00BA5C2F">
        <w:t xml:space="preserve"> par le Partenariat, tels que la formation des agent(e)s des douanes mise en</w:t>
      </w:r>
      <w:r w:rsidR="00F94C9A" w:rsidRPr="00BA5C2F">
        <w:t> </w:t>
      </w:r>
      <w:r w:rsidRPr="00BA5C2F">
        <w:t>œuvre par le Programme des Nations Unies pour l</w:t>
      </w:r>
      <w:r w:rsidR="00F9733D" w:rsidRPr="00BA5C2F">
        <w:t>’</w:t>
      </w:r>
      <w:r w:rsidRPr="00BA5C2F">
        <w:t>environnement et financée par le Japon, des manifestations parallèles aux réunions des conférences des Parties aux conventions de Bâle, de Rotterdam et de Stockholm et des webinaires sur les amalgames dentaires et les lampes d</w:t>
      </w:r>
      <w:r w:rsidR="00F9733D" w:rsidRPr="00BA5C2F">
        <w:t>’</w:t>
      </w:r>
      <w:r w:rsidRPr="00BA5C2F">
        <w:t>éclairage sans mercure.</w:t>
      </w:r>
    </w:p>
    <w:p w14:paraId="40C84621" w14:textId="6ADDB68E" w:rsidR="008467B7" w:rsidRPr="00BA5C2F" w:rsidRDefault="008467B7" w:rsidP="00A569D1">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 xml:space="preserve">Outre les activités susvisées </w:t>
      </w:r>
      <w:r w:rsidR="006D26AB" w:rsidRPr="00BA5C2F">
        <w:t>en matière de</w:t>
      </w:r>
      <w:r w:rsidRPr="00BA5C2F">
        <w:t xml:space="preserve"> renforcement des capacités, d</w:t>
      </w:r>
      <w:r w:rsidR="00F9733D" w:rsidRPr="00BA5C2F">
        <w:t>’</w:t>
      </w:r>
      <w:r w:rsidRPr="00BA5C2F">
        <w:t>assistance technique et de transfert de technologies, le secrétariat a également pris part aux activités relatives aux programmes du Partenariat. Ainsi, le secrétariat a associé le Partenariat à l</w:t>
      </w:r>
      <w:r w:rsidR="00F9733D" w:rsidRPr="00BA5C2F">
        <w:t>’</w:t>
      </w:r>
      <w:r w:rsidRPr="00BA5C2F">
        <w:t>élaboration d</w:t>
      </w:r>
      <w:r w:rsidR="00F9733D" w:rsidRPr="00BA5C2F">
        <w:t>’</w:t>
      </w:r>
      <w:r w:rsidRPr="00BA5C2F">
        <w:t>un projet d</w:t>
      </w:r>
      <w:r w:rsidR="00F9733D" w:rsidRPr="00BA5C2F">
        <w:t>’</w:t>
      </w:r>
      <w:r w:rsidRPr="00BA5C2F">
        <w:t>orientations supplémentaires sur l</w:t>
      </w:r>
      <w:r w:rsidR="00F9733D" w:rsidRPr="00BA5C2F">
        <w:t>’</w:t>
      </w:r>
      <w:r w:rsidRPr="00BA5C2F">
        <w:t>examen de la mise en œuvre de l</w:t>
      </w:r>
      <w:r w:rsidR="00F9733D" w:rsidRPr="00BA5C2F">
        <w:t>’</w:t>
      </w:r>
      <w:r w:rsidRPr="00BA5C2F">
        <w:t>article</w:t>
      </w:r>
      <w:r w:rsidR="00597C56" w:rsidRPr="00BA5C2F">
        <w:t> </w:t>
      </w:r>
      <w:r w:rsidRPr="00BA5C2F">
        <w:t>7 de la Convention, à</w:t>
      </w:r>
      <w:r w:rsidR="00A06B55" w:rsidRPr="00BA5C2F">
        <w:t> </w:t>
      </w:r>
      <w:r w:rsidRPr="00BA5C2F">
        <w:t>la</w:t>
      </w:r>
      <w:r w:rsidR="00A06B55" w:rsidRPr="00BA5C2F">
        <w:t> </w:t>
      </w:r>
      <w:r w:rsidRPr="00BA5C2F">
        <w:t>préparation de mises à jour des orientations sur les stocks et les sources, adoptées dans la</w:t>
      </w:r>
      <w:r w:rsidR="00A06B55" w:rsidRPr="00BA5C2F">
        <w:t> </w:t>
      </w:r>
      <w:r w:rsidRPr="00BA5C2F">
        <w:t>décision</w:t>
      </w:r>
      <w:r w:rsidR="00A06B55" w:rsidRPr="00BA5C2F">
        <w:t> </w:t>
      </w:r>
      <w:r w:rsidRPr="00BA5C2F">
        <w:t>MC-1/2, et à l</w:t>
      </w:r>
      <w:r w:rsidR="00F9733D" w:rsidRPr="00BA5C2F">
        <w:t>’</w:t>
      </w:r>
      <w:r w:rsidRPr="00BA5C2F">
        <w:t>élaboration du rapport sur les produits cosmétiques contenant du mercure ajouté et de l</w:t>
      </w:r>
      <w:r w:rsidR="00F9733D" w:rsidRPr="00BA5C2F">
        <w:t>’</w:t>
      </w:r>
      <w:r w:rsidRPr="00BA5C2F">
        <w:t>étude sur le commerce des composés du mercure. Les expert(e)s désigné(e)s par le Partenariat contribuent également aux travaux du Groupe de l</w:t>
      </w:r>
      <w:r w:rsidR="00F9733D" w:rsidRPr="00BA5C2F">
        <w:t>’</w:t>
      </w:r>
      <w:r w:rsidRPr="00BA5C2F">
        <w:t>évaluation de l</w:t>
      </w:r>
      <w:r w:rsidR="00F9733D" w:rsidRPr="00BA5C2F">
        <w:t>’</w:t>
      </w:r>
      <w:r w:rsidRPr="00BA5C2F">
        <w:t>efficacité et du Groupe</w:t>
      </w:r>
      <w:r w:rsidR="00EF20D5" w:rsidRPr="00BA5C2F">
        <w:t> </w:t>
      </w:r>
      <w:r w:rsidRPr="00BA5C2F">
        <w:t xml:space="preserve">scientifique à composition non limitée. Enfin, le secrétariat participe à titre consultatif aux réunions du Groupe consultatif du partenariat, aux réunions des chef(fe)s de file des domaines du Partenariat et aux réunions relatives à chaque domaine du Partenariat. </w:t>
      </w:r>
    </w:p>
    <w:p w14:paraId="5E372884" w14:textId="77777777" w:rsidR="008467B7" w:rsidRPr="00BA5C2F" w:rsidRDefault="008467B7" w:rsidP="00A569D1">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On trouvera de plus amples informations sur les activités entreprises dans le cadre du Partenariat depuis la cinquième réunion de la Conférence des Parties dans le document UNEP/MC/COP.6/INF/32.</w:t>
      </w:r>
    </w:p>
    <w:p w14:paraId="051A4991" w14:textId="08F35E02" w:rsidR="008467B7" w:rsidRPr="00BA5C2F" w:rsidRDefault="008467B7" w:rsidP="00A569D1">
      <w:pPr>
        <w:pStyle w:val="CH1"/>
        <w:tabs>
          <w:tab w:val="left" w:pos="4990"/>
        </w:tabs>
      </w:pPr>
      <w:r w:rsidRPr="00BA5C2F">
        <w:tab/>
      </w:r>
      <w:r w:rsidR="00A569D1" w:rsidRPr="00BA5C2F">
        <w:t>III.</w:t>
      </w:r>
      <w:r w:rsidR="00C620FC" w:rsidRPr="00BA5C2F">
        <w:tab/>
      </w:r>
      <w:r w:rsidRPr="00BA5C2F">
        <w:rPr>
          <w:bCs/>
        </w:rPr>
        <w:t xml:space="preserve">Mesures que </w:t>
      </w:r>
      <w:r w:rsidRPr="00BA5C2F">
        <w:rPr>
          <w:rFonts w:eastAsia="Times New Roman"/>
          <w:lang w:eastAsia="en-US"/>
        </w:rPr>
        <w:t>pourrait</w:t>
      </w:r>
      <w:r w:rsidRPr="00BA5C2F">
        <w:rPr>
          <w:bCs/>
        </w:rPr>
        <w:t xml:space="preserve"> prendre la Conférence des Parties</w:t>
      </w:r>
    </w:p>
    <w:p w14:paraId="5C84EB95" w14:textId="4714C480" w:rsidR="008467B7" w:rsidRPr="00BA5C2F" w:rsidRDefault="008467B7" w:rsidP="00A569D1">
      <w:pPr>
        <w:pStyle w:val="Normalnumber"/>
        <w:numPr>
          <w:ilvl w:val="0"/>
          <w:numId w:val="16"/>
        </w:numPr>
        <w:tabs>
          <w:tab w:val="clear" w:pos="567"/>
          <w:tab w:val="clear" w:pos="1247"/>
          <w:tab w:val="clear" w:pos="1814"/>
          <w:tab w:val="clear" w:pos="2381"/>
          <w:tab w:val="clear" w:pos="2495"/>
          <w:tab w:val="clear" w:pos="2948"/>
          <w:tab w:val="clear" w:pos="3119"/>
          <w:tab w:val="clear" w:pos="3515"/>
          <w:tab w:val="clear" w:pos="3742"/>
          <w:tab w:val="clear" w:pos="4366"/>
          <w:tab w:val="num" w:pos="624"/>
        </w:tabs>
      </w:pPr>
      <w:r w:rsidRPr="00BA5C2F">
        <w:t>La Conférence des Parties souhaitera peut-être examiner les informations contenues dans la présente note et dans le document UNEP/MC/COP.6/INF/18 et adopter une décision libellée conformément au texte qui figure dans l</w:t>
      </w:r>
      <w:r w:rsidR="00F9733D" w:rsidRPr="00BA5C2F">
        <w:t>’</w:t>
      </w:r>
      <w:r w:rsidRPr="00BA5C2F">
        <w:t>annexe de la présente note.</w:t>
      </w:r>
    </w:p>
    <w:p w14:paraId="442AEF1C" w14:textId="77777777" w:rsidR="00EA77B3" w:rsidRPr="00BA5C2F" w:rsidRDefault="00EA77B3" w:rsidP="00EA77B3">
      <w:pPr>
        <w:pStyle w:val="Normalnumber"/>
        <w:tabs>
          <w:tab w:val="clear" w:pos="1247"/>
          <w:tab w:val="clear" w:pos="1814"/>
          <w:tab w:val="clear" w:pos="2381"/>
          <w:tab w:val="clear" w:pos="2948"/>
          <w:tab w:val="clear" w:pos="3515"/>
        </w:tabs>
        <w:ind w:left="1247"/>
        <w:sectPr w:rsidR="00EA77B3" w:rsidRPr="00BA5C2F" w:rsidSect="00F755B8">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pPr>
    </w:p>
    <w:p w14:paraId="724E9DE6" w14:textId="77777777" w:rsidR="008467B7" w:rsidRPr="00BA5C2F" w:rsidRDefault="008467B7" w:rsidP="005A2A20">
      <w:pPr>
        <w:pStyle w:val="ZZAnxheader"/>
      </w:pPr>
      <w:r w:rsidRPr="00BA5C2F">
        <w:t>Annexe</w:t>
      </w:r>
    </w:p>
    <w:p w14:paraId="4D0C7A8A" w14:textId="4AA4605C" w:rsidR="008467B7" w:rsidRPr="00BA5C2F" w:rsidRDefault="008467B7" w:rsidP="005A2A20">
      <w:pPr>
        <w:pStyle w:val="ZZAnxtitle"/>
        <w:rPr>
          <w:rStyle w:val="eop"/>
        </w:rPr>
      </w:pPr>
      <w:r w:rsidRPr="00BA5C2F">
        <w:t>Projet de décision MC-6</w:t>
      </w:r>
      <w:proofErr w:type="gramStart"/>
      <w:r w:rsidRPr="00BA5C2F">
        <w:t>/[</w:t>
      </w:r>
      <w:proofErr w:type="gramEnd"/>
      <w:r w:rsidRPr="00BA5C2F">
        <w:t>--]</w:t>
      </w:r>
      <w:r w:rsidR="00C620FC" w:rsidRPr="00BA5C2F">
        <w:t> :</w:t>
      </w:r>
      <w:r w:rsidRPr="00BA5C2F">
        <w:t xml:space="preserve"> Mise en œuvre de</w:t>
      </w:r>
      <w:r w:rsidR="00E45844" w:rsidRPr="00BA5C2F">
        <w:t> </w:t>
      </w:r>
      <w:r w:rsidRPr="00BA5C2F">
        <w:t>l</w:t>
      </w:r>
      <w:r w:rsidR="00F9733D" w:rsidRPr="00BA5C2F">
        <w:t>’</w:t>
      </w:r>
      <w:r w:rsidRPr="00BA5C2F">
        <w:t>article</w:t>
      </w:r>
      <w:r w:rsidR="00E45844" w:rsidRPr="00BA5C2F">
        <w:t> </w:t>
      </w:r>
      <w:r w:rsidRPr="00BA5C2F">
        <w:t>14</w:t>
      </w:r>
      <w:r w:rsidR="004D7645" w:rsidRPr="00BA5C2F">
        <w:t xml:space="preserve"> </w:t>
      </w:r>
      <w:r w:rsidRPr="00BA5C2F">
        <w:t>de</w:t>
      </w:r>
      <w:r w:rsidR="00E45844" w:rsidRPr="00BA5C2F">
        <w:t> </w:t>
      </w:r>
      <w:r w:rsidRPr="00BA5C2F">
        <w:t>la</w:t>
      </w:r>
      <w:r w:rsidR="00E45844" w:rsidRPr="00BA5C2F">
        <w:t> </w:t>
      </w:r>
      <w:r w:rsidRPr="00BA5C2F">
        <w:t>Convention de Minamata sur le mercure relatif au</w:t>
      </w:r>
      <w:r w:rsidR="00E45844" w:rsidRPr="00BA5C2F">
        <w:t> </w:t>
      </w:r>
      <w:r w:rsidRPr="00BA5C2F">
        <w:t>renforcement des capacités, à l</w:t>
      </w:r>
      <w:r w:rsidR="00F9733D" w:rsidRPr="00BA5C2F">
        <w:t>’</w:t>
      </w:r>
      <w:r w:rsidRPr="00BA5C2F">
        <w:t>assistance technique et</w:t>
      </w:r>
      <w:r w:rsidR="00E45844" w:rsidRPr="00BA5C2F">
        <w:t> </w:t>
      </w:r>
      <w:r w:rsidRPr="00BA5C2F">
        <w:t>au</w:t>
      </w:r>
      <w:r w:rsidR="00E45844" w:rsidRPr="00BA5C2F">
        <w:t> </w:t>
      </w:r>
      <w:r w:rsidRPr="00BA5C2F">
        <w:t xml:space="preserve">transfert de technologies </w:t>
      </w:r>
    </w:p>
    <w:p w14:paraId="72C5CEE1" w14:textId="77777777" w:rsidR="008467B7" w:rsidRPr="00BA5C2F" w:rsidRDefault="008467B7" w:rsidP="008467B7">
      <w:pPr>
        <w:pStyle w:val="NormalNonumber"/>
        <w:tabs>
          <w:tab w:val="clear" w:pos="1247"/>
        </w:tabs>
        <w:spacing w:before="240"/>
        <w:ind w:firstLine="624"/>
        <w:rPr>
          <w:i/>
          <w:iCs/>
        </w:rPr>
      </w:pPr>
      <w:r w:rsidRPr="00BA5C2F">
        <w:rPr>
          <w:i/>
          <w:iCs/>
        </w:rPr>
        <w:t>La Conférence des Parties</w:t>
      </w:r>
      <w:r w:rsidRPr="00BA5C2F">
        <w:t xml:space="preserve">, </w:t>
      </w:r>
    </w:p>
    <w:p w14:paraId="299E8A45" w14:textId="70CB510D" w:rsidR="008467B7" w:rsidRPr="00BA5C2F" w:rsidRDefault="008467B7" w:rsidP="008467B7">
      <w:pPr>
        <w:pStyle w:val="NormalNonumber"/>
        <w:tabs>
          <w:tab w:val="clear" w:pos="1247"/>
        </w:tabs>
        <w:ind w:firstLine="624"/>
      </w:pPr>
      <w:r w:rsidRPr="00BA5C2F">
        <w:rPr>
          <w:i/>
          <w:iCs/>
        </w:rPr>
        <w:t xml:space="preserve">Rappelant </w:t>
      </w:r>
      <w:r w:rsidRPr="00BA5C2F">
        <w:t>l</w:t>
      </w:r>
      <w:r w:rsidR="00F9733D" w:rsidRPr="00BA5C2F">
        <w:t>’</w:t>
      </w:r>
      <w:r w:rsidRPr="00BA5C2F">
        <w:t>article 14 de la Convention de Minamata sur le mercure relatif au renforcement des capacités, à l</w:t>
      </w:r>
      <w:r w:rsidR="00F9733D" w:rsidRPr="00BA5C2F">
        <w:t>’</w:t>
      </w:r>
      <w:r w:rsidRPr="00BA5C2F">
        <w:t>assistance technique et au transfert de technologies,</w:t>
      </w:r>
    </w:p>
    <w:p w14:paraId="422B4EB6" w14:textId="3EC3A953" w:rsidR="008467B7" w:rsidRPr="00BA5C2F" w:rsidRDefault="008467B7" w:rsidP="008467B7">
      <w:pPr>
        <w:pStyle w:val="NormalNonumber"/>
        <w:tabs>
          <w:tab w:val="clear" w:pos="1247"/>
        </w:tabs>
        <w:ind w:firstLine="624"/>
      </w:pPr>
      <w:r w:rsidRPr="00BA5C2F">
        <w:rPr>
          <w:i/>
          <w:iCs/>
        </w:rPr>
        <w:t xml:space="preserve">Ayant examiné </w:t>
      </w:r>
      <w:r w:rsidRPr="00BA5C2F">
        <w:t>les informations sur les initiatives et les progrès réalisés en matière de technologies de remplacement et accueillant avec satisfaction les enseignements tirés des études de cas sur les succès obtenus dans la mise au point, le transfert et la diffusion de technologies de remplacement, tels qu</w:t>
      </w:r>
      <w:r w:rsidR="00F9733D" w:rsidRPr="00BA5C2F">
        <w:t>’</w:t>
      </w:r>
      <w:r w:rsidRPr="00BA5C2F">
        <w:t>ils lui ont été présentés à sa sixième réunion</w:t>
      </w:r>
      <w:r w:rsidRPr="00BA5C2F">
        <w:rPr>
          <w:rStyle w:val="FootnoteReference"/>
          <w:rFonts w:eastAsia="SimSun"/>
        </w:rPr>
        <w:footnoteReference w:id="13"/>
      </w:r>
      <w:r w:rsidRPr="00BA5C2F">
        <w:t>,</w:t>
      </w:r>
    </w:p>
    <w:p w14:paraId="12776733" w14:textId="15105C84" w:rsidR="008467B7" w:rsidRPr="00BA5C2F" w:rsidRDefault="008467B7" w:rsidP="008467B7">
      <w:pPr>
        <w:pStyle w:val="NormalNonumber"/>
        <w:tabs>
          <w:tab w:val="clear" w:pos="1247"/>
        </w:tabs>
        <w:ind w:firstLine="624"/>
      </w:pPr>
      <w:r w:rsidRPr="00BA5C2F">
        <w:rPr>
          <w:i/>
          <w:iCs/>
        </w:rPr>
        <w:t xml:space="preserve">Notant </w:t>
      </w:r>
      <w:r w:rsidRPr="00BA5C2F">
        <w:t>le manque d</w:t>
      </w:r>
      <w:r w:rsidR="00F9733D" w:rsidRPr="00BA5C2F">
        <w:t>’</w:t>
      </w:r>
      <w:r w:rsidRPr="00BA5C2F">
        <w:t>informations sur les besoins des Parties, en particulier les pays en développement, en ce qui concerne les technologies de remplacement, tout en étant consciente que les efforts actuels constituent un pas en avant pour combler le manque d</w:t>
      </w:r>
      <w:r w:rsidR="00F9733D" w:rsidRPr="00BA5C2F">
        <w:t>’</w:t>
      </w:r>
      <w:r w:rsidRPr="00BA5C2F">
        <w:t>informations et mieux cibler les prochaines interventions spécifiques à l</w:t>
      </w:r>
      <w:r w:rsidR="00F9733D" w:rsidRPr="00BA5C2F">
        <w:t>’</w:t>
      </w:r>
      <w:r w:rsidRPr="00BA5C2F">
        <w:t>appui des Parties,</w:t>
      </w:r>
    </w:p>
    <w:p w14:paraId="09BEC328" w14:textId="2A8B56A5" w:rsidR="008467B7" w:rsidRPr="00BA5C2F" w:rsidRDefault="00674C4B" w:rsidP="008467B7">
      <w:pPr>
        <w:pStyle w:val="NormalNonumber"/>
        <w:tabs>
          <w:tab w:val="clear" w:pos="1247"/>
        </w:tabs>
        <w:ind w:firstLine="624"/>
        <w:rPr>
          <w:i/>
          <w:iCs/>
        </w:rPr>
      </w:pPr>
      <w:r w:rsidRPr="00BA5C2F">
        <w:rPr>
          <w:i/>
          <w:iCs/>
        </w:rPr>
        <w:t>Notant également</w:t>
      </w:r>
      <w:r w:rsidRPr="00BA5C2F">
        <w:t xml:space="preserve"> les difficultés signalées par les Parties, en particulier les pays en développement, en ce qui concerne les technologies de remplacement dans leurs rapports nationaux en application de l</w:t>
      </w:r>
      <w:r w:rsidR="00F9733D" w:rsidRPr="00BA5C2F">
        <w:t>’</w:t>
      </w:r>
      <w:r w:rsidRPr="00BA5C2F">
        <w:t>article</w:t>
      </w:r>
      <w:r w:rsidR="00597C56" w:rsidRPr="00BA5C2F">
        <w:t> </w:t>
      </w:r>
      <w:r w:rsidRPr="00BA5C2F">
        <w:t>21,</w:t>
      </w:r>
    </w:p>
    <w:p w14:paraId="76518EC6" w14:textId="3403DF12" w:rsidR="008467B7" w:rsidRPr="00BA5C2F" w:rsidRDefault="008467B7" w:rsidP="008467B7">
      <w:pPr>
        <w:pStyle w:val="NormalNonumber"/>
        <w:tabs>
          <w:tab w:val="clear" w:pos="1247"/>
        </w:tabs>
        <w:ind w:firstLine="624"/>
      </w:pPr>
      <w:r w:rsidRPr="00BA5C2F">
        <w:rPr>
          <w:i/>
          <w:iCs/>
        </w:rPr>
        <w:t xml:space="preserve">Constatant avec satisfaction </w:t>
      </w:r>
      <w:r w:rsidRPr="00BA5C2F">
        <w:t>l</w:t>
      </w:r>
      <w:r w:rsidR="00F9733D" w:rsidRPr="00BA5C2F">
        <w:t>’</w:t>
      </w:r>
      <w:r w:rsidRPr="00BA5C2F">
        <w:t>existence d</w:t>
      </w:r>
      <w:r w:rsidR="00F9733D" w:rsidRPr="00BA5C2F">
        <w:t>’</w:t>
      </w:r>
      <w:r w:rsidRPr="00BA5C2F">
        <w:t>une base solide pour la collaboration en matière de transfert de technologies entre le secrétariat et le Partenariat mondial sur le mercure, la Convention de Bâle sur le contrôle des mouvements transfrontières de déchets dangereux et de leur élimination, la Convention de Rotterdam sur la procédure de consentement préalable en connaissance de cause applicable à certains produits chimiques et pesticides dangereux qui font l</w:t>
      </w:r>
      <w:r w:rsidR="00F9733D" w:rsidRPr="00BA5C2F">
        <w:t>’</w:t>
      </w:r>
      <w:r w:rsidRPr="00BA5C2F">
        <w:t>objet d</w:t>
      </w:r>
      <w:r w:rsidR="00F9733D" w:rsidRPr="00BA5C2F">
        <w:t>’</w:t>
      </w:r>
      <w:r w:rsidRPr="00BA5C2F">
        <w:t>un commerce international et la Convention de Stockholm sur les polluants organiques persistant, y compris les centres régionaux des conventions de Bâle et de Stockholm,</w:t>
      </w:r>
    </w:p>
    <w:p w14:paraId="31DF3971" w14:textId="45956B2B" w:rsidR="008467B7" w:rsidRPr="00BA5C2F" w:rsidRDefault="008467B7" w:rsidP="00F755B8">
      <w:pPr>
        <w:pStyle w:val="Normal-pool"/>
        <w:numPr>
          <w:ilvl w:val="0"/>
          <w:numId w:val="15"/>
        </w:numPr>
        <w:tabs>
          <w:tab w:val="clear" w:pos="1247"/>
          <w:tab w:val="clear" w:pos="1871"/>
          <w:tab w:val="clear" w:pos="2495"/>
          <w:tab w:val="clear" w:pos="3119"/>
          <w:tab w:val="clear" w:pos="3742"/>
          <w:tab w:val="clear" w:pos="4366"/>
        </w:tabs>
        <w:spacing w:after="120"/>
        <w:ind w:left="1247" w:firstLine="624"/>
      </w:pPr>
      <w:r w:rsidRPr="00BA5C2F">
        <w:rPr>
          <w:i/>
          <w:iCs/>
        </w:rPr>
        <w:t>Invite</w:t>
      </w:r>
      <w:r w:rsidRPr="00BA5C2F">
        <w:t xml:space="preserve"> les Parties qui sont des pays développés et les autres Parties à tenir compte des difficultés recensées en matière d</w:t>
      </w:r>
      <w:r w:rsidR="00F9733D" w:rsidRPr="00BA5C2F">
        <w:t>’</w:t>
      </w:r>
      <w:r w:rsidRPr="00BA5C2F">
        <w:t>adoption de technologies de remplacement, en particulier par la promotion et la facilitation de la mise au point, du transfert et de la diffusion de technologies de remplacement modernes et respectueuses de l</w:t>
      </w:r>
      <w:r w:rsidR="00F9733D" w:rsidRPr="00BA5C2F">
        <w:t>’</w:t>
      </w:r>
      <w:r w:rsidRPr="00BA5C2F">
        <w:t xml:space="preserve">environnement </w:t>
      </w:r>
      <w:r w:rsidR="001F7676" w:rsidRPr="00BA5C2F">
        <w:t>au sein d</w:t>
      </w:r>
      <w:r w:rsidRPr="00BA5C2F">
        <w:t>es Parties qui sont des pays en développement ou des pays à économie en transition</w:t>
      </w:r>
      <w:r w:rsidR="00C620FC" w:rsidRPr="00BA5C2F">
        <w:t> ;</w:t>
      </w:r>
    </w:p>
    <w:p w14:paraId="5BAB7319" w14:textId="41F9ACA6" w:rsidR="008467B7" w:rsidRPr="00BA5C2F" w:rsidRDefault="008467B7" w:rsidP="00F755B8">
      <w:pPr>
        <w:pStyle w:val="Normal-pool"/>
        <w:numPr>
          <w:ilvl w:val="0"/>
          <w:numId w:val="15"/>
        </w:numPr>
        <w:tabs>
          <w:tab w:val="clear" w:pos="1247"/>
          <w:tab w:val="clear" w:pos="1871"/>
          <w:tab w:val="clear" w:pos="2495"/>
          <w:tab w:val="clear" w:pos="3119"/>
          <w:tab w:val="clear" w:pos="3742"/>
          <w:tab w:val="clear" w:pos="4366"/>
        </w:tabs>
        <w:spacing w:after="120"/>
        <w:ind w:left="1247" w:firstLine="624"/>
      </w:pPr>
      <w:r w:rsidRPr="00BA5C2F">
        <w:rPr>
          <w:i/>
          <w:iCs/>
        </w:rPr>
        <w:t xml:space="preserve">Engage </w:t>
      </w:r>
      <w:r w:rsidRPr="00BA5C2F">
        <w:t>les Parties à inclure, dans leurs rapports nationaux en application de l</w:t>
      </w:r>
      <w:r w:rsidR="00F9733D" w:rsidRPr="00BA5C2F">
        <w:t>’</w:t>
      </w:r>
      <w:r w:rsidRPr="00BA5C2F">
        <w:t>article</w:t>
      </w:r>
      <w:r w:rsidR="005F75C5" w:rsidRPr="00BA5C2F">
        <w:t> </w:t>
      </w:r>
      <w:r w:rsidRPr="00BA5C2F">
        <w:t>21, y compris leurs deuxièmes rapports nationaux complets, des informations précises sur la mise au point, le transfert et la diffusion de technologies de remplacement et sur l</w:t>
      </w:r>
      <w:r w:rsidR="00F9733D" w:rsidRPr="00BA5C2F">
        <w:t>’</w:t>
      </w:r>
      <w:r w:rsidRPr="00BA5C2F">
        <w:t>accès à ces technologies, ainsi que sur les difficultés qu</w:t>
      </w:r>
      <w:r w:rsidR="00F9733D" w:rsidRPr="00BA5C2F">
        <w:t>’</w:t>
      </w:r>
      <w:r w:rsidRPr="00BA5C2F">
        <w:t>elles ont rencontrées en matière d</w:t>
      </w:r>
      <w:r w:rsidR="00F9733D" w:rsidRPr="00BA5C2F">
        <w:t>’</w:t>
      </w:r>
      <w:r w:rsidRPr="00BA5C2F">
        <w:t>accès et de transfert de technologies, afin de faciliter l</w:t>
      </w:r>
      <w:r w:rsidR="00F9733D" w:rsidRPr="00BA5C2F">
        <w:t>’</w:t>
      </w:r>
      <w:r w:rsidRPr="00BA5C2F">
        <w:t>examen futur des difficultés et des progrès réalisés</w:t>
      </w:r>
      <w:r w:rsidR="00C620FC" w:rsidRPr="00BA5C2F">
        <w:t> ;</w:t>
      </w:r>
    </w:p>
    <w:p w14:paraId="5B6B781F" w14:textId="6270A02D" w:rsidR="008467B7" w:rsidRPr="00BA5C2F" w:rsidRDefault="008467B7" w:rsidP="00F755B8">
      <w:pPr>
        <w:pStyle w:val="Normal-pool"/>
        <w:numPr>
          <w:ilvl w:val="0"/>
          <w:numId w:val="15"/>
        </w:numPr>
        <w:tabs>
          <w:tab w:val="clear" w:pos="1247"/>
          <w:tab w:val="clear" w:pos="1871"/>
          <w:tab w:val="clear" w:pos="2495"/>
          <w:tab w:val="clear" w:pos="3119"/>
          <w:tab w:val="clear" w:pos="3742"/>
          <w:tab w:val="clear" w:pos="4366"/>
        </w:tabs>
        <w:spacing w:after="120"/>
        <w:ind w:left="1247" w:firstLine="624"/>
      </w:pPr>
      <w:r w:rsidRPr="00BA5C2F">
        <w:rPr>
          <w:i/>
          <w:iCs/>
        </w:rPr>
        <w:t xml:space="preserve">Prie </w:t>
      </w:r>
      <w:r w:rsidRPr="00BA5C2F">
        <w:t>le secrétariat, sous réserve de la disponibilité de ressources, conformément au paragraphe</w:t>
      </w:r>
      <w:r w:rsidR="00B53AA7" w:rsidRPr="00BA5C2F">
        <w:t> </w:t>
      </w:r>
      <w:r w:rsidRPr="00BA5C2F">
        <w:t>4 de l</w:t>
      </w:r>
      <w:r w:rsidR="00F9733D" w:rsidRPr="00BA5C2F">
        <w:t>’</w:t>
      </w:r>
      <w:r w:rsidRPr="00BA5C2F">
        <w:t>article</w:t>
      </w:r>
      <w:r w:rsidR="00B53AA7" w:rsidRPr="00BA5C2F">
        <w:t> </w:t>
      </w:r>
      <w:r w:rsidRPr="00BA5C2F">
        <w:t>14, de poursuivre la collecte et l</w:t>
      </w:r>
      <w:r w:rsidR="00F9733D" w:rsidRPr="00BA5C2F">
        <w:t>’</w:t>
      </w:r>
      <w:r w:rsidRPr="00BA5C2F">
        <w:t>analyse, en collaboration avec le Partenariat mondial sur le mercure, d</w:t>
      </w:r>
      <w:r w:rsidR="00F9733D" w:rsidRPr="00BA5C2F">
        <w:t>’</w:t>
      </w:r>
      <w:r w:rsidRPr="00BA5C2F">
        <w:t>informations sur les initiatives en cours et les progrès accomplis dans le domaine des technologies de remplacement, ainsi que sur les besoins et les difficultés connexes, compte tenu</w:t>
      </w:r>
      <w:r w:rsidR="00C620FC" w:rsidRPr="00BA5C2F">
        <w:t> :</w:t>
      </w:r>
    </w:p>
    <w:p w14:paraId="44EC28A2" w14:textId="7137E0D3" w:rsidR="008467B7" w:rsidRPr="00BA5C2F" w:rsidRDefault="00674C4B" w:rsidP="00164F75">
      <w:pPr>
        <w:pStyle w:val="Normalnumber"/>
        <w:numPr>
          <w:ilvl w:val="1"/>
          <w:numId w:val="16"/>
        </w:numPr>
        <w:tabs>
          <w:tab w:val="clear" w:pos="1247"/>
          <w:tab w:val="clear" w:pos="1814"/>
          <w:tab w:val="clear" w:pos="2381"/>
          <w:tab w:val="clear" w:pos="2948"/>
          <w:tab w:val="clear" w:pos="3515"/>
          <w:tab w:val="left" w:pos="624"/>
        </w:tabs>
        <w:ind w:firstLine="643"/>
      </w:pPr>
      <w:r w:rsidRPr="00BA5C2F">
        <w:t>Des informations que contiendront les futurs rapports nationaux en application de l</w:t>
      </w:r>
      <w:r w:rsidR="00F9733D" w:rsidRPr="00BA5C2F">
        <w:t>’</w:t>
      </w:r>
      <w:r w:rsidRPr="00BA5C2F">
        <w:t>article</w:t>
      </w:r>
      <w:r w:rsidR="00D165D2" w:rsidRPr="00BA5C2F">
        <w:t> </w:t>
      </w:r>
      <w:r w:rsidRPr="00BA5C2F">
        <w:t>21</w:t>
      </w:r>
      <w:r w:rsidR="00C620FC" w:rsidRPr="00BA5C2F">
        <w:t> ;</w:t>
      </w:r>
      <w:r w:rsidRPr="00BA5C2F">
        <w:t xml:space="preserve"> </w:t>
      </w:r>
    </w:p>
    <w:p w14:paraId="32DFB3DB" w14:textId="30579486" w:rsidR="008467B7" w:rsidRPr="00BA5C2F" w:rsidRDefault="00674C4B" w:rsidP="00164F75">
      <w:pPr>
        <w:pStyle w:val="Normalnumber"/>
        <w:numPr>
          <w:ilvl w:val="1"/>
          <w:numId w:val="16"/>
        </w:numPr>
        <w:tabs>
          <w:tab w:val="clear" w:pos="1247"/>
          <w:tab w:val="clear" w:pos="1814"/>
          <w:tab w:val="clear" w:pos="2381"/>
          <w:tab w:val="clear" w:pos="2948"/>
          <w:tab w:val="clear" w:pos="3515"/>
          <w:tab w:val="left" w:pos="624"/>
        </w:tabs>
        <w:ind w:firstLine="643"/>
      </w:pPr>
      <w:r w:rsidRPr="00BA5C2F">
        <w:t>D</w:t>
      </w:r>
      <w:r w:rsidR="00F9733D" w:rsidRPr="00BA5C2F">
        <w:t>’</w:t>
      </w:r>
      <w:r w:rsidRPr="00BA5C2F">
        <w:t>informations supplémentaires recueillies dans le cadre d</w:t>
      </w:r>
      <w:r w:rsidR="00F9733D" w:rsidRPr="00BA5C2F">
        <w:t>’</w:t>
      </w:r>
      <w:r w:rsidRPr="00BA5C2F">
        <w:t>une enquête sur les besoins et les difficultés technologiques</w:t>
      </w:r>
      <w:r w:rsidR="00C620FC" w:rsidRPr="00BA5C2F">
        <w:t> ;</w:t>
      </w:r>
      <w:r w:rsidRPr="00BA5C2F">
        <w:t xml:space="preserve"> </w:t>
      </w:r>
    </w:p>
    <w:p w14:paraId="4B03ACB4" w14:textId="01B6F7F9" w:rsidR="008467B7" w:rsidRPr="00BA5C2F" w:rsidRDefault="00674C4B" w:rsidP="00164F75">
      <w:pPr>
        <w:pStyle w:val="Normalnumber"/>
        <w:numPr>
          <w:ilvl w:val="1"/>
          <w:numId w:val="16"/>
        </w:numPr>
        <w:tabs>
          <w:tab w:val="clear" w:pos="1247"/>
          <w:tab w:val="clear" w:pos="1814"/>
          <w:tab w:val="clear" w:pos="2381"/>
          <w:tab w:val="clear" w:pos="2948"/>
          <w:tab w:val="clear" w:pos="3515"/>
          <w:tab w:val="left" w:pos="624"/>
        </w:tabs>
        <w:ind w:firstLine="643"/>
      </w:pPr>
      <w:r w:rsidRPr="00BA5C2F">
        <w:t>D</w:t>
      </w:r>
      <w:r w:rsidR="00F9733D" w:rsidRPr="00BA5C2F">
        <w:t>’</w:t>
      </w:r>
      <w:r w:rsidRPr="00BA5C2F">
        <w:t xml:space="preserve">autres informations disponibles, y compris des rapports </w:t>
      </w:r>
      <w:r w:rsidR="0091425E" w:rsidRPr="00BA5C2F">
        <w:t xml:space="preserve">sur </w:t>
      </w:r>
      <w:r w:rsidR="002F66F0" w:rsidRPr="00BA5C2F">
        <w:t>l</w:t>
      </w:r>
      <w:r w:rsidR="0091425E" w:rsidRPr="00BA5C2F">
        <w:t xml:space="preserve">es </w:t>
      </w:r>
      <w:r w:rsidRPr="00BA5C2F">
        <w:t>projets financés par le Fonds pour l</w:t>
      </w:r>
      <w:r w:rsidR="00F9733D" w:rsidRPr="00BA5C2F">
        <w:t>’</w:t>
      </w:r>
      <w:r w:rsidRPr="00BA5C2F">
        <w:t>environnement mondial et le Programme international spécifique</w:t>
      </w:r>
      <w:r w:rsidR="0091425E" w:rsidRPr="00BA5C2F">
        <w:t xml:space="preserve"> et les évaluations y</w:t>
      </w:r>
      <w:r w:rsidR="00302C84" w:rsidRPr="00BA5C2F">
        <w:t> </w:t>
      </w:r>
      <w:r w:rsidR="0091425E" w:rsidRPr="00BA5C2F">
        <w:t>relatives</w:t>
      </w:r>
      <w:r w:rsidR="00C620FC" w:rsidRPr="00BA5C2F">
        <w:t> ;</w:t>
      </w:r>
    </w:p>
    <w:p w14:paraId="67054E8E" w14:textId="47835FEA" w:rsidR="008467B7" w:rsidRPr="00BA5C2F" w:rsidRDefault="008467B7" w:rsidP="00F755B8">
      <w:pPr>
        <w:pStyle w:val="Normal-pool"/>
        <w:numPr>
          <w:ilvl w:val="0"/>
          <w:numId w:val="15"/>
        </w:numPr>
        <w:tabs>
          <w:tab w:val="clear" w:pos="1247"/>
          <w:tab w:val="clear" w:pos="1871"/>
          <w:tab w:val="clear" w:pos="2495"/>
          <w:tab w:val="clear" w:pos="3119"/>
          <w:tab w:val="clear" w:pos="3742"/>
          <w:tab w:val="clear" w:pos="4366"/>
        </w:tabs>
        <w:spacing w:after="120"/>
        <w:ind w:left="1247" w:firstLine="624"/>
      </w:pPr>
      <w:r w:rsidRPr="00BA5C2F">
        <w:rPr>
          <w:i/>
          <w:iCs/>
        </w:rPr>
        <w:t>Décide</w:t>
      </w:r>
      <w:r w:rsidRPr="00BA5C2F">
        <w:t xml:space="preserve"> d</w:t>
      </w:r>
      <w:r w:rsidR="00F9733D" w:rsidRPr="00BA5C2F">
        <w:t>’</w:t>
      </w:r>
      <w:r w:rsidRPr="00BA5C2F">
        <w:t>examiner à nouveau, à sa huitième réunion, la question des technologies de remplacement, conformément au paragraphe</w:t>
      </w:r>
      <w:r w:rsidR="00B53AA7" w:rsidRPr="00BA5C2F">
        <w:t> </w:t>
      </w:r>
      <w:r w:rsidRPr="00BA5C2F">
        <w:t>4 de l</w:t>
      </w:r>
      <w:r w:rsidR="00F9733D" w:rsidRPr="00BA5C2F">
        <w:t>’</w:t>
      </w:r>
      <w:r w:rsidRPr="00BA5C2F">
        <w:t>article</w:t>
      </w:r>
      <w:r w:rsidR="00B53AA7" w:rsidRPr="00BA5C2F">
        <w:t> </w:t>
      </w:r>
      <w:r w:rsidRPr="00BA5C2F">
        <w:t>14</w:t>
      </w:r>
      <w:r w:rsidR="00C620FC" w:rsidRPr="00BA5C2F">
        <w:t> ;</w:t>
      </w:r>
      <w:r w:rsidRPr="00BA5C2F">
        <w:t xml:space="preserve"> </w:t>
      </w:r>
    </w:p>
    <w:p w14:paraId="51A37D45" w14:textId="7D8CA994" w:rsidR="008467B7" w:rsidRPr="00BA5C2F" w:rsidRDefault="008467B7" w:rsidP="00F755B8">
      <w:pPr>
        <w:pStyle w:val="Normal-pool"/>
        <w:numPr>
          <w:ilvl w:val="0"/>
          <w:numId w:val="15"/>
        </w:numPr>
        <w:tabs>
          <w:tab w:val="clear" w:pos="1247"/>
          <w:tab w:val="clear" w:pos="1871"/>
          <w:tab w:val="clear" w:pos="2495"/>
          <w:tab w:val="clear" w:pos="3119"/>
          <w:tab w:val="clear" w:pos="3742"/>
          <w:tab w:val="clear" w:pos="4366"/>
        </w:tabs>
        <w:spacing w:after="120"/>
        <w:ind w:left="1247" w:firstLine="624"/>
      </w:pPr>
      <w:r w:rsidRPr="00BA5C2F">
        <w:rPr>
          <w:i/>
          <w:iCs/>
        </w:rPr>
        <w:t xml:space="preserve">Engage </w:t>
      </w:r>
      <w:r w:rsidRPr="00BA5C2F">
        <w:t xml:space="preserve">les Parties, et </w:t>
      </w:r>
      <w:proofErr w:type="gramStart"/>
      <w:r w:rsidRPr="00BA5C2F">
        <w:t>invite les</w:t>
      </w:r>
      <w:proofErr w:type="gramEnd"/>
      <w:r w:rsidRPr="00BA5C2F">
        <w:t xml:space="preserve"> </w:t>
      </w:r>
      <w:proofErr w:type="gramStart"/>
      <w:r w:rsidRPr="00BA5C2F">
        <w:t xml:space="preserve">non </w:t>
      </w:r>
      <w:r w:rsidR="00BC1A57" w:rsidRPr="00BA5C2F">
        <w:t>P</w:t>
      </w:r>
      <w:r w:rsidRPr="00BA5C2F">
        <w:t>arties</w:t>
      </w:r>
      <w:proofErr w:type="gramEnd"/>
      <w:r w:rsidRPr="00BA5C2F">
        <w:t xml:space="preserve"> à la Convention et autres en mesure de le faire, à contribuer au fonds d</w:t>
      </w:r>
      <w:r w:rsidR="00F9733D" w:rsidRPr="00BA5C2F">
        <w:t>’</w:t>
      </w:r>
      <w:r w:rsidRPr="00BA5C2F">
        <w:t>affectation spéciale à des fins déterminées pour la Convention de Minamata, afin de permettre la mise en œuvre des activités de renforcement des capacités énoncées dans le programme de travail pour 2026-2027 assorti de la fiche descriptive des activités inscrites au budget pour le renforcement des capacités et l</w:t>
      </w:r>
      <w:r w:rsidR="00F9733D" w:rsidRPr="00BA5C2F">
        <w:t>’</w:t>
      </w:r>
      <w:r w:rsidRPr="00BA5C2F">
        <w:t>assistance technique (activité 4)</w:t>
      </w:r>
      <w:r w:rsidR="00C620FC" w:rsidRPr="00BA5C2F">
        <w:t> ;</w:t>
      </w:r>
    </w:p>
    <w:p w14:paraId="08099830" w14:textId="6CA9E41E" w:rsidR="008467B7" w:rsidRPr="00BA5C2F" w:rsidRDefault="008467B7" w:rsidP="00F755B8">
      <w:pPr>
        <w:pStyle w:val="Normal-pool"/>
        <w:numPr>
          <w:ilvl w:val="0"/>
          <w:numId w:val="15"/>
        </w:numPr>
        <w:tabs>
          <w:tab w:val="clear" w:pos="1247"/>
          <w:tab w:val="clear" w:pos="1871"/>
          <w:tab w:val="clear" w:pos="2495"/>
          <w:tab w:val="clear" w:pos="3119"/>
          <w:tab w:val="clear" w:pos="3742"/>
          <w:tab w:val="clear" w:pos="4366"/>
        </w:tabs>
        <w:spacing w:after="120"/>
        <w:ind w:left="1247" w:firstLine="624"/>
      </w:pPr>
      <w:r w:rsidRPr="00BA5C2F">
        <w:rPr>
          <w:i/>
          <w:iCs/>
        </w:rPr>
        <w:t>Prend note avec satisfaction</w:t>
      </w:r>
      <w:r w:rsidRPr="00BA5C2F">
        <w:t xml:space="preserve"> des travaux du secrétariat en matière d</w:t>
      </w:r>
      <w:r w:rsidR="00F9733D" w:rsidRPr="00BA5C2F">
        <w:t>’</w:t>
      </w:r>
      <w:r w:rsidRPr="00BA5C2F">
        <w:t>élaboration et de diffusion d</w:t>
      </w:r>
      <w:r w:rsidR="00F9733D" w:rsidRPr="00BA5C2F">
        <w:t>’</w:t>
      </w:r>
      <w:r w:rsidRPr="00BA5C2F">
        <w:t>outils et de supports de formation relatifs à la mise en œuvre des obligations des Parties au titre de la Convention de Minamata</w:t>
      </w:r>
      <w:r w:rsidR="00C620FC" w:rsidRPr="00BA5C2F">
        <w:t> ;</w:t>
      </w:r>
      <w:r w:rsidRPr="00BA5C2F">
        <w:t xml:space="preserve"> </w:t>
      </w:r>
    </w:p>
    <w:p w14:paraId="73200DED" w14:textId="61C2C8C8" w:rsidR="008467B7" w:rsidRPr="00BA5C2F" w:rsidRDefault="008467B7" w:rsidP="00F755B8">
      <w:pPr>
        <w:pStyle w:val="Normal-pool"/>
        <w:numPr>
          <w:ilvl w:val="0"/>
          <w:numId w:val="15"/>
        </w:numPr>
        <w:tabs>
          <w:tab w:val="clear" w:pos="1247"/>
          <w:tab w:val="clear" w:pos="1871"/>
          <w:tab w:val="clear" w:pos="2495"/>
          <w:tab w:val="clear" w:pos="3119"/>
          <w:tab w:val="clear" w:pos="3742"/>
          <w:tab w:val="clear" w:pos="4366"/>
        </w:tabs>
        <w:spacing w:after="120"/>
        <w:ind w:left="1247" w:firstLine="624"/>
      </w:pPr>
      <w:r w:rsidRPr="00BA5C2F">
        <w:rPr>
          <w:i/>
          <w:iCs/>
        </w:rPr>
        <w:t>Prie</w:t>
      </w:r>
      <w:r w:rsidRPr="00BA5C2F">
        <w:t xml:space="preserve"> le secrétariat de continuer à fournir un appui </w:t>
      </w:r>
      <w:r w:rsidR="00E26A4A" w:rsidRPr="00BA5C2F">
        <w:t xml:space="preserve">aux Parties </w:t>
      </w:r>
      <w:r w:rsidRPr="00BA5C2F">
        <w:t>en matière de renforcement des capacités et d</w:t>
      </w:r>
      <w:r w:rsidR="00F9733D" w:rsidRPr="00BA5C2F">
        <w:t>’</w:t>
      </w:r>
      <w:r w:rsidRPr="00BA5C2F">
        <w:t>assistance technique, conformément au paragraphe</w:t>
      </w:r>
      <w:r w:rsidR="00B53AA7" w:rsidRPr="00BA5C2F">
        <w:t> </w:t>
      </w:r>
      <w:r w:rsidRPr="00BA5C2F">
        <w:t>1 de l</w:t>
      </w:r>
      <w:r w:rsidR="00F9733D" w:rsidRPr="00BA5C2F">
        <w:t>’</w:t>
      </w:r>
      <w:r w:rsidRPr="00BA5C2F">
        <w:t>article</w:t>
      </w:r>
      <w:r w:rsidR="001C4466" w:rsidRPr="00BA5C2F">
        <w:t> </w:t>
      </w:r>
      <w:r w:rsidRPr="00BA5C2F">
        <w:t>14,</w:t>
      </w:r>
      <w:r w:rsidR="001C4466" w:rsidRPr="00BA5C2F">
        <w:t> </w:t>
      </w:r>
      <w:r w:rsidRPr="00BA5C2F">
        <w:t>notamment par une collaboration active et soutenue avec le Partenariat mondial sur le mercure.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8467B7" w:rsidRPr="00BA5C2F" w14:paraId="409E5EBA" w14:textId="77777777" w:rsidTr="00747276">
        <w:tc>
          <w:tcPr>
            <w:tcW w:w="1897" w:type="dxa"/>
          </w:tcPr>
          <w:p w14:paraId="2FC3288C" w14:textId="77777777" w:rsidR="008467B7" w:rsidRPr="00BA5C2F" w:rsidRDefault="008467B7" w:rsidP="00062BD4">
            <w:pPr>
              <w:spacing w:before="520"/>
              <w:rPr>
                <w:sz w:val="10"/>
                <w:szCs w:val="10"/>
              </w:rPr>
            </w:pPr>
          </w:p>
        </w:tc>
        <w:tc>
          <w:tcPr>
            <w:tcW w:w="1897" w:type="dxa"/>
          </w:tcPr>
          <w:p w14:paraId="6CF7489D" w14:textId="77777777" w:rsidR="008467B7" w:rsidRPr="00BA5C2F" w:rsidRDefault="008467B7" w:rsidP="00062BD4">
            <w:pPr>
              <w:spacing w:before="520"/>
              <w:rPr>
                <w:sz w:val="10"/>
                <w:szCs w:val="10"/>
              </w:rPr>
            </w:pPr>
          </w:p>
        </w:tc>
        <w:tc>
          <w:tcPr>
            <w:tcW w:w="1897" w:type="dxa"/>
            <w:tcBorders>
              <w:bottom w:val="single" w:sz="4" w:space="0" w:color="auto"/>
            </w:tcBorders>
          </w:tcPr>
          <w:p w14:paraId="65A9B35B" w14:textId="77777777" w:rsidR="008467B7" w:rsidRPr="00BA5C2F" w:rsidRDefault="008467B7" w:rsidP="00062BD4">
            <w:pPr>
              <w:spacing w:before="520"/>
              <w:rPr>
                <w:sz w:val="10"/>
                <w:szCs w:val="10"/>
              </w:rPr>
            </w:pPr>
          </w:p>
        </w:tc>
        <w:tc>
          <w:tcPr>
            <w:tcW w:w="1897" w:type="dxa"/>
          </w:tcPr>
          <w:p w14:paraId="3A52A1DF" w14:textId="77777777" w:rsidR="008467B7" w:rsidRPr="00BA5C2F" w:rsidRDefault="008467B7" w:rsidP="00062BD4">
            <w:pPr>
              <w:spacing w:before="520"/>
              <w:rPr>
                <w:sz w:val="10"/>
                <w:szCs w:val="10"/>
              </w:rPr>
            </w:pPr>
          </w:p>
        </w:tc>
        <w:tc>
          <w:tcPr>
            <w:tcW w:w="1898" w:type="dxa"/>
          </w:tcPr>
          <w:p w14:paraId="0F18AC80" w14:textId="77777777" w:rsidR="008467B7" w:rsidRPr="00BA5C2F" w:rsidRDefault="008467B7" w:rsidP="00062BD4">
            <w:pPr>
              <w:spacing w:before="520"/>
              <w:rPr>
                <w:sz w:val="10"/>
                <w:szCs w:val="10"/>
              </w:rPr>
            </w:pPr>
          </w:p>
        </w:tc>
      </w:tr>
    </w:tbl>
    <w:p w14:paraId="660D972C" w14:textId="77777777" w:rsidR="00F755B8" w:rsidRPr="00BA5C2F" w:rsidRDefault="00F755B8" w:rsidP="008467B7">
      <w:pPr>
        <w:pStyle w:val="Normal-pool"/>
        <w:rPr>
          <w:rFonts w:eastAsiaTheme="minorEastAsia"/>
          <w:sz w:val="2"/>
          <w:szCs w:val="2"/>
        </w:rPr>
      </w:pPr>
    </w:p>
    <w:p w14:paraId="22A30A1F" w14:textId="77777777" w:rsidR="00F755B8" w:rsidRPr="00BA5C2F" w:rsidRDefault="00F755B8" w:rsidP="008467B7">
      <w:pPr>
        <w:pStyle w:val="Normal-pool"/>
        <w:rPr>
          <w:rFonts w:eastAsiaTheme="minorEastAsia"/>
          <w:sz w:val="2"/>
          <w:szCs w:val="2"/>
        </w:rPr>
      </w:pPr>
    </w:p>
    <w:p w14:paraId="485D0190" w14:textId="77777777" w:rsidR="00F755B8" w:rsidRPr="00BA5C2F" w:rsidRDefault="00F755B8" w:rsidP="008467B7">
      <w:pPr>
        <w:pStyle w:val="Normal-pool"/>
        <w:rPr>
          <w:rFonts w:eastAsiaTheme="minorEastAsia"/>
          <w:sz w:val="2"/>
          <w:szCs w:val="2"/>
        </w:rPr>
      </w:pPr>
    </w:p>
    <w:p w14:paraId="0CB27C9A" w14:textId="4D18B823" w:rsidR="008467B7" w:rsidRPr="00BA5C2F" w:rsidRDefault="008467B7" w:rsidP="008467B7">
      <w:pPr>
        <w:pStyle w:val="Normal-pool"/>
        <w:rPr>
          <w:rFonts w:eastAsiaTheme="minorEastAsia"/>
          <w:sz w:val="2"/>
          <w:szCs w:val="2"/>
        </w:rPr>
      </w:pPr>
    </w:p>
    <w:sectPr w:rsidR="008467B7" w:rsidRPr="00BA5C2F" w:rsidSect="00F755B8">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14FDB" w14:textId="77777777" w:rsidR="00E24964" w:rsidRPr="00F755B8" w:rsidRDefault="00E24964">
      <w:r w:rsidRPr="00F755B8">
        <w:separator/>
      </w:r>
    </w:p>
  </w:endnote>
  <w:endnote w:type="continuationSeparator" w:id="0">
    <w:p w14:paraId="47B73273" w14:textId="77777777" w:rsidR="00E24964" w:rsidRPr="00F755B8" w:rsidRDefault="00E24964">
      <w:r w:rsidRPr="00F755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449A" w14:textId="639DF208" w:rsidR="007A36F8" w:rsidRPr="00991787" w:rsidRDefault="00F755B8" w:rsidP="00F755B8">
    <w:pPr>
      <w:pStyle w:val="Footer-pool"/>
      <w:rPr>
        <w:b w:val="0"/>
        <w:bCs/>
      </w:rPr>
    </w:pPr>
    <w:r w:rsidRPr="00991787">
      <w:rPr>
        <w:rStyle w:val="PageNumber"/>
        <w:b/>
        <w:bCs/>
      </w:rPr>
      <w:fldChar w:fldCharType="begin"/>
    </w:r>
    <w:r w:rsidRPr="00991787">
      <w:rPr>
        <w:rStyle w:val="PageNumber"/>
        <w:b/>
        <w:bCs/>
      </w:rPr>
      <w:instrText xml:space="preserve"> PAGE </w:instrText>
    </w:r>
    <w:r w:rsidRPr="00991787">
      <w:rPr>
        <w:rStyle w:val="PageNumber"/>
        <w:b/>
        <w:bCs/>
      </w:rPr>
      <w:fldChar w:fldCharType="separate"/>
    </w:r>
    <w:r w:rsidRPr="00991787">
      <w:rPr>
        <w:rStyle w:val="PageNumber"/>
        <w:b/>
        <w:bCs/>
        <w:noProof/>
      </w:rPr>
      <w:t>5</w:t>
    </w:r>
    <w:r w:rsidRPr="00991787">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EE35" w14:textId="4030D8EE" w:rsidR="007A36F8" w:rsidRPr="00991787" w:rsidRDefault="00F755B8" w:rsidP="00F755B8">
    <w:pPr>
      <w:pStyle w:val="Footer-pool"/>
      <w:jc w:val="right"/>
      <w:rPr>
        <w:b w:val="0"/>
      </w:rPr>
    </w:pPr>
    <w:r w:rsidRPr="00991787">
      <w:rPr>
        <w:rStyle w:val="PageNumber"/>
        <w:b/>
      </w:rPr>
      <w:fldChar w:fldCharType="begin"/>
    </w:r>
    <w:r w:rsidRPr="00991787">
      <w:rPr>
        <w:rStyle w:val="PageNumber"/>
        <w:b/>
      </w:rPr>
      <w:instrText xml:space="preserve"> PAGE \* MERGEFORMAT </w:instrText>
    </w:r>
    <w:r w:rsidRPr="00991787">
      <w:rPr>
        <w:rStyle w:val="PageNumber"/>
        <w:b/>
      </w:rPr>
      <w:fldChar w:fldCharType="separate"/>
    </w:r>
    <w:r w:rsidRPr="00991787">
      <w:rPr>
        <w:rStyle w:val="PageNumber"/>
        <w:b/>
        <w:noProof/>
      </w:rPr>
      <w:t>6</w:t>
    </w:r>
    <w:r w:rsidRPr="00991787">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124B" w14:textId="1941F6EA" w:rsidR="008467B7" w:rsidRPr="00F755B8" w:rsidRDefault="00062BD4" w:rsidP="00B1254E">
    <w:pPr>
      <w:pStyle w:val="Footer-jobnumber"/>
    </w:pPr>
    <w:bookmarkStart w:id="11" w:name="FooterJobDate"/>
    <w:r w:rsidRPr="00F755B8">
      <w:t>K2511833[F]</w:t>
    </w:r>
    <w:r w:rsidRPr="00F755B8">
      <w:tab/>
    </w:r>
    <w:r w:rsidR="00CA32A4">
      <w:t>2</w:t>
    </w:r>
    <w:r w:rsidR="00244366">
      <w:t>5</w:t>
    </w:r>
    <w:r w:rsidRPr="0009270D">
      <w:t>0825</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39B2" w14:textId="77777777" w:rsidR="00E24964" w:rsidRPr="00F755B8" w:rsidRDefault="00E24964" w:rsidP="00F755B8">
      <w:pPr>
        <w:pStyle w:val="Footnote-Separator"/>
        <w:ind w:left="624"/>
        <w:rPr>
          <w:szCs w:val="18"/>
        </w:rPr>
      </w:pPr>
      <w:r w:rsidRPr="00F755B8">
        <w:separator/>
      </w:r>
    </w:p>
  </w:footnote>
  <w:footnote w:type="continuationSeparator" w:id="0">
    <w:p w14:paraId="2C4666EC" w14:textId="77777777" w:rsidR="00E24964" w:rsidRPr="00F755B8" w:rsidRDefault="00E24964" w:rsidP="00F755B8">
      <w:pPr>
        <w:pStyle w:val="Footnote-Separator"/>
      </w:pPr>
      <w:r w:rsidRPr="00F755B8">
        <w:continuationSeparator/>
      </w:r>
    </w:p>
  </w:footnote>
  <w:footnote w:type="continuationNotice" w:id="1">
    <w:p w14:paraId="79879407" w14:textId="77777777" w:rsidR="00E24964" w:rsidRPr="00F755B8" w:rsidRDefault="00E24964" w:rsidP="00F755B8">
      <w:pPr>
        <w:pStyle w:val="ASpacer"/>
      </w:pPr>
    </w:p>
  </w:footnote>
  <w:footnote w:id="2">
    <w:p w14:paraId="19A5EB9C" w14:textId="0FED4AA6" w:rsidR="00F755B8" w:rsidRPr="00F755B8" w:rsidRDefault="00F755B8" w:rsidP="00F755B8">
      <w:pPr>
        <w:pStyle w:val="Footnote-Text"/>
      </w:pPr>
      <w:r w:rsidRPr="00F755B8">
        <w:rPr>
          <w:rStyle w:val="FootnoteReference"/>
          <w:rFonts w:eastAsia="Symbol"/>
          <w:vertAlign w:val="baseline"/>
        </w:rPr>
        <w:t>*</w:t>
      </w:r>
      <w:r w:rsidRPr="00F755B8">
        <w:t xml:space="preserve"> UNEP/MC/COP.6/1</w:t>
      </w:r>
      <w:r w:rsidR="007A2415">
        <w:t>/Rev.1</w:t>
      </w:r>
      <w:r w:rsidRPr="00F755B8">
        <w:t>.</w:t>
      </w:r>
    </w:p>
  </w:footnote>
  <w:footnote w:id="3">
    <w:p w14:paraId="4BD40B12" w14:textId="0FE41915" w:rsidR="008467B7" w:rsidRPr="00F755B8" w:rsidRDefault="00F755B8" w:rsidP="00F755B8">
      <w:pPr>
        <w:pStyle w:val="Footnote-Text"/>
        <w:rPr>
          <w:szCs w:val="18"/>
        </w:rPr>
      </w:pPr>
      <w:r w:rsidRPr="00F755B8">
        <w:rPr>
          <w:rStyle w:val="FootnoteReference"/>
          <w:rFonts w:eastAsia="SimSun"/>
          <w:sz w:val="20"/>
        </w:rPr>
        <w:footnoteRef/>
      </w:r>
      <w:r w:rsidR="006E6D53" w:rsidRPr="00F755B8">
        <w:t xml:space="preserve"> On trouvera des informations supplémentaires relatives au FEM et au Programme international spécifique dans les documents UNEP/MC/COP.6/10 et UNEP/MC/COP.6/11, respectivement.</w:t>
      </w:r>
    </w:p>
  </w:footnote>
  <w:footnote w:id="4">
    <w:p w14:paraId="5EE5A602" w14:textId="75DD8BF8" w:rsidR="00AD1758" w:rsidRPr="00F755B8" w:rsidRDefault="00F755B8" w:rsidP="00F755B8">
      <w:pPr>
        <w:pStyle w:val="Footnote-Text"/>
        <w:rPr>
          <w:szCs w:val="18"/>
        </w:rPr>
      </w:pPr>
      <w:r w:rsidRPr="00F755B8">
        <w:rPr>
          <w:rStyle w:val="FootnoteReference"/>
          <w:rFonts w:eastAsia="SimSun"/>
          <w:sz w:val="20"/>
        </w:rPr>
        <w:footnoteRef/>
      </w:r>
      <w:r w:rsidR="00AD1758" w:rsidRPr="00F755B8">
        <w:t xml:space="preserve"> </w:t>
      </w:r>
      <w:hyperlink r:id="rId1" w:history="1">
        <w:r w:rsidR="00E47944" w:rsidRPr="00F755B8">
          <w:rPr>
            <w:rStyle w:val="Hyperlink"/>
          </w:rPr>
          <w:t>https://www.unep.org/globalmercurypartnership/</w:t>
        </w:r>
      </w:hyperlink>
      <w:r w:rsidR="00AD1758" w:rsidRPr="00F755B8">
        <w:t>.</w:t>
      </w:r>
      <w:hyperlink r:id="rId2" w:history="1"/>
    </w:p>
  </w:footnote>
  <w:footnote w:id="5">
    <w:p w14:paraId="20B98383" w14:textId="36F1E5BF" w:rsidR="008467B7" w:rsidRPr="00F755B8" w:rsidRDefault="00F755B8" w:rsidP="00F755B8">
      <w:pPr>
        <w:pStyle w:val="Footnote-Text"/>
        <w:rPr>
          <w:szCs w:val="18"/>
        </w:rPr>
      </w:pPr>
      <w:r w:rsidRPr="00F755B8">
        <w:rPr>
          <w:rStyle w:val="FootnoteReference"/>
          <w:rFonts w:eastAsia="SimSun"/>
          <w:sz w:val="20"/>
        </w:rPr>
        <w:footnoteRef/>
      </w:r>
      <w:r w:rsidR="006E6D53" w:rsidRPr="00F755B8">
        <w:t xml:space="preserve"> Rapport du Fonds pour l</w:t>
      </w:r>
      <w:r w:rsidR="00C620FC" w:rsidRPr="00F755B8">
        <w:t>’</w:t>
      </w:r>
      <w:r w:rsidR="006E6D53" w:rsidRPr="00F755B8">
        <w:t>environnement mondial à la sixième réunion de la Conférence des Parties à la Convention de Minamata sur le mercure (GEF, 2025) (UNEP/MC/COP.6/INF/13).</w:t>
      </w:r>
    </w:p>
  </w:footnote>
  <w:footnote w:id="6">
    <w:p w14:paraId="2AE72A84" w14:textId="022E4E18" w:rsidR="008467B7" w:rsidRPr="00F755B8" w:rsidRDefault="00F755B8" w:rsidP="00F755B8">
      <w:pPr>
        <w:pStyle w:val="Footnote-Text"/>
        <w:rPr>
          <w:szCs w:val="18"/>
        </w:rPr>
      </w:pPr>
      <w:r w:rsidRPr="00F755B8">
        <w:rPr>
          <w:rStyle w:val="FootnoteReference"/>
          <w:rFonts w:eastAsia="SimSun"/>
          <w:sz w:val="20"/>
        </w:rPr>
        <w:footnoteRef/>
      </w:r>
      <w:r w:rsidR="006E6D53" w:rsidRPr="00F755B8">
        <w:t xml:space="preserve"> Voir, par exemple, l</w:t>
      </w:r>
      <w:r w:rsidR="00C620FC" w:rsidRPr="00F755B8">
        <w:t>’</w:t>
      </w:r>
      <w:r w:rsidR="006E6D53" w:rsidRPr="00F755B8">
        <w:t>alinéa e) du paragraphe</w:t>
      </w:r>
      <w:r w:rsidR="00B03897">
        <w:t> </w:t>
      </w:r>
      <w:r w:rsidR="006E6D53" w:rsidRPr="00F755B8">
        <w:t>5 de la décision MC-5/2, qui concerne les orientations pour aider les Parties à dépister, gérer et réduire les échanges commerciaux de mercure issu de l</w:t>
      </w:r>
      <w:r w:rsidR="00C620FC" w:rsidRPr="00F755B8">
        <w:t>’</w:t>
      </w:r>
      <w:r w:rsidR="006E6D53" w:rsidRPr="00F755B8">
        <w:t>extraction primaire, le paragraphe</w:t>
      </w:r>
      <w:r w:rsidR="00C979A3" w:rsidRPr="0009270D">
        <w:t> </w:t>
      </w:r>
      <w:r w:rsidR="006E6D53" w:rsidRPr="00F755B8">
        <w:t>4 de la décision MC-4/12, qui vise une mobilisation accrue dans le cadre du Partenariat sur le mercure, et la décision</w:t>
      </w:r>
      <w:r w:rsidR="00C979A3" w:rsidRPr="0009270D">
        <w:t> </w:t>
      </w:r>
      <w:r w:rsidR="006E6D53" w:rsidRPr="00F755B8">
        <w:t>MC-2/9 sur les codes du Système harmonisé pour les produits contenant du mercure ajouté.</w:t>
      </w:r>
    </w:p>
  </w:footnote>
  <w:footnote w:id="7">
    <w:p w14:paraId="6E6067F5" w14:textId="6DA67C90" w:rsidR="00BB121C" w:rsidRPr="00F755B8" w:rsidRDefault="00F755B8" w:rsidP="00F755B8">
      <w:pPr>
        <w:pStyle w:val="Footnote-Text"/>
        <w:rPr>
          <w:szCs w:val="18"/>
        </w:rPr>
      </w:pPr>
      <w:r w:rsidRPr="00F755B8">
        <w:rPr>
          <w:rStyle w:val="FootnoteReference"/>
          <w:rFonts w:eastAsia="SimSun"/>
          <w:sz w:val="20"/>
        </w:rPr>
        <w:footnoteRef/>
      </w:r>
      <w:r w:rsidR="00BB121C" w:rsidRPr="00F755B8">
        <w:t xml:space="preserve"> Accessibles sur le site Web et la chaîne YouTube de la Convention de Minamata.</w:t>
      </w:r>
    </w:p>
  </w:footnote>
  <w:footnote w:id="8">
    <w:p w14:paraId="60AF1F1A" w14:textId="7900B998" w:rsidR="00CE6DFC" w:rsidRPr="00F755B8" w:rsidRDefault="00F755B8" w:rsidP="00CE6DFC">
      <w:pPr>
        <w:pStyle w:val="Footnote-Text"/>
        <w:rPr>
          <w:szCs w:val="18"/>
        </w:rPr>
      </w:pPr>
      <w:r w:rsidRPr="00F755B8">
        <w:rPr>
          <w:rStyle w:val="FootnoteReference"/>
          <w:rFonts w:eastAsia="SimSun"/>
          <w:sz w:val="20"/>
        </w:rPr>
        <w:footnoteRef/>
      </w:r>
      <w:r w:rsidR="006E6D53" w:rsidRPr="00F755B8">
        <w:t xml:space="preserve"> </w:t>
      </w:r>
      <w:hyperlink r:id="rId3" w:history="1">
        <w:r w:rsidR="00CE6DFC" w:rsidRPr="006905D3">
          <w:rPr>
            <w:rStyle w:val="Hyperlink"/>
          </w:rPr>
          <w:t>https://minamataconvention.org/fr/meetings/concluded-list-view?field_event_type_target_id=287</w:t>
        </w:r>
      </w:hyperlink>
      <w:r w:rsidR="006E6D53" w:rsidRPr="00F755B8">
        <w:t>.</w:t>
      </w:r>
      <w:hyperlink r:id="rId4" w:history="1"/>
    </w:p>
  </w:footnote>
  <w:footnote w:id="9">
    <w:p w14:paraId="5912B01D" w14:textId="0B6C4464" w:rsidR="008467B7" w:rsidRPr="00F755B8" w:rsidRDefault="00F755B8" w:rsidP="00F755B8">
      <w:pPr>
        <w:pStyle w:val="Footnote-Text"/>
        <w:rPr>
          <w:szCs w:val="18"/>
        </w:rPr>
      </w:pPr>
      <w:r w:rsidRPr="00F755B8">
        <w:rPr>
          <w:rStyle w:val="FootnoteReference"/>
          <w:rFonts w:eastAsia="SimSun"/>
          <w:sz w:val="20"/>
        </w:rPr>
        <w:footnoteRef/>
      </w:r>
      <w:r w:rsidR="006E6D53" w:rsidRPr="00F755B8">
        <w:t xml:space="preserve"> </w:t>
      </w:r>
      <w:hyperlink r:id="rId5" w:history="1">
        <w:r w:rsidR="00894E06" w:rsidRPr="00F755B8">
          <w:rPr>
            <w:rStyle w:val="Hyperlink"/>
          </w:rPr>
          <w:t>https://www.unssc.org/courses/minamata-tools-1</w:t>
        </w:r>
      </w:hyperlink>
      <w:r w:rsidR="006E6D53" w:rsidRPr="00F755B8">
        <w:t>.</w:t>
      </w:r>
      <w:hyperlink r:id="rId6" w:history="1"/>
    </w:p>
  </w:footnote>
  <w:footnote w:id="10">
    <w:p w14:paraId="3CFB2A64" w14:textId="20A72930" w:rsidR="008467B7" w:rsidRPr="00F755B8" w:rsidRDefault="00F755B8" w:rsidP="00F755B8">
      <w:pPr>
        <w:pStyle w:val="Footnote-Text"/>
        <w:rPr>
          <w:szCs w:val="18"/>
        </w:rPr>
      </w:pPr>
      <w:r w:rsidRPr="00F755B8">
        <w:rPr>
          <w:rStyle w:val="FootnoteReference"/>
          <w:rFonts w:eastAsia="SimSun"/>
          <w:sz w:val="20"/>
        </w:rPr>
        <w:footnoteRef/>
      </w:r>
      <w:r w:rsidR="006E6D53" w:rsidRPr="00F755B8">
        <w:t xml:space="preserve"> </w:t>
      </w:r>
      <w:hyperlink r:id="rId7" w:history="1">
        <w:r w:rsidR="00894E06" w:rsidRPr="00F755B8">
          <w:rPr>
            <w:rStyle w:val="Hyperlink"/>
          </w:rPr>
          <w:t>https://www.mercurycapetown.com/</w:t>
        </w:r>
      </w:hyperlink>
      <w:r w:rsidR="006E6D53" w:rsidRPr="00F755B8">
        <w:t>.</w:t>
      </w:r>
      <w:hyperlink r:id="rId8" w:history="1"/>
    </w:p>
  </w:footnote>
  <w:footnote w:id="11">
    <w:p w14:paraId="0A9620B6" w14:textId="1906EFB7" w:rsidR="008467B7" w:rsidRPr="0009270D" w:rsidRDefault="00F755B8" w:rsidP="00F755B8">
      <w:pPr>
        <w:pStyle w:val="Footnote-Text"/>
      </w:pPr>
      <w:r w:rsidRPr="00F755B8">
        <w:rPr>
          <w:rStyle w:val="FootnoteReference"/>
          <w:rFonts w:eastAsia="SimSun"/>
          <w:sz w:val="20"/>
        </w:rPr>
        <w:footnoteRef/>
      </w:r>
      <w:r w:rsidR="006E6D53" w:rsidRPr="00F755B8">
        <w:t xml:space="preserve"> </w:t>
      </w:r>
      <w:hyperlink r:id="rId9" w:history="1">
        <w:r w:rsidR="00894E06" w:rsidRPr="00F755B8">
          <w:rPr>
            <w:rStyle w:val="Hyperlink"/>
          </w:rPr>
          <w:t>https://minamataconvention.org/en/news/mercury-and-contaminated-sites-15th-iccl-meeting</w:t>
        </w:r>
      </w:hyperlink>
      <w:r w:rsidR="006E6D53" w:rsidRPr="00F755B8">
        <w:t>.</w:t>
      </w:r>
      <w:hyperlink r:id="rId10" w:history="1"/>
    </w:p>
    <w:p w14:paraId="6420E548" w14:textId="77777777" w:rsidR="008467B7" w:rsidRPr="0009270D" w:rsidRDefault="008467B7" w:rsidP="00F755B8">
      <w:pPr>
        <w:pStyle w:val="Footnote-Text"/>
        <w:rPr>
          <w:szCs w:val="18"/>
        </w:rPr>
      </w:pPr>
    </w:p>
  </w:footnote>
  <w:footnote w:id="12">
    <w:p w14:paraId="3C71AC8D" w14:textId="29FA06B0" w:rsidR="008467B7" w:rsidRPr="00F755B8" w:rsidRDefault="00F755B8" w:rsidP="00F755B8">
      <w:pPr>
        <w:pStyle w:val="Footnote-Text"/>
        <w:rPr>
          <w:szCs w:val="18"/>
        </w:rPr>
      </w:pPr>
      <w:r w:rsidRPr="00F755B8">
        <w:rPr>
          <w:rStyle w:val="FootnoteReference"/>
          <w:rFonts w:eastAsia="SimSun"/>
          <w:sz w:val="20"/>
        </w:rPr>
        <w:footnoteRef/>
      </w:r>
      <w:r w:rsidR="006E6D53" w:rsidRPr="00F755B8">
        <w:t xml:space="preserve"> Par exemple, le projet intitulé « assessment of existing and future emissions reduction from the coal sector toward the implementation of the Minamata and Stockholm conventions » (évaluer la réduction des émissions existantes et futures provenant du secteur du charbon en vue de la mise en œuvre des conventions de Minamata et de Stockholm)</w:t>
      </w:r>
      <w:r w:rsidR="00C620FC" w:rsidRPr="00F755B8">
        <w:t> ;</w:t>
      </w:r>
      <w:r w:rsidR="006E6D53" w:rsidRPr="00F755B8">
        <w:t xml:space="preserve"> le projet intitulé « Global Chemicals Monitoring Programme to support implementation of Stockholm and Minamata conventions » (Programme mondial de surveillance des produits chimiques à l</w:t>
      </w:r>
      <w:r w:rsidR="00C620FC" w:rsidRPr="00F755B8">
        <w:t>’</w:t>
      </w:r>
      <w:r w:rsidR="006E6D53" w:rsidRPr="00F755B8">
        <w:t>appui de la mise en œuvre des conventions de Stockholm et de Minamata)</w:t>
      </w:r>
      <w:r w:rsidR="00C620FC" w:rsidRPr="00F755B8">
        <w:t> ;</w:t>
      </w:r>
      <w:r w:rsidR="006E6D53" w:rsidRPr="00F755B8">
        <w:t xml:space="preserve"> le projet intitulé « eliminating mercury skin lightening products » (éliminer les produits éclaircissants pour la peau à base de mercure)</w:t>
      </w:r>
      <w:r w:rsidR="00C620FC" w:rsidRPr="00F755B8">
        <w:t> ;</w:t>
      </w:r>
      <w:r w:rsidR="006E6D53" w:rsidRPr="00F755B8">
        <w:t xml:space="preserve"> plusieurs projets nationaux dans le cadre du programme planetGOLD.</w:t>
      </w:r>
    </w:p>
  </w:footnote>
  <w:footnote w:id="13">
    <w:p w14:paraId="6FF56D2B" w14:textId="00A729B7" w:rsidR="008467B7" w:rsidRPr="00F755B8" w:rsidRDefault="00F755B8" w:rsidP="00F755B8">
      <w:pPr>
        <w:pStyle w:val="Footnote-Text"/>
        <w:rPr>
          <w:szCs w:val="18"/>
        </w:rPr>
      </w:pPr>
      <w:r w:rsidRPr="00F755B8">
        <w:rPr>
          <w:rStyle w:val="FootnoteReference"/>
          <w:rFonts w:eastAsia="SimSun"/>
          <w:sz w:val="20"/>
        </w:rPr>
        <w:footnoteRef/>
      </w:r>
      <w:r w:rsidR="006E6D53" w:rsidRPr="00F755B8">
        <w:t xml:space="preserve"> UNEP/MC/COP.6/INF/18.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52B3" w14:textId="1D3499DB" w:rsidR="007A36F8" w:rsidRPr="00F755B8" w:rsidRDefault="00F755B8" w:rsidP="00F755B8">
    <w:pPr>
      <w:pStyle w:val="Header-pool"/>
    </w:pPr>
    <w:r w:rsidRPr="00F755B8">
      <w:rPr>
        <w:noProof/>
      </w:rPr>
      <w:fldChar w:fldCharType="begin"/>
    </w:r>
    <w:r w:rsidRPr="00F755B8">
      <w:rPr>
        <w:noProof/>
      </w:rPr>
      <w:instrText xml:space="preserve"> StyleRef A_Symbol </w:instrText>
    </w:r>
    <w:r w:rsidRPr="00F755B8">
      <w:rPr>
        <w:noProof/>
      </w:rPr>
      <w:fldChar w:fldCharType="separate"/>
    </w:r>
    <w:r w:rsidR="00845BDE">
      <w:rPr>
        <w:noProof/>
      </w:rPr>
      <w:t>UNEP/MC/COP.6/13</w:t>
    </w:r>
    <w:r w:rsidRPr="00F755B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A4BB" w14:textId="730DA0E8" w:rsidR="007A36F8" w:rsidRPr="00F755B8" w:rsidRDefault="00F755B8" w:rsidP="00F755B8">
    <w:pPr>
      <w:pStyle w:val="Header-pool"/>
      <w:jc w:val="right"/>
    </w:pPr>
    <w:r w:rsidRPr="00F755B8">
      <w:rPr>
        <w:noProof/>
      </w:rPr>
      <w:fldChar w:fldCharType="begin"/>
    </w:r>
    <w:r w:rsidRPr="00F755B8">
      <w:rPr>
        <w:noProof/>
      </w:rPr>
      <w:instrText xml:space="preserve"> StyleRef A_Symbol </w:instrText>
    </w:r>
    <w:r w:rsidRPr="00F755B8">
      <w:rPr>
        <w:noProof/>
      </w:rPr>
      <w:fldChar w:fldCharType="separate"/>
    </w:r>
    <w:r w:rsidR="00845BDE">
      <w:rPr>
        <w:noProof/>
      </w:rPr>
      <w:t>UNEP/MC/COP.6/13</w:t>
    </w:r>
    <w:r w:rsidRPr="00F755B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E6E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920D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4CBC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9095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22C3E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E096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685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2CDE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0A33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FBCAF842"/>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ascii="Times New Roman" w:eastAsia="Times New Roman" w:hAnsi="Times New Roman" w:cs="Times New Roman"/>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ADC4ECC"/>
    <w:multiLevelType w:val="hybridMultilevel"/>
    <w:tmpl w:val="73A28CC6"/>
    <w:lvl w:ilvl="0" w:tplc="187A7F5E">
      <w:start w:val="1"/>
      <w:numFmt w:val="lowerLetter"/>
      <w:lvlText w:val="%1)"/>
      <w:lvlJc w:val="left"/>
      <w:pPr>
        <w:ind w:left="1607" w:hanging="360"/>
      </w:pPr>
      <w:rPr>
        <w:rFonts w:hint="default"/>
        <w:i w:val="0"/>
        <w:i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6" w15:restartNumberingAfterBreak="0">
    <w:nsid w:val="52A66A9D"/>
    <w:multiLevelType w:val="multilevel"/>
    <w:tmpl w:val="1CA2EF82"/>
    <w:styleLink w:val="Normallist"/>
    <w:lvl w:ilvl="0">
      <w:start w:val="1"/>
      <w:numFmt w:val="decimal"/>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7"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 w15:restartNumberingAfterBreak="0">
    <w:nsid w:val="7BDE3DD2"/>
    <w:multiLevelType w:val="hybridMultilevel"/>
    <w:tmpl w:val="24507A6E"/>
    <w:lvl w:ilvl="0" w:tplc="318AD3A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2644713">
    <w:abstractNumId w:val="17"/>
  </w:num>
  <w:num w:numId="2" w16cid:durableId="1933662228">
    <w:abstractNumId w:val="14"/>
  </w:num>
  <w:num w:numId="3" w16cid:durableId="1991909117">
    <w:abstractNumId w:val="10"/>
  </w:num>
  <w:num w:numId="4" w16cid:durableId="1138956019">
    <w:abstractNumId w:val="13"/>
  </w:num>
  <w:num w:numId="5" w16cid:durableId="492182203">
    <w:abstractNumId w:val="9"/>
  </w:num>
  <w:num w:numId="6" w16cid:durableId="1182818698">
    <w:abstractNumId w:val="7"/>
  </w:num>
  <w:num w:numId="7" w16cid:durableId="1433744326">
    <w:abstractNumId w:val="6"/>
  </w:num>
  <w:num w:numId="8" w16cid:durableId="442845657">
    <w:abstractNumId w:val="5"/>
  </w:num>
  <w:num w:numId="9" w16cid:durableId="346756356">
    <w:abstractNumId w:val="4"/>
  </w:num>
  <w:num w:numId="10" w16cid:durableId="539435039">
    <w:abstractNumId w:val="8"/>
  </w:num>
  <w:num w:numId="11" w16cid:durableId="2034841279">
    <w:abstractNumId w:val="3"/>
  </w:num>
  <w:num w:numId="12" w16cid:durableId="212467877">
    <w:abstractNumId w:val="2"/>
  </w:num>
  <w:num w:numId="13" w16cid:durableId="836775353">
    <w:abstractNumId w:val="1"/>
  </w:num>
  <w:num w:numId="14" w16cid:durableId="955016284">
    <w:abstractNumId w:val="0"/>
  </w:num>
  <w:num w:numId="15" w16cid:durableId="1553884721">
    <w:abstractNumId w:val="15"/>
  </w:num>
  <w:num w:numId="16" w16cid:durableId="615064097">
    <w:abstractNumId w:val="11"/>
  </w:num>
  <w:num w:numId="17" w16cid:durableId="2036882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261235">
    <w:abstractNumId w:val="18"/>
  </w:num>
  <w:num w:numId="19" w16cid:durableId="563759423">
    <w:abstractNumId w:val="16"/>
  </w:num>
  <w:num w:numId="20" w16cid:durableId="560557421">
    <w:abstractNumId w:val="19"/>
  </w:num>
  <w:num w:numId="21" w16cid:durableId="85291688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B7"/>
    <w:rsid w:val="00001BA5"/>
    <w:rsid w:val="00005A8B"/>
    <w:rsid w:val="000149E6"/>
    <w:rsid w:val="00016AF3"/>
    <w:rsid w:val="000208C8"/>
    <w:rsid w:val="00020B52"/>
    <w:rsid w:val="00022C5A"/>
    <w:rsid w:val="000247B0"/>
    <w:rsid w:val="00026997"/>
    <w:rsid w:val="00032435"/>
    <w:rsid w:val="00033E0B"/>
    <w:rsid w:val="00035EDE"/>
    <w:rsid w:val="0004146B"/>
    <w:rsid w:val="00045190"/>
    <w:rsid w:val="000509B4"/>
    <w:rsid w:val="00056B2C"/>
    <w:rsid w:val="0006035B"/>
    <w:rsid w:val="00062BD4"/>
    <w:rsid w:val="0007166E"/>
    <w:rsid w:val="00071886"/>
    <w:rsid w:val="000742BC"/>
    <w:rsid w:val="0008041D"/>
    <w:rsid w:val="00082A0C"/>
    <w:rsid w:val="00082DCD"/>
    <w:rsid w:val="00083504"/>
    <w:rsid w:val="0008710B"/>
    <w:rsid w:val="0009270D"/>
    <w:rsid w:val="0009640C"/>
    <w:rsid w:val="000B1B6C"/>
    <w:rsid w:val="000B1FB9"/>
    <w:rsid w:val="000B21D5"/>
    <w:rsid w:val="000B22A2"/>
    <w:rsid w:val="000C2A52"/>
    <w:rsid w:val="000C46A9"/>
    <w:rsid w:val="000C5DC6"/>
    <w:rsid w:val="000D33C0"/>
    <w:rsid w:val="000D5884"/>
    <w:rsid w:val="000D6941"/>
    <w:rsid w:val="000D71B6"/>
    <w:rsid w:val="000E0405"/>
    <w:rsid w:val="000F6CFF"/>
    <w:rsid w:val="00101816"/>
    <w:rsid w:val="0010513B"/>
    <w:rsid w:val="001076E3"/>
    <w:rsid w:val="00115F73"/>
    <w:rsid w:val="001202E3"/>
    <w:rsid w:val="00123699"/>
    <w:rsid w:val="0013059D"/>
    <w:rsid w:val="0014083A"/>
    <w:rsid w:val="00141A55"/>
    <w:rsid w:val="00141F2F"/>
    <w:rsid w:val="001446A3"/>
    <w:rsid w:val="00144DB7"/>
    <w:rsid w:val="00155395"/>
    <w:rsid w:val="00164F75"/>
    <w:rsid w:val="00170582"/>
    <w:rsid w:val="00172B04"/>
    <w:rsid w:val="00172E6C"/>
    <w:rsid w:val="00173D27"/>
    <w:rsid w:val="00174387"/>
    <w:rsid w:val="00174739"/>
    <w:rsid w:val="0018127C"/>
    <w:rsid w:val="00181EC8"/>
    <w:rsid w:val="00181FC0"/>
    <w:rsid w:val="00182273"/>
    <w:rsid w:val="00184349"/>
    <w:rsid w:val="00185542"/>
    <w:rsid w:val="001868AD"/>
    <w:rsid w:val="00187668"/>
    <w:rsid w:val="00190EBD"/>
    <w:rsid w:val="0019161E"/>
    <w:rsid w:val="00195F33"/>
    <w:rsid w:val="00197C63"/>
    <w:rsid w:val="001A5EE1"/>
    <w:rsid w:val="001A7FF9"/>
    <w:rsid w:val="001B1617"/>
    <w:rsid w:val="001B504B"/>
    <w:rsid w:val="001B7BBD"/>
    <w:rsid w:val="001C09F7"/>
    <w:rsid w:val="001C29FC"/>
    <w:rsid w:val="001C41A9"/>
    <w:rsid w:val="001C4466"/>
    <w:rsid w:val="001D1021"/>
    <w:rsid w:val="001D3874"/>
    <w:rsid w:val="001D5344"/>
    <w:rsid w:val="001D7E75"/>
    <w:rsid w:val="001E22D1"/>
    <w:rsid w:val="001E3AEC"/>
    <w:rsid w:val="001E56D2"/>
    <w:rsid w:val="001E7D56"/>
    <w:rsid w:val="001F48A4"/>
    <w:rsid w:val="001F5368"/>
    <w:rsid w:val="001F75DE"/>
    <w:rsid w:val="001F7676"/>
    <w:rsid w:val="00200D58"/>
    <w:rsid w:val="002013BE"/>
    <w:rsid w:val="00204C2D"/>
    <w:rsid w:val="002063A4"/>
    <w:rsid w:val="00206F97"/>
    <w:rsid w:val="0021145B"/>
    <w:rsid w:val="00214277"/>
    <w:rsid w:val="00221498"/>
    <w:rsid w:val="0022762D"/>
    <w:rsid w:val="00232303"/>
    <w:rsid w:val="00232502"/>
    <w:rsid w:val="00234806"/>
    <w:rsid w:val="002378D6"/>
    <w:rsid w:val="00243D36"/>
    <w:rsid w:val="00244366"/>
    <w:rsid w:val="00245E41"/>
    <w:rsid w:val="00247707"/>
    <w:rsid w:val="0025091D"/>
    <w:rsid w:val="0025337E"/>
    <w:rsid w:val="00254796"/>
    <w:rsid w:val="00263171"/>
    <w:rsid w:val="00265FB8"/>
    <w:rsid w:val="00277919"/>
    <w:rsid w:val="002811D9"/>
    <w:rsid w:val="0028323A"/>
    <w:rsid w:val="00286740"/>
    <w:rsid w:val="00287B42"/>
    <w:rsid w:val="00291314"/>
    <w:rsid w:val="002929D8"/>
    <w:rsid w:val="002935C2"/>
    <w:rsid w:val="002A237D"/>
    <w:rsid w:val="002A44BB"/>
    <w:rsid w:val="002A4C53"/>
    <w:rsid w:val="002B0672"/>
    <w:rsid w:val="002B1B4C"/>
    <w:rsid w:val="002B247F"/>
    <w:rsid w:val="002B5C4F"/>
    <w:rsid w:val="002C145D"/>
    <w:rsid w:val="002C2C3E"/>
    <w:rsid w:val="002C533E"/>
    <w:rsid w:val="002C5525"/>
    <w:rsid w:val="002D027F"/>
    <w:rsid w:val="002D7A85"/>
    <w:rsid w:val="002D7B60"/>
    <w:rsid w:val="002E19D4"/>
    <w:rsid w:val="002E2F05"/>
    <w:rsid w:val="002F0362"/>
    <w:rsid w:val="002F059F"/>
    <w:rsid w:val="002F4761"/>
    <w:rsid w:val="002F5C79"/>
    <w:rsid w:val="002F66F0"/>
    <w:rsid w:val="002F72B4"/>
    <w:rsid w:val="003019E2"/>
    <w:rsid w:val="00302A79"/>
    <w:rsid w:val="00302C84"/>
    <w:rsid w:val="003040EA"/>
    <w:rsid w:val="00311BDF"/>
    <w:rsid w:val="0031413F"/>
    <w:rsid w:val="003148BB"/>
    <w:rsid w:val="00314D43"/>
    <w:rsid w:val="00317976"/>
    <w:rsid w:val="00323885"/>
    <w:rsid w:val="003256A1"/>
    <w:rsid w:val="00327BA3"/>
    <w:rsid w:val="00331475"/>
    <w:rsid w:val="0033199D"/>
    <w:rsid w:val="00350EB1"/>
    <w:rsid w:val="00351A93"/>
    <w:rsid w:val="00355EA9"/>
    <w:rsid w:val="003578DE"/>
    <w:rsid w:val="0036142C"/>
    <w:rsid w:val="00362F3A"/>
    <w:rsid w:val="00365F6B"/>
    <w:rsid w:val="00366E2A"/>
    <w:rsid w:val="00370BF9"/>
    <w:rsid w:val="00370E14"/>
    <w:rsid w:val="00371340"/>
    <w:rsid w:val="0037171B"/>
    <w:rsid w:val="003719EE"/>
    <w:rsid w:val="003759E2"/>
    <w:rsid w:val="00386999"/>
    <w:rsid w:val="00390145"/>
    <w:rsid w:val="00394379"/>
    <w:rsid w:val="00396257"/>
    <w:rsid w:val="00397EB8"/>
    <w:rsid w:val="003A07AB"/>
    <w:rsid w:val="003A086E"/>
    <w:rsid w:val="003A37B8"/>
    <w:rsid w:val="003A3863"/>
    <w:rsid w:val="003A4FD0"/>
    <w:rsid w:val="003A69D1"/>
    <w:rsid w:val="003A7705"/>
    <w:rsid w:val="003B03B3"/>
    <w:rsid w:val="003B1545"/>
    <w:rsid w:val="003B3F15"/>
    <w:rsid w:val="003B4B5B"/>
    <w:rsid w:val="003B7D24"/>
    <w:rsid w:val="003C035E"/>
    <w:rsid w:val="003C0E81"/>
    <w:rsid w:val="003C3267"/>
    <w:rsid w:val="003C409D"/>
    <w:rsid w:val="003C5BA6"/>
    <w:rsid w:val="003C6262"/>
    <w:rsid w:val="003C71DC"/>
    <w:rsid w:val="003D10A7"/>
    <w:rsid w:val="003D1FF2"/>
    <w:rsid w:val="003E634F"/>
    <w:rsid w:val="003F0E85"/>
    <w:rsid w:val="003F63DE"/>
    <w:rsid w:val="004016CC"/>
    <w:rsid w:val="00404CB5"/>
    <w:rsid w:val="00405251"/>
    <w:rsid w:val="00410C13"/>
    <w:rsid w:val="00410C55"/>
    <w:rsid w:val="00415254"/>
    <w:rsid w:val="0041604D"/>
    <w:rsid w:val="00416854"/>
    <w:rsid w:val="00417725"/>
    <w:rsid w:val="0041779A"/>
    <w:rsid w:val="0041788C"/>
    <w:rsid w:val="00417B99"/>
    <w:rsid w:val="0042437B"/>
    <w:rsid w:val="004243EA"/>
    <w:rsid w:val="004257B2"/>
    <w:rsid w:val="00437F26"/>
    <w:rsid w:val="004431CC"/>
    <w:rsid w:val="00444097"/>
    <w:rsid w:val="004443DA"/>
    <w:rsid w:val="00445487"/>
    <w:rsid w:val="00454769"/>
    <w:rsid w:val="00456D58"/>
    <w:rsid w:val="00463707"/>
    <w:rsid w:val="00466991"/>
    <w:rsid w:val="0047064C"/>
    <w:rsid w:val="00474D90"/>
    <w:rsid w:val="00477AFF"/>
    <w:rsid w:val="00481F0B"/>
    <w:rsid w:val="004902DC"/>
    <w:rsid w:val="004905A8"/>
    <w:rsid w:val="00495BFE"/>
    <w:rsid w:val="00495CDA"/>
    <w:rsid w:val="004A0502"/>
    <w:rsid w:val="004A42E1"/>
    <w:rsid w:val="004B162C"/>
    <w:rsid w:val="004B5207"/>
    <w:rsid w:val="004C3DBE"/>
    <w:rsid w:val="004C5C96"/>
    <w:rsid w:val="004D06A4"/>
    <w:rsid w:val="004D3D74"/>
    <w:rsid w:val="004D5873"/>
    <w:rsid w:val="004D60EA"/>
    <w:rsid w:val="004D7645"/>
    <w:rsid w:val="004E0885"/>
    <w:rsid w:val="004E59D4"/>
    <w:rsid w:val="004E6467"/>
    <w:rsid w:val="004E79AC"/>
    <w:rsid w:val="004F1A81"/>
    <w:rsid w:val="00510EDE"/>
    <w:rsid w:val="005218D9"/>
    <w:rsid w:val="00532E47"/>
    <w:rsid w:val="00534D70"/>
    <w:rsid w:val="00536186"/>
    <w:rsid w:val="00536826"/>
    <w:rsid w:val="00544CBB"/>
    <w:rsid w:val="00550518"/>
    <w:rsid w:val="00552CD6"/>
    <w:rsid w:val="0055594F"/>
    <w:rsid w:val="00562D70"/>
    <w:rsid w:val="0057315F"/>
    <w:rsid w:val="00575415"/>
    <w:rsid w:val="00575DF1"/>
    <w:rsid w:val="00576104"/>
    <w:rsid w:val="005766C5"/>
    <w:rsid w:val="00577243"/>
    <w:rsid w:val="00582686"/>
    <w:rsid w:val="005940BC"/>
    <w:rsid w:val="00594BA0"/>
    <w:rsid w:val="00597C56"/>
    <w:rsid w:val="005A2A20"/>
    <w:rsid w:val="005C67C8"/>
    <w:rsid w:val="005D0249"/>
    <w:rsid w:val="005D21AF"/>
    <w:rsid w:val="005D3580"/>
    <w:rsid w:val="005D6E8C"/>
    <w:rsid w:val="005D7058"/>
    <w:rsid w:val="005D7D3C"/>
    <w:rsid w:val="005E14F2"/>
    <w:rsid w:val="005E1918"/>
    <w:rsid w:val="005E39DF"/>
    <w:rsid w:val="005E6C20"/>
    <w:rsid w:val="005F100C"/>
    <w:rsid w:val="005F3701"/>
    <w:rsid w:val="005F68DA"/>
    <w:rsid w:val="005F75C5"/>
    <w:rsid w:val="005F75E6"/>
    <w:rsid w:val="006014DD"/>
    <w:rsid w:val="0060324F"/>
    <w:rsid w:val="0060773B"/>
    <w:rsid w:val="00607D94"/>
    <w:rsid w:val="0061039B"/>
    <w:rsid w:val="0061442B"/>
    <w:rsid w:val="006157B5"/>
    <w:rsid w:val="00626FC6"/>
    <w:rsid w:val="006301B0"/>
    <w:rsid w:val="006303B4"/>
    <w:rsid w:val="006328AC"/>
    <w:rsid w:val="00633CEB"/>
    <w:rsid w:val="00633D3D"/>
    <w:rsid w:val="00633F3A"/>
    <w:rsid w:val="00640BB5"/>
    <w:rsid w:val="00641703"/>
    <w:rsid w:val="006431A6"/>
    <w:rsid w:val="006459F6"/>
    <w:rsid w:val="006501AD"/>
    <w:rsid w:val="00651BFA"/>
    <w:rsid w:val="006533B3"/>
    <w:rsid w:val="006534B4"/>
    <w:rsid w:val="00656455"/>
    <w:rsid w:val="00663A80"/>
    <w:rsid w:val="00665A4B"/>
    <w:rsid w:val="006731FE"/>
    <w:rsid w:val="00674C4B"/>
    <w:rsid w:val="006839A4"/>
    <w:rsid w:val="00687B9A"/>
    <w:rsid w:val="00691C61"/>
    <w:rsid w:val="00692E2A"/>
    <w:rsid w:val="006A18C9"/>
    <w:rsid w:val="006A498C"/>
    <w:rsid w:val="006A6CD0"/>
    <w:rsid w:val="006A76F2"/>
    <w:rsid w:val="006B29FD"/>
    <w:rsid w:val="006C0E44"/>
    <w:rsid w:val="006C3DDA"/>
    <w:rsid w:val="006C69F0"/>
    <w:rsid w:val="006D26AB"/>
    <w:rsid w:val="006D3277"/>
    <w:rsid w:val="006D7EFB"/>
    <w:rsid w:val="006E0143"/>
    <w:rsid w:val="006E2FC8"/>
    <w:rsid w:val="006E3A0A"/>
    <w:rsid w:val="006E6672"/>
    <w:rsid w:val="006E6722"/>
    <w:rsid w:val="006E6D53"/>
    <w:rsid w:val="006F10F1"/>
    <w:rsid w:val="006F1417"/>
    <w:rsid w:val="006F6041"/>
    <w:rsid w:val="006F6AAC"/>
    <w:rsid w:val="007027B9"/>
    <w:rsid w:val="00705046"/>
    <w:rsid w:val="00706229"/>
    <w:rsid w:val="00713D8F"/>
    <w:rsid w:val="00715E88"/>
    <w:rsid w:val="00716C03"/>
    <w:rsid w:val="0072508B"/>
    <w:rsid w:val="00732257"/>
    <w:rsid w:val="00732CFA"/>
    <w:rsid w:val="00734CAA"/>
    <w:rsid w:val="00735D01"/>
    <w:rsid w:val="00735DB8"/>
    <w:rsid w:val="00736583"/>
    <w:rsid w:val="00745406"/>
    <w:rsid w:val="0075473A"/>
    <w:rsid w:val="00755106"/>
    <w:rsid w:val="0075533C"/>
    <w:rsid w:val="00757581"/>
    <w:rsid w:val="007611A0"/>
    <w:rsid w:val="007619C7"/>
    <w:rsid w:val="007658A0"/>
    <w:rsid w:val="00770951"/>
    <w:rsid w:val="00771992"/>
    <w:rsid w:val="0077583F"/>
    <w:rsid w:val="00776428"/>
    <w:rsid w:val="007832F6"/>
    <w:rsid w:val="00783907"/>
    <w:rsid w:val="007848AF"/>
    <w:rsid w:val="00784EFF"/>
    <w:rsid w:val="007934C0"/>
    <w:rsid w:val="00796D3F"/>
    <w:rsid w:val="007A1683"/>
    <w:rsid w:val="007A2415"/>
    <w:rsid w:val="007A2FA5"/>
    <w:rsid w:val="007A36F8"/>
    <w:rsid w:val="007A4391"/>
    <w:rsid w:val="007A5C12"/>
    <w:rsid w:val="007A7CB0"/>
    <w:rsid w:val="007B68A3"/>
    <w:rsid w:val="007C2541"/>
    <w:rsid w:val="007C29A4"/>
    <w:rsid w:val="007C2B30"/>
    <w:rsid w:val="007D047B"/>
    <w:rsid w:val="007D1248"/>
    <w:rsid w:val="007D2D8E"/>
    <w:rsid w:val="007D4E4F"/>
    <w:rsid w:val="007D66A8"/>
    <w:rsid w:val="007D7516"/>
    <w:rsid w:val="007D773D"/>
    <w:rsid w:val="007E003F"/>
    <w:rsid w:val="007F1EB7"/>
    <w:rsid w:val="007F3821"/>
    <w:rsid w:val="00802E72"/>
    <w:rsid w:val="00803720"/>
    <w:rsid w:val="00805F1D"/>
    <w:rsid w:val="008111FE"/>
    <w:rsid w:val="008164F2"/>
    <w:rsid w:val="00821395"/>
    <w:rsid w:val="00821C75"/>
    <w:rsid w:val="00821CC4"/>
    <w:rsid w:val="00830E26"/>
    <w:rsid w:val="00843576"/>
    <w:rsid w:val="00843B64"/>
    <w:rsid w:val="0084439A"/>
    <w:rsid w:val="00845BDE"/>
    <w:rsid w:val="00845F3F"/>
    <w:rsid w:val="008467B7"/>
    <w:rsid w:val="008470BD"/>
    <w:rsid w:val="008471C0"/>
    <w:rsid w:val="008478FC"/>
    <w:rsid w:val="0085725A"/>
    <w:rsid w:val="00867BFF"/>
    <w:rsid w:val="00870D74"/>
    <w:rsid w:val="00880A01"/>
    <w:rsid w:val="0088480A"/>
    <w:rsid w:val="0088757A"/>
    <w:rsid w:val="00887BD4"/>
    <w:rsid w:val="008938A2"/>
    <w:rsid w:val="00894E06"/>
    <w:rsid w:val="008957DD"/>
    <w:rsid w:val="00897D98"/>
    <w:rsid w:val="008A2471"/>
    <w:rsid w:val="008A26B4"/>
    <w:rsid w:val="008A57CC"/>
    <w:rsid w:val="008A6DF2"/>
    <w:rsid w:val="008A7807"/>
    <w:rsid w:val="008B03C2"/>
    <w:rsid w:val="008B0D6B"/>
    <w:rsid w:val="008B27E0"/>
    <w:rsid w:val="008B3832"/>
    <w:rsid w:val="008B4CC9"/>
    <w:rsid w:val="008C13F0"/>
    <w:rsid w:val="008C16CA"/>
    <w:rsid w:val="008C1B8B"/>
    <w:rsid w:val="008C5C40"/>
    <w:rsid w:val="008D3AE0"/>
    <w:rsid w:val="008D7C99"/>
    <w:rsid w:val="008E0FCB"/>
    <w:rsid w:val="008E1F10"/>
    <w:rsid w:val="008E5173"/>
    <w:rsid w:val="00900476"/>
    <w:rsid w:val="00907D78"/>
    <w:rsid w:val="0091425E"/>
    <w:rsid w:val="00914DE1"/>
    <w:rsid w:val="0091762E"/>
    <w:rsid w:val="0092178C"/>
    <w:rsid w:val="0092493F"/>
    <w:rsid w:val="00930B88"/>
    <w:rsid w:val="009378DC"/>
    <w:rsid w:val="00940DCC"/>
    <w:rsid w:val="0094179A"/>
    <w:rsid w:val="00943241"/>
    <w:rsid w:val="00943814"/>
    <w:rsid w:val="0094459E"/>
    <w:rsid w:val="00944DBC"/>
    <w:rsid w:val="00950977"/>
    <w:rsid w:val="009514A0"/>
    <w:rsid w:val="00951A7B"/>
    <w:rsid w:val="00954933"/>
    <w:rsid w:val="009564A6"/>
    <w:rsid w:val="00961A33"/>
    <w:rsid w:val="009628B9"/>
    <w:rsid w:val="00965597"/>
    <w:rsid w:val="00965CD7"/>
    <w:rsid w:val="00967621"/>
    <w:rsid w:val="00967E6A"/>
    <w:rsid w:val="00970C93"/>
    <w:rsid w:val="00971BD1"/>
    <w:rsid w:val="00971C82"/>
    <w:rsid w:val="009761BA"/>
    <w:rsid w:val="00980797"/>
    <w:rsid w:val="00981F0F"/>
    <w:rsid w:val="009825FF"/>
    <w:rsid w:val="009862AC"/>
    <w:rsid w:val="00986A78"/>
    <w:rsid w:val="00986D12"/>
    <w:rsid w:val="00991787"/>
    <w:rsid w:val="00992FAB"/>
    <w:rsid w:val="009935AC"/>
    <w:rsid w:val="009A302F"/>
    <w:rsid w:val="009A6054"/>
    <w:rsid w:val="009A742E"/>
    <w:rsid w:val="009B4A0F"/>
    <w:rsid w:val="009B5B26"/>
    <w:rsid w:val="009C0095"/>
    <w:rsid w:val="009C0FEC"/>
    <w:rsid w:val="009C11D2"/>
    <w:rsid w:val="009C61E3"/>
    <w:rsid w:val="009C6C70"/>
    <w:rsid w:val="009D0922"/>
    <w:rsid w:val="009D0B63"/>
    <w:rsid w:val="009E1A50"/>
    <w:rsid w:val="009E307E"/>
    <w:rsid w:val="009E47E3"/>
    <w:rsid w:val="009E50C2"/>
    <w:rsid w:val="009E72A0"/>
    <w:rsid w:val="00A03A4A"/>
    <w:rsid w:val="00A06B55"/>
    <w:rsid w:val="00A07870"/>
    <w:rsid w:val="00A07F19"/>
    <w:rsid w:val="00A1348D"/>
    <w:rsid w:val="00A142D1"/>
    <w:rsid w:val="00A1489E"/>
    <w:rsid w:val="00A2011D"/>
    <w:rsid w:val="00A232EE"/>
    <w:rsid w:val="00A33298"/>
    <w:rsid w:val="00A4175F"/>
    <w:rsid w:val="00A435EE"/>
    <w:rsid w:val="00A44411"/>
    <w:rsid w:val="00A45B24"/>
    <w:rsid w:val="00A469FA"/>
    <w:rsid w:val="00A47477"/>
    <w:rsid w:val="00A50E94"/>
    <w:rsid w:val="00A55598"/>
    <w:rsid w:val="00A55B01"/>
    <w:rsid w:val="00A569D1"/>
    <w:rsid w:val="00A56B32"/>
    <w:rsid w:val="00A56B5B"/>
    <w:rsid w:val="00A603FF"/>
    <w:rsid w:val="00A62091"/>
    <w:rsid w:val="00A6216C"/>
    <w:rsid w:val="00A65752"/>
    <w:rsid w:val="00A657DD"/>
    <w:rsid w:val="00A666A6"/>
    <w:rsid w:val="00A675FD"/>
    <w:rsid w:val="00A67D9E"/>
    <w:rsid w:val="00A72437"/>
    <w:rsid w:val="00A80611"/>
    <w:rsid w:val="00A84B15"/>
    <w:rsid w:val="00A86030"/>
    <w:rsid w:val="00A87016"/>
    <w:rsid w:val="00A92224"/>
    <w:rsid w:val="00AA20F2"/>
    <w:rsid w:val="00AB1937"/>
    <w:rsid w:val="00AB1F69"/>
    <w:rsid w:val="00AB4A59"/>
    <w:rsid w:val="00AB5340"/>
    <w:rsid w:val="00AC010E"/>
    <w:rsid w:val="00AC01CC"/>
    <w:rsid w:val="00AC16B8"/>
    <w:rsid w:val="00AC7C96"/>
    <w:rsid w:val="00AD1758"/>
    <w:rsid w:val="00AE237D"/>
    <w:rsid w:val="00AE2A3D"/>
    <w:rsid w:val="00AE502A"/>
    <w:rsid w:val="00AF045A"/>
    <w:rsid w:val="00AF0DF7"/>
    <w:rsid w:val="00AF7C07"/>
    <w:rsid w:val="00AF7C11"/>
    <w:rsid w:val="00B02720"/>
    <w:rsid w:val="00B0368D"/>
    <w:rsid w:val="00B03897"/>
    <w:rsid w:val="00B1015D"/>
    <w:rsid w:val="00B1254E"/>
    <w:rsid w:val="00B22C93"/>
    <w:rsid w:val="00B24D33"/>
    <w:rsid w:val="00B2501D"/>
    <w:rsid w:val="00B27589"/>
    <w:rsid w:val="00B37EF9"/>
    <w:rsid w:val="00B405B7"/>
    <w:rsid w:val="00B40B02"/>
    <w:rsid w:val="00B44DE0"/>
    <w:rsid w:val="00B45E6D"/>
    <w:rsid w:val="00B50E6A"/>
    <w:rsid w:val="00B52222"/>
    <w:rsid w:val="00B523A2"/>
    <w:rsid w:val="00B5293A"/>
    <w:rsid w:val="00B53AA7"/>
    <w:rsid w:val="00B54FE7"/>
    <w:rsid w:val="00B57C47"/>
    <w:rsid w:val="00B611E0"/>
    <w:rsid w:val="00B62E95"/>
    <w:rsid w:val="00B6316B"/>
    <w:rsid w:val="00B65F42"/>
    <w:rsid w:val="00B66901"/>
    <w:rsid w:val="00B718D4"/>
    <w:rsid w:val="00B71E6D"/>
    <w:rsid w:val="00B72070"/>
    <w:rsid w:val="00B779E1"/>
    <w:rsid w:val="00B859A3"/>
    <w:rsid w:val="00B874B6"/>
    <w:rsid w:val="00B91EE1"/>
    <w:rsid w:val="00B969C5"/>
    <w:rsid w:val="00B97243"/>
    <w:rsid w:val="00B97E40"/>
    <w:rsid w:val="00BA0090"/>
    <w:rsid w:val="00BA1A67"/>
    <w:rsid w:val="00BA3CEA"/>
    <w:rsid w:val="00BA53A9"/>
    <w:rsid w:val="00BA5C2F"/>
    <w:rsid w:val="00BB121C"/>
    <w:rsid w:val="00BB49DE"/>
    <w:rsid w:val="00BB7228"/>
    <w:rsid w:val="00BC07FE"/>
    <w:rsid w:val="00BC1A57"/>
    <w:rsid w:val="00BD0163"/>
    <w:rsid w:val="00BD159E"/>
    <w:rsid w:val="00BD620C"/>
    <w:rsid w:val="00BE4224"/>
    <w:rsid w:val="00BE5B5F"/>
    <w:rsid w:val="00BF4A46"/>
    <w:rsid w:val="00BF7093"/>
    <w:rsid w:val="00C056CB"/>
    <w:rsid w:val="00C07732"/>
    <w:rsid w:val="00C12C8C"/>
    <w:rsid w:val="00C16384"/>
    <w:rsid w:val="00C2077E"/>
    <w:rsid w:val="00C261F5"/>
    <w:rsid w:val="00C26F55"/>
    <w:rsid w:val="00C30C63"/>
    <w:rsid w:val="00C31D5C"/>
    <w:rsid w:val="00C32B37"/>
    <w:rsid w:val="00C33FC2"/>
    <w:rsid w:val="00C36B8B"/>
    <w:rsid w:val="00C36CA1"/>
    <w:rsid w:val="00C43C87"/>
    <w:rsid w:val="00C47DBF"/>
    <w:rsid w:val="00C53666"/>
    <w:rsid w:val="00C552FF"/>
    <w:rsid w:val="00C558DA"/>
    <w:rsid w:val="00C55AF3"/>
    <w:rsid w:val="00C56EE0"/>
    <w:rsid w:val="00C60713"/>
    <w:rsid w:val="00C620FC"/>
    <w:rsid w:val="00C6442B"/>
    <w:rsid w:val="00C65760"/>
    <w:rsid w:val="00C70B49"/>
    <w:rsid w:val="00C75C7C"/>
    <w:rsid w:val="00C81951"/>
    <w:rsid w:val="00C8296D"/>
    <w:rsid w:val="00C83A8F"/>
    <w:rsid w:val="00C84759"/>
    <w:rsid w:val="00C9256F"/>
    <w:rsid w:val="00C92902"/>
    <w:rsid w:val="00C97578"/>
    <w:rsid w:val="00C979A3"/>
    <w:rsid w:val="00C97FE8"/>
    <w:rsid w:val="00CA32A4"/>
    <w:rsid w:val="00CA66F3"/>
    <w:rsid w:val="00CA6C7F"/>
    <w:rsid w:val="00CA78AF"/>
    <w:rsid w:val="00CB2147"/>
    <w:rsid w:val="00CB221C"/>
    <w:rsid w:val="00CB3C79"/>
    <w:rsid w:val="00CB6F8C"/>
    <w:rsid w:val="00CC0260"/>
    <w:rsid w:val="00CC10A6"/>
    <w:rsid w:val="00CC343C"/>
    <w:rsid w:val="00CD0933"/>
    <w:rsid w:val="00CD5B18"/>
    <w:rsid w:val="00CD5EB8"/>
    <w:rsid w:val="00CD6AC7"/>
    <w:rsid w:val="00CD7044"/>
    <w:rsid w:val="00CE08B9"/>
    <w:rsid w:val="00CE298F"/>
    <w:rsid w:val="00CE4264"/>
    <w:rsid w:val="00CE524C"/>
    <w:rsid w:val="00CE6DFC"/>
    <w:rsid w:val="00CF141F"/>
    <w:rsid w:val="00CF4777"/>
    <w:rsid w:val="00CF5AF8"/>
    <w:rsid w:val="00D00030"/>
    <w:rsid w:val="00D00256"/>
    <w:rsid w:val="00D067BB"/>
    <w:rsid w:val="00D070C9"/>
    <w:rsid w:val="00D070CC"/>
    <w:rsid w:val="00D10003"/>
    <w:rsid w:val="00D1352A"/>
    <w:rsid w:val="00D13EDE"/>
    <w:rsid w:val="00D15BDB"/>
    <w:rsid w:val="00D165D2"/>
    <w:rsid w:val="00D169AF"/>
    <w:rsid w:val="00D200DB"/>
    <w:rsid w:val="00D20435"/>
    <w:rsid w:val="00D25249"/>
    <w:rsid w:val="00D255A7"/>
    <w:rsid w:val="00D25E9D"/>
    <w:rsid w:val="00D341C0"/>
    <w:rsid w:val="00D43747"/>
    <w:rsid w:val="00D44172"/>
    <w:rsid w:val="00D526D8"/>
    <w:rsid w:val="00D62D74"/>
    <w:rsid w:val="00D63B8C"/>
    <w:rsid w:val="00D712FD"/>
    <w:rsid w:val="00D7173E"/>
    <w:rsid w:val="00D72CB6"/>
    <w:rsid w:val="00D73363"/>
    <w:rsid w:val="00D739CC"/>
    <w:rsid w:val="00D8093D"/>
    <w:rsid w:val="00D8108C"/>
    <w:rsid w:val="00D842AE"/>
    <w:rsid w:val="00D845F1"/>
    <w:rsid w:val="00D9211C"/>
    <w:rsid w:val="00D92DE0"/>
    <w:rsid w:val="00D92FEF"/>
    <w:rsid w:val="00D93A0F"/>
    <w:rsid w:val="00DA1BCA"/>
    <w:rsid w:val="00DA3868"/>
    <w:rsid w:val="00DA3FFA"/>
    <w:rsid w:val="00DA7299"/>
    <w:rsid w:val="00DB36B7"/>
    <w:rsid w:val="00DB3E23"/>
    <w:rsid w:val="00DB5EA5"/>
    <w:rsid w:val="00DC3A81"/>
    <w:rsid w:val="00DC46FF"/>
    <w:rsid w:val="00DC5254"/>
    <w:rsid w:val="00DD1A4F"/>
    <w:rsid w:val="00DD3107"/>
    <w:rsid w:val="00DD4B02"/>
    <w:rsid w:val="00DD50F9"/>
    <w:rsid w:val="00DD5EFF"/>
    <w:rsid w:val="00DD609C"/>
    <w:rsid w:val="00DD7C2C"/>
    <w:rsid w:val="00DE6E55"/>
    <w:rsid w:val="00DF5660"/>
    <w:rsid w:val="00E0574F"/>
    <w:rsid w:val="00E06797"/>
    <w:rsid w:val="00E073DB"/>
    <w:rsid w:val="00E10938"/>
    <w:rsid w:val="00E11FC5"/>
    <w:rsid w:val="00E122BC"/>
    <w:rsid w:val="00E1265B"/>
    <w:rsid w:val="00E1397A"/>
    <w:rsid w:val="00E13B48"/>
    <w:rsid w:val="00E1404F"/>
    <w:rsid w:val="00E172B3"/>
    <w:rsid w:val="00E212EF"/>
    <w:rsid w:val="00E21C83"/>
    <w:rsid w:val="00E22C0F"/>
    <w:rsid w:val="00E24964"/>
    <w:rsid w:val="00E24ADA"/>
    <w:rsid w:val="00E256F6"/>
    <w:rsid w:val="00E25835"/>
    <w:rsid w:val="00E26A4A"/>
    <w:rsid w:val="00E32F59"/>
    <w:rsid w:val="00E37F15"/>
    <w:rsid w:val="00E440CD"/>
    <w:rsid w:val="00E45844"/>
    <w:rsid w:val="00E45E6F"/>
    <w:rsid w:val="00E46D9A"/>
    <w:rsid w:val="00E47944"/>
    <w:rsid w:val="00E47C78"/>
    <w:rsid w:val="00E507F5"/>
    <w:rsid w:val="00E509D1"/>
    <w:rsid w:val="00E53917"/>
    <w:rsid w:val="00E565FF"/>
    <w:rsid w:val="00E57B3B"/>
    <w:rsid w:val="00E600D6"/>
    <w:rsid w:val="00E61AC0"/>
    <w:rsid w:val="00E63C75"/>
    <w:rsid w:val="00E63CA8"/>
    <w:rsid w:val="00E65388"/>
    <w:rsid w:val="00E67833"/>
    <w:rsid w:val="00E71FA3"/>
    <w:rsid w:val="00E74ACB"/>
    <w:rsid w:val="00E80386"/>
    <w:rsid w:val="00E84FE1"/>
    <w:rsid w:val="00E85B7D"/>
    <w:rsid w:val="00E9121B"/>
    <w:rsid w:val="00E928D2"/>
    <w:rsid w:val="00E94B48"/>
    <w:rsid w:val="00E96614"/>
    <w:rsid w:val="00E96752"/>
    <w:rsid w:val="00EA0502"/>
    <w:rsid w:val="00EA0AE2"/>
    <w:rsid w:val="00EA292F"/>
    <w:rsid w:val="00EA39E5"/>
    <w:rsid w:val="00EA77B3"/>
    <w:rsid w:val="00EB3106"/>
    <w:rsid w:val="00EB674D"/>
    <w:rsid w:val="00EC4A45"/>
    <w:rsid w:val="00EC5A46"/>
    <w:rsid w:val="00EC63E2"/>
    <w:rsid w:val="00EC7A21"/>
    <w:rsid w:val="00ED0087"/>
    <w:rsid w:val="00ED1F3E"/>
    <w:rsid w:val="00EE1BA8"/>
    <w:rsid w:val="00EE1E98"/>
    <w:rsid w:val="00EE397B"/>
    <w:rsid w:val="00EE3EB0"/>
    <w:rsid w:val="00EE4286"/>
    <w:rsid w:val="00EE4483"/>
    <w:rsid w:val="00EE5261"/>
    <w:rsid w:val="00EE5662"/>
    <w:rsid w:val="00EE66E4"/>
    <w:rsid w:val="00EF15AF"/>
    <w:rsid w:val="00EF20D5"/>
    <w:rsid w:val="00EF22B3"/>
    <w:rsid w:val="00EF469A"/>
    <w:rsid w:val="00F01B5F"/>
    <w:rsid w:val="00F021B4"/>
    <w:rsid w:val="00F03B69"/>
    <w:rsid w:val="00F07A50"/>
    <w:rsid w:val="00F113DA"/>
    <w:rsid w:val="00F13BDD"/>
    <w:rsid w:val="00F141A2"/>
    <w:rsid w:val="00F20E41"/>
    <w:rsid w:val="00F23184"/>
    <w:rsid w:val="00F23AD9"/>
    <w:rsid w:val="00F25F15"/>
    <w:rsid w:val="00F30C19"/>
    <w:rsid w:val="00F319FC"/>
    <w:rsid w:val="00F357AB"/>
    <w:rsid w:val="00F37DC8"/>
    <w:rsid w:val="00F439B3"/>
    <w:rsid w:val="00F45AA8"/>
    <w:rsid w:val="00F502DD"/>
    <w:rsid w:val="00F511D5"/>
    <w:rsid w:val="00F52A1B"/>
    <w:rsid w:val="00F5565A"/>
    <w:rsid w:val="00F63716"/>
    <w:rsid w:val="00F638FC"/>
    <w:rsid w:val="00F64BF6"/>
    <w:rsid w:val="00F650C3"/>
    <w:rsid w:val="00F65D85"/>
    <w:rsid w:val="00F65ED4"/>
    <w:rsid w:val="00F66FD9"/>
    <w:rsid w:val="00F67328"/>
    <w:rsid w:val="00F67DEE"/>
    <w:rsid w:val="00F7203C"/>
    <w:rsid w:val="00F75117"/>
    <w:rsid w:val="00F75453"/>
    <w:rsid w:val="00F755B8"/>
    <w:rsid w:val="00F7562F"/>
    <w:rsid w:val="00F76A97"/>
    <w:rsid w:val="00F8027F"/>
    <w:rsid w:val="00F8091E"/>
    <w:rsid w:val="00F844C0"/>
    <w:rsid w:val="00F8615C"/>
    <w:rsid w:val="00F90723"/>
    <w:rsid w:val="00F9119F"/>
    <w:rsid w:val="00F9436D"/>
    <w:rsid w:val="00F945B9"/>
    <w:rsid w:val="00F94C9A"/>
    <w:rsid w:val="00F969E5"/>
    <w:rsid w:val="00F9733D"/>
    <w:rsid w:val="00F97AEE"/>
    <w:rsid w:val="00F97E54"/>
    <w:rsid w:val="00FA1C95"/>
    <w:rsid w:val="00FA6BB0"/>
    <w:rsid w:val="00FB0883"/>
    <w:rsid w:val="00FB1DFB"/>
    <w:rsid w:val="00FC1762"/>
    <w:rsid w:val="00FC642C"/>
    <w:rsid w:val="00FD2D77"/>
    <w:rsid w:val="00FD5860"/>
    <w:rsid w:val="00FD6E34"/>
    <w:rsid w:val="00FE352D"/>
    <w:rsid w:val="00FE40EB"/>
    <w:rsid w:val="00FE4D02"/>
    <w:rsid w:val="00FE51C9"/>
    <w:rsid w:val="00FE7B2F"/>
    <w:rsid w:val="00FE7D62"/>
    <w:rsid w:val="00FF0F63"/>
    <w:rsid w:val="00FF3819"/>
    <w:rsid w:val="00FF52C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B65A"/>
  <w15:chartTrackingRefBased/>
  <w15:docId w15:val="{1431FA21-1815-4532-A11F-9024676F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F755B8"/>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F755B8"/>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F755B8"/>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F755B8"/>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F755B8"/>
    <w:pPr>
      <w:numPr>
        <w:numId w:val="18"/>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F755B8"/>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F755B8"/>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F755B8"/>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F755B8"/>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F755B8"/>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F755B8"/>
    <w:rPr>
      <w:rFonts w:ascii="Times New Roman" w:hAnsi="Times New Roman"/>
      <w:b/>
      <w:sz w:val="18"/>
      <w:lang w:val="fr-FR"/>
    </w:rPr>
  </w:style>
  <w:style w:type="table" w:customStyle="1" w:styleId="Tabledocright">
    <w:name w:val="Table_doc_right"/>
    <w:basedOn w:val="TableNormal"/>
    <w:rsid w:val="00F755B8"/>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F755B8"/>
    <w:pPr>
      <w:ind w:left="1000"/>
    </w:pPr>
    <w:rPr>
      <w:sz w:val="18"/>
      <w:szCs w:val="18"/>
    </w:rPr>
  </w:style>
  <w:style w:type="paragraph" w:styleId="TOC7">
    <w:name w:val="toc 7"/>
    <w:basedOn w:val="Normal"/>
    <w:next w:val="Normal"/>
    <w:autoRedefine/>
    <w:semiHidden/>
    <w:rsid w:val="00F755B8"/>
    <w:pPr>
      <w:ind w:left="1200"/>
    </w:pPr>
    <w:rPr>
      <w:sz w:val="18"/>
      <w:szCs w:val="18"/>
    </w:rPr>
  </w:style>
  <w:style w:type="paragraph" w:styleId="TOC8">
    <w:name w:val="toc 8"/>
    <w:basedOn w:val="Normal"/>
    <w:next w:val="Normal"/>
    <w:autoRedefine/>
    <w:semiHidden/>
    <w:rsid w:val="00F755B8"/>
    <w:pPr>
      <w:ind w:left="1400"/>
    </w:pPr>
    <w:rPr>
      <w:sz w:val="18"/>
      <w:szCs w:val="18"/>
    </w:rPr>
  </w:style>
  <w:style w:type="paragraph" w:styleId="TOC9">
    <w:name w:val="toc 9"/>
    <w:basedOn w:val="Normal"/>
    <w:next w:val="Normal"/>
    <w:autoRedefine/>
    <w:semiHidden/>
    <w:rsid w:val="00F755B8"/>
    <w:pPr>
      <w:ind w:left="1600"/>
    </w:pPr>
    <w:rPr>
      <w:sz w:val="18"/>
      <w:szCs w:val="18"/>
    </w:rPr>
  </w:style>
  <w:style w:type="paragraph" w:customStyle="1" w:styleId="Titlefigure">
    <w:name w:val="Title_figure"/>
    <w:basedOn w:val="Titletable"/>
    <w:next w:val="NormalNonumber"/>
    <w:rsid w:val="00F755B8"/>
    <w:rPr>
      <w:bCs w:val="0"/>
    </w:rPr>
  </w:style>
  <w:style w:type="paragraph" w:styleId="TableofFigures">
    <w:name w:val="table of figures"/>
    <w:basedOn w:val="Normal"/>
    <w:next w:val="Normal"/>
    <w:autoRedefine/>
    <w:semiHidden/>
    <w:rsid w:val="00F755B8"/>
    <w:pPr>
      <w:ind w:left="1814" w:hanging="567"/>
    </w:pPr>
  </w:style>
  <w:style w:type="paragraph" w:customStyle="1" w:styleId="CH1">
    <w:name w:val="CH1"/>
    <w:basedOn w:val="Normal-pool"/>
    <w:next w:val="CH2"/>
    <w:qFormat/>
    <w:rsid w:val="00F755B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F755B8"/>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F755B8"/>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F755B8"/>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F755B8"/>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8467B7"/>
    <w:pPr>
      <w:tabs>
        <w:tab w:val="left" w:pos="4321"/>
        <w:tab w:val="right" w:pos="8641"/>
      </w:tabs>
      <w:spacing w:before="60"/>
    </w:pPr>
    <w:rPr>
      <w:b/>
      <w:sz w:val="18"/>
    </w:rPr>
  </w:style>
  <w:style w:type="paragraph" w:customStyle="1" w:styleId="Footer-pool">
    <w:name w:val="Footer-pool"/>
    <w:basedOn w:val="Normal"/>
    <w:next w:val="Normal"/>
    <w:rsid w:val="00F755B8"/>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F755B8"/>
    <w:pPr>
      <w:pBdr>
        <w:bottom w:val="single" w:sz="4" w:space="1" w:color="auto"/>
      </w:pBdr>
      <w:tabs>
        <w:tab w:val="center" w:pos="4536"/>
        <w:tab w:val="right" w:pos="9072"/>
      </w:tabs>
      <w:spacing w:after="120"/>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link w:val="BVIfnrCharCharCharChar"/>
    <w:semiHidden/>
    <w:rsid w:val="00F755B8"/>
    <w:rPr>
      <w:rFonts w:eastAsia="Times New Roman"/>
      <w:szCs w:val="18"/>
      <w:vertAlign w:val="superscript"/>
      <w:lang w:val="fr-FR" w:eastAsia="en-US"/>
    </w:rPr>
  </w:style>
  <w:style w:type="table" w:customStyle="1" w:styleId="AATable">
    <w:name w:val="AA_Table"/>
    <w:basedOn w:val="TableNormal"/>
    <w:semiHidden/>
    <w:rsid w:val="008467B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F755B8"/>
    <w:pPr>
      <w:keepNext/>
      <w:keepLines/>
      <w:suppressAutoHyphens/>
    </w:pPr>
    <w:rPr>
      <w:b/>
    </w:rPr>
  </w:style>
  <w:style w:type="paragraph" w:customStyle="1" w:styleId="AATitle2">
    <w:name w:val="AA_Title2"/>
    <w:basedOn w:val="AATitle"/>
    <w:qFormat/>
    <w:rsid w:val="00F755B8"/>
    <w:pPr>
      <w:keepNext w:val="0"/>
      <w:keepLines w:val="0"/>
      <w:spacing w:before="120" w:after="120"/>
    </w:pPr>
  </w:style>
  <w:style w:type="paragraph" w:customStyle="1" w:styleId="BBTitle">
    <w:name w:val="BB_Title"/>
    <w:basedOn w:val="Normal-pool"/>
    <w:link w:val="BBTitleChar"/>
    <w:qFormat/>
    <w:rsid w:val="00F755B8"/>
    <w:pPr>
      <w:keepNext/>
      <w:keepLines/>
      <w:suppressAutoHyphens/>
      <w:spacing w:before="320" w:after="240"/>
      <w:ind w:left="1247" w:right="567"/>
    </w:pPr>
    <w:rPr>
      <w:b/>
      <w:sz w:val="28"/>
      <w:szCs w:val="28"/>
    </w:rPr>
  </w:style>
  <w:style w:type="paragraph" w:customStyle="1" w:styleId="CH4">
    <w:name w:val="CH4"/>
    <w:basedOn w:val="Normal-pool"/>
    <w:next w:val="Normalnumber"/>
    <w:rsid w:val="00F755B8"/>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F755B8"/>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F755B8"/>
    <w:rPr>
      <w:color w:val="0000FF"/>
      <w:u w:val="none"/>
      <w:lang w:val="fr-FR"/>
    </w:rPr>
  </w:style>
  <w:style w:type="numbering" w:customStyle="1" w:styleId="Normallist">
    <w:name w:val="Normal_list"/>
    <w:basedOn w:val="NoList"/>
    <w:rsid w:val="00F755B8"/>
    <w:pPr>
      <w:numPr>
        <w:numId w:val="19"/>
      </w:numPr>
    </w:pPr>
  </w:style>
  <w:style w:type="paragraph" w:customStyle="1" w:styleId="NormalNonumber">
    <w:name w:val="Normal_No_number"/>
    <w:basedOn w:val="Normal-pool"/>
    <w:link w:val="NormalNonumberChar"/>
    <w:qFormat/>
    <w:rsid w:val="00F755B8"/>
    <w:pPr>
      <w:spacing w:after="120"/>
      <w:ind w:left="1247"/>
    </w:pPr>
  </w:style>
  <w:style w:type="paragraph" w:customStyle="1" w:styleId="Normalnumber">
    <w:name w:val="Normal_number"/>
    <w:basedOn w:val="Normal"/>
    <w:link w:val="NormalnumberChar"/>
    <w:qFormat/>
    <w:rsid w:val="00F755B8"/>
    <w:pPr>
      <w:tabs>
        <w:tab w:val="left" w:pos="2495"/>
        <w:tab w:val="left" w:pos="3119"/>
        <w:tab w:val="left" w:pos="3742"/>
        <w:tab w:val="left" w:pos="4366"/>
      </w:tabs>
      <w:spacing w:after="120"/>
    </w:pPr>
  </w:style>
  <w:style w:type="paragraph" w:customStyle="1" w:styleId="Titletable">
    <w:name w:val="Title_table"/>
    <w:basedOn w:val="Normal-pool"/>
    <w:next w:val="NormalNonumber"/>
    <w:rsid w:val="00F755B8"/>
    <w:pPr>
      <w:keepNext/>
      <w:keepLines/>
      <w:suppressAutoHyphens/>
      <w:spacing w:after="60"/>
      <w:ind w:left="1247"/>
    </w:pPr>
    <w:rPr>
      <w:b/>
      <w:bCs/>
    </w:rPr>
  </w:style>
  <w:style w:type="paragraph" w:styleId="TOC1">
    <w:name w:val="toc 1"/>
    <w:basedOn w:val="Normal"/>
    <w:next w:val="Normal"/>
    <w:autoRedefine/>
    <w:uiPriority w:val="39"/>
    <w:unhideWhenUsed/>
    <w:rsid w:val="00F755B8"/>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F755B8"/>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F755B8"/>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F755B8"/>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F755B8"/>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F755B8"/>
    <w:rPr>
      <w:b/>
      <w:bCs/>
      <w:sz w:val="28"/>
      <w:szCs w:val="22"/>
    </w:rPr>
  </w:style>
  <w:style w:type="paragraph" w:customStyle="1" w:styleId="ZZAnxtitle">
    <w:name w:val="ZZ_Anx_title"/>
    <w:basedOn w:val="Normal-pool"/>
    <w:rsid w:val="00F755B8"/>
    <w:pPr>
      <w:spacing w:before="360" w:after="120"/>
      <w:ind w:left="1247"/>
    </w:pPr>
    <w:rPr>
      <w:b/>
      <w:bCs/>
      <w:sz w:val="28"/>
      <w:szCs w:val="26"/>
    </w:rPr>
  </w:style>
  <w:style w:type="paragraph" w:styleId="NormalWeb">
    <w:name w:val="Normal (Web)"/>
    <w:basedOn w:val="Normal"/>
    <w:uiPriority w:val="99"/>
    <w:semiHidden/>
    <w:unhideWhenUsed/>
    <w:rsid w:val="008467B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F755B8"/>
    <w:pPr>
      <w:spacing w:before="40" w:after="40"/>
    </w:pPr>
    <w:rPr>
      <w:sz w:val="18"/>
    </w:rPr>
  </w:style>
  <w:style w:type="paragraph" w:customStyle="1" w:styleId="Footnote-Text">
    <w:name w:val="Footnote-Text"/>
    <w:basedOn w:val="Normal-pool"/>
    <w:rsid w:val="00F755B8"/>
    <w:pPr>
      <w:spacing w:before="20" w:after="40"/>
      <w:ind w:left="1247"/>
    </w:pPr>
    <w:rPr>
      <w:sz w:val="18"/>
    </w:rPr>
  </w:style>
  <w:style w:type="paragraph" w:customStyle="1" w:styleId="AConvName">
    <w:name w:val="A_ConvName"/>
    <w:basedOn w:val="Normal-pool"/>
    <w:next w:val="Normal-pool"/>
    <w:rsid w:val="00F755B8"/>
    <w:pPr>
      <w:tabs>
        <w:tab w:val="clear" w:pos="1247"/>
      </w:tabs>
      <w:spacing w:before="120" w:after="240"/>
    </w:pPr>
    <w:rPr>
      <w:rFonts w:ascii="Arial" w:hAnsi="Arial"/>
      <w:b/>
      <w:sz w:val="28"/>
    </w:rPr>
  </w:style>
  <w:style w:type="paragraph" w:customStyle="1" w:styleId="ASymbol">
    <w:name w:val="A_Symbol"/>
    <w:basedOn w:val="Normal-pool"/>
    <w:rsid w:val="00F755B8"/>
    <w:pPr>
      <w:tabs>
        <w:tab w:val="clear" w:pos="1247"/>
      </w:tabs>
    </w:pPr>
  </w:style>
  <w:style w:type="paragraph" w:customStyle="1" w:styleId="AText">
    <w:name w:val="A_Text"/>
    <w:basedOn w:val="Normal-pool"/>
    <w:rsid w:val="00F755B8"/>
    <w:pPr>
      <w:spacing w:before="120"/>
    </w:pPr>
  </w:style>
  <w:style w:type="paragraph" w:customStyle="1" w:styleId="ATwoLetters">
    <w:name w:val="A_TwoLetters"/>
    <w:basedOn w:val="Normal-pool"/>
    <w:next w:val="Normal-pool"/>
    <w:rsid w:val="00F755B8"/>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F755B8"/>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8467B7"/>
    <w:rPr>
      <w:rFonts w:ascii="Tahoma" w:hAnsi="Tahoma" w:cs="Tahoma"/>
      <w:sz w:val="16"/>
      <w:szCs w:val="16"/>
    </w:rPr>
  </w:style>
  <w:style w:type="character" w:customStyle="1" w:styleId="BalloonTextChar">
    <w:name w:val="Balloon Text Char"/>
    <w:basedOn w:val="DefaultParagraphFont"/>
    <w:link w:val="BalloonText"/>
    <w:rsid w:val="008467B7"/>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F755B8"/>
    <w:rPr>
      <w:sz w:val="16"/>
      <w:szCs w:val="16"/>
      <w:lang w:val="fr-FR"/>
    </w:rPr>
  </w:style>
  <w:style w:type="paragraph" w:styleId="CommentText">
    <w:name w:val="annotation text"/>
    <w:basedOn w:val="Normal"/>
    <w:link w:val="CommentTextChar"/>
    <w:unhideWhenUsed/>
    <w:rsid w:val="00F755B8"/>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F755B8"/>
    <w:rPr>
      <w:rFonts w:eastAsia="Times New Roman"/>
      <w:lang w:val="fr-FR" w:eastAsia="en-US"/>
    </w:rPr>
  </w:style>
  <w:style w:type="paragraph" w:styleId="CommentSubject">
    <w:name w:val="annotation subject"/>
    <w:basedOn w:val="CommentText"/>
    <w:next w:val="CommentText"/>
    <w:link w:val="CommentSubjectChar"/>
    <w:semiHidden/>
    <w:unhideWhenUsed/>
    <w:rsid w:val="00F755B8"/>
    <w:rPr>
      <w:b/>
      <w:bCs/>
    </w:rPr>
  </w:style>
  <w:style w:type="character" w:customStyle="1" w:styleId="CommentSubjectChar">
    <w:name w:val="Comment Subject Char"/>
    <w:basedOn w:val="CommentTextChar"/>
    <w:link w:val="CommentSubject"/>
    <w:semiHidden/>
    <w:rsid w:val="00F755B8"/>
    <w:rPr>
      <w:rFonts w:eastAsia="Times New Roman"/>
      <w:b/>
      <w:bCs/>
      <w:lang w:val="fr-FR" w:eastAsia="en-US"/>
    </w:rPr>
  </w:style>
  <w:style w:type="character" w:styleId="FollowedHyperlink">
    <w:name w:val="FollowedHyperlink"/>
    <w:uiPriority w:val="99"/>
    <w:semiHidden/>
    <w:rsid w:val="00F755B8"/>
    <w:rPr>
      <w:color w:val="0000FF"/>
      <w:u w:val="none"/>
      <w:lang w:val="fr-FR"/>
    </w:rPr>
  </w:style>
  <w:style w:type="character" w:customStyle="1" w:styleId="FooterChar">
    <w:name w:val="Footer Char"/>
    <w:basedOn w:val="DefaultParagraphFont"/>
    <w:link w:val="Footer"/>
    <w:uiPriority w:val="99"/>
    <w:rsid w:val="00F755B8"/>
    <w:rPr>
      <w:rFonts w:eastAsia="Times New Roman"/>
      <w:lang w:val="fr-FR" w:eastAsia="en-US"/>
    </w:rPr>
  </w:style>
  <w:style w:type="character" w:customStyle="1" w:styleId="HeaderChar">
    <w:name w:val="Header Char"/>
    <w:basedOn w:val="DefaultParagraphFont"/>
    <w:link w:val="Header"/>
    <w:uiPriority w:val="99"/>
    <w:semiHidden/>
    <w:rsid w:val="00F755B8"/>
    <w:rPr>
      <w:rFonts w:eastAsia="Times New Roman"/>
      <w:lang w:val="fr-FR" w:eastAsia="en-US"/>
    </w:rPr>
  </w:style>
  <w:style w:type="character" w:customStyle="1" w:styleId="Heading1Char">
    <w:name w:val="Heading 1 Char"/>
    <w:basedOn w:val="DefaultParagraphFont"/>
    <w:link w:val="Heading1"/>
    <w:rsid w:val="00F755B8"/>
    <w:rPr>
      <w:rFonts w:eastAsia="Times New Roman"/>
      <w:b/>
      <w:sz w:val="28"/>
      <w:szCs w:val="28"/>
      <w:lang w:val="fr-FR"/>
    </w:rPr>
  </w:style>
  <w:style w:type="character" w:customStyle="1" w:styleId="Heading2Char">
    <w:name w:val="Heading 2 Char"/>
    <w:basedOn w:val="DefaultParagraphFont"/>
    <w:link w:val="Heading2"/>
    <w:rsid w:val="00F755B8"/>
    <w:rPr>
      <w:rFonts w:eastAsia="Times New Roman"/>
      <w:b/>
      <w:sz w:val="24"/>
      <w:szCs w:val="24"/>
      <w:lang w:val="fr-FR"/>
    </w:rPr>
  </w:style>
  <w:style w:type="character" w:customStyle="1" w:styleId="Heading3Char">
    <w:name w:val="Heading 3 Char"/>
    <w:basedOn w:val="DefaultParagraphFont"/>
    <w:link w:val="Heading3"/>
    <w:rsid w:val="00F755B8"/>
    <w:rPr>
      <w:rFonts w:eastAsia="Times New Roman"/>
      <w:b/>
      <w:lang w:val="fr-FR"/>
    </w:rPr>
  </w:style>
  <w:style w:type="character" w:customStyle="1" w:styleId="Heading4Char">
    <w:name w:val="Heading 4 Char"/>
    <w:basedOn w:val="DefaultParagraphFont"/>
    <w:link w:val="Heading4"/>
    <w:rsid w:val="00F755B8"/>
    <w:rPr>
      <w:rFonts w:eastAsia="Times New Roman"/>
      <w:b/>
      <w:lang w:val="fr-FR" w:eastAsia="en-US"/>
    </w:rPr>
  </w:style>
  <w:style w:type="character" w:customStyle="1" w:styleId="Heading5Char">
    <w:name w:val="Heading 5 Char"/>
    <w:basedOn w:val="DefaultParagraphFont"/>
    <w:link w:val="Heading5"/>
    <w:rsid w:val="00F755B8"/>
    <w:rPr>
      <w:rFonts w:eastAsia="Times New Roman"/>
      <w:b/>
      <w:lang w:val="fr-FR"/>
    </w:rPr>
  </w:style>
  <w:style w:type="character" w:customStyle="1" w:styleId="Heading6Char">
    <w:name w:val="Heading 6 Char"/>
    <w:basedOn w:val="DefaultParagraphFont"/>
    <w:link w:val="Heading6"/>
    <w:rsid w:val="00F755B8"/>
    <w:rPr>
      <w:rFonts w:eastAsia="Times New Roman"/>
      <w:bCs/>
      <w:sz w:val="24"/>
      <w:lang w:val="fr-FR"/>
    </w:rPr>
  </w:style>
  <w:style w:type="character" w:customStyle="1" w:styleId="Heading7Char">
    <w:name w:val="Heading 7 Char"/>
    <w:basedOn w:val="DefaultParagraphFont"/>
    <w:link w:val="Heading7"/>
    <w:rsid w:val="00F755B8"/>
    <w:rPr>
      <w:rFonts w:eastAsia="Times New Roman"/>
      <w:b/>
      <w:snapToGrid w:val="0"/>
      <w:u w:val="single"/>
      <w:lang w:val="fr-FR"/>
    </w:rPr>
  </w:style>
  <w:style w:type="character" w:customStyle="1" w:styleId="Heading8Char">
    <w:name w:val="Heading 8 Char"/>
    <w:basedOn w:val="DefaultParagraphFont"/>
    <w:link w:val="Heading8"/>
    <w:rsid w:val="00F755B8"/>
    <w:rPr>
      <w:rFonts w:eastAsia="Times New Roman"/>
      <w:b/>
      <w:snapToGrid w:val="0"/>
      <w:u w:val="single"/>
      <w:lang w:val="fr-FR"/>
    </w:rPr>
  </w:style>
  <w:style w:type="character" w:customStyle="1" w:styleId="Heading9Char">
    <w:name w:val="Heading 9 Char"/>
    <w:basedOn w:val="DefaultParagraphFont"/>
    <w:link w:val="Heading9"/>
    <w:rsid w:val="00F755B8"/>
    <w:rPr>
      <w:rFonts w:eastAsia="Times New Roman"/>
      <w:snapToGrid w:val="0"/>
      <w:u w:val="single"/>
      <w:lang w:val="fr-FR" w:eastAsia="en-US"/>
    </w:rPr>
  </w:style>
  <w:style w:type="paragraph" w:styleId="ListParagraph">
    <w:name w:val="List Paragraph"/>
    <w:basedOn w:val="Normal"/>
    <w:uiPriority w:val="34"/>
    <w:semiHidden/>
    <w:qFormat/>
    <w:rsid w:val="008467B7"/>
    <w:pPr>
      <w:ind w:left="720"/>
      <w:contextualSpacing/>
    </w:pPr>
  </w:style>
  <w:style w:type="paragraph" w:styleId="NoSpacing">
    <w:name w:val="No Spacing"/>
    <w:uiPriority w:val="1"/>
    <w:semiHidden/>
    <w:qFormat/>
    <w:rsid w:val="008467B7"/>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F755B8"/>
    <w:rPr>
      <w:rFonts w:eastAsia="Times New Roman"/>
      <w:lang w:eastAsia="en-US"/>
    </w:rPr>
  </w:style>
  <w:style w:type="character" w:styleId="PlaceholderText">
    <w:name w:val="Placeholder Text"/>
    <w:basedOn w:val="DefaultParagraphFont"/>
    <w:uiPriority w:val="99"/>
    <w:semiHidden/>
    <w:rsid w:val="008467B7"/>
    <w:rPr>
      <w:color w:val="808080"/>
      <w:lang w:val="fr-FR"/>
    </w:rPr>
  </w:style>
  <w:style w:type="table" w:styleId="TableGrid">
    <w:name w:val="Table Grid"/>
    <w:basedOn w:val="TableNormal"/>
    <w:uiPriority w:val="39"/>
    <w:rsid w:val="0084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F755B8"/>
    <w:pPr>
      <w:spacing w:before="120" w:after="240"/>
    </w:pPr>
    <w:rPr>
      <w:rFonts w:eastAsia="Times New Roman"/>
    </w:rPr>
  </w:style>
  <w:style w:type="character" w:customStyle="1" w:styleId="ALogoChar">
    <w:name w:val="A_Logo Char"/>
    <w:basedOn w:val="DefaultParagraphFont"/>
    <w:link w:val="ALogo"/>
    <w:rsid w:val="00F755B8"/>
    <w:rPr>
      <w:rFonts w:eastAsia="Times New Roman"/>
      <w:lang w:val="fr-FR"/>
    </w:rPr>
  </w:style>
  <w:style w:type="paragraph" w:customStyle="1" w:styleId="ASpacer">
    <w:name w:val="A_Spacer"/>
    <w:basedOn w:val="Normal-pool"/>
    <w:link w:val="ASpacerChar"/>
    <w:qFormat/>
    <w:rsid w:val="00F755B8"/>
    <w:rPr>
      <w:rFonts w:eastAsia="Times New Roman"/>
      <w:sz w:val="2"/>
    </w:rPr>
  </w:style>
  <w:style w:type="character" w:customStyle="1" w:styleId="ASpacerChar">
    <w:name w:val="A_Spacer Char"/>
    <w:basedOn w:val="DefaultParagraphFont"/>
    <w:link w:val="ASpacer"/>
    <w:rsid w:val="00F755B8"/>
    <w:rPr>
      <w:rFonts w:eastAsia="Times New Roman"/>
      <w:sz w:val="2"/>
      <w:lang w:val="fr-FR"/>
    </w:rPr>
  </w:style>
  <w:style w:type="paragraph" w:customStyle="1" w:styleId="AATitle1">
    <w:name w:val="AA_Title1"/>
    <w:basedOn w:val="Normal-pool"/>
    <w:qFormat/>
    <w:rsid w:val="00F755B8"/>
  </w:style>
  <w:style w:type="character" w:styleId="UnresolvedMention">
    <w:name w:val="Unresolved Mention"/>
    <w:basedOn w:val="DefaultParagraphFont"/>
    <w:uiPriority w:val="99"/>
    <w:semiHidden/>
    <w:rsid w:val="008467B7"/>
    <w:rPr>
      <w:color w:val="605E5C"/>
      <w:shd w:val="clear" w:color="auto" w:fill="E1DFDD"/>
      <w:lang w:val="fr-FR"/>
    </w:rPr>
  </w:style>
  <w:style w:type="paragraph" w:customStyle="1" w:styleId="ANormal">
    <w:name w:val="A_Normal"/>
    <w:basedOn w:val="Normal-pool"/>
    <w:qFormat/>
    <w:rsid w:val="00F755B8"/>
    <w:rPr>
      <w:rFonts w:eastAsia="Times New Roman"/>
    </w:rPr>
  </w:style>
  <w:style w:type="paragraph" w:customStyle="1" w:styleId="AText0">
    <w:name w:val="A_Text0"/>
    <w:basedOn w:val="AText"/>
    <w:next w:val="Normal-pool"/>
    <w:qFormat/>
    <w:rsid w:val="00F755B8"/>
    <w:pPr>
      <w:spacing w:before="0" w:after="120"/>
    </w:pPr>
    <w:rPr>
      <w:rFonts w:eastAsia="Times New Roman"/>
    </w:rPr>
  </w:style>
  <w:style w:type="paragraph" w:styleId="Footer">
    <w:name w:val="footer"/>
    <w:basedOn w:val="Normal"/>
    <w:link w:val="FooterChar"/>
    <w:uiPriority w:val="99"/>
    <w:rsid w:val="00F755B8"/>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8467B7"/>
    <w:rPr>
      <w:rFonts w:eastAsia="Times New Roman"/>
      <w:b/>
      <w:sz w:val="18"/>
      <w:lang w:val="fr-FR" w:eastAsia="en-US"/>
    </w:rPr>
  </w:style>
  <w:style w:type="paragraph" w:customStyle="1" w:styleId="Normal-pool">
    <w:name w:val="Normal-pool"/>
    <w:link w:val="Normal-poolChar"/>
    <w:qFormat/>
    <w:rsid w:val="00F755B8"/>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F755B8"/>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F755B8"/>
    <w:pPr>
      <w:spacing w:before="60"/>
    </w:pPr>
    <w:rPr>
      <w:sz w:val="18"/>
    </w:rPr>
  </w:style>
  <w:style w:type="paragraph" w:styleId="Bibliography">
    <w:name w:val="Bibliography"/>
    <w:basedOn w:val="Normal"/>
    <w:next w:val="Normal"/>
    <w:uiPriority w:val="37"/>
    <w:semiHidden/>
    <w:rsid w:val="008467B7"/>
  </w:style>
  <w:style w:type="paragraph" w:styleId="BlockText">
    <w:name w:val="Block Text"/>
    <w:basedOn w:val="Normal"/>
    <w:semiHidden/>
    <w:unhideWhenUsed/>
    <w:rsid w:val="008467B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467B7"/>
    <w:pPr>
      <w:spacing w:after="120"/>
    </w:pPr>
  </w:style>
  <w:style w:type="character" w:customStyle="1" w:styleId="BodyTextChar">
    <w:name w:val="Body Text Char"/>
    <w:basedOn w:val="DefaultParagraphFont"/>
    <w:link w:val="BodyText"/>
    <w:semiHidden/>
    <w:rsid w:val="008467B7"/>
    <w:rPr>
      <w:rFonts w:eastAsia="Times New Roman"/>
      <w:lang w:val="fr-FR" w:eastAsia="en-US"/>
    </w:rPr>
  </w:style>
  <w:style w:type="paragraph" w:styleId="BodyText2">
    <w:name w:val="Body Text 2"/>
    <w:basedOn w:val="Normal"/>
    <w:link w:val="BodyText2Char"/>
    <w:semiHidden/>
    <w:unhideWhenUsed/>
    <w:rsid w:val="008467B7"/>
    <w:pPr>
      <w:spacing w:after="120" w:line="480" w:lineRule="auto"/>
    </w:pPr>
  </w:style>
  <w:style w:type="character" w:customStyle="1" w:styleId="BodyText2Char">
    <w:name w:val="Body Text 2 Char"/>
    <w:basedOn w:val="DefaultParagraphFont"/>
    <w:link w:val="BodyText2"/>
    <w:semiHidden/>
    <w:rsid w:val="008467B7"/>
    <w:rPr>
      <w:rFonts w:eastAsia="Times New Roman"/>
      <w:lang w:val="fr-FR" w:eastAsia="en-US"/>
    </w:rPr>
  </w:style>
  <w:style w:type="paragraph" w:styleId="BodyText3">
    <w:name w:val="Body Text 3"/>
    <w:basedOn w:val="Normal"/>
    <w:link w:val="BodyText3Char"/>
    <w:semiHidden/>
    <w:unhideWhenUsed/>
    <w:rsid w:val="008467B7"/>
    <w:pPr>
      <w:spacing w:after="120"/>
    </w:pPr>
    <w:rPr>
      <w:sz w:val="16"/>
      <w:szCs w:val="16"/>
    </w:rPr>
  </w:style>
  <w:style w:type="character" w:customStyle="1" w:styleId="BodyText3Char">
    <w:name w:val="Body Text 3 Char"/>
    <w:basedOn w:val="DefaultParagraphFont"/>
    <w:link w:val="BodyText3"/>
    <w:semiHidden/>
    <w:rsid w:val="008467B7"/>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8467B7"/>
    <w:pPr>
      <w:spacing w:after="0"/>
      <w:ind w:firstLine="360"/>
    </w:pPr>
  </w:style>
  <w:style w:type="character" w:customStyle="1" w:styleId="BodyTextFirstIndentChar">
    <w:name w:val="Body Text First Indent Char"/>
    <w:basedOn w:val="BodyTextChar"/>
    <w:link w:val="BodyTextFirstIndent"/>
    <w:semiHidden/>
    <w:rsid w:val="008467B7"/>
    <w:rPr>
      <w:rFonts w:eastAsia="Times New Roman"/>
      <w:lang w:val="fr-FR" w:eastAsia="en-US"/>
    </w:rPr>
  </w:style>
  <w:style w:type="paragraph" w:styleId="BodyTextIndent">
    <w:name w:val="Body Text Indent"/>
    <w:basedOn w:val="Normal"/>
    <w:link w:val="BodyTextIndentChar"/>
    <w:semiHidden/>
    <w:unhideWhenUsed/>
    <w:rsid w:val="008467B7"/>
    <w:pPr>
      <w:spacing w:after="120"/>
      <w:ind w:left="283"/>
    </w:pPr>
  </w:style>
  <w:style w:type="character" w:customStyle="1" w:styleId="BodyTextIndentChar">
    <w:name w:val="Body Text Indent Char"/>
    <w:basedOn w:val="DefaultParagraphFont"/>
    <w:link w:val="BodyTextIndent"/>
    <w:semiHidden/>
    <w:rsid w:val="008467B7"/>
    <w:rPr>
      <w:rFonts w:eastAsia="Times New Roman"/>
      <w:lang w:val="fr-FR" w:eastAsia="en-US"/>
    </w:rPr>
  </w:style>
  <w:style w:type="paragraph" w:styleId="BodyTextFirstIndent2">
    <w:name w:val="Body Text First Indent 2"/>
    <w:basedOn w:val="BodyTextIndent"/>
    <w:link w:val="BodyTextFirstIndent2Char"/>
    <w:semiHidden/>
    <w:unhideWhenUsed/>
    <w:rsid w:val="008467B7"/>
    <w:pPr>
      <w:spacing w:after="0"/>
      <w:ind w:left="360" w:firstLine="360"/>
    </w:pPr>
  </w:style>
  <w:style w:type="character" w:customStyle="1" w:styleId="BodyTextFirstIndent2Char">
    <w:name w:val="Body Text First Indent 2 Char"/>
    <w:basedOn w:val="BodyTextIndentChar"/>
    <w:link w:val="BodyTextFirstIndent2"/>
    <w:semiHidden/>
    <w:rsid w:val="008467B7"/>
    <w:rPr>
      <w:rFonts w:eastAsia="Times New Roman"/>
      <w:lang w:val="fr-FR" w:eastAsia="en-US"/>
    </w:rPr>
  </w:style>
  <w:style w:type="paragraph" w:styleId="BodyTextIndent2">
    <w:name w:val="Body Text Indent 2"/>
    <w:basedOn w:val="Normal"/>
    <w:link w:val="BodyTextIndent2Char"/>
    <w:semiHidden/>
    <w:unhideWhenUsed/>
    <w:rsid w:val="008467B7"/>
    <w:pPr>
      <w:spacing w:after="120" w:line="480" w:lineRule="auto"/>
      <w:ind w:left="283"/>
    </w:pPr>
  </w:style>
  <w:style w:type="character" w:customStyle="1" w:styleId="BodyTextIndent2Char">
    <w:name w:val="Body Text Indent 2 Char"/>
    <w:basedOn w:val="DefaultParagraphFont"/>
    <w:link w:val="BodyTextIndent2"/>
    <w:semiHidden/>
    <w:rsid w:val="008467B7"/>
    <w:rPr>
      <w:rFonts w:eastAsia="Times New Roman"/>
      <w:lang w:val="fr-FR" w:eastAsia="en-US"/>
    </w:rPr>
  </w:style>
  <w:style w:type="paragraph" w:styleId="BodyTextIndent3">
    <w:name w:val="Body Text Indent 3"/>
    <w:basedOn w:val="Normal"/>
    <w:link w:val="BodyTextIndent3Char"/>
    <w:semiHidden/>
    <w:unhideWhenUsed/>
    <w:rsid w:val="008467B7"/>
    <w:pPr>
      <w:spacing w:after="120"/>
      <w:ind w:left="283"/>
    </w:pPr>
    <w:rPr>
      <w:sz w:val="16"/>
      <w:szCs w:val="16"/>
    </w:rPr>
  </w:style>
  <w:style w:type="character" w:customStyle="1" w:styleId="BodyTextIndent3Char">
    <w:name w:val="Body Text Indent 3 Char"/>
    <w:basedOn w:val="DefaultParagraphFont"/>
    <w:link w:val="BodyTextIndent3"/>
    <w:semiHidden/>
    <w:rsid w:val="008467B7"/>
    <w:rPr>
      <w:rFonts w:eastAsia="Times New Roman"/>
      <w:sz w:val="16"/>
      <w:szCs w:val="16"/>
      <w:lang w:val="fr-FR" w:eastAsia="en-US"/>
    </w:rPr>
  </w:style>
  <w:style w:type="character" w:styleId="BookTitle">
    <w:name w:val="Book Title"/>
    <w:basedOn w:val="DefaultParagraphFont"/>
    <w:uiPriority w:val="33"/>
    <w:semiHidden/>
    <w:qFormat/>
    <w:rsid w:val="008467B7"/>
    <w:rPr>
      <w:b/>
      <w:bCs/>
      <w:i/>
      <w:iCs/>
      <w:spacing w:val="5"/>
      <w:lang w:val="fr-FR"/>
    </w:rPr>
  </w:style>
  <w:style w:type="paragraph" w:styleId="Caption">
    <w:name w:val="caption"/>
    <w:basedOn w:val="Normal"/>
    <w:next w:val="Normal"/>
    <w:semiHidden/>
    <w:unhideWhenUsed/>
    <w:qFormat/>
    <w:rsid w:val="008467B7"/>
    <w:pPr>
      <w:spacing w:after="200"/>
    </w:pPr>
    <w:rPr>
      <w:i/>
      <w:iCs/>
      <w:color w:val="1F497D" w:themeColor="text2"/>
      <w:sz w:val="18"/>
      <w:szCs w:val="18"/>
    </w:rPr>
  </w:style>
  <w:style w:type="paragraph" w:styleId="Closing">
    <w:name w:val="Closing"/>
    <w:basedOn w:val="Normal"/>
    <w:link w:val="ClosingChar"/>
    <w:semiHidden/>
    <w:unhideWhenUsed/>
    <w:rsid w:val="008467B7"/>
    <w:pPr>
      <w:ind w:left="4252"/>
    </w:pPr>
  </w:style>
  <w:style w:type="character" w:customStyle="1" w:styleId="ClosingChar">
    <w:name w:val="Closing Char"/>
    <w:basedOn w:val="DefaultParagraphFont"/>
    <w:link w:val="Closing"/>
    <w:semiHidden/>
    <w:rsid w:val="008467B7"/>
    <w:rPr>
      <w:rFonts w:eastAsia="Times New Roman"/>
      <w:lang w:val="fr-FR" w:eastAsia="en-US"/>
    </w:rPr>
  </w:style>
  <w:style w:type="table" w:styleId="ColorfulGrid">
    <w:name w:val="Colorful Grid"/>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467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67B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467B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467B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467B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467B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467B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467B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67B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67B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67B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467B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67B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67B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467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67B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467B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467B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467B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467B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467B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8467B7"/>
  </w:style>
  <w:style w:type="character" w:customStyle="1" w:styleId="DateChar">
    <w:name w:val="Date Char"/>
    <w:basedOn w:val="DefaultParagraphFont"/>
    <w:link w:val="Date"/>
    <w:semiHidden/>
    <w:rsid w:val="008467B7"/>
    <w:rPr>
      <w:rFonts w:eastAsia="Times New Roman"/>
      <w:lang w:val="fr-FR" w:eastAsia="en-US"/>
    </w:rPr>
  </w:style>
  <w:style w:type="paragraph" w:styleId="DocumentMap">
    <w:name w:val="Document Map"/>
    <w:basedOn w:val="Normal"/>
    <w:link w:val="DocumentMapChar"/>
    <w:semiHidden/>
    <w:unhideWhenUsed/>
    <w:rsid w:val="008467B7"/>
    <w:rPr>
      <w:rFonts w:ascii="Segoe UI" w:hAnsi="Segoe UI" w:cs="Segoe UI"/>
      <w:sz w:val="16"/>
      <w:szCs w:val="16"/>
    </w:rPr>
  </w:style>
  <w:style w:type="character" w:customStyle="1" w:styleId="DocumentMapChar">
    <w:name w:val="Document Map Char"/>
    <w:basedOn w:val="DefaultParagraphFont"/>
    <w:link w:val="DocumentMap"/>
    <w:semiHidden/>
    <w:rsid w:val="008467B7"/>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8467B7"/>
  </w:style>
  <w:style w:type="character" w:customStyle="1" w:styleId="E-mailSignatureChar">
    <w:name w:val="E-mail Signature Char"/>
    <w:basedOn w:val="DefaultParagraphFont"/>
    <w:link w:val="E-mailSignature"/>
    <w:semiHidden/>
    <w:rsid w:val="008467B7"/>
    <w:rPr>
      <w:rFonts w:eastAsia="Times New Roman"/>
      <w:lang w:val="fr-FR" w:eastAsia="en-US"/>
    </w:rPr>
  </w:style>
  <w:style w:type="character" w:styleId="Emphasis">
    <w:name w:val="Emphasis"/>
    <w:basedOn w:val="DefaultParagraphFont"/>
    <w:semiHidden/>
    <w:qFormat/>
    <w:rsid w:val="008467B7"/>
    <w:rPr>
      <w:i/>
      <w:iCs/>
      <w:lang w:val="fr-FR"/>
    </w:rPr>
  </w:style>
  <w:style w:type="character" w:styleId="EndnoteReference">
    <w:name w:val="endnote reference"/>
    <w:basedOn w:val="DefaultParagraphFont"/>
    <w:semiHidden/>
    <w:unhideWhenUsed/>
    <w:rsid w:val="008467B7"/>
    <w:rPr>
      <w:vertAlign w:val="superscript"/>
      <w:lang w:val="fr-FR"/>
    </w:rPr>
  </w:style>
  <w:style w:type="paragraph" w:styleId="EndnoteText">
    <w:name w:val="endnote text"/>
    <w:basedOn w:val="Normal"/>
    <w:link w:val="EndnoteTextChar"/>
    <w:semiHidden/>
    <w:unhideWhenUsed/>
    <w:rsid w:val="008467B7"/>
  </w:style>
  <w:style w:type="character" w:customStyle="1" w:styleId="EndnoteTextChar">
    <w:name w:val="Endnote Text Char"/>
    <w:basedOn w:val="DefaultParagraphFont"/>
    <w:link w:val="EndnoteText"/>
    <w:semiHidden/>
    <w:rsid w:val="008467B7"/>
    <w:rPr>
      <w:rFonts w:eastAsia="Times New Roman"/>
      <w:lang w:val="fr-FR" w:eastAsia="en-US"/>
    </w:rPr>
  </w:style>
  <w:style w:type="paragraph" w:styleId="EnvelopeAddress">
    <w:name w:val="envelope address"/>
    <w:basedOn w:val="Normal"/>
    <w:semiHidden/>
    <w:unhideWhenUsed/>
    <w:rsid w:val="008467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467B7"/>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h"/>
    <w:basedOn w:val="Normal"/>
    <w:link w:val="FootnoteTextChar"/>
    <w:rsid w:val="00F755B8"/>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8467B7"/>
    <w:rPr>
      <w:rFonts w:eastAsia="Times New Roman"/>
      <w:sz w:val="18"/>
      <w:lang w:val="fr-FR" w:eastAsia="en-US"/>
    </w:rPr>
  </w:style>
  <w:style w:type="table" w:styleId="GridTable1Light">
    <w:name w:val="Grid Table 1 Light"/>
    <w:basedOn w:val="TableNormal"/>
    <w:uiPriority w:val="46"/>
    <w:rsid w:val="008467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467B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467B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467B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467B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467B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467B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467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467B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467B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467B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467B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467B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467B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467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46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467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467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467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467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467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467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46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467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467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467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467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467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467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467B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467B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467B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467B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467B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467B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467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467B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467B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467B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467B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467B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467B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8467B7"/>
    <w:rPr>
      <w:color w:val="2B579A"/>
      <w:shd w:val="clear" w:color="auto" w:fill="E1DFDD"/>
      <w:lang w:val="fr-FR"/>
    </w:rPr>
  </w:style>
  <w:style w:type="character" w:styleId="HTMLAcronym">
    <w:name w:val="HTML Acronym"/>
    <w:basedOn w:val="DefaultParagraphFont"/>
    <w:semiHidden/>
    <w:unhideWhenUsed/>
    <w:rsid w:val="008467B7"/>
    <w:rPr>
      <w:lang w:val="fr-FR"/>
    </w:rPr>
  </w:style>
  <w:style w:type="paragraph" w:styleId="HTMLAddress">
    <w:name w:val="HTML Address"/>
    <w:basedOn w:val="Normal"/>
    <w:link w:val="HTMLAddressChar"/>
    <w:semiHidden/>
    <w:unhideWhenUsed/>
    <w:rsid w:val="008467B7"/>
    <w:rPr>
      <w:i/>
      <w:iCs/>
    </w:rPr>
  </w:style>
  <w:style w:type="character" w:customStyle="1" w:styleId="HTMLAddressChar">
    <w:name w:val="HTML Address Char"/>
    <w:basedOn w:val="DefaultParagraphFont"/>
    <w:link w:val="HTMLAddress"/>
    <w:semiHidden/>
    <w:rsid w:val="008467B7"/>
    <w:rPr>
      <w:rFonts w:eastAsia="Times New Roman"/>
      <w:i/>
      <w:iCs/>
      <w:lang w:val="fr-FR" w:eastAsia="en-US"/>
    </w:rPr>
  </w:style>
  <w:style w:type="character" w:styleId="HTMLCite">
    <w:name w:val="HTML Cite"/>
    <w:basedOn w:val="DefaultParagraphFont"/>
    <w:semiHidden/>
    <w:unhideWhenUsed/>
    <w:rsid w:val="008467B7"/>
    <w:rPr>
      <w:i/>
      <w:iCs/>
      <w:lang w:val="fr-FR"/>
    </w:rPr>
  </w:style>
  <w:style w:type="character" w:styleId="HTMLCode">
    <w:name w:val="HTML Code"/>
    <w:basedOn w:val="DefaultParagraphFont"/>
    <w:semiHidden/>
    <w:unhideWhenUsed/>
    <w:rsid w:val="008467B7"/>
    <w:rPr>
      <w:rFonts w:ascii="Consolas" w:hAnsi="Consolas"/>
      <w:sz w:val="20"/>
      <w:szCs w:val="20"/>
      <w:lang w:val="fr-FR"/>
    </w:rPr>
  </w:style>
  <w:style w:type="character" w:styleId="HTMLDefinition">
    <w:name w:val="HTML Definition"/>
    <w:basedOn w:val="DefaultParagraphFont"/>
    <w:semiHidden/>
    <w:unhideWhenUsed/>
    <w:rsid w:val="008467B7"/>
    <w:rPr>
      <w:i/>
      <w:iCs/>
      <w:lang w:val="fr-FR"/>
    </w:rPr>
  </w:style>
  <w:style w:type="character" w:styleId="HTMLKeyboard">
    <w:name w:val="HTML Keyboard"/>
    <w:basedOn w:val="DefaultParagraphFont"/>
    <w:semiHidden/>
    <w:unhideWhenUsed/>
    <w:rsid w:val="008467B7"/>
    <w:rPr>
      <w:rFonts w:ascii="Consolas" w:hAnsi="Consolas"/>
      <w:sz w:val="20"/>
      <w:szCs w:val="20"/>
      <w:lang w:val="fr-FR"/>
    </w:rPr>
  </w:style>
  <w:style w:type="paragraph" w:styleId="HTMLPreformatted">
    <w:name w:val="HTML Preformatted"/>
    <w:basedOn w:val="Normal"/>
    <w:link w:val="HTMLPreformattedChar"/>
    <w:semiHidden/>
    <w:unhideWhenUsed/>
    <w:rsid w:val="008467B7"/>
    <w:rPr>
      <w:rFonts w:ascii="Consolas" w:hAnsi="Consolas"/>
    </w:rPr>
  </w:style>
  <w:style w:type="character" w:customStyle="1" w:styleId="HTMLPreformattedChar">
    <w:name w:val="HTML Preformatted Char"/>
    <w:basedOn w:val="DefaultParagraphFont"/>
    <w:link w:val="HTMLPreformatted"/>
    <w:semiHidden/>
    <w:rsid w:val="008467B7"/>
    <w:rPr>
      <w:rFonts w:ascii="Consolas" w:eastAsia="Times New Roman" w:hAnsi="Consolas"/>
      <w:lang w:val="fr-FR" w:eastAsia="en-US"/>
    </w:rPr>
  </w:style>
  <w:style w:type="character" w:styleId="HTMLSample">
    <w:name w:val="HTML Sample"/>
    <w:basedOn w:val="DefaultParagraphFont"/>
    <w:semiHidden/>
    <w:unhideWhenUsed/>
    <w:rsid w:val="008467B7"/>
    <w:rPr>
      <w:rFonts w:ascii="Consolas" w:hAnsi="Consolas"/>
      <w:sz w:val="24"/>
      <w:szCs w:val="24"/>
      <w:lang w:val="fr-FR"/>
    </w:rPr>
  </w:style>
  <w:style w:type="character" w:styleId="HTMLTypewriter">
    <w:name w:val="HTML Typewriter"/>
    <w:basedOn w:val="DefaultParagraphFont"/>
    <w:semiHidden/>
    <w:unhideWhenUsed/>
    <w:rsid w:val="008467B7"/>
    <w:rPr>
      <w:rFonts w:ascii="Consolas" w:hAnsi="Consolas"/>
      <w:sz w:val="20"/>
      <w:szCs w:val="20"/>
      <w:lang w:val="fr-FR"/>
    </w:rPr>
  </w:style>
  <w:style w:type="character" w:styleId="HTMLVariable">
    <w:name w:val="HTML Variable"/>
    <w:basedOn w:val="DefaultParagraphFont"/>
    <w:semiHidden/>
    <w:unhideWhenUsed/>
    <w:rsid w:val="008467B7"/>
    <w:rPr>
      <w:i/>
      <w:iCs/>
      <w:lang w:val="fr-FR"/>
    </w:rPr>
  </w:style>
  <w:style w:type="paragraph" w:styleId="Index1">
    <w:name w:val="index 1"/>
    <w:basedOn w:val="Normal"/>
    <w:next w:val="Normal"/>
    <w:autoRedefine/>
    <w:semiHidden/>
    <w:unhideWhenUsed/>
    <w:rsid w:val="008467B7"/>
    <w:pPr>
      <w:tabs>
        <w:tab w:val="clear" w:pos="1247"/>
      </w:tabs>
      <w:ind w:left="200" w:hanging="200"/>
    </w:pPr>
  </w:style>
  <w:style w:type="paragraph" w:styleId="Index2">
    <w:name w:val="index 2"/>
    <w:basedOn w:val="Normal"/>
    <w:next w:val="Normal"/>
    <w:autoRedefine/>
    <w:semiHidden/>
    <w:unhideWhenUsed/>
    <w:rsid w:val="008467B7"/>
    <w:pPr>
      <w:tabs>
        <w:tab w:val="clear" w:pos="1247"/>
      </w:tabs>
      <w:ind w:left="400" w:hanging="200"/>
    </w:pPr>
  </w:style>
  <w:style w:type="paragraph" w:styleId="Index3">
    <w:name w:val="index 3"/>
    <w:basedOn w:val="Normal"/>
    <w:next w:val="Normal"/>
    <w:autoRedefine/>
    <w:semiHidden/>
    <w:unhideWhenUsed/>
    <w:rsid w:val="008467B7"/>
    <w:pPr>
      <w:tabs>
        <w:tab w:val="clear" w:pos="1247"/>
      </w:tabs>
      <w:ind w:left="600" w:hanging="200"/>
    </w:pPr>
  </w:style>
  <w:style w:type="paragraph" w:styleId="Index4">
    <w:name w:val="index 4"/>
    <w:basedOn w:val="Normal"/>
    <w:next w:val="Normal"/>
    <w:autoRedefine/>
    <w:semiHidden/>
    <w:unhideWhenUsed/>
    <w:rsid w:val="008467B7"/>
    <w:pPr>
      <w:tabs>
        <w:tab w:val="clear" w:pos="1247"/>
      </w:tabs>
      <w:ind w:left="800" w:hanging="200"/>
    </w:pPr>
  </w:style>
  <w:style w:type="paragraph" w:styleId="Index5">
    <w:name w:val="index 5"/>
    <w:basedOn w:val="Normal"/>
    <w:next w:val="Normal"/>
    <w:autoRedefine/>
    <w:semiHidden/>
    <w:unhideWhenUsed/>
    <w:rsid w:val="008467B7"/>
    <w:pPr>
      <w:tabs>
        <w:tab w:val="clear" w:pos="1247"/>
      </w:tabs>
      <w:ind w:left="1000" w:hanging="200"/>
    </w:pPr>
  </w:style>
  <w:style w:type="paragraph" w:styleId="Index6">
    <w:name w:val="index 6"/>
    <w:basedOn w:val="Normal"/>
    <w:next w:val="Normal"/>
    <w:autoRedefine/>
    <w:semiHidden/>
    <w:unhideWhenUsed/>
    <w:rsid w:val="008467B7"/>
    <w:pPr>
      <w:tabs>
        <w:tab w:val="clear" w:pos="1247"/>
      </w:tabs>
      <w:ind w:left="1200" w:hanging="200"/>
    </w:pPr>
  </w:style>
  <w:style w:type="paragraph" w:styleId="Index7">
    <w:name w:val="index 7"/>
    <w:basedOn w:val="Normal"/>
    <w:next w:val="Normal"/>
    <w:autoRedefine/>
    <w:semiHidden/>
    <w:unhideWhenUsed/>
    <w:rsid w:val="008467B7"/>
    <w:pPr>
      <w:tabs>
        <w:tab w:val="clear" w:pos="1247"/>
      </w:tabs>
      <w:ind w:left="1400" w:hanging="200"/>
    </w:pPr>
  </w:style>
  <w:style w:type="paragraph" w:styleId="Index8">
    <w:name w:val="index 8"/>
    <w:basedOn w:val="Normal"/>
    <w:next w:val="Normal"/>
    <w:autoRedefine/>
    <w:semiHidden/>
    <w:unhideWhenUsed/>
    <w:rsid w:val="008467B7"/>
    <w:pPr>
      <w:tabs>
        <w:tab w:val="clear" w:pos="1247"/>
      </w:tabs>
      <w:ind w:left="1600" w:hanging="200"/>
    </w:pPr>
  </w:style>
  <w:style w:type="paragraph" w:styleId="Index9">
    <w:name w:val="index 9"/>
    <w:basedOn w:val="Normal"/>
    <w:next w:val="Normal"/>
    <w:autoRedefine/>
    <w:semiHidden/>
    <w:unhideWhenUsed/>
    <w:rsid w:val="008467B7"/>
    <w:pPr>
      <w:tabs>
        <w:tab w:val="clear" w:pos="1247"/>
      </w:tabs>
      <w:ind w:left="1800" w:hanging="200"/>
    </w:pPr>
  </w:style>
  <w:style w:type="paragraph" w:styleId="IndexHeading">
    <w:name w:val="index heading"/>
    <w:basedOn w:val="Normal"/>
    <w:next w:val="Index1"/>
    <w:semiHidden/>
    <w:unhideWhenUsed/>
    <w:rsid w:val="008467B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467B7"/>
    <w:rPr>
      <w:i/>
      <w:iCs/>
      <w:color w:val="4F81BD" w:themeColor="accent1"/>
      <w:lang w:val="fr-FR"/>
    </w:rPr>
  </w:style>
  <w:style w:type="paragraph" w:styleId="IntenseQuote">
    <w:name w:val="Intense Quote"/>
    <w:basedOn w:val="Normal"/>
    <w:next w:val="Normal"/>
    <w:link w:val="IntenseQuoteChar"/>
    <w:uiPriority w:val="30"/>
    <w:semiHidden/>
    <w:qFormat/>
    <w:rsid w:val="008467B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8467B7"/>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8467B7"/>
    <w:rPr>
      <w:b/>
      <w:bCs/>
      <w:smallCaps/>
      <w:color w:val="4F81BD" w:themeColor="accent1"/>
      <w:spacing w:val="5"/>
      <w:lang w:val="fr-FR"/>
    </w:rPr>
  </w:style>
  <w:style w:type="table" w:styleId="LightGrid">
    <w:name w:val="Light Grid"/>
    <w:basedOn w:val="TableNormal"/>
    <w:uiPriority w:val="62"/>
    <w:semiHidden/>
    <w:unhideWhenUsed/>
    <w:rsid w:val="008467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67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467B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467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467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467B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467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467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67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467B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467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467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467B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467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467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67B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467B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467B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467B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467B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467B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8467B7"/>
    <w:rPr>
      <w:lang w:val="fr-FR"/>
    </w:rPr>
  </w:style>
  <w:style w:type="paragraph" w:styleId="List">
    <w:name w:val="List"/>
    <w:basedOn w:val="Normal"/>
    <w:semiHidden/>
    <w:unhideWhenUsed/>
    <w:rsid w:val="008467B7"/>
    <w:pPr>
      <w:ind w:left="283" w:hanging="283"/>
      <w:contextualSpacing/>
    </w:pPr>
  </w:style>
  <w:style w:type="paragraph" w:styleId="List2">
    <w:name w:val="List 2"/>
    <w:basedOn w:val="Normal"/>
    <w:semiHidden/>
    <w:unhideWhenUsed/>
    <w:rsid w:val="008467B7"/>
    <w:pPr>
      <w:ind w:left="566" w:hanging="283"/>
      <w:contextualSpacing/>
    </w:pPr>
  </w:style>
  <w:style w:type="paragraph" w:styleId="List3">
    <w:name w:val="List 3"/>
    <w:basedOn w:val="Normal"/>
    <w:semiHidden/>
    <w:unhideWhenUsed/>
    <w:rsid w:val="008467B7"/>
    <w:pPr>
      <w:ind w:left="849" w:hanging="283"/>
      <w:contextualSpacing/>
    </w:pPr>
  </w:style>
  <w:style w:type="paragraph" w:styleId="List4">
    <w:name w:val="List 4"/>
    <w:basedOn w:val="Normal"/>
    <w:semiHidden/>
    <w:unhideWhenUsed/>
    <w:rsid w:val="008467B7"/>
    <w:pPr>
      <w:ind w:left="1132" w:hanging="283"/>
      <w:contextualSpacing/>
    </w:pPr>
  </w:style>
  <w:style w:type="paragraph" w:styleId="List5">
    <w:name w:val="List 5"/>
    <w:basedOn w:val="Normal"/>
    <w:semiHidden/>
    <w:unhideWhenUsed/>
    <w:rsid w:val="008467B7"/>
    <w:pPr>
      <w:ind w:left="1415" w:hanging="283"/>
      <w:contextualSpacing/>
    </w:pPr>
  </w:style>
  <w:style w:type="paragraph" w:styleId="ListBullet">
    <w:name w:val="List Bullet"/>
    <w:basedOn w:val="Normal"/>
    <w:semiHidden/>
    <w:rsid w:val="008467B7"/>
    <w:pPr>
      <w:numPr>
        <w:numId w:val="5"/>
      </w:numPr>
      <w:contextualSpacing/>
    </w:pPr>
  </w:style>
  <w:style w:type="paragraph" w:styleId="ListBullet2">
    <w:name w:val="List Bullet 2"/>
    <w:basedOn w:val="Normal"/>
    <w:semiHidden/>
    <w:unhideWhenUsed/>
    <w:rsid w:val="008467B7"/>
    <w:pPr>
      <w:numPr>
        <w:numId w:val="6"/>
      </w:numPr>
      <w:contextualSpacing/>
    </w:pPr>
  </w:style>
  <w:style w:type="paragraph" w:styleId="ListBullet3">
    <w:name w:val="List Bullet 3"/>
    <w:basedOn w:val="Normal"/>
    <w:semiHidden/>
    <w:unhideWhenUsed/>
    <w:rsid w:val="008467B7"/>
    <w:pPr>
      <w:numPr>
        <w:numId w:val="7"/>
      </w:numPr>
      <w:contextualSpacing/>
    </w:pPr>
  </w:style>
  <w:style w:type="paragraph" w:styleId="ListBullet4">
    <w:name w:val="List Bullet 4"/>
    <w:basedOn w:val="Normal"/>
    <w:semiHidden/>
    <w:unhideWhenUsed/>
    <w:rsid w:val="008467B7"/>
    <w:pPr>
      <w:numPr>
        <w:numId w:val="8"/>
      </w:numPr>
      <w:contextualSpacing/>
    </w:pPr>
  </w:style>
  <w:style w:type="paragraph" w:styleId="ListBullet5">
    <w:name w:val="List Bullet 5"/>
    <w:basedOn w:val="Normal"/>
    <w:semiHidden/>
    <w:unhideWhenUsed/>
    <w:rsid w:val="008467B7"/>
    <w:pPr>
      <w:numPr>
        <w:numId w:val="9"/>
      </w:numPr>
      <w:contextualSpacing/>
    </w:pPr>
  </w:style>
  <w:style w:type="paragraph" w:styleId="ListContinue">
    <w:name w:val="List Continue"/>
    <w:basedOn w:val="Normal"/>
    <w:semiHidden/>
    <w:unhideWhenUsed/>
    <w:rsid w:val="008467B7"/>
    <w:pPr>
      <w:spacing w:after="120"/>
      <w:ind w:left="283"/>
      <w:contextualSpacing/>
    </w:pPr>
  </w:style>
  <w:style w:type="paragraph" w:styleId="ListContinue2">
    <w:name w:val="List Continue 2"/>
    <w:basedOn w:val="Normal"/>
    <w:semiHidden/>
    <w:unhideWhenUsed/>
    <w:rsid w:val="008467B7"/>
    <w:pPr>
      <w:spacing w:after="120"/>
      <w:ind w:left="566"/>
      <w:contextualSpacing/>
    </w:pPr>
  </w:style>
  <w:style w:type="paragraph" w:styleId="ListContinue3">
    <w:name w:val="List Continue 3"/>
    <w:basedOn w:val="Normal"/>
    <w:semiHidden/>
    <w:rsid w:val="008467B7"/>
    <w:pPr>
      <w:spacing w:after="120"/>
      <w:ind w:left="849"/>
      <w:contextualSpacing/>
    </w:pPr>
  </w:style>
  <w:style w:type="paragraph" w:styleId="ListContinue4">
    <w:name w:val="List Continue 4"/>
    <w:basedOn w:val="Normal"/>
    <w:semiHidden/>
    <w:rsid w:val="008467B7"/>
    <w:pPr>
      <w:spacing w:after="120"/>
      <w:ind w:left="1132"/>
      <w:contextualSpacing/>
    </w:pPr>
  </w:style>
  <w:style w:type="paragraph" w:styleId="ListContinue5">
    <w:name w:val="List Continue 5"/>
    <w:basedOn w:val="Normal"/>
    <w:semiHidden/>
    <w:rsid w:val="008467B7"/>
    <w:pPr>
      <w:spacing w:after="120"/>
      <w:ind w:left="1415"/>
      <w:contextualSpacing/>
    </w:pPr>
  </w:style>
  <w:style w:type="paragraph" w:styleId="ListNumber">
    <w:name w:val="List Number"/>
    <w:basedOn w:val="Normal"/>
    <w:semiHidden/>
    <w:rsid w:val="00F755B8"/>
    <w:pPr>
      <w:numPr>
        <w:numId w:val="10"/>
      </w:numPr>
      <w:contextualSpacing/>
    </w:pPr>
  </w:style>
  <w:style w:type="paragraph" w:styleId="ListNumber2">
    <w:name w:val="List Number 2"/>
    <w:basedOn w:val="Normal"/>
    <w:semiHidden/>
    <w:unhideWhenUsed/>
    <w:rsid w:val="008467B7"/>
    <w:pPr>
      <w:numPr>
        <w:numId w:val="11"/>
      </w:numPr>
      <w:contextualSpacing/>
    </w:pPr>
  </w:style>
  <w:style w:type="paragraph" w:styleId="ListNumber3">
    <w:name w:val="List Number 3"/>
    <w:basedOn w:val="Normal"/>
    <w:semiHidden/>
    <w:unhideWhenUsed/>
    <w:rsid w:val="008467B7"/>
    <w:pPr>
      <w:numPr>
        <w:numId w:val="12"/>
      </w:numPr>
      <w:contextualSpacing/>
    </w:pPr>
  </w:style>
  <w:style w:type="paragraph" w:styleId="ListNumber4">
    <w:name w:val="List Number 4"/>
    <w:basedOn w:val="Normal"/>
    <w:semiHidden/>
    <w:unhideWhenUsed/>
    <w:rsid w:val="008467B7"/>
    <w:pPr>
      <w:numPr>
        <w:numId w:val="13"/>
      </w:numPr>
      <w:contextualSpacing/>
    </w:pPr>
  </w:style>
  <w:style w:type="paragraph" w:styleId="ListNumber5">
    <w:name w:val="List Number 5"/>
    <w:basedOn w:val="Normal"/>
    <w:semiHidden/>
    <w:unhideWhenUsed/>
    <w:rsid w:val="008467B7"/>
    <w:pPr>
      <w:numPr>
        <w:numId w:val="14"/>
      </w:numPr>
      <w:contextualSpacing/>
    </w:pPr>
  </w:style>
  <w:style w:type="table" w:styleId="ListTable1Light">
    <w:name w:val="List Table 1 Light"/>
    <w:basedOn w:val="TableNormal"/>
    <w:uiPriority w:val="46"/>
    <w:rsid w:val="008467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467B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467B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467B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467B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467B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467B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467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467B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467B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467B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467B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467B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467B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467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467B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467B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467B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467B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467B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467B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467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46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467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467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467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467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467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467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467B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467B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467B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467B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467B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467B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467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467B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467B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467B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467B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467B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467B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467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467B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467B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467B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467B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467B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467B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8467B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8467B7"/>
    <w:rPr>
      <w:rFonts w:ascii="Consolas" w:eastAsia="Times New Roman" w:hAnsi="Consolas"/>
      <w:lang w:val="fr-FR" w:eastAsia="en-US"/>
    </w:rPr>
  </w:style>
  <w:style w:type="table" w:styleId="MediumGrid1">
    <w:name w:val="Medium Grid 1"/>
    <w:basedOn w:val="TableNormal"/>
    <w:uiPriority w:val="67"/>
    <w:semiHidden/>
    <w:unhideWhenUsed/>
    <w:rsid w:val="008467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67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467B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467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467B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467B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467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467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67B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467B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467B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467B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467B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467B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67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67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67B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67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67B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67B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67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8467B7"/>
    <w:rPr>
      <w:color w:val="2B579A"/>
      <w:shd w:val="clear" w:color="auto" w:fill="E1DFDD"/>
      <w:lang w:val="fr-FR"/>
    </w:rPr>
  </w:style>
  <w:style w:type="paragraph" w:styleId="MessageHeader">
    <w:name w:val="Message Header"/>
    <w:basedOn w:val="Normal"/>
    <w:link w:val="MessageHeaderChar"/>
    <w:semiHidden/>
    <w:rsid w:val="008467B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467B7"/>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8467B7"/>
    <w:pPr>
      <w:ind w:left="720"/>
    </w:pPr>
  </w:style>
  <w:style w:type="paragraph" w:styleId="NoteHeading">
    <w:name w:val="Note Heading"/>
    <w:basedOn w:val="Normal"/>
    <w:next w:val="Normal"/>
    <w:link w:val="NoteHeadingChar"/>
    <w:semiHidden/>
    <w:unhideWhenUsed/>
    <w:rsid w:val="008467B7"/>
  </w:style>
  <w:style w:type="character" w:customStyle="1" w:styleId="NoteHeadingChar">
    <w:name w:val="Note Heading Char"/>
    <w:basedOn w:val="DefaultParagraphFont"/>
    <w:link w:val="NoteHeading"/>
    <w:semiHidden/>
    <w:rsid w:val="008467B7"/>
    <w:rPr>
      <w:rFonts w:eastAsia="Times New Roman"/>
      <w:lang w:val="fr-FR" w:eastAsia="en-US"/>
    </w:rPr>
  </w:style>
  <w:style w:type="table" w:styleId="PlainTable1">
    <w:name w:val="Plain Table 1"/>
    <w:basedOn w:val="TableNormal"/>
    <w:uiPriority w:val="41"/>
    <w:rsid w:val="008467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67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467B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67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467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467B7"/>
    <w:rPr>
      <w:rFonts w:ascii="Consolas" w:hAnsi="Consolas"/>
      <w:sz w:val="21"/>
      <w:szCs w:val="21"/>
    </w:rPr>
  </w:style>
  <w:style w:type="character" w:customStyle="1" w:styleId="PlainTextChar">
    <w:name w:val="Plain Text Char"/>
    <w:basedOn w:val="DefaultParagraphFont"/>
    <w:link w:val="PlainText"/>
    <w:semiHidden/>
    <w:rsid w:val="008467B7"/>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8467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467B7"/>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8467B7"/>
  </w:style>
  <w:style w:type="character" w:customStyle="1" w:styleId="SalutationChar">
    <w:name w:val="Salutation Char"/>
    <w:basedOn w:val="DefaultParagraphFont"/>
    <w:link w:val="Salutation"/>
    <w:semiHidden/>
    <w:rsid w:val="008467B7"/>
    <w:rPr>
      <w:rFonts w:eastAsia="Times New Roman"/>
      <w:lang w:val="fr-FR" w:eastAsia="en-US"/>
    </w:rPr>
  </w:style>
  <w:style w:type="paragraph" w:styleId="Signature">
    <w:name w:val="Signature"/>
    <w:basedOn w:val="Normal"/>
    <w:link w:val="SignatureChar"/>
    <w:semiHidden/>
    <w:unhideWhenUsed/>
    <w:rsid w:val="008467B7"/>
    <w:pPr>
      <w:ind w:left="4252"/>
    </w:pPr>
  </w:style>
  <w:style w:type="character" w:customStyle="1" w:styleId="SignatureChar">
    <w:name w:val="Signature Char"/>
    <w:basedOn w:val="DefaultParagraphFont"/>
    <w:link w:val="Signature"/>
    <w:semiHidden/>
    <w:rsid w:val="008467B7"/>
    <w:rPr>
      <w:rFonts w:eastAsia="Times New Roman"/>
      <w:lang w:val="fr-FR" w:eastAsia="en-US"/>
    </w:rPr>
  </w:style>
  <w:style w:type="character" w:styleId="SmartHyperlink">
    <w:name w:val="Smart Hyperlink"/>
    <w:basedOn w:val="DefaultParagraphFont"/>
    <w:uiPriority w:val="99"/>
    <w:semiHidden/>
    <w:rsid w:val="008467B7"/>
    <w:rPr>
      <w:u w:val="dotted"/>
      <w:lang w:val="fr-FR"/>
    </w:rPr>
  </w:style>
  <w:style w:type="character" w:styleId="SmartLink">
    <w:name w:val="Smart Link"/>
    <w:basedOn w:val="DefaultParagraphFont"/>
    <w:uiPriority w:val="99"/>
    <w:semiHidden/>
    <w:unhideWhenUsed/>
    <w:rsid w:val="008467B7"/>
    <w:rPr>
      <w:color w:val="0000FF"/>
      <w:u w:val="single"/>
      <w:shd w:val="clear" w:color="auto" w:fill="F3F2F1"/>
      <w:lang w:val="fr-FR"/>
    </w:rPr>
  </w:style>
  <w:style w:type="character" w:styleId="Strong">
    <w:name w:val="Strong"/>
    <w:basedOn w:val="DefaultParagraphFont"/>
    <w:semiHidden/>
    <w:qFormat/>
    <w:rsid w:val="008467B7"/>
    <w:rPr>
      <w:b/>
      <w:bCs/>
      <w:lang w:val="fr-FR"/>
    </w:rPr>
  </w:style>
  <w:style w:type="paragraph" w:styleId="Subtitle">
    <w:name w:val="Subtitle"/>
    <w:basedOn w:val="Normal"/>
    <w:next w:val="Normal"/>
    <w:link w:val="SubtitleChar"/>
    <w:semiHidden/>
    <w:qFormat/>
    <w:rsid w:val="008467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467B7"/>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8467B7"/>
    <w:rPr>
      <w:i/>
      <w:iCs/>
      <w:color w:val="404040" w:themeColor="text1" w:themeTint="BF"/>
      <w:lang w:val="fr-FR"/>
    </w:rPr>
  </w:style>
  <w:style w:type="character" w:styleId="SubtleReference">
    <w:name w:val="Subtle Reference"/>
    <w:basedOn w:val="DefaultParagraphFont"/>
    <w:uiPriority w:val="31"/>
    <w:semiHidden/>
    <w:qFormat/>
    <w:rsid w:val="008467B7"/>
    <w:rPr>
      <w:smallCaps/>
      <w:color w:val="5A5A5A" w:themeColor="text1" w:themeTint="A5"/>
      <w:lang w:val="fr-FR"/>
    </w:rPr>
  </w:style>
  <w:style w:type="table" w:styleId="Table3Deffects1">
    <w:name w:val="Table 3D effects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467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467B7"/>
    <w:pPr>
      <w:tabs>
        <w:tab w:val="clear" w:pos="1247"/>
      </w:tabs>
      <w:ind w:left="200" w:hanging="200"/>
    </w:pPr>
  </w:style>
  <w:style w:type="table" w:styleId="TableProfessional">
    <w:name w:val="Table Professional"/>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8467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8467B7"/>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8467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467B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8467B7"/>
  </w:style>
  <w:style w:type="character" w:customStyle="1" w:styleId="NormalNonumberChar">
    <w:name w:val="Normal_No_number Char"/>
    <w:link w:val="NormalNonumber"/>
    <w:locked/>
    <w:rsid w:val="008467B7"/>
  </w:style>
  <w:style w:type="character" w:customStyle="1" w:styleId="CH2Char">
    <w:name w:val="CH2 Char"/>
    <w:link w:val="CH2"/>
    <w:rsid w:val="008467B7"/>
    <w:rPr>
      <w:b/>
      <w:sz w:val="24"/>
      <w:szCs w:val="24"/>
    </w:rPr>
  </w:style>
  <w:style w:type="character" w:customStyle="1" w:styleId="BBTitleChar">
    <w:name w:val="BB_Title Char"/>
    <w:link w:val="BBTitle"/>
    <w:rsid w:val="008467B7"/>
    <w:rPr>
      <w:b/>
      <w:sz w:val="28"/>
      <w:szCs w:val="28"/>
    </w:rPr>
  </w:style>
  <w:style w:type="character" w:customStyle="1" w:styleId="eop">
    <w:name w:val="eop"/>
    <w:basedOn w:val="DefaultParagraphFont"/>
    <w:semiHidden/>
    <w:rsid w:val="008467B7"/>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8467B7"/>
    <w:pPr>
      <w:tabs>
        <w:tab w:val="clear" w:pos="1247"/>
        <w:tab w:val="clear" w:pos="1814"/>
        <w:tab w:val="clear" w:pos="2381"/>
        <w:tab w:val="clear" w:pos="2948"/>
        <w:tab w:val="clear" w:pos="3515"/>
      </w:tabs>
      <w:spacing w:before="120" w:after="160" w:line="240" w:lineRule="exact"/>
    </w:pPr>
    <w:rPr>
      <w:szCs w:val="18"/>
      <w:vertAlign w:val="superscript"/>
    </w:rPr>
  </w:style>
  <w:style w:type="paragraph" w:styleId="Revision">
    <w:name w:val="Revision"/>
    <w:hidden/>
    <w:uiPriority w:val="99"/>
    <w:semiHidden/>
    <w:rsid w:val="00A6575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6860">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5772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ercurycapetown.com/" TargetMode="External"/><Relationship Id="rId3" Type="http://schemas.openxmlformats.org/officeDocument/2006/relationships/hyperlink" Target="https://minamataconvention.org/fr/meetings/concluded-list-view?field_event_type_target_id=287" TargetMode="External"/><Relationship Id="rId7" Type="http://schemas.openxmlformats.org/officeDocument/2006/relationships/hyperlink" Target="https://www.mercurycapetown.com/" TargetMode="External"/><Relationship Id="rId2" Type="http://schemas.openxmlformats.org/officeDocument/2006/relationships/hyperlink" Target="https://www.unep.org/globalmercurypartnership/" TargetMode="External"/><Relationship Id="rId1" Type="http://schemas.openxmlformats.org/officeDocument/2006/relationships/hyperlink" Target="https://www.unep.org/globalmercurypartnership/" TargetMode="External"/><Relationship Id="rId6" Type="http://schemas.openxmlformats.org/officeDocument/2006/relationships/hyperlink" Target="https://www.unssc.org/courses/minamata-tools-1" TargetMode="External"/><Relationship Id="rId5" Type="http://schemas.openxmlformats.org/officeDocument/2006/relationships/hyperlink" Target="https://www.unssc.org/courses/minamata-tools-1" TargetMode="External"/><Relationship Id="rId10" Type="http://schemas.openxmlformats.org/officeDocument/2006/relationships/hyperlink" Target="https://minamataconvention.org/en/news/mercury-and-contaminated-sites-15th-iccl-meeting" TargetMode="External"/><Relationship Id="rId4" Type="http://schemas.openxmlformats.org/officeDocument/2006/relationships/hyperlink" Target="https://minamataconvention.org/en/meetings/concluded-list-view?field_event_type_target_id=287" TargetMode="External"/><Relationship Id="rId9" Type="http://schemas.openxmlformats.org/officeDocument/2006/relationships/hyperlink" Target="https://minamataconvention.org/en/news/mercury-and-contaminated-sites-15th-iccl-me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infopath/2007/PartnerControls"/>
    <ds:schemaRef ds:uri="http://purl.org/dc/elements/1.1/"/>
    <ds:schemaRef ds:uri="http://purl.org/dc/terms/"/>
    <ds:schemaRef ds:uri="25a4600d-fc45-4aed-ad1e-9b44b590e5cc"/>
    <ds:schemaRef ds:uri="985ec44e-1bab-4c0b-9df0-6ba128686fc9"/>
    <ds:schemaRef ds:uri="http://purl.org/dc/dcmitype/"/>
    <ds:schemaRef ds:uri="http://schemas.microsoft.com/office/2006/documentManagement/types"/>
    <ds:schemaRef ds:uri="http://schemas.microsoft.com/office/2006/metadata/properties"/>
    <ds:schemaRef ds:uri="http://schemas.openxmlformats.org/package/2006/metadata/core-properties"/>
    <ds:schemaRef ds:uri="786100a8-bbaa-48b6-aa10-6d2082f346b4"/>
    <ds:schemaRef ds:uri="http://www.w3.org/XML/1998/namespace"/>
  </ds:schemaRefs>
</ds:datastoreItem>
</file>

<file path=customXml/itemProps2.xml><?xml version="1.0" encoding="utf-8"?>
<ds:datastoreItem xmlns:ds="http://schemas.openxmlformats.org/officeDocument/2006/customXml" ds:itemID="{1E5E3114-56F4-403E-98D4-FE1D67DC47C2}"/>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7</Pages>
  <Words>3585</Words>
  <Characters>20437</Characters>
  <Application>Microsoft Office Word</Application>
  <DocSecurity>0</DocSecurity>
  <PresentationFormat/>
  <Lines>170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Cahn</dc:creator>
  <cp:keywords/>
  <dc:description/>
  <cp:lastModifiedBy>Herimalala Raveloarinjato</cp:lastModifiedBy>
  <cp:revision>3</cp:revision>
  <cp:lastPrinted>2025-08-25T12:21:00Z</cp:lastPrinted>
  <dcterms:created xsi:type="dcterms:W3CDTF">2025-08-25T12:21:00Z</dcterms:created>
  <dcterms:modified xsi:type="dcterms:W3CDTF">2025-08-25T12:21:00Z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