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0481AC48" w:rsidR="00061BBD" w:rsidRPr="00761D88" w:rsidRDefault="00F10E16" w:rsidP="00061BBD">
            <w:pPr>
              <w:pStyle w:val="ASymbol"/>
              <w:rPr>
                <w:lang w:val="en-US"/>
              </w:rPr>
            </w:pPr>
            <w:r w:rsidRPr="00F10E16">
              <w:rPr>
                <w:b/>
                <w:bCs/>
                <w:sz w:val="28"/>
                <w:szCs w:val="28"/>
              </w:rPr>
              <w:t>UNEP</w:t>
            </w:r>
            <w:r w:rsidRPr="00F10E16">
              <w:t>/MC/COP.</w:t>
            </w:r>
            <w:r w:rsidR="00761D88">
              <w:t>6/1</w:t>
            </w:r>
            <w:r w:rsidR="005161C4">
              <w:t>3</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0A34A217" w:rsidR="00061BBD" w:rsidRDefault="00061BBD" w:rsidP="00061BBD">
            <w:pPr>
              <w:pStyle w:val="AText"/>
            </w:pPr>
            <w:r>
              <w:t xml:space="preserve">Distr.: </w:t>
            </w:r>
            <w:r w:rsidR="000B13FD">
              <w:t>General</w:t>
            </w:r>
            <w:r>
              <w:br/>
            </w:r>
            <w:r w:rsidR="004C7D5A">
              <w:t>1</w:t>
            </w:r>
            <w:r w:rsidR="005161C4">
              <w:t>8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23B7BCD7" w14:textId="77777777" w:rsidR="00061BBD" w:rsidRDefault="00061BBD" w:rsidP="003C49EA">
            <w:pPr>
              <w:pStyle w:val="ARAATitle1"/>
              <w:tabs>
                <w:tab w:val="clear" w:pos="1247"/>
                <w:tab w:val="clear" w:pos="1871"/>
                <w:tab w:val="clear" w:pos="2495"/>
                <w:tab w:val="clear" w:pos="3119"/>
                <w:tab w:val="clear" w:pos="3742"/>
                <w:tab w:val="clear" w:pos="4366"/>
              </w:tabs>
              <w:spacing w:line="340" w:lineRule="exact"/>
              <w:ind w:left="11"/>
              <w:jc w:val="both"/>
              <w:rPr>
                <w:color w:val="000000"/>
                <w:lang w:val="en-GB"/>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69932C91" w14:textId="77777777" w:rsidR="005161C4" w:rsidRPr="00C22F66" w:rsidRDefault="005161C4" w:rsidP="003C49EA">
            <w:pPr>
              <w:pStyle w:val="ARAATitle1"/>
              <w:tabs>
                <w:tab w:val="clear" w:pos="1247"/>
                <w:tab w:val="clear" w:pos="1871"/>
                <w:tab w:val="clear" w:pos="2495"/>
                <w:tab w:val="clear" w:pos="3119"/>
                <w:tab w:val="clear" w:pos="3742"/>
                <w:tab w:val="clear" w:pos="4366"/>
              </w:tabs>
              <w:spacing w:line="340" w:lineRule="exact"/>
              <w:ind w:left="11"/>
              <w:jc w:val="both"/>
              <w:rPr>
                <w:rStyle w:val="FootnoteReference"/>
                <w:sz w:val="28"/>
                <w:szCs w:val="28"/>
                <w:lang w:val="en-US"/>
              </w:rPr>
            </w:pPr>
            <w:r w:rsidRPr="00C22F66">
              <w:rPr>
                <w:rFonts w:hint="cs"/>
                <w:rtl/>
              </w:rPr>
              <w:t>البند 4 (</w:t>
            </w:r>
            <w:r>
              <w:rPr>
                <w:rFonts w:hint="cs"/>
                <w:rtl/>
                <w:lang w:val="en-US"/>
              </w:rPr>
              <w:t>و</w:t>
            </w:r>
            <w:r w:rsidRPr="00C22F66">
              <w:rPr>
                <w:rFonts w:hint="cs"/>
                <w:rtl/>
              </w:rPr>
              <w:t>) من جدول الأعمال المؤقت</w:t>
            </w:r>
            <w:r w:rsidRPr="00C22F66">
              <w:rPr>
                <w:rStyle w:val="FootnoteReference"/>
                <w:sz w:val="28"/>
                <w:szCs w:val="28"/>
              </w:rPr>
              <w:footnoteReference w:customMarkFollows="1" w:id="1"/>
              <w:t>*</w:t>
            </w:r>
          </w:p>
          <w:p w14:paraId="35024D45" w14:textId="4E21B707" w:rsidR="005161C4" w:rsidRPr="0010195F" w:rsidRDefault="005161C4" w:rsidP="0010195F">
            <w:pPr>
              <w:pStyle w:val="ARAATitle2"/>
              <w:tabs>
                <w:tab w:val="clear" w:pos="1247"/>
                <w:tab w:val="clear" w:pos="1871"/>
                <w:tab w:val="clear" w:pos="2495"/>
                <w:tab w:val="clear" w:pos="3119"/>
                <w:tab w:val="clear" w:pos="3742"/>
                <w:tab w:val="clear" w:pos="4366"/>
              </w:tabs>
              <w:spacing w:before="80" w:after="360" w:line="320" w:lineRule="exact"/>
              <w:ind w:right="698"/>
              <w:jc w:val="both"/>
              <w:rPr>
                <w:b w:val="0"/>
                <w:sz w:val="22"/>
                <w:szCs w:val="22"/>
                <w:lang w:val="en-GB"/>
              </w:rPr>
            </w:pPr>
            <w:r w:rsidRPr="0010195F">
              <w:rPr>
                <w:b w:val="0"/>
                <w:sz w:val="22"/>
                <w:szCs w:val="22"/>
                <w:rtl/>
              </w:rPr>
              <w:t xml:space="preserve">مسائل تُعرَض على مؤتمر الأطراف لكي ينظر فيها أو يتخذ إجراءً بشأنها: </w:t>
            </w:r>
            <w:r w:rsidRPr="0010195F">
              <w:rPr>
                <w:rFonts w:hint="cs"/>
                <w:b w:val="0"/>
                <w:sz w:val="22"/>
                <w:szCs w:val="22"/>
                <w:rtl/>
              </w:rPr>
              <w:t>بناء القدرات والمساعدة التقنية ونقل التكنولوجيا</w:t>
            </w:r>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2007D103" w14:textId="5D6CFD61" w:rsidR="003C49EA" w:rsidRPr="008D6327" w:rsidRDefault="003C49EA" w:rsidP="00FC19BA">
      <w:pPr>
        <w:keepNext/>
        <w:keepLines/>
        <w:tabs>
          <w:tab w:val="clear" w:pos="1247"/>
          <w:tab w:val="clear" w:pos="1814"/>
          <w:tab w:val="clear" w:pos="2381"/>
          <w:tab w:val="clear" w:pos="2948"/>
          <w:tab w:val="clear" w:pos="3515"/>
        </w:tabs>
        <w:suppressAutoHyphens/>
        <w:bidi/>
        <w:spacing w:after="240" w:line="440" w:lineRule="exact"/>
        <w:ind w:left="1134"/>
        <w:jc w:val="both"/>
        <w:textDirection w:val="tbRlV"/>
        <w:rPr>
          <w:rFonts w:ascii="Simplified Arabic" w:hAnsi="Simplified Arabic" w:cs="Simplified Arabic"/>
          <w:b/>
          <w:sz w:val="30"/>
          <w:szCs w:val="30"/>
          <w:lang w:val="ar-SA" w:eastAsia="zh-TW" w:bidi="en-GB"/>
        </w:rPr>
      </w:pPr>
      <w:r w:rsidRPr="008D6327">
        <w:rPr>
          <w:rFonts w:ascii="Simplified Arabic" w:hAnsi="Simplified Arabic" w:cs="Simplified Arabic"/>
          <w:b/>
          <w:bCs/>
          <w:sz w:val="30"/>
          <w:szCs w:val="30"/>
          <w:rtl/>
          <w:lang w:val="fr-FR" w:eastAsia="zh-CN"/>
        </w:rPr>
        <w:t>تنفيذ الأنشطة عملاً بالمقرر ا م-5/12 والمادة 14 بشأن بناء القدرات والمساعدة التقنية ونقل التكنولوجيا</w:t>
      </w:r>
    </w:p>
    <w:p w14:paraId="66EA17AF" w14:textId="19769014" w:rsidR="003C49EA" w:rsidRPr="00117D79" w:rsidRDefault="003C49EA" w:rsidP="00FC19BA">
      <w:pPr>
        <w:keepNext/>
        <w:keepLines/>
        <w:tabs>
          <w:tab w:val="clear" w:pos="1247"/>
          <w:tab w:val="clear" w:pos="1814"/>
          <w:tab w:val="clear" w:pos="2381"/>
          <w:tab w:val="clear" w:pos="2948"/>
          <w:tab w:val="clear" w:pos="3515"/>
        </w:tabs>
        <w:suppressAutoHyphens/>
        <w:bidi/>
        <w:spacing w:after="240" w:line="360" w:lineRule="exact"/>
        <w:ind w:left="1134"/>
        <w:jc w:val="both"/>
        <w:textDirection w:val="tbRlV"/>
        <w:rPr>
          <w:rFonts w:ascii="Simplified Arabic" w:hAnsi="Simplified Arabic" w:cs="Simplified Arabic"/>
          <w:b/>
          <w:sz w:val="28"/>
          <w:szCs w:val="28"/>
          <w:lang w:val="ar-SA" w:eastAsia="zh-TW" w:bidi="en-GB"/>
        </w:rPr>
      </w:pPr>
      <w:r w:rsidRPr="00117D79">
        <w:rPr>
          <w:rFonts w:ascii="Simplified Arabic" w:hAnsi="Simplified Arabic" w:cs="Simplified Arabic"/>
          <w:b/>
          <w:bCs/>
          <w:sz w:val="28"/>
          <w:szCs w:val="28"/>
          <w:rtl/>
          <w:lang w:val="fr-FR" w:eastAsia="zh-CN"/>
        </w:rPr>
        <w:t>مذكِّرة من الأمانة</w:t>
      </w:r>
    </w:p>
    <w:p w14:paraId="3D9B8C3C" w14:textId="3168AAC0" w:rsidR="003C49EA" w:rsidRPr="009341BA" w:rsidRDefault="003C49EA" w:rsidP="00135224">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6"/>
          <w:szCs w:val="26"/>
          <w:lang w:val="ar-SA" w:eastAsia="zh-TW" w:bidi="en-GB"/>
        </w:rPr>
      </w:pPr>
      <w:r w:rsidRPr="009341BA">
        <w:rPr>
          <w:rFonts w:ascii="Simplified Arabic" w:hAnsi="Simplified Arabic" w:cs="Simplified Arabic"/>
          <w:b/>
          <w:bCs/>
          <w:sz w:val="26"/>
          <w:szCs w:val="26"/>
          <w:rtl/>
          <w:lang w:val="fr-FR" w:eastAsia="zh-CN"/>
        </w:rPr>
        <w:t>أولاً-</w:t>
      </w:r>
      <w:r w:rsidRPr="009341BA">
        <w:rPr>
          <w:rFonts w:ascii="Simplified Arabic" w:hAnsi="Simplified Arabic" w:cs="Simplified Arabic"/>
          <w:b/>
          <w:bCs/>
          <w:sz w:val="26"/>
          <w:szCs w:val="26"/>
          <w:rtl/>
          <w:lang w:val="fr-FR" w:eastAsia="zh-CN"/>
        </w:rPr>
        <w:tab/>
        <w:t>مقدمة</w:t>
      </w:r>
    </w:p>
    <w:p w14:paraId="135FB6B6" w14:textId="38E20C2B" w:rsidR="003C49EA" w:rsidRPr="008D6327" w:rsidRDefault="003C49EA" w:rsidP="007D55D2">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تقدم هذه المذكرة معلومات عن حالة تنفيذ الولايات المسندة إلى الأمانة في المقرر ا م-5/12 الذي اعتمده مؤتمر الأطراف في اتفاقية ميناماتا بشأن الزئبق في اجتماعه الخامس.</w:t>
      </w:r>
    </w:p>
    <w:p w14:paraId="59F12095" w14:textId="79508684" w:rsidR="003C49EA" w:rsidRPr="008D6327" w:rsidRDefault="003C49EA" w:rsidP="007D55D2">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وتتعلق الولايات الواردة في المقرر ا م-5/12 أساساً بالمتطلبات المنصوص عليها في الفقرتين 4 و5 من المادة 14 من الاتفاقية، بشأن بناء القدرات والمساعدة التقنية ونقل التكنولوجيا. وفي الفقرة 4 من المادة 14، دُعي مؤتمر الأطراف، في اجتماعه الثاني وبعد ذلك على أساس منتظم، إلى النظر في المعلومات عن المبادرات القائمة والتقدم المحرز فيما يتعلق بالتكنولوجيات البديلة؛ والنظر في احتياجات الأطراف من التكنولوجيات البديلة، لا سيما الأطراف من البلدان النامية؛ وتحديد التحديات التي تواجهها الأطراف في نقل التكنولوجيا، لا سيما الأطراف من البلدان النامية. وفي ذلك، يتعين على مؤتمر الأطراف أن يأخذ في الاعتبار العروض والتقارير المقدمة من الأطراف، بما في ذلك المنصوص عليها في المادة 21، بشأن الإبلاغ، والمعلومات المقدمة من أصحاب المصلحة الآخرين. وتدعو الفقرة 5 من المادة 14 مؤتمر الأطراف إلى تقديم توصيات بشأن كيفية زيادة تعزيز بناء القدرات والمساعدة التقنية ونقل التكنولوجيا بموجب المادة 14.</w:t>
      </w:r>
      <w:bookmarkStart w:id="3" w:name="_Hlk135925145"/>
      <w:bookmarkEnd w:id="3"/>
    </w:p>
    <w:p w14:paraId="127BE460" w14:textId="74A4F7D7" w:rsidR="003C49EA" w:rsidRPr="00135224" w:rsidRDefault="003C49EA" w:rsidP="00135224">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135224">
        <w:rPr>
          <w:rFonts w:ascii="Simplified Arabic" w:hAnsi="Simplified Arabic" w:cs="Simplified Arabic"/>
          <w:b/>
          <w:bCs/>
          <w:sz w:val="26"/>
          <w:szCs w:val="26"/>
          <w:rtl/>
          <w:lang w:val="fr-FR" w:eastAsia="zh-CN"/>
        </w:rPr>
        <w:lastRenderedPageBreak/>
        <w:t>ثانياً-</w:t>
      </w:r>
      <w:r w:rsidRPr="00135224">
        <w:rPr>
          <w:rFonts w:ascii="Simplified Arabic" w:hAnsi="Simplified Arabic" w:cs="Simplified Arabic"/>
          <w:b/>
          <w:bCs/>
          <w:sz w:val="26"/>
          <w:szCs w:val="26"/>
          <w:rtl/>
          <w:lang w:val="fr-FR" w:eastAsia="zh-CN"/>
        </w:rPr>
        <w:tab/>
        <w:t>التنفيذ</w:t>
      </w:r>
      <w:bookmarkStart w:id="4" w:name="_Hlk202393005"/>
    </w:p>
    <w:p w14:paraId="35F4EE19" w14:textId="756FC752" w:rsidR="003C49EA" w:rsidRPr="00135224" w:rsidRDefault="003C49EA" w:rsidP="00135224">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135224">
        <w:rPr>
          <w:rFonts w:ascii="Simplified Arabic" w:hAnsi="Simplified Arabic" w:cs="Simplified Arabic"/>
          <w:b/>
          <w:bCs/>
          <w:sz w:val="24"/>
          <w:szCs w:val="24"/>
          <w:rtl/>
          <w:lang w:val="fr-FR" w:eastAsia="zh-CN"/>
        </w:rPr>
        <w:t>ألف-</w:t>
      </w:r>
      <w:r w:rsidRPr="00135224">
        <w:rPr>
          <w:rFonts w:ascii="Simplified Arabic" w:hAnsi="Simplified Arabic" w:cs="Simplified Arabic"/>
          <w:b/>
          <w:bCs/>
          <w:sz w:val="24"/>
          <w:szCs w:val="24"/>
          <w:rtl/>
          <w:lang w:val="fr-FR" w:eastAsia="zh-CN"/>
        </w:rPr>
        <w:tab/>
        <w:t>دراسة الوثائق بشأن التكنولوجيات البديلة والتحديات ذات الصلة واحتياجات الأطراف في اتفاقية ميناماتا بشأن الزئبق</w:t>
      </w:r>
      <w:bookmarkEnd w:id="4"/>
    </w:p>
    <w:p w14:paraId="105F09E7" w14:textId="71D2750B" w:rsidR="003C49EA" w:rsidRPr="008D6327" w:rsidRDefault="003C49EA" w:rsidP="007D55D2">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 xml:space="preserve">استجابةً للمقرر ا م-5/12، أعدت الأمانة دراسة للوثائق ودراسات حالات إفرادية لكي ينظر فيها مؤتمر الأطراف عملاً بالفقرة 4 من المادة 14. ويرد أدناه موجز لدراسة الوثائق وترد الدراسة الكاملة، بما في ذلك دراسات الحالات الإفرادية، في الوثيقة </w:t>
      </w:r>
      <w:r w:rsidRPr="00404A6C">
        <w:rPr>
          <w:rFonts w:asciiTheme="majorBidi" w:eastAsia="SimSun" w:hAnsiTheme="majorBidi" w:cstheme="majorBidi"/>
          <w:sz w:val="22"/>
          <w:szCs w:val="22"/>
          <w:rtl/>
          <w:lang w:val="fr-FR" w:eastAsia="zh-CN"/>
        </w:rPr>
        <w:t>UNEP/MC/COP.6/INF/18</w:t>
      </w:r>
      <w:r w:rsidRPr="008D6327">
        <w:rPr>
          <w:rFonts w:ascii="Simplified Arabic" w:eastAsia="SimSun" w:hAnsi="Simplified Arabic" w:cs="Simplified Arabic"/>
          <w:sz w:val="24"/>
          <w:szCs w:val="24"/>
          <w:rtl/>
          <w:lang w:val="fr-FR" w:eastAsia="zh-CN"/>
        </w:rPr>
        <w:t>.</w:t>
      </w:r>
    </w:p>
    <w:p w14:paraId="290BAE13" w14:textId="77777777" w:rsidR="003C49EA" w:rsidRPr="008D6327" w:rsidRDefault="003C49EA" w:rsidP="007D55D2">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وتقدم الدراسة لمحة عامة عن المبادرات المتعلقة بالتكنولوجيات البديلة وليس تحليلاً شاملاً لجميع التكنولوجيات المتاحة. ومع التسليم بأن التقييم الشامل لكل تكنولوجيا بديلة يقع خارج نطاق الدراسة، فقد أبرزت الأمانة أمثلة واتجاهات رئيسية. ونُفذ هذا العمل بموجب اتفاق تعاون مع معهد الأمم المتحدة للتدريب والبحث بتمويل من مساهمة اليابان في الصندوق الاستئماني الخاص لاتفاقية ميناماتا بشأن الزئبق في فترة السنتين 2024-2025.</w:t>
      </w:r>
    </w:p>
    <w:p w14:paraId="4021C97F" w14:textId="77777777" w:rsidR="003C49EA" w:rsidRPr="008D6327" w:rsidRDefault="003C49EA" w:rsidP="007D55D2">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وكشف تحليل التقارير الوطنية أن العديد من الأطراف تواجه التحديات التالية فيما يتعلق بالتكنولوجيات البديلة</w:t>
      </w:r>
    </w:p>
    <w:p w14:paraId="6B3BE89F" w14:textId="306A820C" w:rsidR="003C49EA" w:rsidRPr="008D6327" w:rsidRDefault="003C49EA" w:rsidP="00683157">
      <w:pPr>
        <w:pStyle w:val="ListParagraph"/>
        <w:numPr>
          <w:ilvl w:val="0"/>
          <w:numId w:val="36"/>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عدم كفاية التمويل، مما يعكس الفجوة بين الموارد المطلوبة والموارد المتاحة والتي يمكن الحصول عليها؛</w:t>
      </w:r>
    </w:p>
    <w:p w14:paraId="745813A5" w14:textId="77777777" w:rsidR="003C49EA" w:rsidRPr="008D6327" w:rsidRDefault="003C49EA" w:rsidP="00683157">
      <w:pPr>
        <w:pStyle w:val="ListParagraph"/>
        <w:numPr>
          <w:ilvl w:val="0"/>
          <w:numId w:val="36"/>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نقص القدرات التقنية على المستوى الوطني، بما في ذلك نقص الموظفين المدربين، مما يحول دون نشر التكنولوجيات البديلة؛</w:t>
      </w:r>
    </w:p>
    <w:p w14:paraId="71F692C1" w14:textId="3B426328" w:rsidR="003C49EA" w:rsidRPr="008D6327" w:rsidRDefault="003C49EA" w:rsidP="00683157">
      <w:pPr>
        <w:pStyle w:val="ListParagraph"/>
        <w:numPr>
          <w:ilvl w:val="0"/>
          <w:numId w:val="36"/>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عدم كفاية القدرات المؤسسية والأطر التنظيمية، مما يعيق تقييم التكنولوجيا والموافقة عليها وينشئ حواجز أمام الاستثمار في التكنولوجيات الجديدة بسبب المخاوف بشأن الامتثال والفعالية والاستدامة على المدى الطويل؛</w:t>
      </w:r>
    </w:p>
    <w:p w14:paraId="1B68F305" w14:textId="77777777" w:rsidR="003C49EA" w:rsidRPr="008D6327" w:rsidRDefault="003C49EA" w:rsidP="00683157">
      <w:pPr>
        <w:pStyle w:val="ListParagraph"/>
        <w:numPr>
          <w:ilvl w:val="0"/>
          <w:numId w:val="36"/>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عدم كفاية القدرات والإمكانيات لجمع البيانات والرصد، مما يؤدي إلى وجود ثغرات في قوائم جرد الزئبق التي تسترشد بها القرارات المتعلقة بالسياسات واستراتيجية التخفيف؛</w:t>
      </w:r>
    </w:p>
    <w:p w14:paraId="243FD8DD" w14:textId="77777777" w:rsidR="003C49EA" w:rsidRPr="008D6327" w:rsidRDefault="003C49EA" w:rsidP="00683157">
      <w:pPr>
        <w:pStyle w:val="ListParagraph"/>
        <w:numPr>
          <w:ilvl w:val="0"/>
          <w:numId w:val="36"/>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محدودية الوصول إلى التكنولوجيات البديلة، سواء بسبب القيود المالية أو بسبب عدم توفر التكنولوجيات المناسبة محلياً.</w:t>
      </w:r>
    </w:p>
    <w:p w14:paraId="406F6C27" w14:textId="77777777" w:rsidR="003C49EA" w:rsidRPr="008D6327" w:rsidRDefault="003C49EA" w:rsidP="007D55D2">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وتشمل الأفكار الرئيسية بشأن كيفية تعزيز استيعاب الأطراف للتكنولوجيات البديلة ما يلي:</w:t>
      </w:r>
    </w:p>
    <w:p w14:paraId="0D94F428" w14:textId="3AC2F04A" w:rsidR="003C49EA" w:rsidRPr="00BE6D24" w:rsidRDefault="003C49EA" w:rsidP="00BE6D24">
      <w:pPr>
        <w:pStyle w:val="ListParagraph"/>
        <w:numPr>
          <w:ilvl w:val="0"/>
          <w:numId w:val="43"/>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BE6D24">
        <w:rPr>
          <w:rFonts w:ascii="Simplified Arabic" w:eastAsia="SimSun" w:hAnsi="Simplified Arabic" w:cs="Simplified Arabic"/>
          <w:i/>
          <w:iCs/>
          <w:sz w:val="24"/>
          <w:szCs w:val="24"/>
          <w:rtl/>
          <w:lang w:val="fr-FR" w:eastAsia="zh-CN"/>
        </w:rPr>
        <w:t>تتوفر تكنولوجيات بديلة مجدية للعديد من فئات مصادر الزئبق الرئيسية التي تشملها الاتفاقية</w:t>
      </w:r>
      <w:r w:rsidRPr="00BE6D24">
        <w:rPr>
          <w:rFonts w:ascii="Simplified Arabic" w:eastAsia="SimSun" w:hAnsi="Simplified Arabic" w:cs="Simplified Arabic"/>
          <w:sz w:val="24"/>
          <w:szCs w:val="24"/>
          <w:rtl/>
          <w:lang w:val="fr-FR" w:eastAsia="zh-CN"/>
        </w:rPr>
        <w:t>. توفر المشاريع المنفذة في إطار مرفق البيئة العالمية والبرنامج الدولي المحدد لدعم بناء القدرات والمساعدة التقنية</w:t>
      </w:r>
      <w:r w:rsidRPr="007D5D45">
        <w:rPr>
          <w:rFonts w:ascii="Simplified Arabic" w:eastAsia="SimSun" w:hAnsi="Simplified Arabic" w:cs="Simplified Arabic"/>
          <w:sz w:val="24"/>
          <w:szCs w:val="24"/>
          <w:vertAlign w:val="superscript"/>
          <w:rtl/>
          <w:lang w:val="fr-FR" w:eastAsia="zh-CN"/>
        </w:rPr>
        <w:t>(</w:t>
      </w:r>
      <w:r w:rsidRPr="007D5D45">
        <w:rPr>
          <w:rFonts w:ascii="Simplified Arabic" w:eastAsia="SimSun" w:hAnsi="Simplified Arabic" w:cs="Simplified Arabic"/>
          <w:sz w:val="24"/>
          <w:szCs w:val="24"/>
          <w:vertAlign w:val="superscript"/>
          <w:rtl/>
          <w:lang w:val="fr-FR" w:eastAsia="zh-CN"/>
        </w:rPr>
        <w:footnoteReference w:id="2"/>
      </w:r>
      <w:r w:rsidRPr="007D5D45">
        <w:rPr>
          <w:rFonts w:ascii="Simplified Arabic" w:eastAsia="SimSun" w:hAnsi="Simplified Arabic" w:cs="Simplified Arabic"/>
          <w:sz w:val="24"/>
          <w:szCs w:val="24"/>
          <w:vertAlign w:val="superscript"/>
          <w:rtl/>
          <w:lang w:val="fr-FR" w:eastAsia="zh-CN"/>
        </w:rPr>
        <w:t>)</w:t>
      </w:r>
      <w:r w:rsidRPr="00BE6D24">
        <w:rPr>
          <w:rFonts w:ascii="Simplified Arabic" w:eastAsia="SimSun" w:hAnsi="Simplified Arabic" w:cs="Simplified Arabic"/>
          <w:sz w:val="24"/>
          <w:szCs w:val="24"/>
          <w:rtl/>
          <w:lang w:val="fr-FR" w:eastAsia="zh-CN"/>
        </w:rPr>
        <w:t>، وكذلك مبادرات مثل شراكة الزئبق العالمية</w:t>
      </w:r>
      <w:r w:rsidRPr="007D5D45">
        <w:rPr>
          <w:rFonts w:ascii="Simplified Arabic" w:eastAsia="SimSun" w:hAnsi="Simplified Arabic" w:cs="Simplified Arabic"/>
          <w:sz w:val="24"/>
          <w:szCs w:val="24"/>
          <w:vertAlign w:val="superscript"/>
          <w:rtl/>
          <w:lang w:val="fr-FR" w:eastAsia="zh-CN"/>
        </w:rPr>
        <w:t>(</w:t>
      </w:r>
      <w:r w:rsidRPr="007D5D45">
        <w:rPr>
          <w:rFonts w:ascii="Simplified Arabic" w:eastAsia="SimSun" w:hAnsi="Simplified Arabic" w:cs="Simplified Arabic"/>
          <w:sz w:val="24"/>
          <w:szCs w:val="24"/>
          <w:vertAlign w:val="superscript"/>
          <w:rtl/>
          <w:lang w:val="fr-FR" w:eastAsia="zh-CN"/>
        </w:rPr>
        <w:footnoteReference w:id="3"/>
      </w:r>
      <w:r w:rsidRPr="007D5D45">
        <w:rPr>
          <w:rFonts w:ascii="Simplified Arabic" w:eastAsia="SimSun" w:hAnsi="Simplified Arabic" w:cs="Simplified Arabic"/>
          <w:sz w:val="24"/>
          <w:szCs w:val="24"/>
          <w:vertAlign w:val="superscript"/>
          <w:rtl/>
          <w:lang w:val="fr-FR" w:eastAsia="zh-CN"/>
        </w:rPr>
        <w:t>)</w:t>
      </w:r>
      <w:r w:rsidRPr="00BE6D24">
        <w:rPr>
          <w:rFonts w:ascii="Simplified Arabic" w:eastAsia="SimSun" w:hAnsi="Simplified Arabic" w:cs="Simplified Arabic"/>
          <w:sz w:val="24"/>
          <w:szCs w:val="24"/>
          <w:rtl/>
          <w:lang w:val="fr-FR" w:eastAsia="zh-CN"/>
        </w:rPr>
        <w:t>، دليلاً على التقدم المحرز في الانتقال من المشاريع التجريبية إلى اعتماد التكنولوجيات ذات الصلة على الصعيد الوطني، مما يحقق تخفيضات قابلة للقياس في استخدام الزئبق وانبعاثاته وإطلاقاته. وتقدم دراسات الحالات الإفرادية الواردة في التقرير عدة أمثلة على ذلك.</w:t>
      </w:r>
    </w:p>
    <w:p w14:paraId="266749CC" w14:textId="58331268" w:rsidR="003C49EA" w:rsidRPr="008D6327" w:rsidRDefault="003C49EA" w:rsidP="00BE6D24">
      <w:pPr>
        <w:pStyle w:val="ListParagraph"/>
        <w:numPr>
          <w:ilvl w:val="0"/>
          <w:numId w:val="43"/>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i/>
          <w:iCs/>
          <w:sz w:val="24"/>
          <w:szCs w:val="24"/>
          <w:rtl/>
          <w:lang w:val="fr-FR" w:eastAsia="zh-CN"/>
        </w:rPr>
        <w:t>تشكل التقارير الوطنية المقدمة من الأطراف عملاً بالمادة 21 مصدراً رئيسياً للمعلومات لتقييم التحديات والتقدم المحرز بموجب الاتفاقية، بما في ذلك مسائل التكنولوجيا البديلة ونقل التقنية</w:t>
      </w:r>
      <w:r w:rsidRPr="001F55CD">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 xml:space="preserve"> يبرز تحليل التقارير </w:t>
      </w:r>
      <w:r w:rsidRPr="008D6327">
        <w:rPr>
          <w:rFonts w:ascii="Simplified Arabic" w:eastAsia="SimSun" w:hAnsi="Simplified Arabic" w:cs="Simplified Arabic"/>
          <w:sz w:val="24"/>
          <w:szCs w:val="24"/>
          <w:rtl/>
          <w:lang w:val="fr-FR" w:eastAsia="zh-CN"/>
        </w:rPr>
        <w:lastRenderedPageBreak/>
        <w:t>الوطنية المقدمة من الأطراف والاتجاهات الحديثة في تمويل المشاريع التي أبلغ عنها مرفق البيئة العالمية</w:t>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4"/>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 xml:space="preserve"> حقيقة وجود طلب على التكنولوجيات البديلة في قطاعات محددة، بما في ذلك تعدين الذهب الحرفي والضيق النطاق؛ والمنتجات المضاف إليها الزئبق، بما في ذلك في قطاعي الإضاءة والرعاية الصحية (الانتقال إلى الأجهزة الطبية الخالية من الزئبق وملغم الأسنان)؛ وإنتاج الفلزات غير الحديدية؛ وصناعة الأسمنت؛ وإدارة نفايات الزئبق؛ وصناعة الكلور والقلويات. ولكن في العديد من الحالات تكون المعلومات محدودة، حيث تصيغ الأطراف ردودها في التقارير الوطنية بعبارات عامة، وغالباً ما تشير إلى نقص </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الموارد</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 xml:space="preserve"> أو </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القدرات</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 xml:space="preserve"> دون ذكر حاجة محددة مثل المعدات أو المهارات أو التمويل أو البنية التحتية.</w:t>
      </w:r>
    </w:p>
    <w:p w14:paraId="6386D17A" w14:textId="1E08E53E" w:rsidR="003C49EA" w:rsidRPr="008D6327" w:rsidRDefault="003C49EA" w:rsidP="00BE6D24">
      <w:pPr>
        <w:pStyle w:val="ListParagraph"/>
        <w:numPr>
          <w:ilvl w:val="0"/>
          <w:numId w:val="43"/>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i/>
          <w:iCs/>
          <w:sz w:val="24"/>
          <w:szCs w:val="24"/>
          <w:rtl/>
          <w:lang w:val="fr-FR" w:eastAsia="zh-CN"/>
        </w:rPr>
        <w:t>يتطلب نقل التكنولوجيا الفعال سياسات داعمة واستعداداً مؤسسياً وتدريباً ورصداً للتقدم المحرز</w:t>
      </w:r>
      <w:r w:rsidRPr="001F55CD">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 xml:space="preserve"> يتطلب نقل التكنولوجيا أيضاً التمويل والتعاون بين مختلف أصحاب المصلحة، بما في ذلك الأطراف المانحة والمستفيدة، بشروط متفق عليها بشكل متبادل. وعموماً، فإن الافتقار إلى القدرات التقنية والمؤسسية، وعدم كفاية التمويل، ومحدودية الوصول إلى التكنولوجيات البديلة هي التحديات الرئيسية التي حددتها الأطراف في تقاريرها الوطنية فيما يتعلق بنقل التكنولوجيا بموجب الاتفاقية. وتؤثر هذه العوائق بدورها على قدرة الأطراف على إجراء عمليات الجرد، والحصول على تكنولوجيات بديلة، وبناء البنية التحتية اللازمة، وتطوير الأطر التنظيمية، وتعزيز قدرتها الاستيعابية المؤسسية الوطنية. وتؤكد الدروس المستفادة من دراسات الحالات الإفرادية على أهمية وجود بيئة مواتية لاعتماد التكنولوجيا.</w:t>
      </w:r>
    </w:p>
    <w:p w14:paraId="461F2244" w14:textId="033EA51E" w:rsidR="003C49EA" w:rsidRPr="008D6327" w:rsidRDefault="003C49EA" w:rsidP="00BE6D24">
      <w:pPr>
        <w:pStyle w:val="ListParagraph"/>
        <w:numPr>
          <w:ilvl w:val="0"/>
          <w:numId w:val="43"/>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i/>
          <w:iCs/>
          <w:sz w:val="24"/>
          <w:szCs w:val="24"/>
          <w:rtl/>
          <w:lang w:val="fr-FR" w:eastAsia="zh-CN"/>
        </w:rPr>
        <w:t>يساهم التعاون مع الاتفاقات والأطر البيئية المتعددة الأطراف ذات الصلة في نقل التكنولوجيا وبالتالي في التقدم العام في تحقيق هدف اتفاقية ميناماتا</w:t>
      </w:r>
      <w:r w:rsidRPr="001F55CD">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 xml:space="preserve"> تسلط الدراسة الضوء على مزايا وأهمية التعاون التقني مع الأطر ذات الصلة، مثل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بما في ذلك المراكز الإقليمية ذات الصلة لاتفاقيتي بازل واستكهولم، من أجل تنفيذ اتفاقية ميناماتا. إضافةً إلى ذلك، أقرّ مؤتمر الأطراف مراراً وتكراراً بأهمية العمل التقني الذي تنفذه شراكة الزئبق العالمية التي تنتج توجيهات وبيانات ومشاريع تجريبية من خلال عملها في دعم جهود التنفيذ الشاملة</w:t>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5"/>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 وهناك مجال لتوسيع هذا النوع من التعاون ليشمل اتفاقات وأطر بيئية أخرى متعددة الأطراف.</w:t>
      </w:r>
    </w:p>
    <w:p w14:paraId="33726897" w14:textId="52EDA5A6" w:rsidR="003C49EA" w:rsidRPr="008D6327" w:rsidRDefault="003C49EA" w:rsidP="00BE6D24">
      <w:pPr>
        <w:pStyle w:val="ListParagraph"/>
        <w:numPr>
          <w:ilvl w:val="0"/>
          <w:numId w:val="43"/>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i/>
          <w:iCs/>
          <w:sz w:val="24"/>
          <w:szCs w:val="24"/>
          <w:rtl/>
          <w:lang w:val="fr-FR" w:eastAsia="zh-CN"/>
        </w:rPr>
        <w:t>ينبغي مواصلة تقييم الاحتياجات والعوائق والفرص المحددة المتعلقة بنقل التكنولوجيا لدعم الأطراف في تنفيذ الاتفاقية</w:t>
      </w:r>
      <w:r w:rsidRPr="001F55CD">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 xml:space="preserve"> يمكن للأطراف من البلدان النامية والأطراف التي تمر اقتصاداتها بمرحلة انتقالية أن تطلب من الأمانة تيسير تقديم المساعدة لها، على النحو المنصوص عليه في الفقرة 2 (ب) من المادة 24، بما في ذلك ما يتعلق بالمسائل المتصلة بنقل التكنولوجيا. إضافةً إلى ذلك، يمكن إجراء دراسة استقصائية على مستوى الاتفاقية للتوصل إلى فهم أفضل للاحتياجات التكنولوجية المحددة والعوائق والفرص المتاحة. ويمكن أن يكون ذلك جزءاً من عملية منفصلة تستند إلى المعلومات الواردة في التقارير الوطنية.</w:t>
      </w:r>
    </w:p>
    <w:p w14:paraId="4723332F" w14:textId="4D14DDCD" w:rsidR="003C49EA" w:rsidRPr="004B5D48" w:rsidRDefault="003C49EA" w:rsidP="004B5D48">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4B5D48">
        <w:rPr>
          <w:rFonts w:ascii="Simplified Arabic" w:hAnsi="Simplified Arabic" w:cs="Simplified Arabic"/>
          <w:b/>
          <w:bCs/>
          <w:sz w:val="24"/>
          <w:szCs w:val="24"/>
          <w:rtl/>
          <w:lang w:val="fr-FR" w:eastAsia="zh-CN"/>
        </w:rPr>
        <w:t>باء-</w:t>
      </w:r>
      <w:r w:rsidRPr="004B5D48">
        <w:rPr>
          <w:rFonts w:ascii="Simplified Arabic" w:hAnsi="Simplified Arabic" w:cs="Simplified Arabic"/>
          <w:b/>
          <w:bCs/>
          <w:sz w:val="24"/>
          <w:szCs w:val="24"/>
          <w:rtl/>
          <w:lang w:val="fr-FR" w:eastAsia="zh-CN"/>
        </w:rPr>
        <w:tab/>
        <w:t>تطوير أدوات ومواد تدريبية ونشرها</w:t>
      </w:r>
    </w:p>
    <w:p w14:paraId="2C6F731C" w14:textId="77777777" w:rsidR="003C49EA" w:rsidRPr="008D6327" w:rsidRDefault="003C49EA" w:rsidP="0082518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 xml:space="preserve">تمشياً مع وظائف الأمانة المحددة في المادة 24 من الاتفاقية وعلى النحو المطلوب في الفقرة 3 من المقرر ا م-5/12، زادت الأمانة من تطوير ونشر أدوات ومواد تدريبية وإعلامية لتنفيذ التزامات الأطراف بموجب </w:t>
      </w:r>
      <w:r w:rsidRPr="008D6327">
        <w:rPr>
          <w:rFonts w:ascii="Simplified Arabic" w:eastAsia="SimSun" w:hAnsi="Simplified Arabic" w:cs="Simplified Arabic"/>
          <w:sz w:val="24"/>
          <w:szCs w:val="24"/>
          <w:rtl/>
          <w:lang w:val="fr-FR" w:eastAsia="zh-CN"/>
        </w:rPr>
        <w:lastRenderedPageBreak/>
        <w:t>اتفاقية ميناماتا، وكذلك مواد تدريبية وإعلامية لأنشطة بناء القدرات الشاملة لعدة قطاعات في مجال الجنسانية والتجارة. وقد اشتمل ذلك على مواد تستجيب للتوصيات الواردة في تقرير لجنة التنفيذ والامتثال إلى الاجتماع الخامس لمؤتمر الأطراف (</w:t>
      </w:r>
      <w:r w:rsidRPr="00600B56">
        <w:rPr>
          <w:rFonts w:asciiTheme="majorBidi" w:eastAsia="SimSun" w:hAnsiTheme="majorBidi" w:cstheme="majorBidi"/>
          <w:sz w:val="22"/>
          <w:szCs w:val="22"/>
          <w:lang w:val="fr-FR" w:eastAsia="zh-CN"/>
        </w:rPr>
        <w:t>UNEP/MC/COP.5/14</w:t>
      </w:r>
      <w:r w:rsidRPr="008D6327">
        <w:rPr>
          <w:rFonts w:ascii="Simplified Arabic" w:eastAsia="SimSun" w:hAnsi="Simplified Arabic" w:cs="Simplified Arabic"/>
          <w:sz w:val="24"/>
          <w:szCs w:val="24"/>
          <w:rtl/>
          <w:lang w:val="fr-FR" w:eastAsia="zh-CN"/>
        </w:rPr>
        <w:t>) بشأن تعزيز بناء القدرات لتنفيذ المواد 4 و7 و11 من الاتفاقية.</w:t>
      </w:r>
    </w:p>
    <w:p w14:paraId="4A9FB544" w14:textId="76EE27E5" w:rsidR="003C49EA" w:rsidRPr="008D6327" w:rsidRDefault="003C49EA" w:rsidP="0082518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 xml:space="preserve">ومنذ عام 2020، نظمت الأمانة خمسة </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مواسم</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 xml:space="preserve"> من الدورات التدريبية عبر الإنترنت بعنوان </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ميناماتا أونلاين</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6"/>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 xml:space="preserve"> بهدف توفير المعلومات العلمية والتقنية، والمعلومات ذات الصلة بتنفيذ مواد الاتفاقية، والمعلومات المتعلقة بالمسائل التي سينظر فيها مؤتمر الأطراف. وكان الهدف من الموسم الخامس، من آذار/مارس 2024 إلى نيسان/أبريل 2025، دعم الأطراف في عملها بشأن مختلف المسائل في إطار الاتفاقية، بما في ذلك المنتجات المضاف إليها الزئبق، وتجارة الزئبق وإمداداته ونفاياته، والأعمال التحضيرية لدورة تقديم التقارير الوطنية الكاملة الثانية، وإدماج الاعتبارات المتعلقة بالسكان الذين يعيشون في أوضاع هشة، وتنفيذ خطة العمل الجنسانية، فضلاً عن توفير مزيد من المعلومات عن أوجه التآزر بين اتفاقية ميناماتا وإطار عمل كونمينغ - مونتريال العالمي للتنوع البيولوجي</w:t>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7"/>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 ومول الاتحاد الأوروبي الدورة الخاصة بالمادة 4، المنتجات المضاف إليها الزئبق، التي عقدت في حزيران/يونيه وتموز/يوليه 2024، ومولت سويسرا الدورة الخاصة بالمادة 11، نفايات الزئبق، التي عقدت في تشرين الثاني/نوفمبر وكانون الأول/ديسمبر 2024. وقد عُقدت الدورتان باللغات الرسمية الست للأمم المتحدة. وتدرس الأمانة تطوير أدوات تعليمية إلكترونية أخرى، رهناً بتوفير الموارد.</w:t>
      </w:r>
    </w:p>
    <w:p w14:paraId="6BF9BF1A" w14:textId="79AA3F5E" w:rsidR="003C49EA" w:rsidRPr="008D6327" w:rsidRDefault="003C49EA" w:rsidP="0082518F">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 xml:space="preserve">وفي عام 2024، أطلقت الأمانة منصة </w:t>
      </w:r>
      <w:r w:rsidR="0022731E">
        <w:rPr>
          <w:rFonts w:ascii="Simplified Arabic" w:eastAsia="SimSun" w:hAnsi="Simplified Arabic" w:cs="Simplified Arabic"/>
          <w:sz w:val="24"/>
          <w:szCs w:val="24"/>
          <w:rtl/>
          <w:lang w:val="fr-FR" w:eastAsia="zh-CN"/>
        </w:rPr>
        <w:t>”</w:t>
      </w:r>
      <w:r w:rsidRPr="008D6327">
        <w:rPr>
          <w:rFonts w:ascii="Simplified Arabic" w:eastAsia="SimSun" w:hAnsi="Simplified Arabic" w:cs="Simplified Arabic"/>
          <w:sz w:val="24"/>
          <w:szCs w:val="24"/>
          <w:rtl/>
          <w:lang w:val="fr-FR" w:eastAsia="zh-CN"/>
        </w:rPr>
        <w:t>أدوات ميناماتا</w:t>
      </w:r>
      <w:r w:rsidR="0022731E" w:rsidRPr="00854D69">
        <w:rPr>
          <w:rFonts w:ascii="Simplified Arabic" w:eastAsia="SimSun" w:hAnsi="Simplified Arabic" w:cs="Simplified Arabic"/>
          <w:sz w:val="24"/>
          <w:szCs w:val="24"/>
          <w:rtl/>
          <w:lang w:val="fr-FR" w:eastAsia="zh-CN"/>
        </w:rPr>
        <w:t>“</w:t>
      </w:r>
      <w:r w:rsidRPr="00854D69">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8"/>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 xml:space="preserve"> التي تقدم وحدات تدريبية تفاعلية لدعم الأطراف في فهم وتنفيذ التزاماتها بموجب الاتفاقية. وتغطي هذه الوحدات التي طُورت بالتعاون مع كلية موظفي الأمم المتحدة وبتمويل من الاتحاد الأوروبي، المجالات ذات الأولوية مثل مصادر إمدادات الزئبق والتجارة فيه، والمنتجات المضاف إليها الزئبق والعمليات التي تستخدم الزئبق، وانبعاثات الزئبق، وتقديم التقارير الوطنية.</w:t>
      </w:r>
    </w:p>
    <w:p w14:paraId="67253AA2" w14:textId="4898FB2D" w:rsidR="003C49EA" w:rsidRPr="008D6327" w:rsidRDefault="003C49EA" w:rsidP="00683157">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وكصيغة ثالثة للتعلم، عقدت الأمانة عددًا من ورش العمل والاجتماعات الحضورية، بما في ذلك على هامش الاجتماعات الإقليمية أو غيرها من الاجتماعات. وشملت ورش العمل والاجتماعات هذه</w:t>
      </w:r>
      <w:r w:rsidRPr="008D6327">
        <w:rPr>
          <w:rFonts w:ascii="Simplified Arabic" w:eastAsia="SimSun" w:hAnsi="Simplified Arabic" w:cs="Simplified Arabic"/>
          <w:sz w:val="24"/>
          <w:szCs w:val="24"/>
          <w:lang w:val="fr-FR" w:eastAsia="zh-CN"/>
        </w:rPr>
        <w:t>:</w:t>
      </w:r>
    </w:p>
    <w:p w14:paraId="1A47522A" w14:textId="77777777" w:rsidR="003C49EA" w:rsidRPr="008D6327" w:rsidRDefault="003C49EA" w:rsidP="00683157">
      <w:pPr>
        <w:pStyle w:val="ListParagraph"/>
        <w:numPr>
          <w:ilvl w:val="0"/>
          <w:numId w:val="3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 xml:space="preserve">حلقة عمل مخصصة لتجارة الزئبق بتمويل من الاتحاد الأوروبي، عُقدت في الفلبين في حزيران/يونيه 2024 على هامش المحفل العالمي، </w:t>
      </w:r>
      <w:r w:rsidRPr="00600B56">
        <w:rPr>
          <w:rFonts w:asciiTheme="majorBidi" w:eastAsia="SimSun" w:hAnsiTheme="majorBidi" w:cstheme="majorBidi"/>
          <w:sz w:val="22"/>
          <w:szCs w:val="22"/>
          <w:lang w:val="fr-FR" w:eastAsia="zh-CN"/>
        </w:rPr>
        <w:t>planetGOLD</w:t>
      </w:r>
      <w:r w:rsidRPr="008D6327">
        <w:rPr>
          <w:rFonts w:ascii="Simplified Arabic" w:eastAsia="SimSun" w:hAnsi="Simplified Arabic" w:cs="Simplified Arabic"/>
          <w:sz w:val="24"/>
          <w:szCs w:val="24"/>
          <w:rtl/>
          <w:lang w:val="fr-FR" w:eastAsia="zh-CN"/>
        </w:rPr>
        <w:t>، المعني بتعدين الذهب الحرفي والضَيِّق النطاق، الذي يموله مرفق البيئة العالمية؛</w:t>
      </w:r>
    </w:p>
    <w:p w14:paraId="3D27CBA8" w14:textId="77777777" w:rsidR="003C49EA" w:rsidRPr="008D6327" w:rsidRDefault="003C49EA" w:rsidP="00683157">
      <w:pPr>
        <w:pStyle w:val="ListParagraph"/>
        <w:numPr>
          <w:ilvl w:val="0"/>
          <w:numId w:val="3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حلقة عمل متخصصة في جرد انبعاثات الزئبق بتمويل من الاتحاد الأوروبي، عُقدت في جنوب أفريقيا في تموز/يوليه 2024 على هامش المؤتمر الدولي السادس عشر المعني بالزئبق كملوث عالمي</w:t>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9"/>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w:t>
      </w:r>
    </w:p>
    <w:p w14:paraId="3ABCC0ED" w14:textId="53A9BF0F" w:rsidR="003C49EA" w:rsidRPr="008D6327" w:rsidRDefault="003C49EA" w:rsidP="00683157">
      <w:pPr>
        <w:pStyle w:val="ListParagraph"/>
        <w:numPr>
          <w:ilvl w:val="0"/>
          <w:numId w:val="3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حلقات عمل عُقدت في أيار/مايو وحزيران/يونيه 2024، بتمويل من الاتحاد الأوروبي وبالشراكة مع جامعة ماكواري مرتبطة بمشاريع تمكينية بشأن المادة 8 (الانبعاثات) وتهدف إلى دعم جنوب أفريقيا وباكستان وفييت نام في تنفيذ المادة 8؛</w:t>
      </w:r>
    </w:p>
    <w:p w14:paraId="76421637" w14:textId="77777777" w:rsidR="003C49EA" w:rsidRPr="008D6327" w:rsidRDefault="003C49EA" w:rsidP="00683157">
      <w:pPr>
        <w:pStyle w:val="ListParagraph"/>
        <w:numPr>
          <w:ilvl w:val="0"/>
          <w:numId w:val="3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دورة بشأن المادة 12 (المواقع الملوثة) بتمويل من سويسرا، عُقدت في الاجتماع الخامس عشر للجنة الدولية المعنية بالأراضي الملوثة</w:t>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10"/>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 في برن، سويسرا، في تشرين الأول/أكتوبر 2024.</w:t>
      </w:r>
    </w:p>
    <w:p w14:paraId="605B3F2E" w14:textId="77777777" w:rsidR="003C49EA" w:rsidRPr="008D6327" w:rsidRDefault="003C49EA" w:rsidP="00683157">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lastRenderedPageBreak/>
        <w:t xml:space="preserve">ويشارك موظفو الأمانة في بناء القدرات والمساعدة التقنية كجزء من مهامهم الأساسية. وتنفذ الأنشطة التي تضطلع بها الأمانة فيما يتعلق ببناء القدرات والمساعدة التقنية ونقل التكنولوجيا، بخلاف الأنشطة ذات الطابع التيسيري وتلك التي تنفذ من خلال الآلية المالية، باستخدام التبرعات للصندوق الاستئماني الخاص. وفيما يتعلق بفترة السنتين 2026-2027، تقدم صحيفة وقائع برنامج العمل والميزانية الخاصة بأنشطة بناء القدرات والمساعدة التقنية لمحة عامة عن العمل الذي تقترح الأمانة الاضطلاع به باستخدام المساهمات في الصندوق الاستئماني الخاص على النحو المفصل في الوثيقة </w:t>
      </w:r>
      <w:r w:rsidRPr="00600B56">
        <w:rPr>
          <w:rFonts w:asciiTheme="majorBidi" w:eastAsia="SimSun" w:hAnsiTheme="majorBidi" w:cstheme="majorBidi"/>
          <w:sz w:val="22"/>
          <w:szCs w:val="22"/>
          <w:rtl/>
          <w:lang w:val="fr-FR" w:eastAsia="zh-CN"/>
        </w:rPr>
        <w:t>UNEP/MC/COP.6/INF/38</w:t>
      </w:r>
      <w:r w:rsidRPr="008D6327">
        <w:rPr>
          <w:rFonts w:ascii="Simplified Arabic" w:eastAsia="SimSun" w:hAnsi="Simplified Arabic" w:cs="Simplified Arabic"/>
          <w:sz w:val="24"/>
          <w:szCs w:val="24"/>
          <w:rtl/>
          <w:lang w:val="fr-FR" w:eastAsia="zh-CN"/>
        </w:rPr>
        <w:t xml:space="preserve">. وتقترح الأمانة أن تطور، رهناً بتوافر الموارد، منصة ميناماتا للتبادل، على النحو المبين في الوثيقة </w:t>
      </w:r>
      <w:r w:rsidRPr="00600B56">
        <w:rPr>
          <w:rFonts w:asciiTheme="majorBidi" w:eastAsia="SimSun" w:hAnsiTheme="majorBidi" w:cstheme="majorBidi"/>
          <w:sz w:val="22"/>
          <w:szCs w:val="22"/>
          <w:lang w:val="fr-FR" w:eastAsia="zh-CN"/>
        </w:rPr>
        <w:t>UNEP/MC/COP.6/INF/26</w:t>
      </w:r>
      <w:r w:rsidRPr="008D6327">
        <w:rPr>
          <w:rFonts w:ascii="Simplified Arabic" w:eastAsia="SimSun" w:hAnsi="Simplified Arabic" w:cs="Simplified Arabic"/>
          <w:sz w:val="24"/>
          <w:szCs w:val="24"/>
          <w:rtl/>
          <w:lang w:val="fr-FR" w:eastAsia="zh-CN"/>
        </w:rPr>
        <w:t xml:space="preserve">، كنشاط شامل يتعلق بإدارة المعارف (انظر الوثيقة </w:t>
      </w:r>
      <w:r w:rsidRPr="00E74CF4">
        <w:rPr>
          <w:rFonts w:asciiTheme="majorBidi" w:eastAsia="SimSun" w:hAnsiTheme="majorBidi" w:cstheme="majorBidi"/>
          <w:sz w:val="22"/>
          <w:szCs w:val="22"/>
          <w:lang w:val="fr-FR" w:eastAsia="zh-CN"/>
        </w:rPr>
        <w:t>UNEP/MC/COP.6/19</w:t>
      </w:r>
      <w:r w:rsidRPr="008D6327">
        <w:rPr>
          <w:rFonts w:ascii="Simplified Arabic" w:eastAsia="SimSun" w:hAnsi="Simplified Arabic" w:cs="Simplified Arabic"/>
          <w:sz w:val="24"/>
          <w:szCs w:val="24"/>
          <w:rtl/>
          <w:lang w:val="fr-FR" w:eastAsia="zh-CN"/>
        </w:rPr>
        <w:t>) يهدف إلى المساعدة في بناء قدرات الأطراف وأصحاب المصلحة بطريقة فعالة من خلال توفير إمكانية الوصول المركزي إلى المعارف العلمية والتقنية والقانونية والمتعلقة بالتنفيذ.</w:t>
      </w:r>
    </w:p>
    <w:p w14:paraId="2793A3A6" w14:textId="08B8F459" w:rsidR="003C49EA" w:rsidRPr="004B5D48" w:rsidRDefault="003C49EA" w:rsidP="004B5D48">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4B5D48">
        <w:rPr>
          <w:rFonts w:ascii="Simplified Arabic" w:hAnsi="Simplified Arabic" w:cs="Simplified Arabic"/>
          <w:b/>
          <w:bCs/>
          <w:sz w:val="24"/>
          <w:szCs w:val="24"/>
          <w:rtl/>
          <w:lang w:val="fr-FR" w:eastAsia="zh-CN"/>
        </w:rPr>
        <w:t>جيم-</w:t>
      </w:r>
      <w:r w:rsidRPr="004B5D48">
        <w:rPr>
          <w:rFonts w:ascii="Simplified Arabic" w:hAnsi="Simplified Arabic" w:cs="Simplified Arabic"/>
          <w:b/>
          <w:bCs/>
          <w:sz w:val="24"/>
          <w:szCs w:val="24"/>
          <w:rtl/>
          <w:lang w:val="fr-FR" w:eastAsia="zh-CN"/>
        </w:rPr>
        <w:tab/>
        <w:t>استمرار التعاون وتعزيزه</w:t>
      </w:r>
      <w:r w:rsidR="00E74CF4">
        <w:rPr>
          <w:rFonts w:ascii="Simplified Arabic" w:hAnsi="Simplified Arabic" w:cs="Simplified Arabic"/>
          <w:b/>
          <w:bCs/>
          <w:sz w:val="24"/>
          <w:szCs w:val="24"/>
          <w:lang w:val="fr-FR" w:eastAsia="zh-CN"/>
        </w:rPr>
        <w:t xml:space="preserve"> </w:t>
      </w:r>
      <w:r w:rsidRPr="004B5D48">
        <w:rPr>
          <w:rFonts w:ascii="Simplified Arabic" w:hAnsi="Simplified Arabic" w:cs="Simplified Arabic"/>
          <w:b/>
          <w:bCs/>
          <w:sz w:val="24"/>
          <w:szCs w:val="24"/>
          <w:rtl/>
          <w:lang w:val="fr-FR" w:eastAsia="zh-CN"/>
        </w:rPr>
        <w:t>مع شراكة الزئبق العالمية</w:t>
      </w:r>
    </w:p>
    <w:p w14:paraId="65F9EC45" w14:textId="63D475C7" w:rsidR="003C49EA" w:rsidRPr="008D6327" w:rsidRDefault="003C49EA" w:rsidP="00683157">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طلب مؤتمر الأطراف، في الفقرة 9 من المقرر ا م-5/12، إلى الأمانة أن تواصل وتعزز التعاون مع شراكة الزئبق العالمية، وأن تشارك مع الشراكة في النظر في الخيارات المتاحة لتعزيز برنامج الأمانة لبناء القدرات والمساعدة التقنية ونقل التكنولوجيا ولتعزيز الدعم المقدم للأطراف أثناء تعاونها في توفير بناء القدرات والمساعدة التقنية عملاً بالفقرة 1 من المادة 14.</w:t>
      </w:r>
    </w:p>
    <w:p w14:paraId="3FEA1285" w14:textId="77777777" w:rsidR="003C49EA" w:rsidRPr="008D6327" w:rsidRDefault="003C49EA" w:rsidP="00683157">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وتعاونت الأمانة مع الشراكة بعدد من الطرق، بما في ذلك:</w:t>
      </w:r>
    </w:p>
    <w:p w14:paraId="11D55109" w14:textId="77777777" w:rsidR="003C49EA" w:rsidRPr="008D6327" w:rsidRDefault="003C49EA" w:rsidP="00683157">
      <w:pPr>
        <w:pStyle w:val="ListParagraph"/>
        <w:numPr>
          <w:ilvl w:val="0"/>
          <w:numId w:val="40"/>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من خلال المشاركة، إلى جانب ممثلي الشراكة، في اجتماعات تطوير وتنفيذ المشاريع الممولة من مرفق البيئة العالمية، والتي تشارك الشراكة في العديد منها من خلال الدعم التقني الموجه</w:t>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vertAlign w:val="superscript"/>
          <w:rtl/>
          <w:lang w:val="fr-FR" w:eastAsia="zh-CN"/>
        </w:rPr>
        <w:footnoteReference w:id="11"/>
      </w:r>
      <w:r w:rsidRPr="008D6327">
        <w:rPr>
          <w:rFonts w:ascii="Simplified Arabic" w:eastAsia="SimSun" w:hAnsi="Simplified Arabic" w:cs="Simplified Arabic"/>
          <w:sz w:val="24"/>
          <w:szCs w:val="24"/>
          <w:vertAlign w:val="superscript"/>
          <w:rtl/>
          <w:lang w:val="fr-FR" w:eastAsia="zh-CN"/>
        </w:rPr>
        <w:t>)</w:t>
      </w:r>
      <w:r w:rsidRPr="008D6327">
        <w:rPr>
          <w:rFonts w:ascii="Simplified Arabic" w:eastAsia="SimSun" w:hAnsi="Simplified Arabic" w:cs="Simplified Arabic"/>
          <w:sz w:val="24"/>
          <w:szCs w:val="24"/>
          <w:rtl/>
          <w:lang w:val="fr-FR" w:eastAsia="zh-CN"/>
        </w:rPr>
        <w:t>؛</w:t>
      </w:r>
    </w:p>
    <w:p w14:paraId="3F927C25" w14:textId="77777777" w:rsidR="003C49EA" w:rsidRPr="008D6327" w:rsidRDefault="003C49EA" w:rsidP="00683157">
      <w:pPr>
        <w:pStyle w:val="ListParagraph"/>
        <w:numPr>
          <w:ilvl w:val="0"/>
          <w:numId w:val="40"/>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من خلال إشراك الشراكة في استعراض الطلبات المقدمة في إطار الجولة الرابعة من الطلبات المقدمة إلى البرنامج الدولي المحدد، وكذلك في تنفيذ عدد من المشاريع الممولة من البرنامج الدولي المحدد؛</w:t>
      </w:r>
    </w:p>
    <w:p w14:paraId="71B161EB" w14:textId="73221F02" w:rsidR="003C49EA" w:rsidRPr="008D6327" w:rsidRDefault="003C49EA" w:rsidP="00683157">
      <w:pPr>
        <w:pStyle w:val="ListParagraph"/>
        <w:numPr>
          <w:ilvl w:val="0"/>
          <w:numId w:val="40"/>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من خلال إشراك الشراكة في مشاريع الأمانة لبناء القدرات، مثل حلقات العمل المشار إليها في الفقرة 10 أعلاه؛</w:t>
      </w:r>
    </w:p>
    <w:p w14:paraId="3D066357" w14:textId="77777777" w:rsidR="003C49EA" w:rsidRPr="008D6327" w:rsidRDefault="003C49EA" w:rsidP="00683157">
      <w:pPr>
        <w:pStyle w:val="ListParagraph"/>
        <w:numPr>
          <w:ilvl w:val="0"/>
          <w:numId w:val="40"/>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من خلال تنفيذ مشاريع بناء القدرات والتوعية والفعاليات التي تنظمها الشراكة، مثل تدريب موظفي الجمارك الذي ينفذه برنامج الأمم المتحدة للبيئة بتمويل من اليابان، والفعاليات الجانبية في اجتماعات مؤتمرات الأطراف في اتفاقيات بازل وروتردام واستكهولم، والحلقات الدراسية الشبكية بشأن ملغم الأسنان والإضاءة الخالية من الزئبق.</w:t>
      </w:r>
    </w:p>
    <w:p w14:paraId="391DDAE5" w14:textId="4A41F4DA" w:rsidR="003C49EA" w:rsidRPr="008D6327" w:rsidRDefault="003C49EA" w:rsidP="00683157">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وإضافةً إلى الأنشطة المذكورة أعلاه التي تهدف إلى بناء القدرات والمساعدة التقنية ونقل التكنولوجيا، تعاونت الأمانة أيضاً في الأنشطة البرنامجية للشراكة. وعلى سبيل المثال، أشركت الأمانة الشراكة في وضع مشروع توجيهات تكميلية بشأن استعراض تنفيذ المادة 7 من الاتفاقية، وإعداد تحديثات للتوجيهات بشأن المخزونات والمصادر، اعتُمدت في المقرر ا م-1/2، وإعداد التقرير عن مستحضرات التجميل المضاف إليها الزئبق والدراسة عن الاتجار في مركبات الزئبق. كذلك يساهم الخبراء الذين ترشحهم الشراكة في عمل فريق تقييم الفعالية والفريق العلمي المفتوح العضوية. وأخيراً، تشارك الأمانة بصفة استشارية في اجتماعات الفريق الاستشاري للشراكة، واجتماعات قادة مجالات الشراكة، واجتماعات فرادى مجالات الشراكة.</w:t>
      </w:r>
    </w:p>
    <w:p w14:paraId="4963584F" w14:textId="77777777" w:rsidR="003C49EA" w:rsidRPr="008D6327" w:rsidRDefault="003C49EA" w:rsidP="00683157">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lastRenderedPageBreak/>
        <w:t xml:space="preserve">وترد المزيد من المعلومات عن الأنشطة المضطلع بها في سياق الشراكة منذ الاجتماع الخامس لمؤتمر الأطراف في الوثيقة </w:t>
      </w:r>
      <w:r w:rsidRPr="00E74CF4">
        <w:rPr>
          <w:rFonts w:asciiTheme="majorBidi" w:eastAsia="SimSun" w:hAnsiTheme="majorBidi" w:cstheme="majorBidi"/>
          <w:sz w:val="22"/>
          <w:szCs w:val="22"/>
          <w:lang w:val="fr-FR" w:eastAsia="zh-CN"/>
        </w:rPr>
        <w:t>UNEP/MC/COP.6/INF/32</w:t>
      </w:r>
      <w:r w:rsidRPr="008D6327">
        <w:rPr>
          <w:rFonts w:ascii="Simplified Arabic" w:eastAsia="SimSun" w:hAnsi="Simplified Arabic" w:cs="Simplified Arabic"/>
          <w:sz w:val="24"/>
          <w:szCs w:val="24"/>
          <w:rtl/>
          <w:lang w:val="fr-FR" w:eastAsia="zh-CN"/>
        </w:rPr>
        <w:t>.</w:t>
      </w:r>
    </w:p>
    <w:p w14:paraId="033FB5BB" w14:textId="79683039" w:rsidR="003C49EA" w:rsidRPr="004B5D48" w:rsidRDefault="003C49EA" w:rsidP="004B5D48">
      <w:pPr>
        <w:keepNext/>
        <w:keepLines/>
        <w:tabs>
          <w:tab w:val="clear" w:pos="1247"/>
          <w:tab w:val="clear" w:pos="1814"/>
          <w:tab w:val="clear" w:pos="2381"/>
          <w:tab w:val="clear" w:pos="2948"/>
          <w:tab w:val="clear" w:pos="3515"/>
        </w:tabs>
        <w:suppressAutoHyphen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4B5D48">
        <w:rPr>
          <w:rFonts w:ascii="Simplified Arabic" w:hAnsi="Simplified Arabic" w:cs="Simplified Arabic"/>
          <w:b/>
          <w:bCs/>
          <w:sz w:val="26"/>
          <w:szCs w:val="26"/>
          <w:rtl/>
          <w:lang w:val="fr-FR" w:eastAsia="zh-CN"/>
        </w:rPr>
        <w:t>ثالثاً-</w:t>
      </w:r>
      <w:r w:rsidRPr="004B5D48">
        <w:rPr>
          <w:rFonts w:ascii="Simplified Arabic" w:hAnsi="Simplified Arabic" w:cs="Simplified Arabic"/>
          <w:b/>
          <w:bCs/>
          <w:sz w:val="26"/>
          <w:szCs w:val="26"/>
          <w:rtl/>
          <w:lang w:val="fr-FR" w:eastAsia="zh-CN"/>
        </w:rPr>
        <w:tab/>
        <w:t>الإجراء الذي يُقترح أن يتخذه مؤتمر الأطراف</w:t>
      </w:r>
    </w:p>
    <w:p w14:paraId="6A66B945" w14:textId="77777777" w:rsidR="00AD46BA" w:rsidRDefault="003C49EA" w:rsidP="0022731E">
      <w:pPr>
        <w:numPr>
          <w:ilvl w:val="0"/>
          <w:numId w:val="3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SimSun" w:hAnsi="Simplified Arabic" w:cs="Simplified Arabic"/>
          <w:sz w:val="24"/>
          <w:szCs w:val="24"/>
          <w:rtl/>
          <w:lang w:val="fr-FR" w:eastAsia="zh-CN"/>
        </w:rPr>
        <w:sectPr w:rsidR="00AD46BA" w:rsidSect="005848A4">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pPr>
      <w:r w:rsidRPr="008D6327">
        <w:rPr>
          <w:rFonts w:ascii="Simplified Arabic" w:eastAsia="SimSun" w:hAnsi="Simplified Arabic" w:cs="Simplified Arabic"/>
          <w:sz w:val="24"/>
          <w:szCs w:val="24"/>
          <w:rtl/>
          <w:lang w:val="fr-FR" w:eastAsia="zh-CN"/>
        </w:rPr>
        <w:t xml:space="preserve">قد يرغب مؤتمر الأطراف في أن ينظر في المعلومات الواردة في هذه المذكرة وفي الوثيقة </w:t>
      </w:r>
      <w:r w:rsidRPr="00E74CF4">
        <w:rPr>
          <w:rFonts w:asciiTheme="majorBidi" w:eastAsia="SimSun" w:hAnsiTheme="majorBidi" w:cstheme="majorBidi"/>
          <w:sz w:val="22"/>
          <w:szCs w:val="22"/>
          <w:lang w:val="fr-FR" w:eastAsia="zh-CN"/>
        </w:rPr>
        <w:t>UNEP/MC/COP.6/INF/18</w:t>
      </w:r>
      <w:r w:rsidRPr="008D6327">
        <w:rPr>
          <w:rFonts w:ascii="Simplified Arabic" w:eastAsia="SimSun" w:hAnsi="Simplified Arabic" w:cs="Simplified Arabic"/>
          <w:sz w:val="24"/>
          <w:szCs w:val="24"/>
          <w:rtl/>
          <w:lang w:val="fr-FR" w:eastAsia="zh-CN"/>
        </w:rPr>
        <w:t xml:space="preserve"> وأن يعتمد مقرراً على غرار النص الوارد في مرفق هذه المذكرة.</w:t>
      </w:r>
    </w:p>
    <w:p w14:paraId="484C90FC" w14:textId="77777777" w:rsidR="003C49EA" w:rsidRPr="004B5D48" w:rsidRDefault="003C49EA" w:rsidP="004B5D48">
      <w:pPr>
        <w:tabs>
          <w:tab w:val="clear" w:pos="1247"/>
          <w:tab w:val="clear" w:pos="1814"/>
          <w:tab w:val="clear" w:pos="2381"/>
          <w:tab w:val="clear" w:pos="2948"/>
          <w:tab w:val="clear" w:pos="3515"/>
        </w:tabs>
        <w:bidi/>
        <w:spacing w:after="360" w:line="360" w:lineRule="exact"/>
        <w:jc w:val="both"/>
        <w:textDirection w:val="tbRlV"/>
        <w:rPr>
          <w:rFonts w:ascii="Simplified Arabic" w:eastAsia="SimSun" w:hAnsi="Simplified Arabic" w:cs="Simplified Arabic"/>
          <w:b/>
          <w:bCs/>
          <w:sz w:val="30"/>
          <w:szCs w:val="30"/>
          <w:lang w:val="ar-SA" w:eastAsia="zh-TW" w:bidi="en-GB"/>
        </w:rPr>
      </w:pPr>
      <w:r w:rsidRPr="004B5D48">
        <w:rPr>
          <w:rFonts w:ascii="Simplified Arabic" w:hAnsi="Simplified Arabic" w:cs="Simplified Arabic"/>
          <w:b/>
          <w:bCs/>
          <w:sz w:val="30"/>
          <w:szCs w:val="30"/>
          <w:rtl/>
          <w:lang w:val="fr-FR" w:eastAsia="zh-CN"/>
        </w:rPr>
        <w:lastRenderedPageBreak/>
        <w:t>المرفق</w:t>
      </w:r>
    </w:p>
    <w:p w14:paraId="3C62F69A" w14:textId="657D46A0" w:rsidR="003C49EA" w:rsidRPr="004B5D48" w:rsidRDefault="003C49EA" w:rsidP="004B5D48">
      <w:pPr>
        <w:tabs>
          <w:tab w:val="clear" w:pos="1247"/>
          <w:tab w:val="clear" w:pos="1814"/>
          <w:tab w:val="clear" w:pos="2381"/>
          <w:tab w:val="clear" w:pos="2948"/>
          <w:tab w:val="clear" w:pos="3515"/>
        </w:tabs>
        <w:bidi/>
        <w:spacing w:after="120" w:line="400" w:lineRule="exact"/>
        <w:ind w:left="1134"/>
        <w:jc w:val="both"/>
        <w:textDirection w:val="tbRlV"/>
        <w:rPr>
          <w:rFonts w:ascii="Simplified Arabic" w:hAnsi="Simplified Arabic" w:cs="Simplified Arabic"/>
          <w:b/>
          <w:bCs/>
          <w:sz w:val="28"/>
          <w:szCs w:val="28"/>
          <w:lang w:val="ar-SA" w:eastAsia="zh-TW" w:bidi="en-GB"/>
        </w:rPr>
      </w:pPr>
      <w:r w:rsidRPr="004B5D48">
        <w:rPr>
          <w:rFonts w:ascii="Simplified Arabic" w:hAnsi="Simplified Arabic" w:cs="Simplified Arabic"/>
          <w:b/>
          <w:bCs/>
          <w:sz w:val="28"/>
          <w:szCs w:val="28"/>
          <w:rtl/>
          <w:lang w:val="fr-FR" w:eastAsia="zh-CN"/>
        </w:rPr>
        <w:t>مشروع المقرر ا م-6/</w:t>
      </w:r>
      <w:r w:rsidRPr="004B5D48">
        <w:rPr>
          <w:rFonts w:ascii="Simplified Arabic" w:hAnsi="Simplified Arabic" w:cs="Simplified Arabic"/>
          <w:b/>
          <w:bCs/>
          <w:sz w:val="28"/>
          <w:szCs w:val="28"/>
          <w:lang w:val="en-US" w:eastAsia="zh-CN"/>
        </w:rPr>
        <w:t>:</w:t>
      </w:r>
      <w:r w:rsidRPr="004B5D48">
        <w:rPr>
          <w:rFonts w:ascii="Simplified Arabic" w:hAnsi="Simplified Arabic" w:cs="Simplified Arabic"/>
          <w:b/>
          <w:bCs/>
          <w:sz w:val="28"/>
          <w:szCs w:val="28"/>
          <w:lang w:val="fr-FR" w:eastAsia="zh-CN"/>
        </w:rPr>
        <w:t>[--]</w:t>
      </w:r>
      <w:r w:rsidRPr="004B5D48">
        <w:rPr>
          <w:rFonts w:ascii="Simplified Arabic" w:hAnsi="Simplified Arabic" w:cs="Simplified Arabic"/>
          <w:b/>
          <w:bCs/>
          <w:sz w:val="28"/>
          <w:szCs w:val="28"/>
          <w:rtl/>
          <w:lang w:val="fr-FR" w:eastAsia="zh-CN"/>
        </w:rPr>
        <w:t xml:space="preserve"> تنفيذ المادة 14 من اتفاقية ميناماتا بشأن الزئبق، بخصوص بناء القدرات والمساعدة التقنية ونقل التكنولوجيا </w:t>
      </w:r>
    </w:p>
    <w:p w14:paraId="3B9B50BB" w14:textId="1FDCFD6F" w:rsidR="003C49EA" w:rsidRPr="008D6327" w:rsidRDefault="003C49EA" w:rsidP="004B5D48">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8D6327">
        <w:rPr>
          <w:rFonts w:ascii="Simplified Arabic" w:hAnsi="Simplified Arabic" w:cs="Simplified Arabic"/>
          <w:i/>
          <w:iCs/>
          <w:sz w:val="24"/>
          <w:szCs w:val="24"/>
          <w:rtl/>
          <w:lang w:val="fr-FR" w:eastAsia="zh-CN"/>
        </w:rPr>
        <w:t>إن مؤتمر الأطراف،</w:t>
      </w:r>
    </w:p>
    <w:p w14:paraId="5074E728" w14:textId="77777777" w:rsidR="003C49EA" w:rsidRPr="008D6327" w:rsidRDefault="003C49EA" w:rsidP="00DB681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en-US" w:eastAsia="zh-TW" w:bidi="en-GB"/>
        </w:rPr>
      </w:pPr>
      <w:r w:rsidRPr="008D6327">
        <w:rPr>
          <w:rFonts w:ascii="Simplified Arabic" w:hAnsi="Simplified Arabic" w:cs="Simplified Arabic"/>
          <w:i/>
          <w:iCs/>
          <w:sz w:val="24"/>
          <w:szCs w:val="24"/>
          <w:rtl/>
          <w:lang w:val="fr-FR" w:eastAsia="zh-CN"/>
        </w:rPr>
        <w:t>إذ يشير</w:t>
      </w:r>
      <w:r w:rsidRPr="008D6327">
        <w:rPr>
          <w:rFonts w:ascii="Simplified Arabic" w:hAnsi="Simplified Arabic" w:cs="Simplified Arabic"/>
          <w:sz w:val="24"/>
          <w:szCs w:val="24"/>
          <w:rtl/>
          <w:lang w:val="fr-FR" w:eastAsia="zh-CN"/>
        </w:rPr>
        <w:t xml:space="preserve"> إلى المادة 14 من اتفاقية ميناماتا بشأن الزئبق، بشأن بناء القدرات والمساعدة التقنية ونقل التكنولوجيا،</w:t>
      </w:r>
    </w:p>
    <w:p w14:paraId="2FD4BF7A" w14:textId="7236ECA5" w:rsidR="003C49EA" w:rsidRPr="008D6327" w:rsidRDefault="003C49EA" w:rsidP="00DB681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وقد نظر</w:t>
      </w:r>
      <w:r w:rsidRPr="008D6327">
        <w:rPr>
          <w:rFonts w:ascii="Simplified Arabic" w:hAnsi="Simplified Arabic" w:cs="Simplified Arabic"/>
          <w:sz w:val="24"/>
          <w:szCs w:val="24"/>
          <w:rtl/>
          <w:lang w:val="fr-FR" w:eastAsia="zh-CN"/>
        </w:rPr>
        <w:t xml:space="preserve"> في المعلومات المتعلقة بالمبادرات والتقدم المحرز فيما يتعلق بالتكنولوجيات البديلة، وإذ يقدر الدروس المستفادة من دراسات الحالات الإفرادية بشأن التطوير الناجح للتكنولوجيات البديلة ونقلها ونشرها، على النحو الذي عرض في اجتماعه السادس</w:t>
      </w:r>
      <w:r w:rsidR="00F24442" w:rsidRPr="00F24442">
        <w:rPr>
          <w:rFonts w:ascii="Simplified Arabic" w:hAnsi="Simplified Arabic" w:cs="Simplified Arabic"/>
          <w:sz w:val="24"/>
          <w:szCs w:val="24"/>
          <w:vertAlign w:val="superscript"/>
          <w:lang w:val="fr-FR" w:eastAsia="zh-CN"/>
        </w:rPr>
        <w:t>)</w:t>
      </w:r>
      <w:r w:rsidR="00242BB6" w:rsidRPr="00F24442">
        <w:rPr>
          <w:rStyle w:val="FootnoteReference"/>
          <w:rFonts w:ascii="Simplified Arabic" w:hAnsi="Simplified Arabic" w:cs="Simplified Arabic"/>
          <w:sz w:val="24"/>
          <w:szCs w:val="24"/>
          <w:rtl/>
          <w:lang w:val="fr-FR" w:eastAsia="zh-CN"/>
        </w:rPr>
        <w:footnoteReference w:id="12"/>
      </w:r>
      <w:r w:rsidR="00F24442" w:rsidRPr="00F24442">
        <w:rPr>
          <w:rFonts w:ascii="Simplified Arabic" w:hAnsi="Simplified Arabic" w:cs="Simplified Arabic"/>
          <w:sz w:val="24"/>
          <w:szCs w:val="24"/>
          <w:vertAlign w:val="superscript"/>
          <w:lang w:val="fr-FR" w:eastAsia="zh-CN"/>
        </w:rPr>
        <w:t>(</w:t>
      </w:r>
      <w:r w:rsidRPr="008D6327">
        <w:rPr>
          <w:rFonts w:ascii="Simplified Arabic" w:hAnsi="Simplified Arabic" w:cs="Simplified Arabic"/>
          <w:sz w:val="24"/>
          <w:szCs w:val="24"/>
          <w:rtl/>
          <w:lang w:val="fr-FR" w:eastAsia="zh-CN"/>
        </w:rPr>
        <w:t>،</w:t>
      </w:r>
    </w:p>
    <w:p w14:paraId="0FC26BE9" w14:textId="77777777" w:rsidR="003C49EA" w:rsidRPr="008D6327" w:rsidRDefault="003C49EA" w:rsidP="00DB681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وإذ يلاحظ</w:t>
      </w:r>
      <w:r w:rsidRPr="008D6327">
        <w:rPr>
          <w:rFonts w:ascii="Simplified Arabic" w:hAnsi="Simplified Arabic" w:cs="Simplified Arabic"/>
          <w:sz w:val="24"/>
          <w:szCs w:val="24"/>
          <w:rtl/>
          <w:lang w:val="fr-FR" w:eastAsia="zh-CN"/>
        </w:rPr>
        <w:t xml:space="preserve"> محدودية توافر المعلومات عن احتياجات الأطراف، ولا سيما الأطراف من البلدان النامية، فيما يتعلق بالتكنولوجيات البديلة مع الإقرار في الوقت نفسه بالجهود الحالية كخطوة نحو سد فجوة المعلومات وتضييق نطاق تركيز المزيد من التدخلات المحددة لدعم الأطراف،</w:t>
      </w:r>
    </w:p>
    <w:p w14:paraId="30B29327" w14:textId="77777777" w:rsidR="003C49EA" w:rsidRPr="000B1B38" w:rsidRDefault="003C49EA" w:rsidP="00DB681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وإذ يلاحظ أيضاً</w:t>
      </w:r>
      <w:r w:rsidRPr="008D6327">
        <w:rPr>
          <w:rFonts w:ascii="Simplified Arabic" w:hAnsi="Simplified Arabic" w:cs="Simplified Arabic"/>
          <w:sz w:val="24"/>
          <w:szCs w:val="24"/>
          <w:rtl/>
          <w:lang w:val="fr-FR" w:eastAsia="zh-CN"/>
        </w:rPr>
        <w:t xml:space="preserve"> التحديات التي أبلغت عنها الأطراف، ولا سيما الأطراف من البلدان النامية، في تقاريرها الوطنية عملاً بالمادة 21، فيما يتعلق بالتكنولوجيات البديلة،</w:t>
      </w:r>
    </w:p>
    <w:p w14:paraId="4DC3F9E9" w14:textId="77777777" w:rsidR="003C49EA" w:rsidRPr="008D6327" w:rsidRDefault="003C49EA" w:rsidP="00DB6819">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وإذ يقدّر</w:t>
      </w:r>
      <w:r w:rsidRPr="008D6327">
        <w:rPr>
          <w:rFonts w:ascii="Simplified Arabic" w:hAnsi="Simplified Arabic" w:cs="Simplified Arabic"/>
          <w:sz w:val="24"/>
          <w:szCs w:val="24"/>
          <w:rtl/>
          <w:lang w:val="fr-FR" w:eastAsia="zh-CN"/>
        </w:rPr>
        <w:t xml:space="preserve"> </w:t>
      </w:r>
      <w:r w:rsidRPr="001F55CD">
        <w:rPr>
          <w:rFonts w:ascii="Simplified Arabic" w:hAnsi="Simplified Arabic" w:cs="Simplified Arabic"/>
          <w:sz w:val="24"/>
          <w:szCs w:val="24"/>
          <w:rtl/>
          <w:lang w:val="fr-FR" w:eastAsia="zh-CN"/>
        </w:rPr>
        <w:t>الأساس</w:t>
      </w:r>
      <w:r w:rsidRPr="008D6327">
        <w:rPr>
          <w:rFonts w:ascii="Simplified Arabic" w:hAnsi="Simplified Arabic" w:cs="Simplified Arabic"/>
          <w:sz w:val="24"/>
          <w:szCs w:val="24"/>
          <w:rtl/>
          <w:lang w:val="fr-FR" w:eastAsia="zh-CN"/>
        </w:rPr>
        <w:t xml:space="preserve"> القوي للتعاون بشأن نقل التكنولوجيا بين الأمانة والشراكة العالمية للزئبق،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بما في ذلك المراكز الإقليمية لاتفاقيتي بازل واستكهولم،</w:t>
      </w:r>
    </w:p>
    <w:p w14:paraId="72574911" w14:textId="71BDE718" w:rsidR="003C49EA" w:rsidRPr="008D6327" w:rsidRDefault="003C49EA" w:rsidP="00DB6819">
      <w:pPr>
        <w:numPr>
          <w:ilvl w:val="0"/>
          <w:numId w:val="4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يدعو</w:t>
      </w:r>
      <w:r w:rsidRPr="008D6327">
        <w:rPr>
          <w:rFonts w:ascii="Simplified Arabic" w:hAnsi="Simplified Arabic" w:cs="Simplified Arabic"/>
          <w:sz w:val="24"/>
          <w:szCs w:val="24"/>
          <w:rtl/>
          <w:lang w:val="fr-FR" w:eastAsia="zh-CN"/>
        </w:rPr>
        <w:t xml:space="preserve"> الأطراف من البلدان المتقدمة والأطراف الأخرى إلى مراعاة التحديات التي حُددت فيما يتعلق باستيعاب التكنولوجيات البديلة، وتحديداً في تعزيز وتيسير تطوير ونقل ونشر تكنولوجيات بديلة حديثة سليمة بيئياً إلى الأطراف من البلدان النامية والأطراف التي تمر اقتصاداتها بمرحلة انتقالية؛</w:t>
      </w:r>
    </w:p>
    <w:p w14:paraId="199B00D2" w14:textId="22A199BE" w:rsidR="003C49EA" w:rsidRPr="008D6327" w:rsidRDefault="003C49EA" w:rsidP="00170E7E">
      <w:pPr>
        <w:numPr>
          <w:ilvl w:val="0"/>
          <w:numId w:val="4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يشجع</w:t>
      </w:r>
      <w:r w:rsidRPr="008D6327">
        <w:rPr>
          <w:rFonts w:ascii="Simplified Arabic" w:hAnsi="Simplified Arabic" w:cs="Simplified Arabic"/>
          <w:sz w:val="24"/>
          <w:szCs w:val="24"/>
          <w:rtl/>
          <w:lang w:val="fr-FR" w:eastAsia="zh-CN"/>
        </w:rPr>
        <w:t xml:space="preserve"> الأطراف على أن تدرج في تقاريرها الوطنية المقدمة عملاً بالمادة 21، بما في ذلك تقاريرها الوطنية الكاملة الثانية، معلومات محددة عن تطوير التكنولوجيات البديلة ونقلها ونشرها والوصول إليها، وكذلك عن التحديات التي واجهتها في الوصول إلى التكنولوجيا ونقلها، للمساعدة في استعراض يجرى في المستقبل للتحديات والتقدم المحرز؛</w:t>
      </w:r>
    </w:p>
    <w:p w14:paraId="6A7B44A4" w14:textId="4160336C" w:rsidR="003C49EA" w:rsidRPr="008D6327" w:rsidRDefault="003C49EA" w:rsidP="00170E7E">
      <w:pPr>
        <w:numPr>
          <w:ilvl w:val="0"/>
          <w:numId w:val="4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يطلب</w:t>
      </w:r>
      <w:r w:rsidRPr="008D6327">
        <w:rPr>
          <w:rFonts w:ascii="Simplified Arabic" w:hAnsi="Simplified Arabic" w:cs="Simplified Arabic"/>
          <w:sz w:val="24"/>
          <w:szCs w:val="24"/>
          <w:rtl/>
          <w:lang w:val="fr-FR" w:eastAsia="zh-CN"/>
        </w:rPr>
        <w:t xml:space="preserve"> إلى </w:t>
      </w:r>
      <w:r w:rsidRPr="001F55CD">
        <w:rPr>
          <w:rFonts w:ascii="Simplified Arabic" w:hAnsi="Simplified Arabic" w:cs="Simplified Arabic"/>
          <w:sz w:val="24"/>
          <w:szCs w:val="24"/>
          <w:rtl/>
          <w:lang w:val="fr-FR" w:eastAsia="zh-CN"/>
        </w:rPr>
        <w:t>الأمانة</w:t>
      </w:r>
      <w:r w:rsidRPr="008D6327">
        <w:rPr>
          <w:rFonts w:ascii="Simplified Arabic" w:hAnsi="Simplified Arabic" w:cs="Simplified Arabic"/>
          <w:sz w:val="24"/>
          <w:szCs w:val="24"/>
          <w:rtl/>
          <w:lang w:val="fr-FR" w:eastAsia="zh-CN"/>
        </w:rPr>
        <w:t>، رهناً بتوافر الموارد، وعملاً بالفقرة 4 من المادة 14، أن تواصل، بالتعاون مع شراكة الزئبق العالمية، جمع وتحليل المعلومات عن المبادرات القائمة والتقدم المحرز فيما يتعلق بالتكنولوجيات البديلة، وكذلك الاحتياجات والتحديات ذات الصلة، باستخدام:</w:t>
      </w:r>
    </w:p>
    <w:p w14:paraId="160524F1" w14:textId="7F64CE73" w:rsidR="003C49EA" w:rsidRPr="008D6327" w:rsidRDefault="003C49EA" w:rsidP="00D24C63">
      <w:pPr>
        <w:pStyle w:val="ListParagraph"/>
        <w:numPr>
          <w:ilvl w:val="0"/>
          <w:numId w:val="42"/>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المعلومات الواردة في التقارير الوطنية المقبلة بموجب المادة 21؛</w:t>
      </w:r>
    </w:p>
    <w:p w14:paraId="5E66F177" w14:textId="198C1A0D" w:rsidR="003C49EA" w:rsidRPr="008D6327" w:rsidRDefault="003C49EA" w:rsidP="00D24C63">
      <w:pPr>
        <w:pStyle w:val="ListParagraph"/>
        <w:numPr>
          <w:ilvl w:val="0"/>
          <w:numId w:val="42"/>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المعلومات الإضافية تُجمع من خلال دراسة استقصائية للاحتياجات والتحديات التكنولوجية؛</w:t>
      </w:r>
    </w:p>
    <w:p w14:paraId="2E4A39C0" w14:textId="77777777" w:rsidR="003C49EA" w:rsidRPr="008D6327" w:rsidRDefault="003C49EA" w:rsidP="00D24C63">
      <w:pPr>
        <w:pStyle w:val="ListParagraph"/>
        <w:numPr>
          <w:ilvl w:val="0"/>
          <w:numId w:val="42"/>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8D6327">
        <w:rPr>
          <w:rFonts w:ascii="Simplified Arabic" w:eastAsia="SimSun" w:hAnsi="Simplified Arabic" w:cs="Simplified Arabic"/>
          <w:sz w:val="24"/>
          <w:szCs w:val="24"/>
          <w:rtl/>
          <w:lang w:val="fr-FR" w:eastAsia="zh-CN"/>
        </w:rPr>
        <w:t>المعلومات الأخرى المتاحة، بما في ذلك تقارير وتقييمات المشاريع الممولة من مرفق البيئة العالمية والبرنامج الدولي المحدد؛</w:t>
      </w:r>
    </w:p>
    <w:p w14:paraId="70963438" w14:textId="30C39275" w:rsidR="003C49EA" w:rsidRPr="008D6327" w:rsidRDefault="003C49EA" w:rsidP="00D24C63">
      <w:pPr>
        <w:numPr>
          <w:ilvl w:val="0"/>
          <w:numId w:val="4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lastRenderedPageBreak/>
        <w:t>يقرر</w:t>
      </w:r>
      <w:r w:rsidRPr="008D6327">
        <w:rPr>
          <w:rFonts w:ascii="Simplified Arabic" w:hAnsi="Simplified Arabic" w:cs="Simplified Arabic"/>
          <w:sz w:val="24"/>
          <w:szCs w:val="24"/>
          <w:rtl/>
          <w:lang w:val="fr-FR" w:eastAsia="zh-CN"/>
        </w:rPr>
        <w:t xml:space="preserve"> النظر في مسألة التكنولوجيات البديلة عملاً بالفقرة 4 من المادة 14 مرة أخرى في اجتماعه الثامن؛</w:t>
      </w:r>
    </w:p>
    <w:p w14:paraId="4D5E2E65" w14:textId="498405C0" w:rsidR="003C49EA" w:rsidRPr="008D6327" w:rsidRDefault="003C49EA" w:rsidP="00D24C63">
      <w:pPr>
        <w:numPr>
          <w:ilvl w:val="0"/>
          <w:numId w:val="4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يدعو</w:t>
      </w:r>
      <w:r w:rsidRPr="008D6327">
        <w:rPr>
          <w:rFonts w:ascii="Simplified Arabic" w:hAnsi="Simplified Arabic" w:cs="Simplified Arabic"/>
          <w:sz w:val="24"/>
          <w:szCs w:val="24"/>
          <w:rtl/>
          <w:lang w:val="fr-FR" w:eastAsia="zh-CN"/>
        </w:rPr>
        <w:t xml:space="preserve"> الأطراف، ويدعو غير الأطراف في الاتفاقية والجهات الأخرى القادرة، إلى المساهمة في الصندوق الاستئماني الخاص لاتفاقية ميناماتا للتمكين من تنفيذ أنشطة بناء القدرات الموصوفة في صحيفة وقائع برنامج العمل للفترة 2026-2027 وأنشطة الميزانية في مجال بناء القدرات والمساعدة التقنية (النشاط 4)؛</w:t>
      </w:r>
    </w:p>
    <w:p w14:paraId="3126C1D1" w14:textId="1F959BCD" w:rsidR="003C49EA" w:rsidRPr="008D6327" w:rsidRDefault="003C49EA" w:rsidP="00D24C63">
      <w:pPr>
        <w:numPr>
          <w:ilvl w:val="0"/>
          <w:numId w:val="4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يعترف مع التقدير</w:t>
      </w:r>
      <w:r w:rsidRPr="008D6327">
        <w:rPr>
          <w:rFonts w:ascii="Simplified Arabic" w:hAnsi="Simplified Arabic" w:cs="Simplified Arabic"/>
          <w:sz w:val="24"/>
          <w:szCs w:val="24"/>
          <w:rtl/>
          <w:lang w:val="fr-FR" w:eastAsia="zh-CN"/>
        </w:rPr>
        <w:t xml:space="preserve"> بعمل الأمانة في تطوير ونشر الأدوات والمواد التدريبية المتعلقة بتنفيذ التزامات الأطراف بموجب اتفاقية ميناماتا؛</w:t>
      </w:r>
    </w:p>
    <w:p w14:paraId="36E642B2" w14:textId="7202FA95" w:rsidR="003C49EA" w:rsidRPr="008D6327" w:rsidRDefault="003C49EA" w:rsidP="00D24C63">
      <w:pPr>
        <w:numPr>
          <w:ilvl w:val="0"/>
          <w:numId w:val="4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8D6327">
        <w:rPr>
          <w:rFonts w:ascii="Simplified Arabic" w:hAnsi="Simplified Arabic" w:cs="Simplified Arabic"/>
          <w:i/>
          <w:iCs/>
          <w:sz w:val="24"/>
          <w:szCs w:val="24"/>
          <w:rtl/>
          <w:lang w:val="fr-FR" w:eastAsia="zh-CN"/>
        </w:rPr>
        <w:t>يطلب</w:t>
      </w:r>
      <w:r w:rsidRPr="008D6327">
        <w:rPr>
          <w:rFonts w:ascii="Simplified Arabic" w:hAnsi="Simplified Arabic" w:cs="Simplified Arabic"/>
          <w:sz w:val="24"/>
          <w:szCs w:val="24"/>
          <w:rtl/>
          <w:lang w:val="fr-FR" w:eastAsia="zh-CN"/>
        </w:rPr>
        <w:t xml:space="preserve"> إلى </w:t>
      </w:r>
      <w:r w:rsidRPr="001F55CD">
        <w:rPr>
          <w:rFonts w:ascii="Simplified Arabic" w:hAnsi="Simplified Arabic" w:cs="Simplified Arabic"/>
          <w:sz w:val="24"/>
          <w:szCs w:val="24"/>
          <w:rtl/>
          <w:lang w:val="fr-FR" w:eastAsia="zh-CN"/>
        </w:rPr>
        <w:t xml:space="preserve">الأمانة </w:t>
      </w:r>
      <w:r w:rsidRPr="008D6327">
        <w:rPr>
          <w:rFonts w:ascii="Simplified Arabic" w:hAnsi="Simplified Arabic" w:cs="Simplified Arabic"/>
          <w:sz w:val="24"/>
          <w:szCs w:val="24"/>
          <w:rtl/>
          <w:lang w:val="fr-FR" w:eastAsia="zh-CN"/>
        </w:rPr>
        <w:t>أن تواصل تقديم الدعم للأطراف في مجال بناء القدرات والمساعدة التقنية عملاً بالفقرة 1 من المادة 14، بما في ذلك من خلال المشاركة النشطة والمستمرة مع شراكة الزئبق العالمية.</w:t>
      </w:r>
    </w:p>
    <w:p w14:paraId="2E50E19F" w14:textId="41A57BD4" w:rsidR="003C49EA" w:rsidRPr="008D6327" w:rsidRDefault="008D6327" w:rsidP="008D6327">
      <w:pPr>
        <w:tabs>
          <w:tab w:val="clear" w:pos="1247"/>
          <w:tab w:val="clear" w:pos="1814"/>
          <w:tab w:val="clear" w:pos="2381"/>
          <w:tab w:val="clear" w:pos="2948"/>
          <w:tab w:val="clear" w:pos="3515"/>
        </w:tabs>
        <w:bidi/>
        <w:spacing w:before="480" w:after="120" w:line="360" w:lineRule="exact"/>
        <w:ind w:left="1134"/>
        <w:jc w:val="center"/>
        <w:textDirection w:val="tbRlV"/>
        <w:rPr>
          <w:rFonts w:ascii="Simplified Arabic" w:hAnsi="Simplified Arabic" w:cs="Simplified Arabic"/>
          <w:sz w:val="24"/>
          <w:szCs w:val="24"/>
          <w:rtl/>
          <w:lang w:val="ar-SA" w:eastAsia="zh-TW"/>
        </w:rPr>
      </w:pPr>
      <w:r>
        <w:rPr>
          <w:rFonts w:ascii="Simplified Arabic" w:hAnsi="Simplified Arabic" w:cs="Simplified Arabic"/>
          <w:sz w:val="24"/>
          <w:szCs w:val="24"/>
          <w:lang w:val="en-US" w:eastAsia="zh-TW" w:bidi="en-GB"/>
        </w:rPr>
        <w:t>____________</w:t>
      </w:r>
    </w:p>
    <w:sectPr w:rsidR="003C49EA" w:rsidRPr="008D6327" w:rsidSect="005848A4">
      <w:footnotePr>
        <w:numRestart w:val="eachSect"/>
      </w:footnotePr>
      <w:pgSz w:w="11907" w:h="16839" w:code="9"/>
      <w:pgMar w:top="907" w:right="1418" w:bottom="1418" w:left="992" w:header="539" w:footer="97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DABE" w14:textId="77777777" w:rsidR="00C148E6" w:rsidRDefault="00C148E6" w:rsidP="00061BBD">
      <w:r>
        <w:separator/>
      </w:r>
    </w:p>
  </w:endnote>
  <w:endnote w:type="continuationSeparator" w:id="0">
    <w:p w14:paraId="0DAE2226" w14:textId="77777777" w:rsidR="00C148E6" w:rsidRDefault="00C148E6"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456F91" w:rsidRDefault="00061BBD" w:rsidP="009A1333">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456F91">
      <w:rPr>
        <w:szCs w:val="18"/>
      </w:rPr>
      <w:fldChar w:fldCharType="begin"/>
    </w:r>
    <w:r w:rsidRPr="00456F91">
      <w:rPr>
        <w:szCs w:val="18"/>
      </w:rPr>
      <w:instrText xml:space="preserve"> PAGE \* MERGEFORMAT </w:instrText>
    </w:r>
    <w:r w:rsidRPr="00456F91">
      <w:rPr>
        <w:szCs w:val="18"/>
      </w:rPr>
      <w:fldChar w:fldCharType="separate"/>
    </w:r>
    <w:r w:rsidRPr="00456F91">
      <w:rPr>
        <w:noProof/>
        <w:szCs w:val="18"/>
      </w:rPr>
      <w:t>1</w:t>
    </w:r>
    <w:r w:rsidRPr="00456F91">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28706D13"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5" w:name="FooterJobDate"/>
    <w:r>
      <w:t>K</w:t>
    </w:r>
    <w:r w:rsidR="00867682">
      <w:t>25</w:t>
    </w:r>
    <w:r w:rsidR="00404A6C">
      <w:t>11833</w:t>
    </w:r>
    <w:r>
      <w:t>[A]</w:t>
    </w:r>
    <w:r>
      <w:tab/>
    </w:r>
    <w:bookmarkEnd w:id="5"/>
    <w:r w:rsidR="00404A6C">
      <w:t>2508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9180" w14:textId="77777777" w:rsidR="00C148E6" w:rsidRDefault="00C148E6" w:rsidP="00630AC1">
      <w:pPr>
        <w:bidi/>
        <w:ind w:left="567"/>
      </w:pPr>
      <w:r>
        <w:separator/>
      </w:r>
    </w:p>
  </w:footnote>
  <w:footnote w:type="continuationSeparator" w:id="0">
    <w:p w14:paraId="33664B86" w14:textId="77777777" w:rsidR="00C148E6" w:rsidRDefault="00C148E6" w:rsidP="00061BBD">
      <w:r>
        <w:continuationSeparator/>
      </w:r>
    </w:p>
  </w:footnote>
  <w:footnote w:id="1">
    <w:p w14:paraId="7E776726" w14:textId="77777777" w:rsidR="005161C4" w:rsidRPr="00242BB6" w:rsidRDefault="005161C4" w:rsidP="00095434">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242BB6">
        <w:rPr>
          <w:rStyle w:val="FootnoteReference"/>
          <w:rFonts w:ascii="Simplified Arabic" w:hAnsi="Simplified Arabic" w:cs="Simplified Arabic"/>
          <w:vertAlign w:val="baseline"/>
        </w:rPr>
        <w:t>*</w:t>
      </w:r>
      <w:r w:rsidRPr="00242BB6">
        <w:rPr>
          <w:rFonts w:ascii="Simplified Arabic" w:hAnsi="Simplified Arabic" w:cs="Simplified Arabic"/>
          <w:rtl/>
        </w:rPr>
        <w:t xml:space="preserve"> </w:t>
      </w:r>
      <w:r w:rsidRPr="00095434">
        <w:rPr>
          <w:rStyle w:val="FootnoteReference"/>
          <w:sz w:val="18"/>
          <w:szCs w:val="18"/>
          <w:vertAlign w:val="baseline"/>
        </w:rPr>
        <w:t>UNEP/MC/COP.6/1/Rev.1</w:t>
      </w:r>
      <w:r w:rsidRPr="00242BB6">
        <w:rPr>
          <w:rFonts w:ascii="Simplified Arabic" w:hAnsi="Simplified Arabic" w:cs="Simplified Arabic"/>
          <w:rtl/>
        </w:rPr>
        <w:t>.</w:t>
      </w:r>
    </w:p>
  </w:footnote>
  <w:footnote w:id="2">
    <w:p w14:paraId="1EDA1730" w14:textId="487E5CDE"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يمكن الاطلاع على معلومات إضافية تتعلق بمرفق البيئة العالمية والبرنامج الدولي المحدد في الوثيقتين </w:t>
      </w:r>
      <w:r w:rsidR="003C49EA" w:rsidRPr="00095434">
        <w:rPr>
          <w:rStyle w:val="FootnoteReference"/>
          <w:sz w:val="18"/>
          <w:szCs w:val="18"/>
          <w:vertAlign w:val="baseline"/>
        </w:rPr>
        <w:t>UNEP/MC/COP.6/10</w:t>
      </w:r>
      <w:r w:rsidR="003C49EA" w:rsidRPr="00095434">
        <w:rPr>
          <w:rStyle w:val="FootnoteReference"/>
          <w:rFonts w:ascii="Simplified Arabic" w:hAnsi="Simplified Arabic" w:cs="Simplified Arabic"/>
          <w:vertAlign w:val="baseline"/>
          <w:rtl/>
        </w:rPr>
        <w:t xml:space="preserve"> و</w:t>
      </w:r>
      <w:r w:rsidR="003C49EA" w:rsidRPr="00095434">
        <w:rPr>
          <w:rStyle w:val="FootnoteReference"/>
          <w:sz w:val="18"/>
          <w:szCs w:val="18"/>
          <w:vertAlign w:val="baseline"/>
        </w:rPr>
        <w:t>UNEP/MC/COP.6/11</w:t>
      </w:r>
      <w:r w:rsidR="003C49EA" w:rsidRPr="00095434">
        <w:rPr>
          <w:rStyle w:val="FootnoteReference"/>
          <w:rFonts w:ascii="Simplified Arabic" w:hAnsi="Simplified Arabic" w:cs="Simplified Arabic"/>
          <w:vertAlign w:val="baseline"/>
          <w:rtl/>
        </w:rPr>
        <w:t xml:space="preserve"> على التوالي.</w:t>
      </w:r>
    </w:p>
  </w:footnote>
  <w:footnote w:id="3">
    <w:p w14:paraId="2FB8569E" w14:textId="4C05CD66"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w:t>
      </w:r>
      <w:hyperlink r:id="rId1" w:history="1">
        <w:r w:rsidR="003C49EA" w:rsidRPr="00897EFA">
          <w:rPr>
            <w:rStyle w:val="FootnoteReference"/>
            <w:color w:val="0000FF"/>
            <w:sz w:val="18"/>
            <w:szCs w:val="18"/>
            <w:vertAlign w:val="baseline"/>
          </w:rPr>
          <w:t>https://www.unep.org/globalmercurypartnership/</w:t>
        </w:r>
      </w:hyperlink>
      <w:r w:rsidR="003C49EA" w:rsidRPr="00095434">
        <w:rPr>
          <w:rStyle w:val="FootnoteReference"/>
          <w:rFonts w:ascii="Simplified Arabic" w:hAnsi="Simplified Arabic" w:cs="Simplified Arabic"/>
          <w:vertAlign w:val="baseline"/>
          <w:rtl/>
        </w:rPr>
        <w:t>.</w:t>
      </w:r>
      <w:hyperlink r:id="rId2" w:history="1"/>
    </w:p>
  </w:footnote>
  <w:footnote w:id="4">
    <w:p w14:paraId="4DDFBE7E" w14:textId="42FCE81F" w:rsidR="003C49EA" w:rsidRPr="00095434" w:rsidRDefault="00095434" w:rsidP="0022731E">
      <w:pPr>
        <w:pStyle w:val="FootnoteText"/>
        <w:tabs>
          <w:tab w:val="clear" w:pos="1247"/>
          <w:tab w:val="clear" w:pos="1814"/>
          <w:tab w:val="clear" w:pos="2381"/>
          <w:tab w:val="clear" w:pos="2948"/>
          <w:tab w:val="clear" w:pos="3515"/>
        </w:tabs>
        <w:bidi/>
        <w:spacing w:after="40" w:line="280" w:lineRule="exact"/>
        <w:ind w:left="1134"/>
        <w:jc w:val="lowKashida"/>
        <w:textDirection w:val="tbRlV"/>
        <w:rPr>
          <w:rStyle w:val="FootnoteReference"/>
          <w:rFonts w:ascii="Simplified Arabic" w:hAnsi="Simplified Arabic" w:cs="Simplified Arabic"/>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تقرير مرفق البيئة العالمية إلى الاجتماع السادس لمؤتمر الأطراف في اتفاقية ميناماتا بشأن الزئبق (</w:t>
      </w:r>
      <w:r w:rsidR="003C49EA" w:rsidRPr="00095434">
        <w:rPr>
          <w:rStyle w:val="FootnoteReference"/>
          <w:sz w:val="18"/>
          <w:szCs w:val="18"/>
          <w:vertAlign w:val="baseline"/>
          <w:rtl/>
        </w:rPr>
        <w:t>GEF, 2025</w:t>
      </w:r>
      <w:r w:rsidR="003C49EA" w:rsidRPr="00095434">
        <w:rPr>
          <w:rStyle w:val="FootnoteReference"/>
          <w:rFonts w:ascii="Simplified Arabic" w:hAnsi="Simplified Arabic" w:cs="Simplified Arabic"/>
          <w:vertAlign w:val="baseline"/>
          <w:rtl/>
        </w:rPr>
        <w:t>) (</w:t>
      </w:r>
      <w:r w:rsidR="003C49EA" w:rsidRPr="00095434">
        <w:rPr>
          <w:rStyle w:val="FootnoteReference"/>
          <w:sz w:val="18"/>
          <w:szCs w:val="18"/>
          <w:vertAlign w:val="baseline"/>
          <w:rtl/>
        </w:rPr>
        <w:t>UNEP/MC/COP.6/INF/13</w:t>
      </w:r>
      <w:r w:rsidR="003C49EA" w:rsidRPr="00095434">
        <w:rPr>
          <w:rStyle w:val="FootnoteReference"/>
          <w:rFonts w:ascii="Simplified Arabic" w:hAnsi="Simplified Arabic" w:cs="Simplified Arabic"/>
          <w:vertAlign w:val="baseline"/>
          <w:rtl/>
        </w:rPr>
        <w:t>).</w:t>
      </w:r>
    </w:p>
  </w:footnote>
  <w:footnote w:id="5">
    <w:p w14:paraId="1B9BD279" w14:textId="04C13002"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095434">
        <w:rPr>
          <w:rStyle w:val="FootnoteReference"/>
          <w:rFonts w:ascii="Simplified Arabic" w:hAnsi="Simplified Arabic" w:cs="Simplified Arabic"/>
          <w:vertAlign w:val="baseline"/>
        </w:rPr>
        <w:t>)</w:t>
      </w:r>
      <w:r w:rsidR="003C49EA" w:rsidRPr="00095434">
        <w:rPr>
          <w:rStyle w:val="FootnoteReference"/>
          <w:rFonts w:ascii="Simplified Arabic" w:hAnsi="Simplified Arabic" w:cs="Simplified Arabic"/>
          <w:vertAlign w:val="baseline"/>
          <w:rtl/>
        </w:rPr>
        <w:footnoteRef/>
      </w:r>
      <w:r w:rsidRPr="00095434">
        <w:rPr>
          <w:rStyle w:val="FootnoteReference"/>
          <w:rFonts w:ascii="Simplified Arabic" w:hAnsi="Simplified Arabic" w:cs="Simplified Arabic"/>
          <w:vertAlign w:val="baseline"/>
        </w:rPr>
        <w:t>(</w:t>
      </w:r>
      <w:r w:rsidR="003C49EA" w:rsidRPr="00095434">
        <w:rPr>
          <w:rStyle w:val="FootnoteReference"/>
          <w:rFonts w:ascii="Simplified Arabic" w:hAnsi="Simplified Arabic" w:cs="Simplified Arabic"/>
          <w:vertAlign w:val="baseline"/>
          <w:rtl/>
        </w:rPr>
        <w:t xml:space="preserve"> انظر، على سبيل المثال، المقرر ا م-5/2، الفقرة 5 (هـ)، بشأن التوجيهات لمساعدة الأطراف في تحديد وإدارة وتقليل تجارة الزئبق من التعدين الأولي للزئبق؛ والمقرر ا م-4/12، الفقرة 4، بشأن مواصلة العمل مع الشراكة؛ والمقرر ا م-2/9 بشأن الرموز الجمركية المنسقة للمنتجات المضاف إليها الزئبق.</w:t>
      </w:r>
    </w:p>
  </w:footnote>
  <w:footnote w:id="6">
    <w:p w14:paraId="43E6389C" w14:textId="7FDA7362"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متاح على الموقع الإلكتروني لاتفاقية ميناماتا وقناة يوتيوب.</w:t>
      </w:r>
    </w:p>
  </w:footnote>
  <w:footnote w:id="7">
    <w:p w14:paraId="72168B8A" w14:textId="0CEE0CAD"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w:t>
      </w:r>
      <w:hyperlink r:id="rId3" w:history="1">
        <w:r w:rsidR="003C49EA" w:rsidRPr="00237BBD">
          <w:rPr>
            <w:rStyle w:val="FootnoteReference"/>
            <w:color w:val="0000FF"/>
            <w:sz w:val="18"/>
            <w:szCs w:val="18"/>
            <w:vertAlign w:val="baseline"/>
          </w:rPr>
          <w:t>https://minamataconvention.org/en/meetings/concluded-list-view?field_event_type_target_id=287</w:t>
        </w:r>
      </w:hyperlink>
      <w:r w:rsidR="003C49EA" w:rsidRPr="00095434">
        <w:rPr>
          <w:rStyle w:val="FootnoteReference"/>
          <w:rFonts w:ascii="Simplified Arabic" w:hAnsi="Simplified Arabic" w:cs="Simplified Arabic"/>
          <w:vertAlign w:val="baseline"/>
          <w:rtl/>
        </w:rPr>
        <w:t>.</w:t>
      </w:r>
      <w:r w:rsidR="003C49EA" w:rsidRPr="00095434">
        <w:rPr>
          <w:rStyle w:val="FootnoteReference"/>
          <w:rFonts w:ascii="Simplified Arabic" w:hAnsi="Simplified Arabic" w:cs="Simplified Arabic"/>
          <w:vertAlign w:val="baseline"/>
        </w:rPr>
        <w:fldChar w:fldCharType="begin"/>
      </w:r>
      <w:r w:rsidR="003C49EA" w:rsidRPr="00095434">
        <w:rPr>
          <w:rStyle w:val="FootnoteReference"/>
          <w:rFonts w:ascii="Simplified Arabic" w:hAnsi="Simplified Arabic" w:cs="Simplified Arabic"/>
          <w:vertAlign w:val="baseline"/>
        </w:rPr>
        <w:instrText>HYPERLINK "https://minamataconvention.org/en/meetings/concluded-list-view?field_event_type_target_id=287"</w:instrText>
      </w:r>
      <w:r w:rsidR="003C49EA" w:rsidRPr="00095434">
        <w:rPr>
          <w:rStyle w:val="FootnoteReference"/>
          <w:rFonts w:ascii="Simplified Arabic" w:hAnsi="Simplified Arabic" w:cs="Simplified Arabic"/>
          <w:vertAlign w:val="baseline"/>
        </w:rPr>
      </w:r>
      <w:r w:rsidR="003C49EA" w:rsidRPr="00095434">
        <w:rPr>
          <w:rStyle w:val="FootnoteReference"/>
          <w:rFonts w:ascii="Simplified Arabic" w:hAnsi="Simplified Arabic" w:cs="Simplified Arabic"/>
          <w:vertAlign w:val="baseline"/>
        </w:rPr>
        <w:fldChar w:fldCharType="separate"/>
      </w:r>
      <w:r w:rsidR="003C49EA" w:rsidRPr="00095434">
        <w:rPr>
          <w:rStyle w:val="FootnoteReference"/>
          <w:rFonts w:ascii="Simplified Arabic" w:hAnsi="Simplified Arabic" w:cs="Simplified Arabic"/>
          <w:vertAlign w:val="baseline"/>
        </w:rPr>
        <w:fldChar w:fldCharType="end"/>
      </w:r>
    </w:p>
  </w:footnote>
  <w:footnote w:id="8">
    <w:p w14:paraId="65F42949" w14:textId="6EC780F0"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w:t>
      </w:r>
      <w:hyperlink r:id="rId4" w:history="1">
        <w:r w:rsidR="003C49EA" w:rsidRPr="00F17246">
          <w:rPr>
            <w:rStyle w:val="FootnoteReference"/>
            <w:color w:val="0000FF"/>
            <w:sz w:val="18"/>
            <w:szCs w:val="18"/>
            <w:vertAlign w:val="baseline"/>
          </w:rPr>
          <w:t>https://www.unssc.org/courses/minamata-tools-1</w:t>
        </w:r>
      </w:hyperlink>
      <w:r w:rsidR="003C49EA" w:rsidRPr="00095434">
        <w:rPr>
          <w:rStyle w:val="FootnoteReference"/>
          <w:rFonts w:ascii="Simplified Arabic" w:hAnsi="Simplified Arabic" w:cs="Simplified Arabic"/>
          <w:vertAlign w:val="baseline"/>
          <w:rtl/>
        </w:rPr>
        <w:t>.</w:t>
      </w:r>
      <w:hyperlink r:id="rId5" w:history="1"/>
    </w:p>
  </w:footnote>
  <w:footnote w:id="9">
    <w:p w14:paraId="62E0D4F9" w14:textId="6E42D970"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sz w:val="18"/>
          <w:szCs w:val="18"/>
          <w:vertAlign w:val="baseline"/>
          <w:rtl/>
        </w:rPr>
        <w:t xml:space="preserve"> </w:t>
      </w:r>
      <w:hyperlink r:id="rId6" w:history="1">
        <w:r w:rsidR="003C49EA" w:rsidRPr="004A592D">
          <w:rPr>
            <w:rStyle w:val="FootnoteReference"/>
            <w:color w:val="0000FF"/>
            <w:sz w:val="18"/>
            <w:szCs w:val="18"/>
            <w:vertAlign w:val="baseline"/>
          </w:rPr>
          <w:t>https://www.mercurycapetown.com/</w:t>
        </w:r>
      </w:hyperlink>
      <w:r w:rsidR="003C49EA" w:rsidRPr="00095434">
        <w:rPr>
          <w:rStyle w:val="FootnoteReference"/>
          <w:rFonts w:ascii="Simplified Arabic" w:hAnsi="Simplified Arabic" w:cs="Simplified Arabic"/>
          <w:vertAlign w:val="baseline"/>
          <w:rtl/>
        </w:rPr>
        <w:t>.</w:t>
      </w:r>
      <w:hyperlink r:id="rId7" w:history="1"/>
    </w:p>
  </w:footnote>
  <w:footnote w:id="10">
    <w:p w14:paraId="66572D2C" w14:textId="0B3A0A50"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w:t>
      </w:r>
      <w:hyperlink r:id="rId8" w:history="1">
        <w:r w:rsidR="003C49EA" w:rsidRPr="00A62BC6">
          <w:rPr>
            <w:rStyle w:val="FootnoteReference"/>
            <w:color w:val="0000FF"/>
            <w:sz w:val="18"/>
            <w:szCs w:val="18"/>
            <w:vertAlign w:val="baseline"/>
          </w:rPr>
          <w:t>https://minamataconvention.org/en/news/mercury-and-contaminated-sites-15th-iccl-meeting</w:t>
        </w:r>
      </w:hyperlink>
      <w:r w:rsidR="003C49EA" w:rsidRPr="00095434">
        <w:rPr>
          <w:rStyle w:val="FootnoteReference"/>
          <w:rFonts w:ascii="Simplified Arabic" w:hAnsi="Simplified Arabic" w:cs="Simplified Arabic"/>
          <w:vertAlign w:val="baseline"/>
          <w:rtl/>
        </w:rPr>
        <w:t>.</w:t>
      </w:r>
      <w:r w:rsidR="003C49EA" w:rsidRPr="00095434">
        <w:rPr>
          <w:rFonts w:ascii="Simplified Arabic" w:hAnsi="Simplified Arabic" w:cs="Simplified Arabic"/>
        </w:rPr>
        <w:fldChar w:fldCharType="begin"/>
      </w:r>
      <w:r w:rsidR="003C49EA" w:rsidRPr="00095434">
        <w:rPr>
          <w:rFonts w:ascii="Simplified Arabic" w:hAnsi="Simplified Arabic" w:cs="Simplified Arabic"/>
        </w:rPr>
        <w:instrText>HYPERLINK "https://minamataconvention.org/en/news/mercury-and-contaminated-sites-15th-iccl-meeting"</w:instrText>
      </w:r>
      <w:r w:rsidR="003C49EA" w:rsidRPr="00095434">
        <w:rPr>
          <w:rFonts w:ascii="Simplified Arabic" w:hAnsi="Simplified Arabic" w:cs="Simplified Arabic"/>
        </w:rPr>
      </w:r>
      <w:r w:rsidR="003C49EA" w:rsidRPr="00095434">
        <w:rPr>
          <w:rFonts w:ascii="Simplified Arabic" w:hAnsi="Simplified Arabic" w:cs="Simplified Arabic"/>
        </w:rPr>
        <w:fldChar w:fldCharType="separate"/>
      </w:r>
      <w:r w:rsidR="003C49EA" w:rsidRPr="00095434">
        <w:rPr>
          <w:rFonts w:ascii="Simplified Arabic" w:hAnsi="Simplified Arabic" w:cs="Simplified Arabic"/>
        </w:rPr>
        <w:fldChar w:fldCharType="end"/>
      </w:r>
    </w:p>
  </w:footnote>
  <w:footnote w:id="11">
    <w:p w14:paraId="396CCD39" w14:textId="0FF5D681" w:rsidR="003C49EA" w:rsidRPr="00095434" w:rsidRDefault="00095434" w:rsidP="0009543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vertAlign w:val="baseline"/>
        </w:rPr>
      </w:pP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footnoteRef/>
      </w:r>
      <w:r w:rsidRPr="00095434">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w:t>
      </w:r>
      <w:r w:rsidR="003C49EA" w:rsidRPr="00095434">
        <w:rPr>
          <w:rStyle w:val="FootnoteReference"/>
          <w:rFonts w:ascii="Simplified Arabic" w:hAnsi="Simplified Arabic" w:cs="Simplified Arabic"/>
          <w:vertAlign w:val="baseline"/>
          <w:rtl/>
        </w:rPr>
        <w:t xml:space="preserve">على سبيل المثال، مشروع </w:t>
      </w:r>
      <w:r w:rsidR="0022731E">
        <w:rPr>
          <w:rFonts w:ascii="Simplified Arabic" w:hAnsi="Simplified Arabic" w:cs="Simplified Arabic"/>
        </w:rPr>
        <w:t>”</w:t>
      </w:r>
      <w:r w:rsidR="003C49EA" w:rsidRPr="00095434">
        <w:rPr>
          <w:rStyle w:val="FootnoteReference"/>
          <w:rFonts w:ascii="Simplified Arabic" w:hAnsi="Simplified Arabic" w:cs="Simplified Arabic"/>
          <w:vertAlign w:val="baseline"/>
          <w:rtl/>
        </w:rPr>
        <w:t>تقييم خفض الانبعاثات الحالية والمستقبلية من قطاع الفحم من أجل تنفيذ اتفاقيتي ميناماتا وستوكهولم</w:t>
      </w:r>
      <w:r w:rsidR="0022731E">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ومشروع </w:t>
      </w:r>
      <w:r w:rsidR="0022731E">
        <w:rPr>
          <w:rFonts w:ascii="Simplified Arabic" w:hAnsi="Simplified Arabic" w:cs="Simplified Arabic"/>
        </w:rPr>
        <w:t>”</w:t>
      </w:r>
      <w:r w:rsidR="003C49EA" w:rsidRPr="00095434">
        <w:rPr>
          <w:rStyle w:val="FootnoteReference"/>
          <w:rFonts w:ascii="Simplified Arabic" w:hAnsi="Simplified Arabic" w:cs="Simplified Arabic"/>
          <w:vertAlign w:val="baseline"/>
          <w:rtl/>
        </w:rPr>
        <w:t>البرنامج العالمي لرصد المواد الكيميائية لدعم تنفيذ اتفاقيتي استوكهولم وميناماتا</w:t>
      </w:r>
      <w:r w:rsidR="0022731E">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xml:space="preserve">؛ ومشروع </w:t>
      </w:r>
      <w:r w:rsidR="0022731E">
        <w:rPr>
          <w:rFonts w:ascii="Simplified Arabic" w:hAnsi="Simplified Arabic" w:cs="Simplified Arabic"/>
        </w:rPr>
        <w:t>”</w:t>
      </w:r>
      <w:r w:rsidR="003C49EA" w:rsidRPr="00095434">
        <w:rPr>
          <w:rStyle w:val="FootnoteReference"/>
          <w:rFonts w:ascii="Simplified Arabic" w:hAnsi="Simplified Arabic" w:cs="Simplified Arabic"/>
          <w:vertAlign w:val="baseline"/>
          <w:rtl/>
        </w:rPr>
        <w:t>القضاء على منتجات تفتيح البشرة المضاف إليها الزئبق</w:t>
      </w:r>
      <w:r w:rsidR="0022731E">
        <w:rPr>
          <w:rFonts w:ascii="Simplified Arabic" w:hAnsi="Simplified Arabic" w:cs="Simplified Arabic"/>
        </w:rPr>
        <w:t>“</w:t>
      </w:r>
      <w:r w:rsidR="003C49EA" w:rsidRPr="00095434">
        <w:rPr>
          <w:rStyle w:val="FootnoteReference"/>
          <w:rFonts w:ascii="Simplified Arabic" w:hAnsi="Simplified Arabic" w:cs="Simplified Arabic"/>
          <w:vertAlign w:val="baseline"/>
          <w:rtl/>
        </w:rPr>
        <w:t>؛ والعديد من المشاريع الوطنية في إطار برنامج</w:t>
      </w:r>
      <w:r w:rsidR="003C49EA" w:rsidRPr="00095434">
        <w:rPr>
          <w:rStyle w:val="FootnoteReference"/>
          <w:vertAlign w:val="baseline"/>
          <w:rtl/>
        </w:rPr>
        <w:t xml:space="preserve"> </w:t>
      </w:r>
      <w:proofErr w:type="spellStart"/>
      <w:r w:rsidR="009931E2">
        <w:rPr>
          <w:rStyle w:val="FootnoteReference"/>
          <w:sz w:val="18"/>
          <w:szCs w:val="18"/>
          <w:vertAlign w:val="baseline"/>
        </w:rPr>
        <w:t>p</w:t>
      </w:r>
      <w:r w:rsidR="003C49EA" w:rsidRPr="00095434">
        <w:rPr>
          <w:rStyle w:val="FootnoteReference"/>
          <w:sz w:val="18"/>
          <w:szCs w:val="18"/>
          <w:vertAlign w:val="baseline"/>
        </w:rPr>
        <w:t>lanetGOLD</w:t>
      </w:r>
      <w:proofErr w:type="spellEnd"/>
      <w:r w:rsidR="003C49EA" w:rsidRPr="00095434">
        <w:rPr>
          <w:rStyle w:val="FootnoteReference"/>
          <w:vertAlign w:val="baseline"/>
          <w:rtl/>
        </w:rPr>
        <w:t>.</w:t>
      </w:r>
    </w:p>
  </w:footnote>
  <w:footnote w:id="12">
    <w:p w14:paraId="15921793" w14:textId="7E425F20" w:rsidR="00242BB6" w:rsidRPr="00095434" w:rsidRDefault="00F24442" w:rsidP="00095434">
      <w:pPr>
        <w:pStyle w:val="FootnoteText"/>
        <w:tabs>
          <w:tab w:val="clear" w:pos="1247"/>
          <w:tab w:val="clear" w:pos="1814"/>
          <w:tab w:val="clear" w:pos="2381"/>
          <w:tab w:val="clear" w:pos="2948"/>
          <w:tab w:val="clear" w:pos="3515"/>
        </w:tabs>
        <w:bidi/>
        <w:spacing w:after="40" w:line="280" w:lineRule="exact"/>
        <w:ind w:left="1134"/>
        <w:jc w:val="both"/>
        <w:rPr>
          <w:rStyle w:val="FootnoteReference"/>
          <w:vertAlign w:val="baseline"/>
        </w:rPr>
      </w:pPr>
      <w:r w:rsidRPr="00095434">
        <w:rPr>
          <w:rStyle w:val="FootnoteReference"/>
          <w:vertAlign w:val="baseline"/>
        </w:rPr>
        <w:t>.</w:t>
      </w:r>
      <w:r w:rsidRPr="00095434">
        <w:rPr>
          <w:rStyle w:val="FootnoteReference"/>
          <w:sz w:val="18"/>
          <w:szCs w:val="18"/>
          <w:vertAlign w:val="baseline"/>
        </w:rPr>
        <w:t>UNEP/MC/COP.6/INF/18</w:t>
      </w:r>
      <w:r w:rsidRPr="00095434">
        <w:rPr>
          <w:rStyle w:val="FootnoteReference"/>
          <w:rFonts w:ascii="Simplified Arabic" w:hAnsi="Simplified Arabic" w:cs="Simplified Arabic"/>
          <w:vertAlign w:val="baseline"/>
        </w:rPr>
        <w:t xml:space="preserve"> (</w:t>
      </w:r>
      <w:r w:rsidR="00242BB6" w:rsidRPr="00095434">
        <w:rPr>
          <w:rStyle w:val="FootnoteReference"/>
          <w:rFonts w:ascii="Simplified Arabic" w:hAnsi="Simplified Arabic" w:cs="Simplified Arabic"/>
          <w:vertAlign w:val="baseline"/>
        </w:rPr>
        <w:footnoteRef/>
      </w:r>
      <w:r w:rsidRPr="00095434">
        <w:rPr>
          <w:rStyle w:val="FootnoteReference"/>
          <w:rFonts w:ascii="Simplified Arabic" w:hAnsi="Simplified Arabic" w:cs="Simplified Arabic"/>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5EAA52A"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150BFE">
      <w:rPr>
        <w:noProof/>
        <w:sz w:val="17"/>
        <w:szCs w:val="17"/>
      </w:rPr>
      <w:t>UNEP/MC/COP.6/13</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1E4C35E6"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150BFE">
      <w:rPr>
        <w:noProof/>
        <w:sz w:val="17"/>
        <w:szCs w:val="17"/>
      </w:rPr>
      <w:t>UNEP/MC/COP.6/13</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24A225B1"/>
    <w:multiLevelType w:val="hybridMultilevel"/>
    <w:tmpl w:val="61F682F4"/>
    <w:lvl w:ilvl="0" w:tplc="6714FA1A">
      <w:start w:val="1"/>
      <w:numFmt w:val="arabicAbjad"/>
      <w:lvlText w:val="(%1)"/>
      <w:lvlJc w:val="left"/>
      <w:pPr>
        <w:ind w:left="3311" w:hanging="360"/>
      </w:pPr>
      <w:rPr>
        <w:rFonts w:hint="default"/>
      </w:rPr>
    </w:lvl>
    <w:lvl w:ilvl="1" w:tplc="04090019" w:tentative="1">
      <w:start w:val="1"/>
      <w:numFmt w:val="lowerLetter"/>
      <w:lvlText w:val="%2."/>
      <w:lvlJc w:val="left"/>
      <w:pPr>
        <w:ind w:left="4031" w:hanging="360"/>
      </w:pPr>
    </w:lvl>
    <w:lvl w:ilvl="2" w:tplc="0409001B" w:tentative="1">
      <w:start w:val="1"/>
      <w:numFmt w:val="lowerRoman"/>
      <w:lvlText w:val="%3."/>
      <w:lvlJc w:val="right"/>
      <w:pPr>
        <w:ind w:left="4751" w:hanging="180"/>
      </w:pPr>
    </w:lvl>
    <w:lvl w:ilvl="3" w:tplc="0409000F" w:tentative="1">
      <w:start w:val="1"/>
      <w:numFmt w:val="decimal"/>
      <w:lvlText w:val="%4."/>
      <w:lvlJc w:val="left"/>
      <w:pPr>
        <w:ind w:left="5471" w:hanging="360"/>
      </w:pPr>
    </w:lvl>
    <w:lvl w:ilvl="4" w:tplc="04090019" w:tentative="1">
      <w:start w:val="1"/>
      <w:numFmt w:val="lowerLetter"/>
      <w:lvlText w:val="%5."/>
      <w:lvlJc w:val="left"/>
      <w:pPr>
        <w:ind w:left="6191" w:hanging="360"/>
      </w:pPr>
    </w:lvl>
    <w:lvl w:ilvl="5" w:tplc="0409001B" w:tentative="1">
      <w:start w:val="1"/>
      <w:numFmt w:val="lowerRoman"/>
      <w:lvlText w:val="%6."/>
      <w:lvlJc w:val="right"/>
      <w:pPr>
        <w:ind w:left="6911" w:hanging="180"/>
      </w:pPr>
    </w:lvl>
    <w:lvl w:ilvl="6" w:tplc="0409000F" w:tentative="1">
      <w:start w:val="1"/>
      <w:numFmt w:val="decimal"/>
      <w:lvlText w:val="%7."/>
      <w:lvlJc w:val="left"/>
      <w:pPr>
        <w:ind w:left="7631" w:hanging="360"/>
      </w:pPr>
    </w:lvl>
    <w:lvl w:ilvl="7" w:tplc="04090019" w:tentative="1">
      <w:start w:val="1"/>
      <w:numFmt w:val="lowerLetter"/>
      <w:lvlText w:val="%8."/>
      <w:lvlJc w:val="left"/>
      <w:pPr>
        <w:ind w:left="8351" w:hanging="360"/>
      </w:pPr>
    </w:lvl>
    <w:lvl w:ilvl="8" w:tplc="0409001B" w:tentative="1">
      <w:start w:val="1"/>
      <w:numFmt w:val="lowerRoman"/>
      <w:lvlText w:val="%9."/>
      <w:lvlJc w:val="right"/>
      <w:pPr>
        <w:ind w:left="9071" w:hanging="180"/>
      </w:pPr>
    </w:lvl>
  </w:abstractNum>
  <w:abstractNum w:abstractNumId="17"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D2DB3"/>
    <w:multiLevelType w:val="hybridMultilevel"/>
    <w:tmpl w:val="DDC2F464"/>
    <w:lvl w:ilvl="0" w:tplc="6714FA1A">
      <w:start w:val="1"/>
      <w:numFmt w:val="arabicAbjad"/>
      <w:lvlText w:val="(%1)"/>
      <w:lvlJc w:val="left"/>
      <w:pPr>
        <w:ind w:left="3311" w:hanging="360"/>
      </w:pPr>
      <w:rPr>
        <w:rFonts w:hint="default"/>
      </w:rPr>
    </w:lvl>
    <w:lvl w:ilvl="1" w:tplc="04090019" w:tentative="1">
      <w:start w:val="1"/>
      <w:numFmt w:val="lowerLetter"/>
      <w:lvlText w:val="%2."/>
      <w:lvlJc w:val="left"/>
      <w:pPr>
        <w:ind w:left="4031" w:hanging="360"/>
      </w:pPr>
    </w:lvl>
    <w:lvl w:ilvl="2" w:tplc="0409001B" w:tentative="1">
      <w:start w:val="1"/>
      <w:numFmt w:val="lowerRoman"/>
      <w:lvlText w:val="%3."/>
      <w:lvlJc w:val="right"/>
      <w:pPr>
        <w:ind w:left="4751" w:hanging="180"/>
      </w:pPr>
    </w:lvl>
    <w:lvl w:ilvl="3" w:tplc="0409000F" w:tentative="1">
      <w:start w:val="1"/>
      <w:numFmt w:val="decimal"/>
      <w:lvlText w:val="%4."/>
      <w:lvlJc w:val="left"/>
      <w:pPr>
        <w:ind w:left="5471" w:hanging="360"/>
      </w:pPr>
    </w:lvl>
    <w:lvl w:ilvl="4" w:tplc="04090019" w:tentative="1">
      <w:start w:val="1"/>
      <w:numFmt w:val="lowerLetter"/>
      <w:lvlText w:val="%5."/>
      <w:lvlJc w:val="left"/>
      <w:pPr>
        <w:ind w:left="6191" w:hanging="360"/>
      </w:pPr>
    </w:lvl>
    <w:lvl w:ilvl="5" w:tplc="0409001B" w:tentative="1">
      <w:start w:val="1"/>
      <w:numFmt w:val="lowerRoman"/>
      <w:lvlText w:val="%6."/>
      <w:lvlJc w:val="right"/>
      <w:pPr>
        <w:ind w:left="6911" w:hanging="180"/>
      </w:pPr>
    </w:lvl>
    <w:lvl w:ilvl="6" w:tplc="0409000F" w:tentative="1">
      <w:start w:val="1"/>
      <w:numFmt w:val="decimal"/>
      <w:lvlText w:val="%7."/>
      <w:lvlJc w:val="left"/>
      <w:pPr>
        <w:ind w:left="7631" w:hanging="360"/>
      </w:pPr>
    </w:lvl>
    <w:lvl w:ilvl="7" w:tplc="04090019" w:tentative="1">
      <w:start w:val="1"/>
      <w:numFmt w:val="lowerLetter"/>
      <w:lvlText w:val="%8."/>
      <w:lvlJc w:val="left"/>
      <w:pPr>
        <w:ind w:left="8351" w:hanging="360"/>
      </w:pPr>
    </w:lvl>
    <w:lvl w:ilvl="8" w:tplc="0409001B" w:tentative="1">
      <w:start w:val="1"/>
      <w:numFmt w:val="lowerRoman"/>
      <w:lvlText w:val="%9."/>
      <w:lvlJc w:val="right"/>
      <w:pPr>
        <w:ind w:left="9071" w:hanging="180"/>
      </w:pPr>
    </w:lvl>
  </w:abstractNum>
  <w:abstractNum w:abstractNumId="20"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161717E"/>
    <w:multiLevelType w:val="hybridMultilevel"/>
    <w:tmpl w:val="6DCA786E"/>
    <w:lvl w:ilvl="0" w:tplc="6714FA1A">
      <w:start w:val="1"/>
      <w:numFmt w:val="arabicAbjad"/>
      <w:lvlText w:val="(%1)"/>
      <w:lvlJc w:val="left"/>
      <w:pPr>
        <w:ind w:left="3311" w:hanging="360"/>
      </w:pPr>
      <w:rPr>
        <w:rFonts w:hint="default"/>
      </w:rPr>
    </w:lvl>
    <w:lvl w:ilvl="1" w:tplc="04090019" w:tentative="1">
      <w:start w:val="1"/>
      <w:numFmt w:val="lowerLetter"/>
      <w:lvlText w:val="%2."/>
      <w:lvlJc w:val="left"/>
      <w:pPr>
        <w:ind w:left="4031" w:hanging="360"/>
      </w:pPr>
    </w:lvl>
    <w:lvl w:ilvl="2" w:tplc="0409001B" w:tentative="1">
      <w:start w:val="1"/>
      <w:numFmt w:val="lowerRoman"/>
      <w:lvlText w:val="%3."/>
      <w:lvlJc w:val="right"/>
      <w:pPr>
        <w:ind w:left="4751" w:hanging="180"/>
      </w:pPr>
    </w:lvl>
    <w:lvl w:ilvl="3" w:tplc="0409000F" w:tentative="1">
      <w:start w:val="1"/>
      <w:numFmt w:val="decimal"/>
      <w:lvlText w:val="%4."/>
      <w:lvlJc w:val="left"/>
      <w:pPr>
        <w:ind w:left="5471" w:hanging="360"/>
      </w:pPr>
    </w:lvl>
    <w:lvl w:ilvl="4" w:tplc="04090019" w:tentative="1">
      <w:start w:val="1"/>
      <w:numFmt w:val="lowerLetter"/>
      <w:lvlText w:val="%5."/>
      <w:lvlJc w:val="left"/>
      <w:pPr>
        <w:ind w:left="6191" w:hanging="360"/>
      </w:pPr>
    </w:lvl>
    <w:lvl w:ilvl="5" w:tplc="0409001B" w:tentative="1">
      <w:start w:val="1"/>
      <w:numFmt w:val="lowerRoman"/>
      <w:lvlText w:val="%6."/>
      <w:lvlJc w:val="right"/>
      <w:pPr>
        <w:ind w:left="6911" w:hanging="180"/>
      </w:pPr>
    </w:lvl>
    <w:lvl w:ilvl="6" w:tplc="0409000F" w:tentative="1">
      <w:start w:val="1"/>
      <w:numFmt w:val="decimal"/>
      <w:lvlText w:val="%7."/>
      <w:lvlJc w:val="left"/>
      <w:pPr>
        <w:ind w:left="7631" w:hanging="360"/>
      </w:pPr>
    </w:lvl>
    <w:lvl w:ilvl="7" w:tplc="04090019" w:tentative="1">
      <w:start w:val="1"/>
      <w:numFmt w:val="lowerLetter"/>
      <w:lvlText w:val="%8."/>
      <w:lvlJc w:val="left"/>
      <w:pPr>
        <w:ind w:left="8351" w:hanging="360"/>
      </w:pPr>
    </w:lvl>
    <w:lvl w:ilvl="8" w:tplc="0409001B" w:tentative="1">
      <w:start w:val="1"/>
      <w:numFmt w:val="lowerRoman"/>
      <w:lvlText w:val="%9."/>
      <w:lvlJc w:val="right"/>
      <w:pPr>
        <w:ind w:left="9071" w:hanging="180"/>
      </w:pPr>
    </w:lvl>
  </w:abstractNum>
  <w:abstractNum w:abstractNumId="22"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26"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9" w15:restartNumberingAfterBreak="0">
    <w:nsid w:val="53885353"/>
    <w:multiLevelType w:val="hybridMultilevel"/>
    <w:tmpl w:val="A75854FE"/>
    <w:lvl w:ilvl="0" w:tplc="6714FA1A">
      <w:start w:val="1"/>
      <w:numFmt w:val="arabicAbjad"/>
      <w:lvlText w:val="(%1)"/>
      <w:lvlJc w:val="left"/>
      <w:pPr>
        <w:ind w:left="3311" w:hanging="360"/>
      </w:pPr>
      <w:rPr>
        <w:rFonts w:hint="default"/>
      </w:rPr>
    </w:lvl>
    <w:lvl w:ilvl="1" w:tplc="04090019" w:tentative="1">
      <w:start w:val="1"/>
      <w:numFmt w:val="lowerLetter"/>
      <w:lvlText w:val="%2."/>
      <w:lvlJc w:val="left"/>
      <w:pPr>
        <w:ind w:left="4031" w:hanging="360"/>
      </w:pPr>
    </w:lvl>
    <w:lvl w:ilvl="2" w:tplc="0409001B" w:tentative="1">
      <w:start w:val="1"/>
      <w:numFmt w:val="lowerRoman"/>
      <w:lvlText w:val="%3."/>
      <w:lvlJc w:val="right"/>
      <w:pPr>
        <w:ind w:left="4751" w:hanging="180"/>
      </w:pPr>
    </w:lvl>
    <w:lvl w:ilvl="3" w:tplc="0409000F" w:tentative="1">
      <w:start w:val="1"/>
      <w:numFmt w:val="decimal"/>
      <w:lvlText w:val="%4."/>
      <w:lvlJc w:val="left"/>
      <w:pPr>
        <w:ind w:left="5471" w:hanging="360"/>
      </w:pPr>
    </w:lvl>
    <w:lvl w:ilvl="4" w:tplc="04090019" w:tentative="1">
      <w:start w:val="1"/>
      <w:numFmt w:val="lowerLetter"/>
      <w:lvlText w:val="%5."/>
      <w:lvlJc w:val="left"/>
      <w:pPr>
        <w:ind w:left="6191" w:hanging="360"/>
      </w:pPr>
    </w:lvl>
    <w:lvl w:ilvl="5" w:tplc="0409001B" w:tentative="1">
      <w:start w:val="1"/>
      <w:numFmt w:val="lowerRoman"/>
      <w:lvlText w:val="%6."/>
      <w:lvlJc w:val="right"/>
      <w:pPr>
        <w:ind w:left="6911" w:hanging="180"/>
      </w:pPr>
    </w:lvl>
    <w:lvl w:ilvl="6" w:tplc="0409000F" w:tentative="1">
      <w:start w:val="1"/>
      <w:numFmt w:val="decimal"/>
      <w:lvlText w:val="%7."/>
      <w:lvlJc w:val="left"/>
      <w:pPr>
        <w:ind w:left="7631" w:hanging="360"/>
      </w:pPr>
    </w:lvl>
    <w:lvl w:ilvl="7" w:tplc="04090019" w:tentative="1">
      <w:start w:val="1"/>
      <w:numFmt w:val="lowerLetter"/>
      <w:lvlText w:val="%8."/>
      <w:lvlJc w:val="left"/>
      <w:pPr>
        <w:ind w:left="8351" w:hanging="360"/>
      </w:pPr>
    </w:lvl>
    <w:lvl w:ilvl="8" w:tplc="0409001B" w:tentative="1">
      <w:start w:val="1"/>
      <w:numFmt w:val="lowerRoman"/>
      <w:lvlText w:val="%9."/>
      <w:lvlJc w:val="right"/>
      <w:pPr>
        <w:ind w:left="9071" w:hanging="180"/>
      </w:pPr>
    </w:lvl>
  </w:abstractNum>
  <w:abstractNum w:abstractNumId="30" w15:restartNumberingAfterBreak="0">
    <w:nsid w:val="62174EE0"/>
    <w:multiLevelType w:val="hybridMultilevel"/>
    <w:tmpl w:val="4C4C7C96"/>
    <w:lvl w:ilvl="0" w:tplc="FBEC5A50">
      <w:start w:val="1"/>
      <w:numFmt w:val="arabicAbjad"/>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31"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2"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5"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6"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775A26"/>
    <w:multiLevelType w:val="hybridMultilevel"/>
    <w:tmpl w:val="7CFC4346"/>
    <w:lvl w:ilvl="0" w:tplc="EE389E90">
      <w:start w:val="1"/>
      <w:numFmt w:val="decimal"/>
      <w:lvlText w:val="%1-"/>
      <w:lvlJc w:val="left"/>
      <w:pPr>
        <w:ind w:left="2592" w:hanging="360"/>
      </w:pPr>
      <w:rPr>
        <w:rFonts w:hint="default"/>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0"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8"/>
  </w:num>
  <w:num w:numId="2" w16cid:durableId="1135835458">
    <w:abstractNumId w:val="20"/>
  </w:num>
  <w:num w:numId="3" w16cid:durableId="676426535">
    <w:abstractNumId w:val="8"/>
  </w:num>
  <w:num w:numId="4" w16cid:durableId="2137947824">
    <w:abstractNumId w:val="31"/>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2"/>
    <w:lvlOverride w:ilvl="0">
      <w:lvl w:ilvl="0" w:tplc="0809000F">
        <w:start w:val="1"/>
        <w:numFmt w:val="decimal"/>
        <w:lvlText w:val="%1."/>
        <w:lvlJc w:val="left"/>
        <w:pPr>
          <w:ind w:left="1967" w:hanging="360"/>
        </w:pPr>
      </w:lvl>
    </w:lvlOverride>
  </w:num>
  <w:num w:numId="16" w16cid:durableId="952176627">
    <w:abstractNumId w:val="32"/>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8"/>
    <w:lvlOverride w:ilvl="0">
      <w:lvl w:ilvl="0" w:tplc="B95EBFE6">
        <w:start w:val="1"/>
        <w:numFmt w:val="lowerRoman"/>
        <w:lvlText w:val="(%1)"/>
        <w:lvlJc w:val="left"/>
        <w:pPr>
          <w:ind w:left="720" w:hanging="360"/>
        </w:pPr>
        <w:rPr>
          <w:rFonts w:hint="default"/>
        </w:rPr>
      </w:lvl>
    </w:lvlOverride>
  </w:num>
  <w:num w:numId="18" w16cid:durableId="1918830074">
    <w:abstractNumId w:val="38"/>
    <w:lvlOverride w:ilvl="0">
      <w:lvl w:ilvl="0" w:tplc="142E8CEC">
        <w:start w:val="1"/>
        <w:numFmt w:val="lowerRoman"/>
        <w:lvlText w:val="(%1)"/>
        <w:lvlJc w:val="left"/>
        <w:pPr>
          <w:ind w:left="720" w:hanging="360"/>
        </w:pPr>
        <w:rPr>
          <w:rFonts w:hint="default"/>
        </w:rPr>
      </w:lvl>
    </w:lvlOverride>
  </w:num>
  <w:num w:numId="19" w16cid:durableId="1808471233">
    <w:abstractNumId w:val="38"/>
  </w:num>
  <w:num w:numId="20" w16cid:durableId="1386178108">
    <w:abstractNumId w:val="34"/>
  </w:num>
  <w:num w:numId="21" w16cid:durableId="300893234">
    <w:abstractNumId w:val="33"/>
  </w:num>
  <w:num w:numId="22" w16cid:durableId="571697771">
    <w:abstractNumId w:val="24"/>
  </w:num>
  <w:num w:numId="23" w16cid:durableId="227082503">
    <w:abstractNumId w:val="12"/>
  </w:num>
  <w:num w:numId="24" w16cid:durableId="1670324932">
    <w:abstractNumId w:val="37"/>
  </w:num>
  <w:num w:numId="25" w16cid:durableId="564143671">
    <w:abstractNumId w:val="27"/>
  </w:num>
  <w:num w:numId="26" w16cid:durableId="418060446">
    <w:abstractNumId w:val="17"/>
  </w:num>
  <w:num w:numId="27" w16cid:durableId="1270115184">
    <w:abstractNumId w:val="18"/>
  </w:num>
  <w:num w:numId="28" w16cid:durableId="1992052538">
    <w:abstractNumId w:val="14"/>
  </w:num>
  <w:num w:numId="29" w16cid:durableId="1775787974">
    <w:abstractNumId w:val="36"/>
  </w:num>
  <w:num w:numId="30" w16cid:durableId="1841650813">
    <w:abstractNumId w:val="35"/>
  </w:num>
  <w:num w:numId="31" w16cid:durableId="2107463138">
    <w:abstractNumId w:val="40"/>
  </w:num>
  <w:num w:numId="32" w16cid:durableId="1035346227">
    <w:abstractNumId w:val="26"/>
  </w:num>
  <w:num w:numId="33" w16cid:durableId="261691894">
    <w:abstractNumId w:val="15"/>
  </w:num>
  <w:num w:numId="34" w16cid:durableId="1361970773">
    <w:abstractNumId w:val="13"/>
  </w:num>
  <w:num w:numId="35" w16cid:durableId="615064097">
    <w:abstractNumId w:val="11"/>
    <w:lvlOverride w:ilvl="0">
      <w:lvl w:ilvl="0">
        <w:start w:val="1"/>
        <w:numFmt w:val="decimal"/>
        <w:lvlText w:val="%1-"/>
        <w:lvlJc w:val="left"/>
        <w:pPr>
          <w:ind w:left="1607" w:hanging="360"/>
        </w:pPr>
        <w:rPr>
          <w:rFonts w:hint="default"/>
        </w:rPr>
      </w:lvl>
    </w:lvlOverride>
    <w:lvlOverride w:ilvl="1">
      <w:lvl w:ilvl="1">
        <w:start w:val="1"/>
        <w:numFmt w:val="lowerLetter"/>
        <w:lvlText w:val="%2."/>
        <w:lvlJc w:val="left"/>
        <w:pPr>
          <w:ind w:left="2327" w:hanging="360"/>
        </w:pPr>
      </w:lvl>
    </w:lvlOverride>
    <w:lvlOverride w:ilvl="2">
      <w:lvl w:ilvl="2" w:tentative="1">
        <w:start w:val="1"/>
        <w:numFmt w:val="lowerRoman"/>
        <w:lvlText w:val="%3."/>
        <w:lvlJc w:val="right"/>
        <w:pPr>
          <w:ind w:left="3047" w:hanging="180"/>
        </w:pPr>
      </w:lvl>
    </w:lvlOverride>
    <w:lvlOverride w:ilvl="3">
      <w:lvl w:ilvl="3" w:tentative="1">
        <w:start w:val="1"/>
        <w:numFmt w:val="decimal"/>
        <w:lvlText w:val="%4."/>
        <w:lvlJc w:val="left"/>
        <w:pPr>
          <w:ind w:left="3767" w:hanging="360"/>
        </w:pPr>
      </w:lvl>
    </w:lvlOverride>
    <w:lvlOverride w:ilvl="4">
      <w:lvl w:ilvl="4" w:tentative="1">
        <w:start w:val="1"/>
        <w:numFmt w:val="lowerLetter"/>
        <w:lvlText w:val="%5."/>
        <w:lvlJc w:val="left"/>
        <w:pPr>
          <w:ind w:left="4487" w:hanging="360"/>
        </w:pPr>
      </w:lvl>
    </w:lvlOverride>
    <w:lvlOverride w:ilvl="5">
      <w:lvl w:ilvl="5" w:tentative="1">
        <w:start w:val="1"/>
        <w:numFmt w:val="lowerRoman"/>
        <w:lvlText w:val="%6."/>
        <w:lvlJc w:val="right"/>
        <w:pPr>
          <w:ind w:left="5207" w:hanging="180"/>
        </w:pPr>
      </w:lvl>
    </w:lvlOverride>
    <w:lvlOverride w:ilvl="6">
      <w:lvl w:ilvl="6" w:tentative="1">
        <w:start w:val="1"/>
        <w:numFmt w:val="decimal"/>
        <w:lvlText w:val="%7."/>
        <w:lvlJc w:val="left"/>
        <w:pPr>
          <w:ind w:left="5927" w:hanging="360"/>
        </w:pPr>
      </w:lvl>
    </w:lvlOverride>
    <w:lvlOverride w:ilvl="7">
      <w:lvl w:ilvl="7" w:tentative="1">
        <w:start w:val="1"/>
        <w:numFmt w:val="lowerLetter"/>
        <w:lvlText w:val="%8."/>
        <w:lvlJc w:val="left"/>
        <w:pPr>
          <w:ind w:left="6647" w:hanging="360"/>
        </w:pPr>
      </w:lvl>
    </w:lvlOverride>
    <w:lvlOverride w:ilvl="8">
      <w:lvl w:ilvl="8" w:tentative="1">
        <w:start w:val="1"/>
        <w:numFmt w:val="lowerRoman"/>
        <w:lvlText w:val="%9."/>
        <w:lvlJc w:val="right"/>
        <w:pPr>
          <w:ind w:left="7367" w:hanging="180"/>
        </w:pPr>
      </w:lvl>
    </w:lvlOverride>
  </w:num>
  <w:num w:numId="36" w16cid:durableId="679359499">
    <w:abstractNumId w:val="21"/>
  </w:num>
  <w:num w:numId="37" w16cid:durableId="1233781065">
    <w:abstractNumId w:val="39"/>
  </w:num>
  <w:num w:numId="38" w16cid:durableId="1448236018">
    <w:abstractNumId w:val="16"/>
  </w:num>
  <w:num w:numId="39" w16cid:durableId="472794257">
    <w:abstractNumId w:val="19"/>
  </w:num>
  <w:num w:numId="40" w16cid:durableId="1828979590">
    <w:abstractNumId w:val="29"/>
  </w:num>
  <w:num w:numId="41" w16cid:durableId="228854068">
    <w:abstractNumId w:val="25"/>
  </w:num>
  <w:num w:numId="42" w16cid:durableId="2011715512">
    <w:abstractNumId w:val="10"/>
  </w:num>
  <w:num w:numId="43" w16cid:durableId="1737312416">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95434"/>
    <w:rsid w:val="000B13FD"/>
    <w:rsid w:val="000B1B38"/>
    <w:rsid w:val="000B3682"/>
    <w:rsid w:val="000C3309"/>
    <w:rsid w:val="000C67C4"/>
    <w:rsid w:val="000D0119"/>
    <w:rsid w:val="000D242C"/>
    <w:rsid w:val="000E4EA0"/>
    <w:rsid w:val="000E6D66"/>
    <w:rsid w:val="000E7284"/>
    <w:rsid w:val="000F5D70"/>
    <w:rsid w:val="00100A98"/>
    <w:rsid w:val="0010195F"/>
    <w:rsid w:val="00107C97"/>
    <w:rsid w:val="001142C0"/>
    <w:rsid w:val="001152CE"/>
    <w:rsid w:val="00117D79"/>
    <w:rsid w:val="00121494"/>
    <w:rsid w:val="00125209"/>
    <w:rsid w:val="001329BF"/>
    <w:rsid w:val="00135224"/>
    <w:rsid w:val="001359C1"/>
    <w:rsid w:val="00147834"/>
    <w:rsid w:val="00150BFE"/>
    <w:rsid w:val="00152B43"/>
    <w:rsid w:val="0015610C"/>
    <w:rsid w:val="001623EB"/>
    <w:rsid w:val="00166B99"/>
    <w:rsid w:val="00170E7E"/>
    <w:rsid w:val="00172FFB"/>
    <w:rsid w:val="001740BC"/>
    <w:rsid w:val="00183013"/>
    <w:rsid w:val="001A4241"/>
    <w:rsid w:val="001B6F5B"/>
    <w:rsid w:val="001C68F3"/>
    <w:rsid w:val="001D3C5E"/>
    <w:rsid w:val="001D65AC"/>
    <w:rsid w:val="001D7E87"/>
    <w:rsid w:val="001E08F2"/>
    <w:rsid w:val="001E4739"/>
    <w:rsid w:val="001F55CD"/>
    <w:rsid w:val="001F6558"/>
    <w:rsid w:val="00222030"/>
    <w:rsid w:val="0022731E"/>
    <w:rsid w:val="00230E38"/>
    <w:rsid w:val="0023154F"/>
    <w:rsid w:val="00232571"/>
    <w:rsid w:val="00236154"/>
    <w:rsid w:val="00237BBD"/>
    <w:rsid w:val="00242BB6"/>
    <w:rsid w:val="002466ED"/>
    <w:rsid w:val="00253E26"/>
    <w:rsid w:val="00254A6F"/>
    <w:rsid w:val="00270CC9"/>
    <w:rsid w:val="0028484D"/>
    <w:rsid w:val="00285B0A"/>
    <w:rsid w:val="002A47EA"/>
    <w:rsid w:val="002B0E6F"/>
    <w:rsid w:val="002D1BC5"/>
    <w:rsid w:val="002D213D"/>
    <w:rsid w:val="002E6225"/>
    <w:rsid w:val="002F5FEA"/>
    <w:rsid w:val="00301DDD"/>
    <w:rsid w:val="00315981"/>
    <w:rsid w:val="003259C7"/>
    <w:rsid w:val="00337004"/>
    <w:rsid w:val="00351547"/>
    <w:rsid w:val="00366C4C"/>
    <w:rsid w:val="00371CA2"/>
    <w:rsid w:val="00373026"/>
    <w:rsid w:val="00377723"/>
    <w:rsid w:val="00392E37"/>
    <w:rsid w:val="003B0118"/>
    <w:rsid w:val="003B20D1"/>
    <w:rsid w:val="003B2D9D"/>
    <w:rsid w:val="003B6ED5"/>
    <w:rsid w:val="003C49EA"/>
    <w:rsid w:val="003D748D"/>
    <w:rsid w:val="003E0323"/>
    <w:rsid w:val="003E1265"/>
    <w:rsid w:val="003F004E"/>
    <w:rsid w:val="003F0A98"/>
    <w:rsid w:val="003F4E0B"/>
    <w:rsid w:val="003F7A0C"/>
    <w:rsid w:val="00404A6C"/>
    <w:rsid w:val="004129CC"/>
    <w:rsid w:val="00421D9E"/>
    <w:rsid w:val="004273E7"/>
    <w:rsid w:val="00434547"/>
    <w:rsid w:val="004501DD"/>
    <w:rsid w:val="00456F91"/>
    <w:rsid w:val="004623DA"/>
    <w:rsid w:val="0046257C"/>
    <w:rsid w:val="004649F8"/>
    <w:rsid w:val="00485026"/>
    <w:rsid w:val="00495600"/>
    <w:rsid w:val="004A03D2"/>
    <w:rsid w:val="004A0D2E"/>
    <w:rsid w:val="004A2E91"/>
    <w:rsid w:val="004A4054"/>
    <w:rsid w:val="004A592D"/>
    <w:rsid w:val="004B1129"/>
    <w:rsid w:val="004B1402"/>
    <w:rsid w:val="004B5D48"/>
    <w:rsid w:val="004C7D5A"/>
    <w:rsid w:val="004E4269"/>
    <w:rsid w:val="004F1968"/>
    <w:rsid w:val="005049BC"/>
    <w:rsid w:val="005161C4"/>
    <w:rsid w:val="005225DB"/>
    <w:rsid w:val="0054056E"/>
    <w:rsid w:val="005454B5"/>
    <w:rsid w:val="0055230B"/>
    <w:rsid w:val="0055505B"/>
    <w:rsid w:val="00567663"/>
    <w:rsid w:val="00567700"/>
    <w:rsid w:val="00570034"/>
    <w:rsid w:val="005708B2"/>
    <w:rsid w:val="00575A3F"/>
    <w:rsid w:val="005848A4"/>
    <w:rsid w:val="005934B2"/>
    <w:rsid w:val="00595B2C"/>
    <w:rsid w:val="005963DB"/>
    <w:rsid w:val="005B1AFD"/>
    <w:rsid w:val="005C613B"/>
    <w:rsid w:val="005E03C7"/>
    <w:rsid w:val="005E1034"/>
    <w:rsid w:val="005F3CD5"/>
    <w:rsid w:val="00600B56"/>
    <w:rsid w:val="006062BF"/>
    <w:rsid w:val="00615244"/>
    <w:rsid w:val="00617123"/>
    <w:rsid w:val="0062591A"/>
    <w:rsid w:val="00630AC1"/>
    <w:rsid w:val="00654F2F"/>
    <w:rsid w:val="0065664E"/>
    <w:rsid w:val="006638A1"/>
    <w:rsid w:val="00683157"/>
    <w:rsid w:val="00683D35"/>
    <w:rsid w:val="006B6D3C"/>
    <w:rsid w:val="006C0EEA"/>
    <w:rsid w:val="006D54E7"/>
    <w:rsid w:val="007008BE"/>
    <w:rsid w:val="0071712C"/>
    <w:rsid w:val="00721691"/>
    <w:rsid w:val="007378B1"/>
    <w:rsid w:val="00741121"/>
    <w:rsid w:val="00761D88"/>
    <w:rsid w:val="00773C83"/>
    <w:rsid w:val="007836D9"/>
    <w:rsid w:val="007969EA"/>
    <w:rsid w:val="007A6CE3"/>
    <w:rsid w:val="007B018F"/>
    <w:rsid w:val="007B3991"/>
    <w:rsid w:val="007B56C5"/>
    <w:rsid w:val="007C5F55"/>
    <w:rsid w:val="007D55D2"/>
    <w:rsid w:val="007D5D45"/>
    <w:rsid w:val="007F3337"/>
    <w:rsid w:val="007F788F"/>
    <w:rsid w:val="00802A7E"/>
    <w:rsid w:val="00804624"/>
    <w:rsid w:val="00811E49"/>
    <w:rsid w:val="0082518F"/>
    <w:rsid w:val="00835DAE"/>
    <w:rsid w:val="00843EA2"/>
    <w:rsid w:val="00854D69"/>
    <w:rsid w:val="00855FE8"/>
    <w:rsid w:val="00867682"/>
    <w:rsid w:val="0087078B"/>
    <w:rsid w:val="008750E6"/>
    <w:rsid w:val="008824D5"/>
    <w:rsid w:val="00896656"/>
    <w:rsid w:val="00897EFA"/>
    <w:rsid w:val="008A4793"/>
    <w:rsid w:val="008B214F"/>
    <w:rsid w:val="008B42FC"/>
    <w:rsid w:val="008D2FC7"/>
    <w:rsid w:val="008D6327"/>
    <w:rsid w:val="008E0EE8"/>
    <w:rsid w:val="009245D7"/>
    <w:rsid w:val="009341BA"/>
    <w:rsid w:val="0093623B"/>
    <w:rsid w:val="00967E80"/>
    <w:rsid w:val="00971A6B"/>
    <w:rsid w:val="00974343"/>
    <w:rsid w:val="00977588"/>
    <w:rsid w:val="0098305F"/>
    <w:rsid w:val="00992854"/>
    <w:rsid w:val="009931E2"/>
    <w:rsid w:val="00994CFA"/>
    <w:rsid w:val="009A1333"/>
    <w:rsid w:val="009A7355"/>
    <w:rsid w:val="009C4F40"/>
    <w:rsid w:val="009C4FF4"/>
    <w:rsid w:val="009E555E"/>
    <w:rsid w:val="009E6974"/>
    <w:rsid w:val="009F1B3E"/>
    <w:rsid w:val="00A13CDF"/>
    <w:rsid w:val="00A17652"/>
    <w:rsid w:val="00A40553"/>
    <w:rsid w:val="00A5084E"/>
    <w:rsid w:val="00A6079D"/>
    <w:rsid w:val="00A62976"/>
    <w:rsid w:val="00A62BC6"/>
    <w:rsid w:val="00A72397"/>
    <w:rsid w:val="00A81608"/>
    <w:rsid w:val="00A81876"/>
    <w:rsid w:val="00A87C63"/>
    <w:rsid w:val="00AB0DAB"/>
    <w:rsid w:val="00AC177B"/>
    <w:rsid w:val="00AD46BA"/>
    <w:rsid w:val="00AE4FF2"/>
    <w:rsid w:val="00AE6364"/>
    <w:rsid w:val="00AE6BF6"/>
    <w:rsid w:val="00AF23D1"/>
    <w:rsid w:val="00B017CC"/>
    <w:rsid w:val="00B05999"/>
    <w:rsid w:val="00B36DD2"/>
    <w:rsid w:val="00B4449E"/>
    <w:rsid w:val="00B71603"/>
    <w:rsid w:val="00B77196"/>
    <w:rsid w:val="00B77BD8"/>
    <w:rsid w:val="00B872EB"/>
    <w:rsid w:val="00B92456"/>
    <w:rsid w:val="00BA16BB"/>
    <w:rsid w:val="00BA36DE"/>
    <w:rsid w:val="00BB32D9"/>
    <w:rsid w:val="00BE17B9"/>
    <w:rsid w:val="00BE6D24"/>
    <w:rsid w:val="00C148E6"/>
    <w:rsid w:val="00C255CC"/>
    <w:rsid w:val="00C25F1C"/>
    <w:rsid w:val="00C27F65"/>
    <w:rsid w:val="00C40262"/>
    <w:rsid w:val="00C52ADB"/>
    <w:rsid w:val="00C56378"/>
    <w:rsid w:val="00C56962"/>
    <w:rsid w:val="00C61773"/>
    <w:rsid w:val="00C620FE"/>
    <w:rsid w:val="00C739FA"/>
    <w:rsid w:val="00C7421A"/>
    <w:rsid w:val="00C842AD"/>
    <w:rsid w:val="00C84A47"/>
    <w:rsid w:val="00C87AFC"/>
    <w:rsid w:val="00C90C40"/>
    <w:rsid w:val="00CA0147"/>
    <w:rsid w:val="00CA19B3"/>
    <w:rsid w:val="00CD77F6"/>
    <w:rsid w:val="00CE0AA5"/>
    <w:rsid w:val="00CE1AFB"/>
    <w:rsid w:val="00CE52D8"/>
    <w:rsid w:val="00CF1739"/>
    <w:rsid w:val="00CF2A4E"/>
    <w:rsid w:val="00CF6393"/>
    <w:rsid w:val="00D016A7"/>
    <w:rsid w:val="00D24C63"/>
    <w:rsid w:val="00D370C9"/>
    <w:rsid w:val="00D42192"/>
    <w:rsid w:val="00D96315"/>
    <w:rsid w:val="00DB0480"/>
    <w:rsid w:val="00DB6819"/>
    <w:rsid w:val="00DC6E6B"/>
    <w:rsid w:val="00DD44FB"/>
    <w:rsid w:val="00DD4A47"/>
    <w:rsid w:val="00DD6B50"/>
    <w:rsid w:val="00DE2794"/>
    <w:rsid w:val="00DE4CF9"/>
    <w:rsid w:val="00DE6806"/>
    <w:rsid w:val="00DE683C"/>
    <w:rsid w:val="00DF0084"/>
    <w:rsid w:val="00DF3639"/>
    <w:rsid w:val="00E03F93"/>
    <w:rsid w:val="00E05571"/>
    <w:rsid w:val="00E130AB"/>
    <w:rsid w:val="00E226D0"/>
    <w:rsid w:val="00E40695"/>
    <w:rsid w:val="00E47E2D"/>
    <w:rsid w:val="00E54BA5"/>
    <w:rsid w:val="00E62DAA"/>
    <w:rsid w:val="00E64462"/>
    <w:rsid w:val="00E67E95"/>
    <w:rsid w:val="00E735A6"/>
    <w:rsid w:val="00E74CF4"/>
    <w:rsid w:val="00EA5873"/>
    <w:rsid w:val="00EB04C6"/>
    <w:rsid w:val="00EB2DF2"/>
    <w:rsid w:val="00EB35B4"/>
    <w:rsid w:val="00EB653F"/>
    <w:rsid w:val="00EC3D1A"/>
    <w:rsid w:val="00ED4DD2"/>
    <w:rsid w:val="00EE12A0"/>
    <w:rsid w:val="00F006CC"/>
    <w:rsid w:val="00F02FED"/>
    <w:rsid w:val="00F079D9"/>
    <w:rsid w:val="00F10E16"/>
    <w:rsid w:val="00F153E9"/>
    <w:rsid w:val="00F17246"/>
    <w:rsid w:val="00F24442"/>
    <w:rsid w:val="00F36B17"/>
    <w:rsid w:val="00F4425D"/>
    <w:rsid w:val="00F507BF"/>
    <w:rsid w:val="00F5504A"/>
    <w:rsid w:val="00F7077E"/>
    <w:rsid w:val="00F70969"/>
    <w:rsid w:val="00F77890"/>
    <w:rsid w:val="00F9511D"/>
    <w:rsid w:val="00F965F7"/>
    <w:rsid w:val="00FA456C"/>
    <w:rsid w:val="00FA60C5"/>
    <w:rsid w:val="00FB3BB7"/>
    <w:rsid w:val="00FB6243"/>
    <w:rsid w:val="00FC19BA"/>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paragraph" w:customStyle="1" w:styleId="Footer-jobnumber">
    <w:name w:val="Footer-jobnumber"/>
    <w:basedOn w:val="Normal-pool"/>
    <w:qFormat/>
    <w:rsid w:val="003C49EA"/>
    <w:pPr>
      <w:tabs>
        <w:tab w:val="clear" w:pos="624"/>
        <w:tab w:val="clear" w:pos="1247"/>
        <w:tab w:val="clear" w:pos="1871"/>
        <w:tab w:val="clear" w:pos="2495"/>
        <w:tab w:val="clear" w:pos="3119"/>
        <w:tab w:val="clear" w:pos="3742"/>
        <w:tab w:val="clear" w:pos="4366"/>
        <w:tab w:val="left" w:pos="1701"/>
      </w:tabs>
    </w:pPr>
    <w:rPr>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news/mercury-and-contaminated-sites-15th-iccl-meeting" TargetMode="External"/><Relationship Id="rId3" Type="http://schemas.openxmlformats.org/officeDocument/2006/relationships/hyperlink" Target="https://minamataconvention.org/en/meetings/concluded-list-view?field_event_type_target_id=287" TargetMode="External"/><Relationship Id="rId7" Type="http://schemas.openxmlformats.org/officeDocument/2006/relationships/hyperlink" Target="https://www.mercurycapetown.com/" TargetMode="External"/><Relationship Id="rId2" Type="http://schemas.openxmlformats.org/officeDocument/2006/relationships/hyperlink" Target="https://www.unep.org/globalmercurypartnership/" TargetMode="External"/><Relationship Id="rId1" Type="http://schemas.openxmlformats.org/officeDocument/2006/relationships/hyperlink" Target="https://www.unep.org/globalmercurypartnership/" TargetMode="External"/><Relationship Id="rId6" Type="http://schemas.openxmlformats.org/officeDocument/2006/relationships/hyperlink" Target="https://www.mercurycapetown.com/" TargetMode="External"/><Relationship Id="rId5" Type="http://schemas.openxmlformats.org/officeDocument/2006/relationships/hyperlink" Target="https://www.unssc.org/courses/minamata-tools-1" TargetMode="External"/><Relationship Id="rId4" Type="http://schemas.openxmlformats.org/officeDocument/2006/relationships/hyperlink" Target="https://www.unssc.org/courses/minamata-tool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7DB0767E-4EC9-4C6D-B3BC-940D08EACE7A}"/>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310</TotalTime>
  <Pages>8</Pages>
  <Words>2388</Words>
  <Characters>13613</Characters>
  <Application>Microsoft Office Word</Application>
  <DocSecurity>0</DocSecurity>
  <PresentationFormat/>
  <Lines>113</Lines>
  <Paragraphs>31</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15970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Sara Abousalama</cp:lastModifiedBy>
  <cp:revision>52</cp:revision>
  <cp:lastPrinted>2025-08-25T12:52:00Z</cp:lastPrinted>
  <dcterms:created xsi:type="dcterms:W3CDTF">2025-04-16T08:17:00Z</dcterms:created>
  <dcterms:modified xsi:type="dcterms:W3CDTF">2025-08-25T12:53:00Z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