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2693"/>
        <w:gridCol w:w="6520"/>
        <w:gridCol w:w="283"/>
      </w:tblGrid>
      <w:tr w:rsidR="007B0C97" w:rsidRPr="0076134B" w14:paraId="43B0303D" w14:textId="77777777" w:rsidTr="004B149F">
        <w:trPr>
          <w:trHeight w:val="850"/>
        </w:trPr>
        <w:tc>
          <w:tcPr>
            <w:tcW w:w="2693" w:type="dxa"/>
          </w:tcPr>
          <w:p w14:paraId="2D17590B" w14:textId="77777777" w:rsidR="007B0C97" w:rsidRPr="0076134B" w:rsidRDefault="007B0C97" w:rsidP="007B0C97">
            <w:pPr>
              <w:pStyle w:val="AUnitedNations"/>
              <w:tabs>
                <w:tab w:val="clear" w:pos="624"/>
                <w:tab w:val="clear" w:pos="1871"/>
                <w:tab w:val="clear" w:pos="2495"/>
                <w:tab w:val="clear" w:pos="3119"/>
                <w:tab w:val="clear" w:pos="3742"/>
                <w:tab w:val="clear" w:pos="4366"/>
                <w:tab w:val="clear" w:pos="4990"/>
              </w:tabs>
            </w:pPr>
            <w:r w:rsidRPr="0076134B">
              <w:t xml:space="preserve">ОРГАНИЗАЦИЯ </w:t>
            </w:r>
            <w:r w:rsidRPr="0076134B">
              <w:br/>
              <w:t xml:space="preserve">ОБЪЕДИНЕННЫХ </w:t>
            </w:r>
            <w:r w:rsidRPr="0076134B">
              <w:br/>
              <w:t>НАЦИЙ</w:t>
            </w:r>
          </w:p>
        </w:tc>
        <w:tc>
          <w:tcPr>
            <w:tcW w:w="6520" w:type="dxa"/>
          </w:tcPr>
          <w:p w14:paraId="73BFCBB1" w14:textId="77777777" w:rsidR="007B0C97" w:rsidRPr="0076134B" w:rsidRDefault="007B0C97" w:rsidP="007B0C97">
            <w:pPr>
              <w:pStyle w:val="Normal-pool"/>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anchor distT="0" distB="0" distL="114300" distR="114300" simplePos="0" relativeHeight="251660288" behindDoc="0" locked="0" layoutInCell="1" allowOverlap="1" wp14:anchorId="06CB9C35" wp14:editId="4C34402C">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1FF63732" w14:textId="77777777" w:rsidR="007B0C97" w:rsidRPr="0076134B" w:rsidRDefault="007B0C97" w:rsidP="007B0C97">
            <w:pPr>
              <w:pStyle w:val="Normal-pool"/>
              <w:tabs>
                <w:tab w:val="clear" w:pos="624"/>
                <w:tab w:val="clear" w:pos="1247"/>
                <w:tab w:val="clear" w:pos="1871"/>
                <w:tab w:val="clear" w:pos="2495"/>
                <w:tab w:val="clear" w:pos="3119"/>
                <w:tab w:val="clear" w:pos="3742"/>
                <w:tab w:val="clear" w:pos="4366"/>
                <w:tab w:val="clear" w:pos="4990"/>
              </w:tabs>
            </w:pPr>
          </w:p>
        </w:tc>
      </w:tr>
    </w:tbl>
    <w:p w14:paraId="59375B0B" w14:textId="77777777" w:rsidR="007B0C97" w:rsidRPr="0076134B" w:rsidRDefault="007B0C97" w:rsidP="007B0C97">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7B0C97" w:rsidRPr="0076134B" w14:paraId="49C71E4D" w14:textId="77777777" w:rsidTr="004B149F">
        <w:trPr>
          <w:trHeight w:val="340"/>
        </w:trPr>
        <w:tc>
          <w:tcPr>
            <w:tcW w:w="3358" w:type="pct"/>
            <w:vAlign w:val="bottom"/>
          </w:tcPr>
          <w:p w14:paraId="3BAC8864" w14:textId="77777777" w:rsidR="007B0C97" w:rsidRPr="0076134B" w:rsidRDefault="007B0C97" w:rsidP="007B0C97">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64F94489" w14:textId="1D6E6EF3" w:rsidR="007B0C97" w:rsidRPr="0076134B" w:rsidRDefault="007B0C97" w:rsidP="007B0C97">
            <w:pPr>
              <w:pStyle w:val="ASymbol"/>
              <w:tabs>
                <w:tab w:val="clear" w:pos="1871"/>
                <w:tab w:val="clear" w:pos="2495"/>
                <w:tab w:val="clear" w:pos="2920"/>
                <w:tab w:val="clear" w:pos="3119"/>
                <w:tab w:val="clear" w:pos="3742"/>
                <w:tab w:val="clear" w:pos="4366"/>
                <w:tab w:val="clear" w:pos="4990"/>
              </w:tabs>
            </w:pPr>
            <w:r w:rsidRPr="0076134B">
              <w:rPr>
                <w:b/>
                <w:sz w:val="28"/>
              </w:rPr>
              <w:t>UNEP</w:t>
            </w:r>
            <w:r w:rsidRPr="0076134B">
              <w:t>/MC/COP.6/</w:t>
            </w:r>
            <w:r>
              <w:t>12</w:t>
            </w:r>
          </w:p>
        </w:tc>
      </w:tr>
    </w:tbl>
    <w:p w14:paraId="76E24457" w14:textId="77777777" w:rsidR="007B0C97" w:rsidRPr="0076134B" w:rsidRDefault="007B0C97" w:rsidP="007B0C97">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B0C97" w:rsidRPr="00D04628" w14:paraId="028CC906" w14:textId="77777777" w:rsidTr="004B149F">
        <w:trPr>
          <w:trHeight w:val="2098"/>
        </w:trPr>
        <w:tc>
          <w:tcPr>
            <w:tcW w:w="3685" w:type="dxa"/>
          </w:tcPr>
          <w:p w14:paraId="6164ABAC" w14:textId="77777777" w:rsidR="007B0C97" w:rsidRPr="0076134B" w:rsidRDefault="007B0C97" w:rsidP="007B0C97">
            <w:pPr>
              <w:pStyle w:val="ALogo"/>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inline distT="0" distB="0" distL="0" distR="0" wp14:anchorId="0B8EA431" wp14:editId="4C090598">
                  <wp:extent cx="2202815" cy="1028700"/>
                  <wp:effectExtent l="0" t="0" r="6985" b="0"/>
                  <wp:docPr id="1420080243"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0080243"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6E1ADF3E" w14:textId="77777777" w:rsidR="007B0C97" w:rsidRPr="0076134B" w:rsidRDefault="007B0C97" w:rsidP="007B0C97">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17F32DBC" w14:textId="77777777" w:rsidR="007B0C97" w:rsidRPr="0076134B" w:rsidRDefault="007B0C97" w:rsidP="007B0C97">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672E4176" w14:textId="77777777" w:rsidR="007B0C97" w:rsidRPr="00D04628" w:rsidRDefault="007B0C97" w:rsidP="007B0C97">
            <w:pPr>
              <w:pStyle w:val="AText"/>
              <w:tabs>
                <w:tab w:val="clear" w:pos="624"/>
                <w:tab w:val="clear" w:pos="1247"/>
                <w:tab w:val="clear" w:pos="1871"/>
                <w:tab w:val="clear" w:pos="2495"/>
                <w:tab w:val="clear" w:pos="3119"/>
                <w:tab w:val="clear" w:pos="3742"/>
                <w:tab w:val="clear" w:pos="4366"/>
                <w:tab w:val="clear" w:pos="4990"/>
              </w:tabs>
            </w:pPr>
            <w:r w:rsidRPr="00D04628">
              <w:t xml:space="preserve">Distr.: </w:t>
            </w:r>
            <w:r>
              <w:rPr>
                <w:lang w:val="en-US"/>
              </w:rPr>
              <w:t>General</w:t>
            </w:r>
            <w:r w:rsidRPr="00D04628">
              <w:t xml:space="preserve"> </w:t>
            </w:r>
          </w:p>
          <w:p w14:paraId="74924699" w14:textId="04A365E8" w:rsidR="007B0C97" w:rsidRPr="00D04628" w:rsidRDefault="007B0C97" w:rsidP="007B0C97">
            <w:pPr>
              <w:pStyle w:val="AText0"/>
              <w:tabs>
                <w:tab w:val="clear" w:pos="624"/>
                <w:tab w:val="clear" w:pos="1247"/>
                <w:tab w:val="clear" w:pos="1871"/>
                <w:tab w:val="clear" w:pos="2495"/>
                <w:tab w:val="clear" w:pos="3119"/>
                <w:tab w:val="clear" w:pos="3742"/>
                <w:tab w:val="clear" w:pos="4366"/>
              </w:tabs>
            </w:pPr>
            <w:r>
              <w:t>3 July 2025</w:t>
            </w:r>
          </w:p>
          <w:p w14:paraId="2AAB49A7" w14:textId="77777777" w:rsidR="007B0C97" w:rsidRDefault="007B0C97" w:rsidP="007B0C97">
            <w:pPr>
              <w:pStyle w:val="AText"/>
              <w:tabs>
                <w:tab w:val="clear" w:pos="624"/>
                <w:tab w:val="clear" w:pos="1247"/>
                <w:tab w:val="clear" w:pos="1871"/>
                <w:tab w:val="clear" w:pos="2495"/>
                <w:tab w:val="clear" w:pos="3119"/>
                <w:tab w:val="clear" w:pos="3742"/>
                <w:tab w:val="clear" w:pos="4366"/>
                <w:tab w:val="clear" w:pos="4990"/>
              </w:tabs>
            </w:pPr>
            <w:r w:rsidRPr="00D04628">
              <w:t xml:space="preserve">Russian </w:t>
            </w:r>
          </w:p>
          <w:p w14:paraId="08355F11" w14:textId="77777777" w:rsidR="007B0C97" w:rsidRPr="00D04628" w:rsidRDefault="007B0C97" w:rsidP="007B0C97">
            <w:pPr>
              <w:pStyle w:val="AText"/>
              <w:tabs>
                <w:tab w:val="clear" w:pos="624"/>
                <w:tab w:val="clear" w:pos="1247"/>
                <w:tab w:val="clear" w:pos="1871"/>
                <w:tab w:val="clear" w:pos="2495"/>
                <w:tab w:val="clear" w:pos="3119"/>
                <w:tab w:val="clear" w:pos="3742"/>
                <w:tab w:val="clear" w:pos="4366"/>
                <w:tab w:val="clear" w:pos="4990"/>
              </w:tabs>
              <w:spacing w:before="0"/>
            </w:pPr>
            <w:r w:rsidRPr="00D04628">
              <w:t>Original: English</w:t>
            </w:r>
          </w:p>
        </w:tc>
      </w:tr>
    </w:tbl>
    <w:p w14:paraId="6E08A758" w14:textId="77777777" w:rsidR="007B0C97" w:rsidRPr="00D04628" w:rsidRDefault="007B0C97" w:rsidP="007B0C97">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B0C97" w:rsidRPr="00EF5A31" w14:paraId="63BDE373" w14:textId="77777777" w:rsidTr="004B149F">
        <w:trPr>
          <w:trHeight w:val="57"/>
        </w:trPr>
        <w:tc>
          <w:tcPr>
            <w:tcW w:w="5301" w:type="dxa"/>
          </w:tcPr>
          <w:p w14:paraId="5D08D5B4" w14:textId="77777777" w:rsidR="007B0C97" w:rsidRPr="007B0C97" w:rsidRDefault="007B0C97" w:rsidP="007B0C97">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7B0C97">
              <w:rPr>
                <w:lang w:val="ru-RU"/>
              </w:rPr>
              <w:t xml:space="preserve">Конференция Сторон Минаматской </w:t>
            </w:r>
            <w:r w:rsidRPr="007B0C97">
              <w:rPr>
                <w:lang w:val="ru-RU"/>
              </w:rPr>
              <w:br/>
              <w:t>конвенции о ртути</w:t>
            </w:r>
          </w:p>
          <w:p w14:paraId="36FB392D" w14:textId="77777777" w:rsidR="007B0C97" w:rsidRPr="007B0C97" w:rsidRDefault="007B0C97" w:rsidP="007B0C97">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7B0C97">
              <w:rPr>
                <w:lang w:val="ru-RU"/>
              </w:rPr>
              <w:t xml:space="preserve">Шестое совещание </w:t>
            </w:r>
          </w:p>
          <w:p w14:paraId="5E3AFCD9" w14:textId="77777777" w:rsidR="007B0C97" w:rsidRPr="00F616A8" w:rsidRDefault="007B0C97" w:rsidP="007B0C97">
            <w:pPr>
              <w:pStyle w:val="AATitle1"/>
              <w:tabs>
                <w:tab w:val="clear" w:pos="624"/>
                <w:tab w:val="clear" w:pos="1247"/>
                <w:tab w:val="clear" w:pos="1871"/>
                <w:tab w:val="clear" w:pos="2495"/>
                <w:tab w:val="clear" w:pos="3119"/>
                <w:tab w:val="clear" w:pos="3742"/>
                <w:tab w:val="clear" w:pos="4366"/>
                <w:tab w:val="clear" w:pos="4990"/>
              </w:tabs>
              <w:rPr>
                <w:lang w:val="ru-RU"/>
              </w:rPr>
            </w:pPr>
            <w:bookmarkStart w:id="0" w:name="CorNot1VenueDate"/>
            <w:r>
              <w:rPr>
                <w:color w:val="000000"/>
                <w:lang w:val="ru-RU"/>
              </w:rPr>
              <w:t xml:space="preserve">Женева, 3–7 ноября 2025 года </w:t>
            </w:r>
            <w:bookmarkEnd w:id="0"/>
          </w:p>
          <w:p w14:paraId="1802EF3F" w14:textId="77777777" w:rsidR="007B0C97" w:rsidRPr="00F616A8" w:rsidRDefault="007B0C97" w:rsidP="007B0C97">
            <w:pPr>
              <w:pStyle w:val="AATitle1"/>
              <w:tabs>
                <w:tab w:val="clear" w:pos="624"/>
                <w:tab w:val="clear" w:pos="1247"/>
                <w:tab w:val="clear" w:pos="1871"/>
                <w:tab w:val="clear" w:pos="2495"/>
                <w:tab w:val="clear" w:pos="3119"/>
                <w:tab w:val="clear" w:pos="3742"/>
                <w:tab w:val="clear" w:pos="4366"/>
                <w:tab w:val="clear" w:pos="4990"/>
              </w:tabs>
              <w:rPr>
                <w:lang w:val="ru-RU"/>
              </w:rPr>
            </w:pPr>
            <w:bookmarkStart w:id="1" w:name="CorNot1AgItem"/>
            <w:r>
              <w:rPr>
                <w:color w:val="000000"/>
                <w:lang w:val="ru-RU"/>
              </w:rPr>
              <w:t xml:space="preserve">Пункт 4 e) </w:t>
            </w:r>
            <w:proofErr w:type="spellStart"/>
            <w:r>
              <w:rPr>
                <w:color w:val="000000"/>
                <w:lang w:val="ru-RU"/>
              </w:rPr>
              <w:t>iii</w:t>
            </w:r>
            <w:proofErr w:type="spellEnd"/>
            <w:r>
              <w:rPr>
                <w:color w:val="000000"/>
                <w:lang w:val="ru-RU"/>
              </w:rPr>
              <w:t>) предварительной повестки дня</w:t>
            </w:r>
            <w:r w:rsidRPr="000453F6">
              <w:rPr>
                <w:rStyle w:val="FootnoteReference"/>
                <w:color w:val="000000"/>
                <w:vertAlign w:val="baseline"/>
                <w:lang w:val="ru-RU"/>
              </w:rPr>
              <w:footnoteReference w:customMarkFollows="1" w:id="2"/>
              <w:t>*</w:t>
            </w:r>
            <w:r>
              <w:rPr>
                <w:color w:val="000000"/>
                <w:lang w:val="ru-RU"/>
              </w:rPr>
              <w:t xml:space="preserve"> </w:t>
            </w:r>
            <w:bookmarkEnd w:id="1"/>
          </w:p>
          <w:p w14:paraId="54310622" w14:textId="43A0F244" w:rsidR="007B0C97" w:rsidRPr="007B0C97" w:rsidRDefault="007B0C97" w:rsidP="007B0C97">
            <w:pPr>
              <w:pStyle w:val="AATitle2"/>
              <w:tabs>
                <w:tab w:val="clear" w:pos="624"/>
                <w:tab w:val="clear" w:pos="1247"/>
                <w:tab w:val="clear" w:pos="1871"/>
                <w:tab w:val="clear" w:pos="2495"/>
                <w:tab w:val="clear" w:pos="3119"/>
                <w:tab w:val="clear" w:pos="3742"/>
                <w:tab w:val="clear" w:pos="4366"/>
              </w:tabs>
              <w:rPr>
                <w:lang w:val="ru-RU"/>
              </w:rPr>
            </w:pPr>
            <w:r>
              <w:rPr>
                <w:bCs/>
                <w:color w:val="000000"/>
                <w:lang w:val="ru-RU"/>
              </w:rPr>
              <w:t>Вопросы для рассмотрения или принятия мер Конференцией Сторон: финансовые ресурсы и механизм финансирования: обзор механизма финансирования</w:t>
            </w:r>
          </w:p>
        </w:tc>
        <w:tc>
          <w:tcPr>
            <w:tcW w:w="4195" w:type="dxa"/>
          </w:tcPr>
          <w:p w14:paraId="77C53637" w14:textId="77777777" w:rsidR="007B0C97" w:rsidRPr="007B0C97" w:rsidRDefault="007B0C97" w:rsidP="007B0C97">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137ED5CF" w14:textId="26DCF7FD" w:rsidR="00B075DF" w:rsidRPr="00F616A8" w:rsidRDefault="00B075DF" w:rsidP="007B0C97">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Проект положения о проведении третьего обзора механизма финансирования</w:t>
      </w:r>
    </w:p>
    <w:p w14:paraId="03DD2CC9" w14:textId="2B36DCCC" w:rsidR="00B075DF" w:rsidRPr="00B14565" w:rsidRDefault="00B075DF" w:rsidP="007B0C97">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pPr>
      <w:r>
        <w:rPr>
          <w:bCs/>
          <w:lang w:val="ru-RU"/>
        </w:rPr>
        <w:t>Записка секретариата</w:t>
      </w:r>
    </w:p>
    <w:p w14:paraId="570BD28A" w14:textId="7EC32D24" w:rsidR="00B075DF" w:rsidRPr="005C6AFE" w:rsidRDefault="007B0C97" w:rsidP="00C51532">
      <w:pPr>
        <w:pStyle w:val="CH1"/>
        <w:keepNext w:val="0"/>
        <w:keepLines w:val="0"/>
        <w:tabs>
          <w:tab w:val="clear" w:pos="1247"/>
          <w:tab w:val="clear" w:pos="1871"/>
          <w:tab w:val="clear" w:pos="2495"/>
          <w:tab w:val="clear" w:pos="3119"/>
          <w:tab w:val="clear" w:pos="3742"/>
          <w:tab w:val="clear" w:pos="4366"/>
          <w:tab w:val="clear" w:pos="4990"/>
        </w:tabs>
        <w:spacing w:before="0"/>
      </w:pPr>
      <w:bookmarkStart w:id="2" w:name="_Hlk192252242"/>
      <w:r>
        <w:rPr>
          <w:bCs/>
          <w:lang w:val="en-US"/>
        </w:rPr>
        <w:tab/>
      </w:r>
      <w:r w:rsidR="00B075DF">
        <w:rPr>
          <w:bCs/>
          <w:lang w:val="ru-RU"/>
        </w:rPr>
        <w:t>I.</w:t>
      </w:r>
      <w:r w:rsidR="00B075DF">
        <w:rPr>
          <w:lang w:val="ru-RU"/>
        </w:rPr>
        <w:tab/>
      </w:r>
      <w:r w:rsidR="00B075DF">
        <w:rPr>
          <w:bCs/>
          <w:lang w:val="ru-RU"/>
        </w:rPr>
        <w:t>Введение</w:t>
      </w:r>
    </w:p>
    <w:bookmarkEnd w:id="2"/>
    <w:p w14:paraId="7B98E8D2" w14:textId="77777777" w:rsidR="00B075DF" w:rsidRPr="00F616A8" w:rsidRDefault="00EA3906" w:rsidP="007B0C97">
      <w:pPr>
        <w:pStyle w:val="Normalnumber"/>
        <w:numPr>
          <w:ilvl w:val="0"/>
          <w:numId w:val="24"/>
        </w:numPr>
        <w:ind w:left="1247" w:firstLine="0"/>
        <w:rPr>
          <w:lang w:val="ru-RU"/>
        </w:rPr>
      </w:pPr>
      <w:r>
        <w:rPr>
          <w:lang w:val="ru-RU"/>
        </w:rPr>
        <w:t xml:space="preserve">В пункте 11 статьи 13 Минаматской конвенции о ртути, посвященном финансовым ресурсам и механизму финансирования, предусматривается, что Конференция Сторон, не позднее чем на своем третьем совещании, а далее – через регулярные промежутки времени, рассматривает: </w:t>
      </w:r>
    </w:p>
    <w:p w14:paraId="3428C7AF" w14:textId="77777777" w:rsidR="00B075DF" w:rsidRPr="005C6AFE" w:rsidRDefault="00B075DF" w:rsidP="007B0C97">
      <w:pPr>
        <w:pStyle w:val="Normalnumber"/>
        <w:numPr>
          <w:ilvl w:val="0"/>
          <w:numId w:val="17"/>
        </w:numPr>
        <w:ind w:left="1247" w:firstLine="624"/>
      </w:pPr>
      <w:r>
        <w:rPr>
          <w:lang w:val="ru-RU"/>
        </w:rPr>
        <w:t xml:space="preserve">уровень финансирования; </w:t>
      </w:r>
    </w:p>
    <w:p w14:paraId="1B81671C" w14:textId="77777777" w:rsidR="00B075DF" w:rsidRPr="00F616A8" w:rsidRDefault="00B075DF" w:rsidP="007B0C97">
      <w:pPr>
        <w:pStyle w:val="Normalnumber"/>
        <w:numPr>
          <w:ilvl w:val="0"/>
          <w:numId w:val="17"/>
        </w:numPr>
        <w:ind w:left="1247" w:firstLine="624"/>
        <w:rPr>
          <w:lang w:val="ru-RU"/>
        </w:rPr>
      </w:pPr>
      <w:r>
        <w:rPr>
          <w:lang w:val="ru-RU"/>
        </w:rPr>
        <w:t xml:space="preserve">руководящие указания Конференции Сторон в адрес органов, которым поручено обеспечить работоспособность механизма финансирования Конвенции; </w:t>
      </w:r>
    </w:p>
    <w:p w14:paraId="4E5D4B2D" w14:textId="77777777" w:rsidR="00B075DF" w:rsidRPr="005C6AFE" w:rsidRDefault="00B075DF" w:rsidP="007B0C97">
      <w:pPr>
        <w:pStyle w:val="Normalnumber"/>
        <w:numPr>
          <w:ilvl w:val="0"/>
          <w:numId w:val="17"/>
        </w:numPr>
        <w:ind w:left="1247" w:firstLine="624"/>
      </w:pPr>
      <w:r>
        <w:rPr>
          <w:lang w:val="ru-RU"/>
        </w:rPr>
        <w:t xml:space="preserve">эффективность этих органов; </w:t>
      </w:r>
    </w:p>
    <w:p w14:paraId="6C19EB6A" w14:textId="77777777" w:rsidR="00B075DF" w:rsidRPr="00F616A8" w:rsidRDefault="00B075DF" w:rsidP="007B0C97">
      <w:pPr>
        <w:pStyle w:val="Normalnumber"/>
        <w:numPr>
          <w:ilvl w:val="0"/>
          <w:numId w:val="17"/>
        </w:numPr>
        <w:ind w:left="1247" w:firstLine="624"/>
        <w:rPr>
          <w:lang w:val="ru-RU"/>
        </w:rPr>
      </w:pPr>
      <w:r>
        <w:rPr>
          <w:lang w:val="ru-RU"/>
        </w:rPr>
        <w:t xml:space="preserve">способность этих органов удовлетворять изменяющиеся потребности Сторон, являющихся развивающимися странами и странами с переходной экономикой. </w:t>
      </w:r>
    </w:p>
    <w:p w14:paraId="39693B31" w14:textId="77777777" w:rsidR="00B075DF" w:rsidRPr="00F616A8" w:rsidRDefault="00F326CF" w:rsidP="007B0C97">
      <w:pPr>
        <w:pStyle w:val="Normalnumber"/>
        <w:numPr>
          <w:ilvl w:val="0"/>
          <w:numId w:val="24"/>
        </w:numPr>
        <w:ind w:left="1247" w:firstLine="0"/>
        <w:rPr>
          <w:lang w:val="ru-RU"/>
        </w:rPr>
      </w:pPr>
      <w:r>
        <w:rPr>
          <w:lang w:val="ru-RU"/>
        </w:rPr>
        <w:t>В том же пункте также указано, что на основе такого рассмотрения Конференция Сторон принимает соответствующие меры для повышения эффективности механизма финансирования.</w:t>
      </w:r>
    </w:p>
    <w:p w14:paraId="1510A00B" w14:textId="77777777" w:rsidR="00B075DF" w:rsidRPr="00F616A8" w:rsidRDefault="00B075DF" w:rsidP="007B0C97">
      <w:pPr>
        <w:pStyle w:val="Normalnumber"/>
        <w:numPr>
          <w:ilvl w:val="0"/>
          <w:numId w:val="24"/>
        </w:numPr>
        <w:ind w:left="1247" w:firstLine="0"/>
        <w:rPr>
          <w:lang w:val="ru-RU"/>
        </w:rPr>
      </w:pPr>
      <w:r>
        <w:rPr>
          <w:lang w:val="ru-RU"/>
        </w:rPr>
        <w:t>На своем пятом совещании в решении МК-5/11 Конференция Сторон поручила секретариату подготовить проект положения о проведении третьего обзора механизма финансирования для рассмотрения Конференцией Сторон на ее шестом совещании.</w:t>
      </w:r>
    </w:p>
    <w:p w14:paraId="39D88649" w14:textId="41A96997" w:rsidR="00B075DF" w:rsidRPr="00F616A8" w:rsidRDefault="00B075DF" w:rsidP="007B0C97">
      <w:pPr>
        <w:pStyle w:val="Normalnumber"/>
        <w:numPr>
          <w:ilvl w:val="0"/>
          <w:numId w:val="24"/>
        </w:numPr>
        <w:ind w:left="1247" w:firstLine="0"/>
        <w:rPr>
          <w:lang w:val="ru-RU"/>
        </w:rPr>
      </w:pPr>
      <w:r>
        <w:rPr>
          <w:lang w:val="ru-RU"/>
        </w:rPr>
        <w:t xml:space="preserve">Секретариат подготовил проект положения о проведении третьего обзора, который приводится в приложении II к настоящей записке. Проект положения основан на положении о проведении второго обзора механизма финансирования (решение МК-4/7, приложение), при этом в разделы, </w:t>
      </w:r>
      <w:r w:rsidR="00792170">
        <w:rPr>
          <w:lang w:val="ru-RU"/>
        </w:rPr>
        <w:t xml:space="preserve">посвященные </w:t>
      </w:r>
      <w:r>
        <w:rPr>
          <w:lang w:val="ru-RU"/>
        </w:rPr>
        <w:t xml:space="preserve">докладу и критериям эффективности, внесены лишь некоторые изменения. </w:t>
      </w:r>
    </w:p>
    <w:p w14:paraId="42A47284" w14:textId="77777777" w:rsidR="00B075DF" w:rsidRPr="00F616A8" w:rsidRDefault="00B075DF" w:rsidP="00C51532">
      <w:pPr>
        <w:pStyle w:val="Normalnumber"/>
        <w:numPr>
          <w:ilvl w:val="0"/>
          <w:numId w:val="24"/>
        </w:numPr>
        <w:spacing w:after="240"/>
        <w:ind w:left="1247" w:firstLine="0"/>
        <w:rPr>
          <w:lang w:val="ru-RU"/>
        </w:rPr>
      </w:pPr>
      <w:r>
        <w:rPr>
          <w:lang w:val="ru-RU"/>
        </w:rPr>
        <w:lastRenderedPageBreak/>
        <w:t>Кроме того, при разработке проекта положения секретариат обратился к секретариату Глобального экологического фонда (ГЭФ) и Правлению Целевой международной программы для поддержки процессов создания потенциала и оказания технической помощи.</w:t>
      </w:r>
    </w:p>
    <w:p w14:paraId="39C9FD2F" w14:textId="75872BB4" w:rsidR="00B075DF" w:rsidRPr="00F616A8" w:rsidRDefault="00C51532" w:rsidP="00C51532">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B675EC">
        <w:rPr>
          <w:bCs/>
          <w:lang w:val="ru-RU"/>
        </w:rPr>
        <w:tab/>
      </w:r>
      <w:r w:rsidR="00B075DF">
        <w:rPr>
          <w:bCs/>
          <w:lang w:val="ru-RU"/>
        </w:rPr>
        <w:t>II.</w:t>
      </w:r>
      <w:r w:rsidR="00B075DF">
        <w:rPr>
          <w:lang w:val="ru-RU"/>
        </w:rPr>
        <w:tab/>
      </w:r>
      <w:r w:rsidR="00B075DF">
        <w:rPr>
          <w:bCs/>
          <w:lang w:val="ru-RU"/>
        </w:rPr>
        <w:t>Соображения относительно сроков проведения третьего обзора</w:t>
      </w:r>
    </w:p>
    <w:p w14:paraId="1502B5A4" w14:textId="77777777" w:rsidR="00B075DF" w:rsidRPr="00F616A8" w:rsidRDefault="00B075DF" w:rsidP="007B0C97">
      <w:pPr>
        <w:pStyle w:val="Normalnumber"/>
        <w:numPr>
          <w:ilvl w:val="0"/>
          <w:numId w:val="24"/>
        </w:numPr>
        <w:ind w:left="1247" w:firstLine="0"/>
        <w:rPr>
          <w:lang w:val="ru-RU"/>
        </w:rPr>
      </w:pPr>
      <w:r>
        <w:rPr>
          <w:lang w:val="ru-RU"/>
        </w:rPr>
        <w:t xml:space="preserve">Второй обзор механизма финансирования охватывает период с августа 2019 года по июль 2022 года. Доклад о втором обзоре механизма финансирования, подготовленный в соответствии с пунктом 11 статьи 13 Конвенции, был представлен Конференции Сторон на ее пятом совещании и изложен в документе UNEP/MC/COP.5/INF/17. Первый обзор механизма финансирования (UNEP/MC/COP.3/11) был рассмотрен Конференцией Сторон на ее третьем совещании в ноябре 2019 года. </w:t>
      </w:r>
    </w:p>
    <w:p w14:paraId="23FF0595" w14:textId="77777777" w:rsidR="00B075DF" w:rsidRPr="00F616A8" w:rsidRDefault="00B075DF" w:rsidP="007B0C97">
      <w:pPr>
        <w:pStyle w:val="Normalnumber"/>
        <w:numPr>
          <w:ilvl w:val="0"/>
          <w:numId w:val="24"/>
        </w:numPr>
        <w:ind w:left="1247" w:firstLine="0"/>
        <w:rPr>
          <w:lang w:val="ru-RU"/>
        </w:rPr>
      </w:pPr>
      <w:r>
        <w:rPr>
          <w:lang w:val="ru-RU"/>
        </w:rPr>
        <w:t>Если Стороны примут решение о том, что третий обзор будет охватывать период с августа 2022 года до конца восьмого периода пополнения ГЭФ (в июне 2026 года), то такие сроки позволят рассмотреть всю информацию, поступившую сразу после окончания периода второго обзора. Она может включать важные сведения о текущих и завершенных проектах, эффективности завершенных проектов и опыте Сторон в осуществлении таких проектов.</w:t>
      </w:r>
    </w:p>
    <w:p w14:paraId="0985F707" w14:textId="77777777" w:rsidR="00B075DF" w:rsidRPr="00F616A8" w:rsidRDefault="00074E8D" w:rsidP="007B0C97">
      <w:pPr>
        <w:pStyle w:val="Normalnumber"/>
        <w:numPr>
          <w:ilvl w:val="0"/>
          <w:numId w:val="24"/>
        </w:numPr>
        <w:ind w:left="1247" w:firstLine="0"/>
        <w:rPr>
          <w:lang w:val="ru-RU"/>
        </w:rPr>
      </w:pPr>
      <w:r>
        <w:rPr>
          <w:lang w:val="ru-RU"/>
        </w:rPr>
        <w:t>Ожидается, что на своем седьмом совещании в 2027 году Конференция Сторон рассмотрит вопрос о продлении срока действия Целевой международной программы сверх изначально предусмотренного периода длительностью в 10 лет с момента создания целевого фонда, который истекает в декабре 2027 года. В соответствии с решением MК-1/6, возможное продление не должно превышать дополнительных семи лет с учетом обзора финансового механизма в соответствии с пунктом 11 статьи 13.</w:t>
      </w:r>
    </w:p>
    <w:p w14:paraId="73628F79" w14:textId="18FD634A" w:rsidR="00B075DF" w:rsidRPr="00F616A8" w:rsidRDefault="00B075DF" w:rsidP="00C51532">
      <w:pPr>
        <w:pStyle w:val="Normalnumber"/>
        <w:numPr>
          <w:ilvl w:val="0"/>
          <w:numId w:val="24"/>
        </w:numPr>
        <w:spacing w:after="240"/>
        <w:ind w:left="1247" w:firstLine="0"/>
        <w:rPr>
          <w:lang w:val="ru-RU"/>
        </w:rPr>
      </w:pPr>
      <w:r>
        <w:rPr>
          <w:lang w:val="ru-RU"/>
        </w:rPr>
        <w:t>Завершение третьего обзора механизма</w:t>
      </w:r>
      <w:r w:rsidR="00F616A8">
        <w:rPr>
          <w:lang w:val="ru-RU"/>
        </w:rPr>
        <w:t xml:space="preserve"> финансирования</w:t>
      </w:r>
      <w:r>
        <w:rPr>
          <w:lang w:val="ru-RU"/>
        </w:rPr>
        <w:t xml:space="preserve"> и его рассмотрение Конференцией Сторон на ее седьмом совещании должно стать основой для принятия Конференцией Сторон ожидаемого решения о продлении срока действия Целевой международной программы. </w:t>
      </w:r>
    </w:p>
    <w:p w14:paraId="2726FD2F" w14:textId="1C07489A" w:rsidR="00B075DF" w:rsidRPr="00F616A8" w:rsidRDefault="00C51532" w:rsidP="00C51532">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ED5D10">
        <w:rPr>
          <w:bCs/>
          <w:lang w:val="ru-RU"/>
        </w:rPr>
        <w:tab/>
      </w:r>
      <w:r w:rsidR="00B075DF">
        <w:rPr>
          <w:bCs/>
          <w:lang w:val="ru-RU"/>
        </w:rPr>
        <w:t>III.</w:t>
      </w:r>
      <w:r w:rsidR="00B075DF">
        <w:rPr>
          <w:lang w:val="ru-RU"/>
        </w:rPr>
        <w:tab/>
      </w:r>
      <w:r w:rsidRPr="00B675EC">
        <w:rPr>
          <w:lang w:val="ru-RU"/>
        </w:rPr>
        <w:tab/>
      </w:r>
      <w:r w:rsidR="00B075DF">
        <w:rPr>
          <w:bCs/>
          <w:lang w:val="ru-RU"/>
        </w:rPr>
        <w:t>Предлагаемые меры для принятия Конференцией Сторон</w:t>
      </w:r>
    </w:p>
    <w:p w14:paraId="1DCBC107" w14:textId="77777777" w:rsidR="00B075DF" w:rsidRPr="00F616A8" w:rsidRDefault="00B075DF" w:rsidP="007B0C97">
      <w:pPr>
        <w:pStyle w:val="Normalnumber"/>
        <w:numPr>
          <w:ilvl w:val="0"/>
          <w:numId w:val="24"/>
        </w:numPr>
        <w:ind w:left="1247" w:firstLine="0"/>
        <w:rPr>
          <w:lang w:val="ru-RU"/>
        </w:rPr>
      </w:pPr>
      <w:r>
        <w:rPr>
          <w:lang w:val="ru-RU"/>
        </w:rPr>
        <w:t>В свете содержащегося в пункте 11 статьи 13 требования о том, чтобы Конференция Сторон регулярно пересматривала механизм финансирования, учрежденный в соответствии со статьей 13, Конференция Сторон может пожелать рассмотреть информацию о третьем обзоре, содержащуюся в настоящей записке, и принять решение, аналогичное проекту решения, изложенному в приложении I к записке.</w:t>
      </w:r>
    </w:p>
    <w:p w14:paraId="2CB8F1ED"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rPr>
          <w:lang w:val="ru-RU"/>
        </w:rPr>
      </w:pPr>
      <w:r w:rsidRPr="00F616A8">
        <w:rPr>
          <w:lang w:val="ru-RU"/>
        </w:rPr>
        <w:br w:type="page"/>
      </w:r>
    </w:p>
    <w:p w14:paraId="4E25D668" w14:textId="77777777" w:rsidR="00B075DF" w:rsidRPr="00F616A8" w:rsidRDefault="00B075DF" w:rsidP="00C51532">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w:t>
      </w:r>
    </w:p>
    <w:p w14:paraId="1C9F2E4C" w14:textId="77777777" w:rsidR="00B075DF" w:rsidRPr="00F616A8" w:rsidRDefault="00B075DF" w:rsidP="00C51532">
      <w:pPr>
        <w:pStyle w:val="ZZAnxtitle"/>
        <w:tabs>
          <w:tab w:val="clear" w:pos="624"/>
          <w:tab w:val="clear" w:pos="1247"/>
          <w:tab w:val="clear" w:pos="1871"/>
          <w:tab w:val="clear" w:pos="2495"/>
          <w:tab w:val="clear" w:pos="3119"/>
          <w:tab w:val="clear" w:pos="3742"/>
          <w:tab w:val="clear" w:pos="4366"/>
          <w:tab w:val="clear" w:pos="4990"/>
        </w:tabs>
        <w:spacing w:before="0"/>
        <w:rPr>
          <w:lang w:val="ru-RU"/>
        </w:rPr>
      </w:pPr>
      <w:r>
        <w:rPr>
          <w:lang w:val="ru-RU"/>
        </w:rPr>
        <w:t>Проект решения MК-6</w:t>
      </w:r>
      <w:proofErr w:type="gramStart"/>
      <w:r>
        <w:rPr>
          <w:lang w:val="ru-RU"/>
        </w:rPr>
        <w:t>/[</w:t>
      </w:r>
      <w:proofErr w:type="gramEnd"/>
      <w:r>
        <w:rPr>
          <w:lang w:val="ru-RU"/>
        </w:rPr>
        <w:t>--]: Третий обзор механизма финансирования</w:t>
      </w:r>
    </w:p>
    <w:p w14:paraId="21BFDD46"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i/>
          <w:iCs/>
          <w:lang w:val="ru-RU"/>
        </w:rPr>
      </w:pPr>
      <w:r>
        <w:rPr>
          <w:i/>
          <w:iCs/>
          <w:lang w:val="ru-RU"/>
        </w:rPr>
        <w:t>Конференция Сторон,</w:t>
      </w:r>
    </w:p>
    <w:p w14:paraId="58987ABA"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i/>
          <w:iCs/>
          <w:lang w:val="ru-RU"/>
        </w:rPr>
      </w:pPr>
      <w:r>
        <w:rPr>
          <w:i/>
          <w:iCs/>
          <w:lang w:val="ru-RU"/>
        </w:rPr>
        <w:t xml:space="preserve">признавая </w:t>
      </w:r>
      <w:r>
        <w:rPr>
          <w:lang w:val="ru-RU"/>
        </w:rPr>
        <w:t>масштабы имеющегося опыта и информации, которые необходимо учесть и использовать при проведении третьего обзора механизма финансирования,</w:t>
      </w:r>
    </w:p>
    <w:p w14:paraId="6CA92987"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принимая во внимание</w:t>
      </w:r>
      <w:r>
        <w:rPr>
          <w:lang w:val="ru-RU"/>
        </w:rPr>
        <w:t xml:space="preserve"> пункт 11 статьи 13 Минаматской конвенции о ртути, в котором говорится об обзоре механизма финансирования,</w:t>
      </w:r>
    </w:p>
    <w:p w14:paraId="30AB18D4" w14:textId="77777777" w:rsidR="00B075DF" w:rsidRPr="00F616A8" w:rsidRDefault="00B075DF" w:rsidP="007B0C97">
      <w:pPr>
        <w:pStyle w:val="Normal-pool"/>
        <w:numPr>
          <w:ilvl w:val="3"/>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принимает </w:t>
      </w:r>
      <w:r>
        <w:rPr>
          <w:lang w:val="ru-RU"/>
        </w:rPr>
        <w:t>положение о проведении третьего обзора механизма финансирования, изложенное в приложении к настоящему решению;</w:t>
      </w:r>
    </w:p>
    <w:p w14:paraId="2EE44F5D" w14:textId="77777777" w:rsidR="00B075DF" w:rsidRPr="00F616A8" w:rsidRDefault="00B075DF" w:rsidP="007B0C97">
      <w:pPr>
        <w:pStyle w:val="Normal-pool"/>
        <w:numPr>
          <w:ilvl w:val="3"/>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предлагает </w:t>
      </w:r>
      <w:r>
        <w:rPr>
          <w:lang w:val="ru-RU"/>
        </w:rPr>
        <w:t>Сторонам, межправительственным организациям, неправительственным организациям и заинтересованным сторонам как можно скорее, но не позднее 30 апреля 2026 года, представить информацию, соответствующую положению о проведении обзора и оформленную в соответствии с перечисленными критериями эффективности, об их опыте взаимодействия с механизмом финансирования;</w:t>
      </w:r>
    </w:p>
    <w:p w14:paraId="07C56E2B" w14:textId="0DAD4B39" w:rsidR="00B075DF" w:rsidRPr="00F616A8" w:rsidRDefault="00B075DF" w:rsidP="007B0C97">
      <w:pPr>
        <w:pStyle w:val="Normal-pool"/>
        <w:numPr>
          <w:ilvl w:val="3"/>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поручает </w:t>
      </w:r>
      <w:r>
        <w:rPr>
          <w:lang w:val="ru-RU"/>
        </w:rPr>
        <w:t>секретариату собрать информацию, относящуюся к третьему обзору механизма финансирования, и представить ее Конференции Сторон для рассмотрения на ее седьмом совещании</w:t>
      </w:r>
      <w:r w:rsidR="00C51532" w:rsidRPr="00C51532">
        <w:rPr>
          <w:lang w:val="ru-RU"/>
        </w:rPr>
        <w:t>.</w:t>
      </w:r>
    </w:p>
    <w:p w14:paraId="3C2010C2" w14:textId="77777777" w:rsidR="00B075DF" w:rsidRPr="00F616A8" w:rsidRDefault="00B075DF" w:rsidP="007B0C97">
      <w:pPr>
        <w:rPr>
          <w:lang w:val="ru-RU" w:eastAsia="en-US"/>
        </w:rPr>
      </w:pPr>
      <w:r w:rsidRPr="00F616A8">
        <w:rPr>
          <w:lang w:val="ru-RU"/>
        </w:rPr>
        <w:br w:type="page"/>
      </w:r>
    </w:p>
    <w:p w14:paraId="352FB19A" w14:textId="77777777" w:rsidR="00B075DF" w:rsidRPr="00F616A8" w:rsidRDefault="00B075DF" w:rsidP="00C51532">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II</w:t>
      </w:r>
    </w:p>
    <w:p w14:paraId="01BD3398" w14:textId="77777777" w:rsidR="00B075DF" w:rsidRPr="00F616A8" w:rsidRDefault="00B075DF" w:rsidP="00C51532">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Проект положения о проведении третьего обзора механизма финансирования</w:t>
      </w:r>
    </w:p>
    <w:p w14:paraId="52710F1B" w14:textId="5D3F76B0" w:rsidR="00B075DF" w:rsidRPr="005C6AFE" w:rsidRDefault="00C51532" w:rsidP="00C51532">
      <w:pPr>
        <w:pStyle w:val="CH2"/>
        <w:keepNext w:val="0"/>
        <w:keepLines w:val="0"/>
        <w:tabs>
          <w:tab w:val="clear" w:pos="1247"/>
          <w:tab w:val="clear" w:pos="1871"/>
          <w:tab w:val="clear" w:pos="2495"/>
          <w:tab w:val="clear" w:pos="3119"/>
          <w:tab w:val="clear" w:pos="3742"/>
          <w:tab w:val="clear" w:pos="4366"/>
          <w:tab w:val="clear" w:pos="4990"/>
        </w:tabs>
        <w:spacing w:before="0"/>
        <w:rPr>
          <w:b w:val="0"/>
        </w:rPr>
      </w:pPr>
      <w:r w:rsidRPr="00ED5D10">
        <w:rPr>
          <w:bCs/>
          <w:lang w:val="ru-RU"/>
        </w:rPr>
        <w:tab/>
      </w:r>
      <w:r w:rsidR="00B075DF">
        <w:rPr>
          <w:bCs/>
          <w:lang w:val="ru-RU"/>
        </w:rPr>
        <w:t>A.</w:t>
      </w:r>
      <w:r w:rsidR="00B075DF">
        <w:rPr>
          <w:lang w:val="ru-RU"/>
        </w:rPr>
        <w:tab/>
      </w:r>
      <w:r w:rsidR="00B075DF">
        <w:rPr>
          <w:bCs/>
          <w:lang w:val="ru-RU"/>
        </w:rPr>
        <w:t>Задача</w:t>
      </w:r>
      <w:r w:rsidR="00B075DF">
        <w:rPr>
          <w:lang w:val="ru-RU"/>
        </w:rPr>
        <w:t xml:space="preserve"> </w:t>
      </w:r>
    </w:p>
    <w:p w14:paraId="565D6430" w14:textId="19D9B01B" w:rsidR="00B075DF" w:rsidRPr="00F616A8" w:rsidRDefault="00B075DF" w:rsidP="007B0C97">
      <w:pPr>
        <w:pStyle w:val="Normalnumber"/>
        <w:numPr>
          <w:ilvl w:val="0"/>
          <w:numId w:val="18"/>
        </w:numPr>
        <w:ind w:left="1247" w:firstLine="0"/>
        <w:rPr>
          <w:lang w:val="ru-RU"/>
        </w:rPr>
      </w:pPr>
      <w:r>
        <w:rPr>
          <w:lang w:val="ru-RU"/>
        </w:rPr>
        <w:t>В соответствии с пунктом 11 статьи 13 Минаматской конвенции о ртути Конференция Сторон должна рассмотреть механизм</w:t>
      </w:r>
      <w:r w:rsidR="00F616A8">
        <w:rPr>
          <w:lang w:val="ru-RU"/>
        </w:rPr>
        <w:t xml:space="preserve"> финансирования</w:t>
      </w:r>
      <w:r>
        <w:rPr>
          <w:lang w:val="ru-RU"/>
        </w:rPr>
        <w:t>, созданный в соответствии со статьей</w:t>
      </w:r>
      <w:r w:rsidR="00D4736C">
        <w:rPr>
          <w:lang w:val="ru-RU"/>
        </w:rPr>
        <w:t> </w:t>
      </w:r>
      <w:r>
        <w:rPr>
          <w:lang w:val="ru-RU"/>
        </w:rPr>
        <w:t>13 для поддержки Сторон в осуществлении Конвенции, на предмет принятия, в случае необходимости, соответствующих мер для повышения эффективности механизма</w:t>
      </w:r>
      <w:r w:rsidR="00F616A8">
        <w:rPr>
          <w:lang w:val="ru-RU"/>
        </w:rPr>
        <w:t xml:space="preserve"> финансирования</w:t>
      </w:r>
      <w:r>
        <w:rPr>
          <w:lang w:val="ru-RU"/>
        </w:rPr>
        <w:t xml:space="preserve">. В соответствии с пунктом 11 статьи 13 в обзоре должны быть проанализированы: </w:t>
      </w:r>
    </w:p>
    <w:p w14:paraId="57D96D10" w14:textId="77777777" w:rsidR="00B075DF" w:rsidRPr="005C6AFE" w:rsidRDefault="00B075DF" w:rsidP="007B0C97">
      <w:pPr>
        <w:pStyle w:val="Normalnumber"/>
        <w:numPr>
          <w:ilvl w:val="0"/>
          <w:numId w:val="19"/>
        </w:numPr>
        <w:ind w:left="1247" w:firstLine="624"/>
      </w:pPr>
      <w:r>
        <w:rPr>
          <w:lang w:val="ru-RU"/>
        </w:rPr>
        <w:t xml:space="preserve">уровень финансирования; </w:t>
      </w:r>
    </w:p>
    <w:p w14:paraId="4B39E0AB" w14:textId="090AD66E" w:rsidR="00B075DF" w:rsidRPr="00F616A8" w:rsidRDefault="00B075DF" w:rsidP="007B0C97">
      <w:pPr>
        <w:pStyle w:val="Normalnumber"/>
        <w:numPr>
          <w:ilvl w:val="0"/>
          <w:numId w:val="19"/>
        </w:numPr>
        <w:ind w:left="1247" w:firstLine="624"/>
        <w:rPr>
          <w:lang w:val="ru-RU"/>
        </w:rPr>
      </w:pPr>
      <w:r>
        <w:rPr>
          <w:lang w:val="ru-RU"/>
        </w:rPr>
        <w:t>способность механизма</w:t>
      </w:r>
      <w:r w:rsidR="00F616A8">
        <w:rPr>
          <w:lang w:val="ru-RU"/>
        </w:rPr>
        <w:t xml:space="preserve"> финансирования</w:t>
      </w:r>
      <w:r>
        <w:rPr>
          <w:lang w:val="ru-RU"/>
        </w:rPr>
        <w:t xml:space="preserve"> мобилизовывать ресурсы из всех источников, уровень и тип финансирования, включая различие между целевыми и нецелевыми добровольными взносами;</w:t>
      </w:r>
    </w:p>
    <w:p w14:paraId="066CE281" w14:textId="77777777" w:rsidR="00B075DF" w:rsidRPr="00F616A8" w:rsidRDefault="00B075DF" w:rsidP="007B0C97">
      <w:pPr>
        <w:pStyle w:val="Normalnumber"/>
        <w:numPr>
          <w:ilvl w:val="0"/>
          <w:numId w:val="19"/>
        </w:numPr>
        <w:ind w:left="1247" w:firstLine="624"/>
        <w:rPr>
          <w:lang w:val="ru-RU"/>
        </w:rPr>
      </w:pPr>
      <w:r>
        <w:rPr>
          <w:lang w:val="ru-RU"/>
        </w:rPr>
        <w:t xml:space="preserve">руководящие указания, представленные Конференцией Сторон Глобальному экологическому фонду и Целевой международной программе для поддержки процессов создания потенциала и оказания технической помощи в качестве органов, которым поручено обеспечить работоспособность механизма финансирования; </w:t>
      </w:r>
    </w:p>
    <w:p w14:paraId="1A3A354C" w14:textId="40C7C368" w:rsidR="00B075DF" w:rsidRPr="00F616A8" w:rsidRDefault="00B075DF" w:rsidP="007B0C97">
      <w:pPr>
        <w:pStyle w:val="Normalnumber"/>
        <w:numPr>
          <w:ilvl w:val="0"/>
          <w:numId w:val="19"/>
        </w:numPr>
        <w:ind w:left="1247" w:firstLine="624"/>
        <w:rPr>
          <w:lang w:val="ru-RU"/>
        </w:rPr>
      </w:pPr>
      <w:r>
        <w:rPr>
          <w:lang w:val="ru-RU"/>
        </w:rPr>
        <w:t xml:space="preserve">эффективность и действенность Глобального экологического фонда и Целевой международной программы в качестве органов, которым поручено обеспечить работоспособность механизма финансирования; </w:t>
      </w:r>
    </w:p>
    <w:p w14:paraId="461B748F" w14:textId="77777777" w:rsidR="00B075DF" w:rsidRPr="00F616A8" w:rsidRDefault="00B075DF" w:rsidP="007B0C97">
      <w:pPr>
        <w:pStyle w:val="Normalnumber"/>
        <w:numPr>
          <w:ilvl w:val="0"/>
          <w:numId w:val="19"/>
        </w:numPr>
        <w:ind w:left="1247" w:firstLine="624"/>
        <w:rPr>
          <w:lang w:val="ru-RU"/>
        </w:rPr>
      </w:pPr>
      <w:r>
        <w:rPr>
          <w:lang w:val="ru-RU"/>
        </w:rPr>
        <w:t xml:space="preserve">способность этих двух органов механизма финансирования удовлетворять изменяющиеся потребности Сторон, являющихся развивающимися странами и странами с переходной экономикой. </w:t>
      </w:r>
    </w:p>
    <w:p w14:paraId="26536486" w14:textId="66B915D4" w:rsidR="00B075DF" w:rsidRPr="00F616A8" w:rsidRDefault="00C51532" w:rsidP="00C51532">
      <w:pPr>
        <w:pStyle w:val="CH2"/>
        <w:keepNext w:val="0"/>
        <w:keepLines w:val="0"/>
        <w:tabs>
          <w:tab w:val="clear" w:pos="1247"/>
          <w:tab w:val="clear" w:pos="1871"/>
          <w:tab w:val="clear" w:pos="2495"/>
          <w:tab w:val="clear" w:pos="3119"/>
          <w:tab w:val="clear" w:pos="3742"/>
          <w:tab w:val="clear" w:pos="4366"/>
          <w:tab w:val="clear" w:pos="4990"/>
        </w:tabs>
        <w:spacing w:before="0"/>
        <w:rPr>
          <w:bCs/>
          <w:sz w:val="28"/>
          <w:szCs w:val="26"/>
          <w:lang w:val="ru-RU"/>
        </w:rPr>
      </w:pPr>
      <w:r w:rsidRPr="00ED5D10">
        <w:rPr>
          <w:bCs/>
          <w:lang w:val="ru-RU"/>
        </w:rPr>
        <w:tab/>
      </w:r>
      <w:r w:rsidR="00B075DF">
        <w:rPr>
          <w:bCs/>
          <w:lang w:val="ru-RU"/>
        </w:rPr>
        <w:t>B.</w:t>
      </w:r>
      <w:r w:rsidR="00B075DF">
        <w:rPr>
          <w:lang w:val="ru-RU"/>
        </w:rPr>
        <w:tab/>
      </w:r>
      <w:r w:rsidR="00B075DF">
        <w:rPr>
          <w:bCs/>
          <w:lang w:val="ru-RU"/>
        </w:rPr>
        <w:t>Методология</w:t>
      </w:r>
      <w:r w:rsidR="00B075DF">
        <w:rPr>
          <w:lang w:val="ru-RU"/>
        </w:rPr>
        <w:t xml:space="preserve"> </w:t>
      </w:r>
    </w:p>
    <w:p w14:paraId="68442299" w14:textId="77777777" w:rsidR="00B075DF" w:rsidRPr="00F616A8" w:rsidRDefault="00B075DF" w:rsidP="007B0C97">
      <w:pPr>
        <w:pStyle w:val="Normalnumber"/>
        <w:numPr>
          <w:ilvl w:val="0"/>
          <w:numId w:val="18"/>
        </w:numPr>
        <w:ind w:left="1247" w:firstLine="0"/>
        <w:rPr>
          <w:lang w:val="ru-RU"/>
        </w:rPr>
      </w:pPr>
      <w:r>
        <w:rPr>
          <w:lang w:val="ru-RU"/>
        </w:rPr>
        <w:t>Третий обзор будет охватывать работу механизма финансирования в период с августа 2022 года (сразу после завершения периода, охваченного вторым обзором) по июнь 2026 года, когда завершится восьмое пополнение целевого фонда Глобального экологического фонда, включая третий и четвертый раунды подачи заявок на участие в Целевой международной программе, с акцентом на мероприятия, завершенные в этот период.</w:t>
      </w:r>
    </w:p>
    <w:p w14:paraId="18F03115" w14:textId="77777777" w:rsidR="00B075DF" w:rsidRPr="00F616A8" w:rsidRDefault="00B075DF" w:rsidP="007B0C97">
      <w:pPr>
        <w:pStyle w:val="Normalnumber"/>
        <w:numPr>
          <w:ilvl w:val="0"/>
          <w:numId w:val="18"/>
        </w:numPr>
        <w:ind w:left="1247" w:firstLine="0"/>
        <w:rPr>
          <w:lang w:val="ru-RU"/>
        </w:rPr>
      </w:pPr>
      <w:r>
        <w:rPr>
          <w:lang w:val="ru-RU"/>
        </w:rPr>
        <w:t xml:space="preserve">В обзоре будут использованы, в частности, следующие источники информации: </w:t>
      </w:r>
    </w:p>
    <w:p w14:paraId="5197C2E0" w14:textId="520EC43E" w:rsidR="00B075DF" w:rsidRPr="00F616A8" w:rsidRDefault="00B075DF" w:rsidP="007B0C97">
      <w:pPr>
        <w:pStyle w:val="Normalnumber"/>
        <w:numPr>
          <w:ilvl w:val="0"/>
          <w:numId w:val="20"/>
        </w:numPr>
        <w:ind w:left="1247" w:firstLine="624"/>
        <w:rPr>
          <w:lang w:val="ru-RU"/>
        </w:rPr>
      </w:pPr>
      <w:r>
        <w:rPr>
          <w:lang w:val="ru-RU"/>
        </w:rPr>
        <w:t>представленная Сторонами информация об их опыте взаимодействия с механизмом</w:t>
      </w:r>
      <w:r w:rsidR="00F616A8">
        <w:rPr>
          <w:lang w:val="ru-RU"/>
        </w:rPr>
        <w:t xml:space="preserve"> финансирования</w:t>
      </w:r>
      <w:r>
        <w:rPr>
          <w:lang w:val="ru-RU"/>
        </w:rPr>
        <w:t xml:space="preserve">, организованная в соответствии с критериями эффективности, изложенными в разделе D настоящего Положения; </w:t>
      </w:r>
    </w:p>
    <w:p w14:paraId="461BF9D2" w14:textId="77777777" w:rsidR="00B075DF" w:rsidRPr="00F616A8" w:rsidRDefault="00B075DF" w:rsidP="007B0C97">
      <w:pPr>
        <w:pStyle w:val="Normalnumber"/>
        <w:numPr>
          <w:ilvl w:val="0"/>
          <w:numId w:val="20"/>
        </w:numPr>
        <w:ind w:left="1247" w:firstLine="624"/>
        <w:rPr>
          <w:lang w:val="ru-RU"/>
        </w:rPr>
      </w:pPr>
      <w:r>
        <w:rPr>
          <w:lang w:val="ru-RU"/>
        </w:rPr>
        <w:t xml:space="preserve">доклады, представленные Конференции Сторон органами, которым поручено обеспечить работоспособность механизма финансирования; </w:t>
      </w:r>
    </w:p>
    <w:p w14:paraId="3A4BBD17" w14:textId="77777777" w:rsidR="00B075DF" w:rsidRPr="00F616A8" w:rsidRDefault="00B075DF" w:rsidP="007B0C97">
      <w:pPr>
        <w:pStyle w:val="Normalnumber"/>
        <w:numPr>
          <w:ilvl w:val="0"/>
          <w:numId w:val="20"/>
        </w:numPr>
        <w:ind w:left="1247" w:firstLine="624"/>
        <w:rPr>
          <w:lang w:val="ru-RU"/>
        </w:rPr>
      </w:pPr>
      <w:r>
        <w:rPr>
          <w:lang w:val="ru-RU"/>
        </w:rPr>
        <w:t xml:space="preserve">другие доклады, представленные органами, которым поручено обеспечить работоспособность механизма финансирования, включая, в частности, доклады Управления независимой оценки Глобального экологического фонда, итоговые доклады об обзоре и оценке завершенных проектов в рамках Целевой международной программы и доклады о текущих и завершенных проектах в рамках Целевой международной программы; </w:t>
      </w:r>
    </w:p>
    <w:p w14:paraId="06A1DFFE" w14:textId="06B7FCDA" w:rsidR="00B075DF" w:rsidRPr="005C6AFE" w:rsidRDefault="00B075DF" w:rsidP="007B0C97">
      <w:pPr>
        <w:pStyle w:val="Normalnumber"/>
        <w:numPr>
          <w:ilvl w:val="0"/>
          <w:numId w:val="20"/>
        </w:numPr>
        <w:ind w:left="1247" w:firstLine="624"/>
      </w:pPr>
      <w:r>
        <w:rPr>
          <w:lang w:val="ru-RU"/>
        </w:rPr>
        <w:t xml:space="preserve">соответствующие доклады и информация, представленные межправительственными и неправительственными организациями; заинтересованными сторонами; другими структурами, занимающимися оказанием финансовой и технической помощи на многосторонней, региональной и двусторонней </w:t>
      </w:r>
      <w:r w:rsidR="00792170">
        <w:rPr>
          <w:lang w:val="ru-RU"/>
        </w:rPr>
        <w:t>основах</w:t>
      </w:r>
      <w:r>
        <w:rPr>
          <w:lang w:val="ru-RU"/>
        </w:rPr>
        <w:t>, в соответствии с пунктами</w:t>
      </w:r>
      <w:r w:rsidR="00EF5A31">
        <w:rPr>
          <w:lang w:val="ru-RU"/>
        </w:rPr>
        <w:t> </w:t>
      </w:r>
      <w:r>
        <w:rPr>
          <w:lang w:val="ru-RU"/>
        </w:rPr>
        <w:t xml:space="preserve">1 и 3 статьи 13 Конвенции; Специальной программой для оказания поддержки деятельности по укреплению институционального потенциала на национальном уровне в интересах осуществления Базельской, Роттердамской и Стокгольмской конвенций, Минаматской конвенции о ртути, Стратегического подхода к международному регулированию химических веществ и Глобальной рамочной программой по химическим веществам «Ради планеты, свободной от вредного воздействия химических веществ и отходов» (с учетом взаимодополняемости и без дублирования); Фондом Глобальной рамочной программы по химическим веществам; и Глобальным партнерством по ртути (в связи с его взаимодействием с </w:t>
      </w:r>
      <w:r>
        <w:rPr>
          <w:lang w:val="ru-RU"/>
        </w:rPr>
        <w:lastRenderedPageBreak/>
        <w:t>механизмом финансирования с целью содействия осуществлению Минаматской конвенции о ртути);</w:t>
      </w:r>
    </w:p>
    <w:p w14:paraId="0B1AD570" w14:textId="77777777" w:rsidR="00B075DF" w:rsidRPr="00F616A8" w:rsidRDefault="00B075DF" w:rsidP="007B0C97">
      <w:pPr>
        <w:pStyle w:val="Normalnumber"/>
        <w:numPr>
          <w:ilvl w:val="0"/>
          <w:numId w:val="20"/>
        </w:numPr>
        <w:ind w:left="1247" w:firstLine="624"/>
        <w:rPr>
          <w:lang w:val="ru-RU"/>
        </w:rPr>
      </w:pPr>
      <w:r>
        <w:rPr>
          <w:lang w:val="ru-RU"/>
        </w:rPr>
        <w:t>доклад о среднесрочной оценке Целевой международной программы;</w:t>
      </w:r>
    </w:p>
    <w:p w14:paraId="1F7AEC14" w14:textId="77777777" w:rsidR="00B075DF" w:rsidRPr="00F616A8" w:rsidRDefault="00B075DF" w:rsidP="007B0C97">
      <w:pPr>
        <w:pStyle w:val="Normalnumber"/>
        <w:numPr>
          <w:ilvl w:val="0"/>
          <w:numId w:val="20"/>
        </w:numPr>
        <w:ind w:left="1247" w:firstLine="624"/>
        <w:rPr>
          <w:lang w:val="ru-RU"/>
        </w:rPr>
      </w:pPr>
      <w:r>
        <w:rPr>
          <w:lang w:val="ru-RU"/>
        </w:rPr>
        <w:t>доклады, представляемые Сторонами во исполнение положений статьи 21 Конвенции.</w:t>
      </w:r>
    </w:p>
    <w:p w14:paraId="49BF6C32" w14:textId="77777777" w:rsidR="00B075DF" w:rsidRPr="00F616A8" w:rsidRDefault="00B075DF" w:rsidP="007B0C97">
      <w:pPr>
        <w:pStyle w:val="Normalnumber"/>
        <w:numPr>
          <w:ilvl w:val="0"/>
          <w:numId w:val="18"/>
        </w:numPr>
        <w:ind w:left="1247" w:firstLine="0"/>
        <w:rPr>
          <w:lang w:val="ru-RU"/>
        </w:rPr>
      </w:pPr>
      <w:r>
        <w:rPr>
          <w:lang w:val="ru-RU"/>
        </w:rPr>
        <w:t xml:space="preserve">В соответствии с Положением секретариат планирует, при условии наличия ресурсов: </w:t>
      </w:r>
    </w:p>
    <w:p w14:paraId="4FA68517" w14:textId="77777777" w:rsidR="00B075DF" w:rsidRPr="00F616A8" w:rsidRDefault="00B075DF" w:rsidP="007B0C97">
      <w:pPr>
        <w:pStyle w:val="Normalnumber"/>
        <w:numPr>
          <w:ilvl w:val="0"/>
          <w:numId w:val="21"/>
        </w:numPr>
        <w:ind w:left="1247" w:firstLine="624"/>
        <w:rPr>
          <w:lang w:val="ru-RU"/>
        </w:rPr>
      </w:pPr>
      <w:r>
        <w:rPr>
          <w:lang w:val="ru-RU"/>
        </w:rPr>
        <w:t xml:space="preserve">принять надлежащие организационные меры для того, чтобы проведение третьего обзора механизма финансирования носило независимый, транспарентный, эффективный и действенный характер; </w:t>
      </w:r>
    </w:p>
    <w:p w14:paraId="424CB5C5" w14:textId="77777777" w:rsidR="00B075DF" w:rsidRPr="00F616A8" w:rsidRDefault="00B075DF" w:rsidP="007B0C97">
      <w:pPr>
        <w:pStyle w:val="Normalnumber"/>
        <w:numPr>
          <w:ilvl w:val="0"/>
          <w:numId w:val="21"/>
        </w:numPr>
        <w:ind w:left="1247" w:firstLine="624"/>
        <w:rPr>
          <w:lang w:val="ru-RU"/>
        </w:rPr>
      </w:pPr>
      <w:r>
        <w:rPr>
          <w:lang w:val="ru-RU"/>
        </w:rPr>
        <w:t xml:space="preserve">нанять консультанта для подготовки проекта доклада о полученной информации; </w:t>
      </w:r>
    </w:p>
    <w:p w14:paraId="13E62E6C" w14:textId="77777777" w:rsidR="00B075DF" w:rsidRPr="00F616A8" w:rsidRDefault="00B075DF" w:rsidP="007B0C97">
      <w:pPr>
        <w:pStyle w:val="Normalnumber"/>
        <w:numPr>
          <w:ilvl w:val="0"/>
          <w:numId w:val="21"/>
        </w:numPr>
        <w:ind w:left="1247" w:firstLine="624"/>
        <w:rPr>
          <w:lang w:val="ru-RU"/>
        </w:rPr>
      </w:pPr>
      <w:r>
        <w:rPr>
          <w:lang w:val="ru-RU"/>
        </w:rPr>
        <w:t xml:space="preserve">представить проект доклада по итогам обзора Конференции Сторон для рассмотрения на ее седьмом совещании. </w:t>
      </w:r>
    </w:p>
    <w:p w14:paraId="008F8F46" w14:textId="12366E4A" w:rsidR="00B075DF" w:rsidRPr="00F616A8" w:rsidRDefault="00B075DF" w:rsidP="007B0C97">
      <w:pPr>
        <w:pStyle w:val="Normalnumber"/>
        <w:numPr>
          <w:ilvl w:val="0"/>
          <w:numId w:val="18"/>
        </w:numPr>
        <w:ind w:left="1247" w:firstLine="0"/>
        <w:rPr>
          <w:lang w:val="ru-RU"/>
        </w:rPr>
      </w:pPr>
      <w:r>
        <w:rPr>
          <w:lang w:val="ru-RU"/>
        </w:rPr>
        <w:t xml:space="preserve">Органам, которым поручено обеспечить </w:t>
      </w:r>
      <w:r w:rsidR="00F248EE">
        <w:rPr>
          <w:lang w:val="ru-RU"/>
        </w:rPr>
        <w:t>работоспособность</w:t>
      </w:r>
      <w:r>
        <w:rPr>
          <w:lang w:val="ru-RU"/>
        </w:rPr>
        <w:t xml:space="preserve"> механизма финансирования, необходимо своевременно представлять информацию, относящуюся к этому обзору.</w:t>
      </w:r>
    </w:p>
    <w:p w14:paraId="1E782016" w14:textId="77777777" w:rsidR="00B075DF" w:rsidRPr="00F616A8" w:rsidRDefault="00B075DF" w:rsidP="007B0C97">
      <w:pPr>
        <w:pStyle w:val="Normalnumber"/>
        <w:numPr>
          <w:ilvl w:val="0"/>
          <w:numId w:val="18"/>
        </w:numPr>
        <w:ind w:left="1247" w:firstLine="0"/>
        <w:rPr>
          <w:lang w:val="ru-RU"/>
        </w:rPr>
      </w:pPr>
      <w:r>
        <w:rPr>
          <w:lang w:val="ru-RU"/>
        </w:rPr>
        <w:t xml:space="preserve">К Сторонам обращается призыв представить информацию во исполнение пункта 3 а) выше как можно скорее и не позднее 30 апреля 2026 года. </w:t>
      </w:r>
    </w:p>
    <w:p w14:paraId="0173B38E" w14:textId="77777777" w:rsidR="00B075DF" w:rsidRPr="00F616A8" w:rsidRDefault="00B075DF" w:rsidP="007B0C97">
      <w:pPr>
        <w:pStyle w:val="Normalnumber"/>
        <w:numPr>
          <w:ilvl w:val="0"/>
          <w:numId w:val="18"/>
        </w:numPr>
        <w:ind w:left="1247" w:firstLine="0"/>
        <w:rPr>
          <w:lang w:val="ru-RU"/>
        </w:rPr>
      </w:pPr>
      <w:r>
        <w:rPr>
          <w:lang w:val="ru-RU"/>
        </w:rPr>
        <w:t>К межправительственным и неправительственным организациям, заинтересованным сторонам, Целевой программе, Фонду Глобальной рамочной программы по химическим веществам, Глобальному партнерству по ртути и соответствующим структурам, оказывающим многостороннюю, региональную и двустороннюю финансовую и техническую помощь, обращается призыв представить информацию в соответствии с задачами настоящего обзора как можно скорее и не позднее 30 апреля 2026 года.</w:t>
      </w:r>
    </w:p>
    <w:p w14:paraId="4EBBF91B" w14:textId="65874253" w:rsidR="00B075DF" w:rsidRPr="005C6AFE" w:rsidRDefault="00C51532" w:rsidP="00C51532">
      <w:pPr>
        <w:pStyle w:val="CH2"/>
        <w:keepNext w:val="0"/>
        <w:keepLines w:val="0"/>
        <w:tabs>
          <w:tab w:val="clear" w:pos="1247"/>
          <w:tab w:val="clear" w:pos="1871"/>
          <w:tab w:val="clear" w:pos="2495"/>
          <w:tab w:val="clear" w:pos="3119"/>
          <w:tab w:val="clear" w:pos="3742"/>
          <w:tab w:val="clear" w:pos="4366"/>
          <w:tab w:val="clear" w:pos="4990"/>
        </w:tabs>
        <w:spacing w:before="0"/>
        <w:rPr>
          <w:b w:val="0"/>
        </w:rPr>
      </w:pPr>
      <w:r w:rsidRPr="00B675EC">
        <w:rPr>
          <w:bCs/>
          <w:lang w:val="ru-RU"/>
        </w:rPr>
        <w:tab/>
      </w:r>
      <w:r w:rsidR="00B075DF">
        <w:rPr>
          <w:bCs/>
          <w:lang w:val="ru-RU"/>
        </w:rPr>
        <w:t>C.</w:t>
      </w:r>
      <w:r w:rsidR="00B075DF">
        <w:rPr>
          <w:lang w:val="ru-RU"/>
        </w:rPr>
        <w:tab/>
      </w:r>
      <w:r w:rsidR="00B075DF">
        <w:rPr>
          <w:bCs/>
          <w:lang w:val="ru-RU"/>
        </w:rPr>
        <w:t>Доклад</w:t>
      </w:r>
    </w:p>
    <w:p w14:paraId="1C5070F1" w14:textId="461B8365" w:rsidR="00B075DF" w:rsidRPr="00F616A8" w:rsidRDefault="00B075DF" w:rsidP="007B0C97">
      <w:pPr>
        <w:pStyle w:val="Normalnumber"/>
        <w:numPr>
          <w:ilvl w:val="0"/>
          <w:numId w:val="18"/>
        </w:numPr>
        <w:ind w:left="1247" w:firstLine="0"/>
        <w:rPr>
          <w:lang w:val="ru-RU"/>
        </w:rPr>
      </w:pPr>
      <w:r>
        <w:rPr>
          <w:lang w:val="ru-RU"/>
        </w:rPr>
        <w:t>В доклад по итогам третьего обзора будут включен</w:t>
      </w:r>
      <w:r w:rsidR="00F248EE">
        <w:rPr>
          <w:lang w:val="ru-RU"/>
        </w:rPr>
        <w:t>ы</w:t>
      </w:r>
      <w:r>
        <w:rPr>
          <w:lang w:val="ru-RU"/>
        </w:rPr>
        <w:t xml:space="preserve">: </w:t>
      </w:r>
    </w:p>
    <w:p w14:paraId="55099901" w14:textId="77777777" w:rsidR="00B075DF" w:rsidRPr="00F616A8" w:rsidRDefault="00B075DF" w:rsidP="007B0C97">
      <w:pPr>
        <w:pStyle w:val="Normalnumber"/>
        <w:numPr>
          <w:ilvl w:val="0"/>
          <w:numId w:val="22"/>
        </w:numPr>
        <w:ind w:left="1247" w:firstLine="624"/>
        <w:rPr>
          <w:lang w:val="ru-RU"/>
        </w:rPr>
      </w:pPr>
      <w:r>
        <w:rPr>
          <w:lang w:val="ru-RU"/>
        </w:rPr>
        <w:t xml:space="preserve">общий обзор элементов, перечисленных в подпунктах а)–е) пункта 1 выше; </w:t>
      </w:r>
    </w:p>
    <w:p w14:paraId="6C3F91D4" w14:textId="77777777" w:rsidR="00B075DF" w:rsidRPr="00F616A8" w:rsidRDefault="00B075DF" w:rsidP="007B0C97">
      <w:pPr>
        <w:pStyle w:val="Normalnumber"/>
        <w:numPr>
          <w:ilvl w:val="0"/>
          <w:numId w:val="22"/>
        </w:numPr>
        <w:ind w:left="1247" w:firstLine="624"/>
        <w:rPr>
          <w:lang w:val="ru-RU"/>
        </w:rPr>
      </w:pPr>
      <w:r>
        <w:rPr>
          <w:lang w:val="ru-RU"/>
        </w:rPr>
        <w:t xml:space="preserve">анализ уроков, извлеченных из опыта деятельности, финансировавшейся по линии механизма финансирования, в течение охватываемого обзором периода; </w:t>
      </w:r>
    </w:p>
    <w:p w14:paraId="5DCA6361" w14:textId="08658BAC" w:rsidR="00B075DF" w:rsidRPr="00F616A8" w:rsidRDefault="00B075DF" w:rsidP="007B0C97">
      <w:pPr>
        <w:pStyle w:val="Normalnumber"/>
        <w:numPr>
          <w:ilvl w:val="0"/>
          <w:numId w:val="22"/>
        </w:numPr>
        <w:ind w:left="1247" w:firstLine="624"/>
        <w:rPr>
          <w:lang w:val="ru-RU"/>
        </w:rPr>
      </w:pPr>
      <w:r>
        <w:rPr>
          <w:lang w:val="ru-RU"/>
        </w:rPr>
        <w:t xml:space="preserve">оценка принятых Фондом глобальной окружающей среды принципов относительно дополнительных издержек и глобальных экологических выгод в той части, которая касается деятельности по выполнению обязательств в рамках Конвенции, а также уроков, извлеченных из докладов об оценке мероприятий Глобального экологического фонда, итоговых докладов, заключительного обзора и докладов об оценке завершенных проектов в рамках Целевой международной программы; </w:t>
      </w:r>
    </w:p>
    <w:p w14:paraId="385379B3" w14:textId="77777777" w:rsidR="00B075DF" w:rsidRPr="00F616A8" w:rsidRDefault="00B075DF" w:rsidP="007B0C97">
      <w:pPr>
        <w:pStyle w:val="Normalnumber"/>
        <w:numPr>
          <w:ilvl w:val="0"/>
          <w:numId w:val="22"/>
        </w:numPr>
        <w:ind w:left="1247" w:firstLine="624"/>
        <w:rPr>
          <w:lang w:val="ru-RU"/>
        </w:rPr>
      </w:pPr>
      <w:r>
        <w:rPr>
          <w:lang w:val="ru-RU"/>
        </w:rPr>
        <w:t xml:space="preserve">оценка устойчивости, транспарентности и доступности финансирования по линии механизма финансирования для достижения цели Конвенции; </w:t>
      </w:r>
    </w:p>
    <w:p w14:paraId="75708C5C" w14:textId="77777777" w:rsidR="00B075DF" w:rsidRPr="00F616A8" w:rsidRDefault="00B075DF" w:rsidP="007B0C97">
      <w:pPr>
        <w:pStyle w:val="Normalnumber"/>
        <w:numPr>
          <w:ilvl w:val="0"/>
          <w:numId w:val="22"/>
        </w:numPr>
        <w:ind w:left="1247" w:firstLine="624"/>
        <w:rPr>
          <w:lang w:val="ru-RU"/>
        </w:rPr>
      </w:pPr>
      <w:r>
        <w:rPr>
          <w:lang w:val="ru-RU"/>
        </w:rPr>
        <w:t xml:space="preserve">определение ресурсов, привлеченных непосредственно механизмом финансирования, включая взносы в натуральной форме и совместное финансирование, и, насколько это возможно, количественная и (или) качественная оценка ресурсов, привлеченных косвенно благодаря действиям частного сектора и других заинтересованных сторон; </w:t>
      </w:r>
    </w:p>
    <w:p w14:paraId="79C5986F" w14:textId="77777777" w:rsidR="00B075DF" w:rsidRPr="00F616A8" w:rsidRDefault="003776BB" w:rsidP="007B0C97">
      <w:pPr>
        <w:pStyle w:val="Normalnumber"/>
        <w:numPr>
          <w:ilvl w:val="0"/>
          <w:numId w:val="22"/>
        </w:numPr>
        <w:ind w:left="1247" w:firstLine="624"/>
        <w:rPr>
          <w:lang w:val="ru-RU"/>
        </w:rPr>
      </w:pPr>
      <w:r>
        <w:rPr>
          <w:lang w:val="ru-RU"/>
        </w:rPr>
        <w:t xml:space="preserve">информация о том, в какой степени были учтены рекомендации по повышению эффективности механизма финансирования, данные по итогам второго обзора механизма финансирования; </w:t>
      </w:r>
    </w:p>
    <w:p w14:paraId="2C75D3A2" w14:textId="77777777" w:rsidR="00B075DF" w:rsidRPr="00F616A8" w:rsidRDefault="00B075DF" w:rsidP="007B0C97">
      <w:pPr>
        <w:pStyle w:val="Normalnumber"/>
        <w:numPr>
          <w:ilvl w:val="0"/>
          <w:numId w:val="22"/>
        </w:numPr>
        <w:ind w:left="1247" w:firstLine="624"/>
        <w:rPr>
          <w:lang w:val="ru-RU"/>
        </w:rPr>
      </w:pPr>
      <w:r>
        <w:rPr>
          <w:lang w:val="ru-RU"/>
        </w:rPr>
        <w:t xml:space="preserve">рекомендации по повышению эффективности и действенности механизма финансирования с точки зрения достижения цели Конвенции; </w:t>
      </w:r>
    </w:p>
    <w:p w14:paraId="3F44CAB0" w14:textId="77777777" w:rsidR="00B075DF" w:rsidRPr="00F616A8" w:rsidRDefault="00B075DF" w:rsidP="007B0C97">
      <w:pPr>
        <w:pStyle w:val="Normalnumber"/>
        <w:numPr>
          <w:ilvl w:val="0"/>
          <w:numId w:val="22"/>
        </w:numPr>
        <w:ind w:left="1247" w:firstLine="624"/>
        <w:rPr>
          <w:lang w:val="ru-RU"/>
        </w:rPr>
      </w:pPr>
      <w:r>
        <w:rPr>
          <w:lang w:val="ru-RU"/>
        </w:rPr>
        <w:t xml:space="preserve">оценка на основе критериев эффективности функционирования, изложенных в пункте 9 ниже. </w:t>
      </w:r>
    </w:p>
    <w:p w14:paraId="4D209DCD" w14:textId="110861F7" w:rsidR="00B075DF" w:rsidRPr="005C6AFE" w:rsidRDefault="00C51532" w:rsidP="00C51532">
      <w:pPr>
        <w:pStyle w:val="CH2"/>
        <w:keepNext w:val="0"/>
        <w:keepLines w:val="0"/>
        <w:tabs>
          <w:tab w:val="clear" w:pos="1247"/>
          <w:tab w:val="clear" w:pos="1871"/>
          <w:tab w:val="clear" w:pos="2495"/>
          <w:tab w:val="clear" w:pos="3119"/>
          <w:tab w:val="clear" w:pos="3742"/>
          <w:tab w:val="clear" w:pos="4366"/>
          <w:tab w:val="clear" w:pos="4990"/>
        </w:tabs>
        <w:spacing w:before="0"/>
        <w:rPr>
          <w:b w:val="0"/>
        </w:rPr>
      </w:pPr>
      <w:r w:rsidRPr="00ED5D10">
        <w:rPr>
          <w:bCs/>
          <w:lang w:val="ru-RU"/>
        </w:rPr>
        <w:tab/>
      </w:r>
      <w:r w:rsidR="00B075DF">
        <w:rPr>
          <w:bCs/>
          <w:lang w:val="ru-RU"/>
        </w:rPr>
        <w:t>D.</w:t>
      </w:r>
      <w:r w:rsidR="00B075DF">
        <w:rPr>
          <w:lang w:val="ru-RU"/>
        </w:rPr>
        <w:tab/>
      </w:r>
      <w:r w:rsidR="00B075DF">
        <w:rPr>
          <w:bCs/>
          <w:lang w:val="ru-RU"/>
        </w:rPr>
        <w:t>Критерии эффективности</w:t>
      </w:r>
      <w:r w:rsidR="00B075DF">
        <w:rPr>
          <w:lang w:val="ru-RU"/>
        </w:rPr>
        <w:t xml:space="preserve"> </w:t>
      </w:r>
    </w:p>
    <w:p w14:paraId="77528F78" w14:textId="6AB8B951" w:rsidR="00B075DF" w:rsidRPr="00F616A8" w:rsidRDefault="00666664" w:rsidP="007B0C97">
      <w:pPr>
        <w:pStyle w:val="Normalnumber"/>
        <w:numPr>
          <w:ilvl w:val="0"/>
          <w:numId w:val="18"/>
        </w:numPr>
        <w:ind w:left="1247" w:firstLine="0"/>
        <w:rPr>
          <w:lang w:val="ru-RU"/>
        </w:rPr>
      </w:pPr>
      <w:r>
        <w:rPr>
          <w:lang w:val="ru-RU"/>
        </w:rPr>
        <w:t xml:space="preserve">Эффективность и действенность механизма финансирования </w:t>
      </w:r>
      <w:r w:rsidR="00792170">
        <w:rPr>
          <w:lang w:val="ru-RU"/>
        </w:rPr>
        <w:t>будут</w:t>
      </w:r>
      <w:r>
        <w:rPr>
          <w:lang w:val="ru-RU"/>
        </w:rPr>
        <w:t xml:space="preserve"> оцениваться, в частности, с учетом следующих критериев: </w:t>
      </w:r>
    </w:p>
    <w:p w14:paraId="3556F22B" w14:textId="77777777" w:rsidR="00B075DF" w:rsidRPr="00F616A8" w:rsidRDefault="00B075DF" w:rsidP="007B0C97">
      <w:pPr>
        <w:pStyle w:val="Normalnumber"/>
        <w:numPr>
          <w:ilvl w:val="0"/>
          <w:numId w:val="23"/>
        </w:numPr>
        <w:ind w:left="1247" w:firstLine="624"/>
        <w:rPr>
          <w:lang w:val="ru-RU"/>
        </w:rPr>
      </w:pPr>
      <w:r>
        <w:rPr>
          <w:lang w:val="ru-RU"/>
        </w:rPr>
        <w:t xml:space="preserve">реагирование Глобального экологического фонда и Целевой международной программы на руководящие указания, принятые или предоставленные Конференцией Сторон; </w:t>
      </w:r>
    </w:p>
    <w:p w14:paraId="639533F6" w14:textId="77777777" w:rsidR="00B075DF" w:rsidRPr="00F616A8" w:rsidRDefault="00B075DF" w:rsidP="007B0C97">
      <w:pPr>
        <w:pStyle w:val="Normalnumber"/>
        <w:numPr>
          <w:ilvl w:val="0"/>
          <w:numId w:val="23"/>
        </w:numPr>
        <w:ind w:left="1247" w:firstLine="624"/>
        <w:rPr>
          <w:lang w:val="ru-RU"/>
        </w:rPr>
      </w:pPr>
      <w:r>
        <w:rPr>
          <w:lang w:val="ru-RU"/>
        </w:rPr>
        <w:lastRenderedPageBreak/>
        <w:t xml:space="preserve">степень, в которой проекты, финансируемые по линии механизма финансирования, способствовали или будут способствовать сокращению поставок, использования, выбросов и высвобождений ртути и обеспечат другие преимущества с точки зрения осуществления; </w:t>
      </w:r>
    </w:p>
    <w:p w14:paraId="6DF74420" w14:textId="77777777" w:rsidR="00B075DF" w:rsidRPr="00F616A8" w:rsidRDefault="00B075DF" w:rsidP="007B0C97">
      <w:pPr>
        <w:pStyle w:val="Normalnumber"/>
        <w:numPr>
          <w:ilvl w:val="0"/>
          <w:numId w:val="23"/>
        </w:numPr>
        <w:ind w:left="1247" w:firstLine="624"/>
        <w:rPr>
          <w:lang w:val="ru-RU"/>
        </w:rPr>
      </w:pPr>
      <w:r>
        <w:rPr>
          <w:lang w:val="ru-RU"/>
        </w:rPr>
        <w:t xml:space="preserve">транспарентность и своевременность процессов утверждения проектов; </w:t>
      </w:r>
    </w:p>
    <w:p w14:paraId="41FD5EB6" w14:textId="77777777" w:rsidR="00B075DF" w:rsidRPr="00F616A8" w:rsidRDefault="00B075DF" w:rsidP="007B0C97">
      <w:pPr>
        <w:pStyle w:val="Normalnumber"/>
        <w:numPr>
          <w:ilvl w:val="0"/>
          <w:numId w:val="23"/>
        </w:numPr>
        <w:ind w:left="1247" w:firstLine="624"/>
        <w:rPr>
          <w:lang w:val="ru-RU"/>
        </w:rPr>
      </w:pPr>
      <w:r>
        <w:rPr>
          <w:lang w:val="ru-RU"/>
        </w:rPr>
        <w:t xml:space="preserve">наличие простых, гибких и оперативных процедур получения доступа к финансовым средствам, осуществления проектов и представления сведений; </w:t>
      </w:r>
    </w:p>
    <w:p w14:paraId="302732ED" w14:textId="77777777" w:rsidR="00B075DF" w:rsidRPr="005C6AFE" w:rsidRDefault="00B075DF" w:rsidP="007B0C97">
      <w:pPr>
        <w:pStyle w:val="Normalnumber"/>
        <w:numPr>
          <w:ilvl w:val="0"/>
          <w:numId w:val="23"/>
        </w:numPr>
        <w:ind w:left="1247" w:firstLine="624"/>
      </w:pPr>
      <w:r>
        <w:rPr>
          <w:lang w:val="ru-RU"/>
        </w:rPr>
        <w:t xml:space="preserve">достаточный объем ресурсов; </w:t>
      </w:r>
    </w:p>
    <w:p w14:paraId="6AD97A86" w14:textId="77777777" w:rsidR="00B075DF" w:rsidRPr="00F616A8" w:rsidRDefault="00B075DF" w:rsidP="007B0C97">
      <w:pPr>
        <w:pStyle w:val="Normalnumber"/>
        <w:numPr>
          <w:ilvl w:val="0"/>
          <w:numId w:val="23"/>
        </w:numPr>
        <w:ind w:left="1247" w:firstLine="624"/>
        <w:rPr>
          <w:lang w:val="ru-RU"/>
        </w:rPr>
      </w:pPr>
      <w:r>
        <w:rPr>
          <w:lang w:val="ru-RU"/>
        </w:rPr>
        <w:t xml:space="preserve">национальная ответственность стран за мероприятия, финансируемые по линии механизма финансирования, и устойчивость таких мероприятий; </w:t>
      </w:r>
    </w:p>
    <w:p w14:paraId="343E4B02" w14:textId="77777777" w:rsidR="00B075DF" w:rsidRPr="005C6AFE" w:rsidRDefault="00B075DF" w:rsidP="007B0C97">
      <w:pPr>
        <w:pStyle w:val="Normalnumber"/>
        <w:numPr>
          <w:ilvl w:val="0"/>
          <w:numId w:val="23"/>
        </w:numPr>
        <w:ind w:left="1247" w:firstLine="624"/>
      </w:pPr>
      <w:r>
        <w:rPr>
          <w:lang w:val="ru-RU"/>
        </w:rPr>
        <w:t xml:space="preserve">уровень участия заинтересованных сторон; </w:t>
      </w:r>
    </w:p>
    <w:p w14:paraId="54D06DF5" w14:textId="77777777" w:rsidR="00B075DF" w:rsidRPr="00F616A8" w:rsidRDefault="00B075DF" w:rsidP="007B0C97">
      <w:pPr>
        <w:pStyle w:val="Normalnumber"/>
        <w:numPr>
          <w:ilvl w:val="0"/>
          <w:numId w:val="23"/>
        </w:numPr>
        <w:ind w:left="1247" w:firstLine="624"/>
        <w:rPr>
          <w:lang w:val="ru-RU"/>
        </w:rPr>
      </w:pPr>
      <w:r>
        <w:rPr>
          <w:lang w:val="ru-RU"/>
        </w:rPr>
        <w:t>степень, в которой проекты, финансируемые по линии механизма финансирования, приносят пользу группам населения, находящимся в уязвимом положении;</w:t>
      </w:r>
    </w:p>
    <w:p w14:paraId="5B172EDD" w14:textId="77777777" w:rsidR="00B075DF" w:rsidRPr="00F616A8" w:rsidRDefault="00B075DF" w:rsidP="007B0C97">
      <w:pPr>
        <w:pStyle w:val="Normalnumber"/>
        <w:numPr>
          <w:ilvl w:val="0"/>
          <w:numId w:val="23"/>
        </w:numPr>
        <w:ind w:left="1247" w:firstLine="624"/>
        <w:rPr>
          <w:lang w:val="ru-RU"/>
        </w:rPr>
      </w:pPr>
      <w:r>
        <w:rPr>
          <w:lang w:val="ru-RU"/>
        </w:rPr>
        <w:t>любые другие существенные вопросы, поднятые Сторонами.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B075DF" w:rsidRPr="00EF5A31" w14:paraId="21DD65EC" w14:textId="77777777" w:rsidTr="004610D8">
        <w:tc>
          <w:tcPr>
            <w:tcW w:w="1897" w:type="dxa"/>
          </w:tcPr>
          <w:p w14:paraId="417E9624"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3052CA68"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Borders>
              <w:bottom w:val="single" w:sz="4" w:space="0" w:color="auto"/>
            </w:tcBorders>
          </w:tcPr>
          <w:p w14:paraId="732BBDC3"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701BD4B4"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76BBE8C3" w14:textId="77777777" w:rsidR="00B075DF" w:rsidRPr="00F616A8" w:rsidRDefault="00B075DF" w:rsidP="007B0C97">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r>
    </w:tbl>
    <w:p w14:paraId="459BC38F" w14:textId="77777777" w:rsidR="00035D73" w:rsidRPr="00F616A8" w:rsidRDefault="00035D73" w:rsidP="007B0C97">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035D73" w:rsidRPr="00F616A8"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0825" w14:textId="77777777" w:rsidR="004768C3" w:rsidRPr="00035D73" w:rsidRDefault="004768C3" w:rsidP="00035D73">
      <w:r w:rsidRPr="00035D73">
        <w:separator/>
      </w:r>
    </w:p>
  </w:endnote>
  <w:endnote w:type="continuationSeparator" w:id="0">
    <w:p w14:paraId="42674930" w14:textId="77777777" w:rsidR="004768C3" w:rsidRPr="00035D73" w:rsidRDefault="004768C3" w:rsidP="00035D73">
      <w:r w:rsidRPr="00035D73">
        <w:continuationSeparator/>
      </w:r>
    </w:p>
  </w:endnote>
  <w:endnote w:type="continuationNotice" w:id="1">
    <w:p w14:paraId="47D63041" w14:textId="77777777" w:rsidR="004768C3" w:rsidRDefault="0047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0075" w14:textId="77777777" w:rsidR="00035D73" w:rsidRPr="00035D73" w:rsidRDefault="00035D73" w:rsidP="007B0C97">
    <w:pPr>
      <w:pStyle w:val="Footer-pool"/>
      <w:tabs>
        <w:tab w:val="clear" w:pos="624"/>
        <w:tab w:val="clear" w:pos="1247"/>
        <w:tab w:val="clear" w:pos="1871"/>
        <w:tab w:val="clear" w:pos="2495"/>
        <w:tab w:val="clear" w:pos="3119"/>
        <w:tab w:val="clear" w:pos="3742"/>
        <w:tab w:val="clear" w:pos="4366"/>
        <w:tab w:val="clear" w:pos="4990"/>
        <w:tab w:val="clear" w:pos="8641"/>
      </w:tabs>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9042" w14:textId="77777777" w:rsidR="00035D73" w:rsidRPr="00035D73" w:rsidRDefault="00035D73" w:rsidP="007B0C97">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A03E" w14:textId="04FF1546" w:rsidR="00035D73" w:rsidRPr="00035D73" w:rsidRDefault="00CB056B" w:rsidP="00035D73">
    <w:pPr>
      <w:pStyle w:val="Footer-jobnumber"/>
    </w:pPr>
    <w:bookmarkStart w:id="3" w:name="FooterJobDate"/>
    <w:r>
      <w:rPr>
        <w:lang w:val="ru-RU"/>
      </w:rPr>
      <w:t>K2510988[R]</w:t>
    </w:r>
    <w:r>
      <w:rPr>
        <w:lang w:val="ru-RU"/>
      </w:rPr>
      <w:tab/>
    </w:r>
    <w:r w:rsidR="00B70F7B">
      <w:rPr>
        <w:lang w:val="en-US"/>
      </w:rPr>
      <w:t>2</w:t>
    </w:r>
    <w:r w:rsidR="00323769">
      <w:rPr>
        <w:lang w:val="en-US"/>
      </w:rPr>
      <w:t>6</w:t>
    </w:r>
    <w:r w:rsidR="007B0C97">
      <w:rPr>
        <w:lang w:val="en-US"/>
      </w:rPr>
      <w:t>08</w:t>
    </w:r>
    <w:r>
      <w:rPr>
        <w:lang w:val="ru-RU"/>
      </w:rPr>
      <w:t>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2FA3" w14:textId="77777777" w:rsidR="004768C3" w:rsidRPr="00035D73" w:rsidRDefault="004768C3" w:rsidP="00891F6F">
      <w:pPr>
        <w:spacing w:before="60"/>
        <w:ind w:left="624"/>
      </w:pPr>
      <w:r w:rsidRPr="00035D73">
        <w:separator/>
      </w:r>
    </w:p>
  </w:footnote>
  <w:footnote w:type="continuationSeparator" w:id="0">
    <w:p w14:paraId="08EE5746" w14:textId="77777777" w:rsidR="004768C3" w:rsidRPr="00035D73" w:rsidRDefault="004768C3" w:rsidP="00035D73">
      <w:r w:rsidRPr="00035D73">
        <w:continuationSeparator/>
      </w:r>
    </w:p>
  </w:footnote>
  <w:footnote w:type="continuationNotice" w:id="1">
    <w:p w14:paraId="4627B44E" w14:textId="77777777" w:rsidR="004768C3" w:rsidRDefault="004768C3"/>
  </w:footnote>
  <w:footnote w:id="2">
    <w:p w14:paraId="107B0541" w14:textId="4EC3238D" w:rsidR="007B0C97" w:rsidRPr="00CF4365" w:rsidRDefault="007B0C97" w:rsidP="007B0C97">
      <w:pPr>
        <w:pStyle w:val="Footnote-Text"/>
        <w:tabs>
          <w:tab w:val="clear" w:pos="624"/>
          <w:tab w:val="clear" w:pos="1247"/>
          <w:tab w:val="clear" w:pos="1871"/>
          <w:tab w:val="clear" w:pos="2495"/>
          <w:tab w:val="clear" w:pos="3119"/>
          <w:tab w:val="clear" w:pos="3742"/>
          <w:tab w:val="clear" w:pos="4366"/>
          <w:tab w:val="clear" w:pos="4990"/>
        </w:tabs>
      </w:pPr>
      <w:r>
        <w:rPr>
          <w:lang w:val="ru-RU"/>
        </w:rPr>
        <w:t xml:space="preserve">* </w:t>
      </w:r>
      <w:r>
        <w:rPr>
          <w:lang w:val="en-US"/>
        </w:rPr>
        <w:tab/>
      </w:r>
      <w:r>
        <w:rPr>
          <w:lang w:val="ru-RU"/>
        </w:rPr>
        <w:t>UNEP/MC/COP.6/1</w:t>
      </w:r>
      <w:r w:rsidR="00323769">
        <w:rPr>
          <w:lang w:val="fr-CH"/>
        </w:rPr>
        <w:t>/Rev.1</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ACED" w14:textId="77777777" w:rsidR="00035D73" w:rsidRPr="00035D73" w:rsidRDefault="00B448C5" w:rsidP="007B0C97">
    <w:pPr>
      <w:pStyle w:val="Header-pool"/>
      <w:tabs>
        <w:tab w:val="clear" w:pos="9072"/>
      </w:tabs>
      <w:spacing w:after="120"/>
    </w:pPr>
    <w:r>
      <w:rPr>
        <w:noProof/>
      </w:rPr>
      <w:t>UNEP/MC/COP.6/12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44A8" w14:textId="77777777" w:rsidR="00035D73" w:rsidRPr="00035D73" w:rsidRDefault="00B448C5" w:rsidP="007B0C97">
    <w:pPr>
      <w:pStyle w:val="Header-pool"/>
      <w:tabs>
        <w:tab w:val="clear" w:pos="9072"/>
      </w:tabs>
      <w:spacing w:after="120"/>
      <w:jc w:val="right"/>
    </w:pPr>
    <w:r>
      <w:rPr>
        <w:noProof/>
      </w:rPr>
      <w:t>UNEP/MC/COP.6/12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7929" w14:textId="77777777" w:rsidR="00AC2551" w:rsidRDefault="00AC2551" w:rsidP="00AC25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2"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DA3923"/>
    <w:multiLevelType w:val="hybridMultilevel"/>
    <w:tmpl w:val="220A29DA"/>
    <w:lvl w:ilvl="0" w:tplc="FFFFFFFF">
      <w:start w:val="1"/>
      <w:numFmt w:val="lowerLetter"/>
      <w:lvlText w:val="%1)"/>
      <w:lvlJc w:val="left"/>
      <w:pPr>
        <w:ind w:left="535" w:hanging="360"/>
      </w:pPr>
      <w:rPr>
        <w:rFonts w:hint="default"/>
      </w:rPr>
    </w:lvl>
    <w:lvl w:ilvl="1" w:tplc="B776CA36">
      <w:start w:val="1"/>
      <w:numFmt w:val="lowerLetter"/>
      <w:lvlText w:val="%2)"/>
      <w:lvlJc w:val="left"/>
      <w:pPr>
        <w:ind w:left="1255" w:hanging="360"/>
      </w:pPr>
      <w:rPr>
        <w:rFonts w:hint="default"/>
      </w:r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5" w15:restartNumberingAfterBreak="0">
    <w:nsid w:val="2B4C3DC2"/>
    <w:multiLevelType w:val="hybridMultilevel"/>
    <w:tmpl w:val="257460D8"/>
    <w:lvl w:ilvl="0" w:tplc="100C000F">
      <w:start w:val="1"/>
      <w:numFmt w:val="decimal"/>
      <w:lvlText w:val="%1."/>
      <w:lvlJc w:val="left"/>
      <w:pPr>
        <w:ind w:left="1967" w:hanging="360"/>
      </w:pPr>
    </w:lvl>
    <w:lvl w:ilvl="1" w:tplc="100C0019" w:tentative="1">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1379A8"/>
    <w:multiLevelType w:val="hybridMultilevel"/>
    <w:tmpl w:val="032E663C"/>
    <w:lvl w:ilvl="0" w:tplc="04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0"/>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838037566">
    <w:abstractNumId w:val="12"/>
  </w:num>
  <w:num w:numId="17" w16cid:durableId="908879098">
    <w:abstractNumId w:val="14"/>
  </w:num>
  <w:num w:numId="18" w16cid:durableId="1756170040">
    <w:abstractNumId w:val="15"/>
  </w:num>
  <w:num w:numId="19" w16cid:durableId="1390693965">
    <w:abstractNumId w:val="11"/>
  </w:num>
  <w:num w:numId="20" w16cid:durableId="46607558">
    <w:abstractNumId w:val="21"/>
  </w:num>
  <w:num w:numId="21" w16cid:durableId="1650789246">
    <w:abstractNumId w:val="19"/>
  </w:num>
  <w:num w:numId="22" w16cid:durableId="1153838717">
    <w:abstractNumId w:val="23"/>
  </w:num>
  <w:num w:numId="23" w16cid:durableId="223879771">
    <w:abstractNumId w:val="20"/>
  </w:num>
  <w:num w:numId="24" w16cid:durableId="49973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624"/>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5E"/>
    <w:rsid w:val="000029C5"/>
    <w:rsid w:val="00003D6B"/>
    <w:rsid w:val="0001353D"/>
    <w:rsid w:val="00013C77"/>
    <w:rsid w:val="00023E04"/>
    <w:rsid w:val="000240DE"/>
    <w:rsid w:val="00035D73"/>
    <w:rsid w:val="00036C43"/>
    <w:rsid w:val="000453F6"/>
    <w:rsid w:val="00055520"/>
    <w:rsid w:val="0006666F"/>
    <w:rsid w:val="00074E8D"/>
    <w:rsid w:val="00074EC6"/>
    <w:rsid w:val="00076F25"/>
    <w:rsid w:val="000837FB"/>
    <w:rsid w:val="00091DBA"/>
    <w:rsid w:val="00094007"/>
    <w:rsid w:val="0009466F"/>
    <w:rsid w:val="000A50DA"/>
    <w:rsid w:val="000B5951"/>
    <w:rsid w:val="000B6044"/>
    <w:rsid w:val="000C1FDC"/>
    <w:rsid w:val="000C263B"/>
    <w:rsid w:val="000C4E77"/>
    <w:rsid w:val="000D03DB"/>
    <w:rsid w:val="000D558C"/>
    <w:rsid w:val="000E204F"/>
    <w:rsid w:val="000F461D"/>
    <w:rsid w:val="00100380"/>
    <w:rsid w:val="00101B62"/>
    <w:rsid w:val="00123CE3"/>
    <w:rsid w:val="00124F33"/>
    <w:rsid w:val="00125DE3"/>
    <w:rsid w:val="00130242"/>
    <w:rsid w:val="00144B90"/>
    <w:rsid w:val="00146C61"/>
    <w:rsid w:val="00150E06"/>
    <w:rsid w:val="00157E28"/>
    <w:rsid w:val="00160686"/>
    <w:rsid w:val="00176ABF"/>
    <w:rsid w:val="001827BF"/>
    <w:rsid w:val="00182ECC"/>
    <w:rsid w:val="00184044"/>
    <w:rsid w:val="001960DC"/>
    <w:rsid w:val="001A4DAF"/>
    <w:rsid w:val="001A7AAE"/>
    <w:rsid w:val="001B0F72"/>
    <w:rsid w:val="001B2006"/>
    <w:rsid w:val="001B4946"/>
    <w:rsid w:val="001E0389"/>
    <w:rsid w:val="001E259F"/>
    <w:rsid w:val="001E2ABC"/>
    <w:rsid w:val="001E50E7"/>
    <w:rsid w:val="001F16A5"/>
    <w:rsid w:val="002039FA"/>
    <w:rsid w:val="002054D8"/>
    <w:rsid w:val="002062AE"/>
    <w:rsid w:val="00240DBA"/>
    <w:rsid w:val="00251D54"/>
    <w:rsid w:val="00271590"/>
    <w:rsid w:val="0027320E"/>
    <w:rsid w:val="00275F8F"/>
    <w:rsid w:val="002846F9"/>
    <w:rsid w:val="0029467A"/>
    <w:rsid w:val="00294D09"/>
    <w:rsid w:val="002C5CD5"/>
    <w:rsid w:val="002D1A60"/>
    <w:rsid w:val="002D379C"/>
    <w:rsid w:val="002D57E3"/>
    <w:rsid w:val="002E51E4"/>
    <w:rsid w:val="002F3AE5"/>
    <w:rsid w:val="003035E7"/>
    <w:rsid w:val="00305F93"/>
    <w:rsid w:val="003236A9"/>
    <w:rsid w:val="00323769"/>
    <w:rsid w:val="00330472"/>
    <w:rsid w:val="00344B12"/>
    <w:rsid w:val="0035192E"/>
    <w:rsid w:val="00355ACE"/>
    <w:rsid w:val="0036664E"/>
    <w:rsid w:val="00373B46"/>
    <w:rsid w:val="00375D46"/>
    <w:rsid w:val="003776BB"/>
    <w:rsid w:val="00390E82"/>
    <w:rsid w:val="003A52BF"/>
    <w:rsid w:val="003A5B94"/>
    <w:rsid w:val="003B571C"/>
    <w:rsid w:val="003B632E"/>
    <w:rsid w:val="003B7259"/>
    <w:rsid w:val="003C494D"/>
    <w:rsid w:val="003C4A14"/>
    <w:rsid w:val="003D18F4"/>
    <w:rsid w:val="003E22BB"/>
    <w:rsid w:val="003E5F6C"/>
    <w:rsid w:val="003E7E68"/>
    <w:rsid w:val="003F1012"/>
    <w:rsid w:val="003F16FE"/>
    <w:rsid w:val="003F42D2"/>
    <w:rsid w:val="003F7628"/>
    <w:rsid w:val="00427D84"/>
    <w:rsid w:val="00433E72"/>
    <w:rsid w:val="00456139"/>
    <w:rsid w:val="004610D8"/>
    <w:rsid w:val="0047468C"/>
    <w:rsid w:val="004768C3"/>
    <w:rsid w:val="00484D85"/>
    <w:rsid w:val="004B0C1F"/>
    <w:rsid w:val="004B5719"/>
    <w:rsid w:val="004B5AD4"/>
    <w:rsid w:val="004D39D3"/>
    <w:rsid w:val="004E315A"/>
    <w:rsid w:val="004E3FC9"/>
    <w:rsid w:val="004E64BA"/>
    <w:rsid w:val="004E76A8"/>
    <w:rsid w:val="00510714"/>
    <w:rsid w:val="00521EE1"/>
    <w:rsid w:val="00523BCA"/>
    <w:rsid w:val="00541224"/>
    <w:rsid w:val="00550732"/>
    <w:rsid w:val="00572ABF"/>
    <w:rsid w:val="00583DAC"/>
    <w:rsid w:val="00584D50"/>
    <w:rsid w:val="0058780B"/>
    <w:rsid w:val="00587C00"/>
    <w:rsid w:val="00592306"/>
    <w:rsid w:val="005B09D3"/>
    <w:rsid w:val="005B2B00"/>
    <w:rsid w:val="005C5E49"/>
    <w:rsid w:val="005D3579"/>
    <w:rsid w:val="005E170C"/>
    <w:rsid w:val="005E62B7"/>
    <w:rsid w:val="005E7A88"/>
    <w:rsid w:val="005F6C28"/>
    <w:rsid w:val="00622756"/>
    <w:rsid w:val="006513F4"/>
    <w:rsid w:val="00651B2C"/>
    <w:rsid w:val="00666664"/>
    <w:rsid w:val="006677A9"/>
    <w:rsid w:val="00670036"/>
    <w:rsid w:val="006825B1"/>
    <w:rsid w:val="00687520"/>
    <w:rsid w:val="00693BE4"/>
    <w:rsid w:val="006A1280"/>
    <w:rsid w:val="006A38DE"/>
    <w:rsid w:val="006B066A"/>
    <w:rsid w:val="006D2CED"/>
    <w:rsid w:val="006D3A69"/>
    <w:rsid w:val="006D7BCC"/>
    <w:rsid w:val="006E7FFD"/>
    <w:rsid w:val="007306F0"/>
    <w:rsid w:val="00763654"/>
    <w:rsid w:val="007648D4"/>
    <w:rsid w:val="007671A9"/>
    <w:rsid w:val="007726A4"/>
    <w:rsid w:val="00776DEE"/>
    <w:rsid w:val="00792170"/>
    <w:rsid w:val="007A2FD3"/>
    <w:rsid w:val="007A34F5"/>
    <w:rsid w:val="007A6D07"/>
    <w:rsid w:val="007B0C97"/>
    <w:rsid w:val="007B2868"/>
    <w:rsid w:val="007C1119"/>
    <w:rsid w:val="007C487F"/>
    <w:rsid w:val="007C7070"/>
    <w:rsid w:val="007D4232"/>
    <w:rsid w:val="007F091A"/>
    <w:rsid w:val="007F4162"/>
    <w:rsid w:val="008022E7"/>
    <w:rsid w:val="00813B00"/>
    <w:rsid w:val="008220F2"/>
    <w:rsid w:val="0082726B"/>
    <w:rsid w:val="0083642C"/>
    <w:rsid w:val="00846F10"/>
    <w:rsid w:val="0084767F"/>
    <w:rsid w:val="008512F3"/>
    <w:rsid w:val="00855847"/>
    <w:rsid w:val="00856B69"/>
    <w:rsid w:val="0086026F"/>
    <w:rsid w:val="00870B9D"/>
    <w:rsid w:val="00887E59"/>
    <w:rsid w:val="00891F6F"/>
    <w:rsid w:val="008924F7"/>
    <w:rsid w:val="008B0423"/>
    <w:rsid w:val="008B3C30"/>
    <w:rsid w:val="008B6DBD"/>
    <w:rsid w:val="008D48D2"/>
    <w:rsid w:val="008E5159"/>
    <w:rsid w:val="008E6273"/>
    <w:rsid w:val="0090083B"/>
    <w:rsid w:val="00907084"/>
    <w:rsid w:val="009143CB"/>
    <w:rsid w:val="00920602"/>
    <w:rsid w:val="0092098B"/>
    <w:rsid w:val="00921940"/>
    <w:rsid w:val="00922853"/>
    <w:rsid w:val="009266A3"/>
    <w:rsid w:val="00926F4A"/>
    <w:rsid w:val="00927C3D"/>
    <w:rsid w:val="0093143C"/>
    <w:rsid w:val="009443D7"/>
    <w:rsid w:val="00956AC5"/>
    <w:rsid w:val="00965155"/>
    <w:rsid w:val="009843C4"/>
    <w:rsid w:val="00991490"/>
    <w:rsid w:val="00996B4A"/>
    <w:rsid w:val="00996CA8"/>
    <w:rsid w:val="009A34DA"/>
    <w:rsid w:val="009B1155"/>
    <w:rsid w:val="009B2B86"/>
    <w:rsid w:val="009B4D60"/>
    <w:rsid w:val="009C1933"/>
    <w:rsid w:val="009C2526"/>
    <w:rsid w:val="009D0546"/>
    <w:rsid w:val="009D3569"/>
    <w:rsid w:val="009D4573"/>
    <w:rsid w:val="009D4B8E"/>
    <w:rsid w:val="009D5186"/>
    <w:rsid w:val="009E14BC"/>
    <w:rsid w:val="009E3F60"/>
    <w:rsid w:val="00A050A1"/>
    <w:rsid w:val="00A24B6B"/>
    <w:rsid w:val="00A24DFD"/>
    <w:rsid w:val="00A2778C"/>
    <w:rsid w:val="00A46C10"/>
    <w:rsid w:val="00A52EB8"/>
    <w:rsid w:val="00A53E4C"/>
    <w:rsid w:val="00A825A1"/>
    <w:rsid w:val="00A82D2A"/>
    <w:rsid w:val="00A86470"/>
    <w:rsid w:val="00AC1069"/>
    <w:rsid w:val="00AC2551"/>
    <w:rsid w:val="00AC34C1"/>
    <w:rsid w:val="00AC5ABF"/>
    <w:rsid w:val="00AC6436"/>
    <w:rsid w:val="00AE530F"/>
    <w:rsid w:val="00AE6DD7"/>
    <w:rsid w:val="00AE6F6B"/>
    <w:rsid w:val="00AE71F7"/>
    <w:rsid w:val="00AF2428"/>
    <w:rsid w:val="00B0002A"/>
    <w:rsid w:val="00B02285"/>
    <w:rsid w:val="00B075DF"/>
    <w:rsid w:val="00B15E52"/>
    <w:rsid w:val="00B31303"/>
    <w:rsid w:val="00B32937"/>
    <w:rsid w:val="00B448C5"/>
    <w:rsid w:val="00B55A2A"/>
    <w:rsid w:val="00B623E9"/>
    <w:rsid w:val="00B675EC"/>
    <w:rsid w:val="00B70F7B"/>
    <w:rsid w:val="00B83F25"/>
    <w:rsid w:val="00B86D35"/>
    <w:rsid w:val="00B90343"/>
    <w:rsid w:val="00B90580"/>
    <w:rsid w:val="00BA1A43"/>
    <w:rsid w:val="00BA7DF4"/>
    <w:rsid w:val="00BB1F6F"/>
    <w:rsid w:val="00BB75D0"/>
    <w:rsid w:val="00BB7A71"/>
    <w:rsid w:val="00BC125C"/>
    <w:rsid w:val="00BC3B2E"/>
    <w:rsid w:val="00BC670E"/>
    <w:rsid w:val="00BE399C"/>
    <w:rsid w:val="00BF14E4"/>
    <w:rsid w:val="00C056DF"/>
    <w:rsid w:val="00C058A3"/>
    <w:rsid w:val="00C13CF0"/>
    <w:rsid w:val="00C15761"/>
    <w:rsid w:val="00C15D7D"/>
    <w:rsid w:val="00C3179E"/>
    <w:rsid w:val="00C354F1"/>
    <w:rsid w:val="00C37FBF"/>
    <w:rsid w:val="00C51532"/>
    <w:rsid w:val="00C55109"/>
    <w:rsid w:val="00C5798A"/>
    <w:rsid w:val="00C633E6"/>
    <w:rsid w:val="00C734CA"/>
    <w:rsid w:val="00C73C7D"/>
    <w:rsid w:val="00CA1273"/>
    <w:rsid w:val="00CB056B"/>
    <w:rsid w:val="00CC3052"/>
    <w:rsid w:val="00CD38C0"/>
    <w:rsid w:val="00CE5601"/>
    <w:rsid w:val="00CF3EC0"/>
    <w:rsid w:val="00CF4365"/>
    <w:rsid w:val="00D05FF3"/>
    <w:rsid w:val="00D10D2E"/>
    <w:rsid w:val="00D207B7"/>
    <w:rsid w:val="00D2310B"/>
    <w:rsid w:val="00D238A0"/>
    <w:rsid w:val="00D23A4C"/>
    <w:rsid w:val="00D25F99"/>
    <w:rsid w:val="00D279F5"/>
    <w:rsid w:val="00D31009"/>
    <w:rsid w:val="00D44ABF"/>
    <w:rsid w:val="00D4736C"/>
    <w:rsid w:val="00D673A0"/>
    <w:rsid w:val="00D82209"/>
    <w:rsid w:val="00D82D8F"/>
    <w:rsid w:val="00D84F8C"/>
    <w:rsid w:val="00D92449"/>
    <w:rsid w:val="00D93C8D"/>
    <w:rsid w:val="00D93FE7"/>
    <w:rsid w:val="00DA36C2"/>
    <w:rsid w:val="00DA3EBF"/>
    <w:rsid w:val="00DA7D4F"/>
    <w:rsid w:val="00DB134E"/>
    <w:rsid w:val="00DB5255"/>
    <w:rsid w:val="00DC65D5"/>
    <w:rsid w:val="00DF3504"/>
    <w:rsid w:val="00DF5EC6"/>
    <w:rsid w:val="00E0711D"/>
    <w:rsid w:val="00E11923"/>
    <w:rsid w:val="00E1308F"/>
    <w:rsid w:val="00E13E7C"/>
    <w:rsid w:val="00E23F0A"/>
    <w:rsid w:val="00E374E0"/>
    <w:rsid w:val="00E401E4"/>
    <w:rsid w:val="00E55965"/>
    <w:rsid w:val="00E56F7D"/>
    <w:rsid w:val="00E71D1E"/>
    <w:rsid w:val="00E74425"/>
    <w:rsid w:val="00E74D29"/>
    <w:rsid w:val="00E94A83"/>
    <w:rsid w:val="00E94E56"/>
    <w:rsid w:val="00EA07BA"/>
    <w:rsid w:val="00EA3407"/>
    <w:rsid w:val="00EA3906"/>
    <w:rsid w:val="00EA42AE"/>
    <w:rsid w:val="00EA60A9"/>
    <w:rsid w:val="00EB49FB"/>
    <w:rsid w:val="00EC010E"/>
    <w:rsid w:val="00EC24E2"/>
    <w:rsid w:val="00EC4186"/>
    <w:rsid w:val="00EC7CC0"/>
    <w:rsid w:val="00ED3ADA"/>
    <w:rsid w:val="00ED5D10"/>
    <w:rsid w:val="00ED6BF9"/>
    <w:rsid w:val="00EE6686"/>
    <w:rsid w:val="00EE708C"/>
    <w:rsid w:val="00EF5A31"/>
    <w:rsid w:val="00EF7D3A"/>
    <w:rsid w:val="00F04772"/>
    <w:rsid w:val="00F1003C"/>
    <w:rsid w:val="00F11473"/>
    <w:rsid w:val="00F248EE"/>
    <w:rsid w:val="00F326CF"/>
    <w:rsid w:val="00F35E80"/>
    <w:rsid w:val="00F36CA8"/>
    <w:rsid w:val="00F36FEC"/>
    <w:rsid w:val="00F40FC4"/>
    <w:rsid w:val="00F60120"/>
    <w:rsid w:val="00F616A8"/>
    <w:rsid w:val="00F63D84"/>
    <w:rsid w:val="00F64611"/>
    <w:rsid w:val="00F7048E"/>
    <w:rsid w:val="00F823D7"/>
    <w:rsid w:val="00F92BCF"/>
    <w:rsid w:val="00F932F7"/>
    <w:rsid w:val="00FB5267"/>
    <w:rsid w:val="00FC1185"/>
    <w:rsid w:val="00FD6E41"/>
    <w:rsid w:val="00FE6604"/>
    <w:rsid w:val="00FF55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205FE"/>
  <w15:chartTrackingRefBased/>
  <w15:docId w15:val="{C52AED01-C2BF-4DF1-8952-4FE377F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5DF"/>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35D73"/>
    <w:pPr>
      <w:keepNext/>
      <w:keepLines/>
      <w:suppressAutoHyphens/>
    </w:pPr>
    <w:rPr>
      <w:b/>
    </w:rPr>
  </w:style>
  <w:style w:type="paragraph" w:customStyle="1" w:styleId="AATitle2">
    <w:name w:val="AA_Title2"/>
    <w:basedOn w:val="AATitle"/>
    <w:qFormat/>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link w:val="ZZAnxheaderChar"/>
    <w:rsid w:val="00035D73"/>
    <w:rPr>
      <w:b/>
      <w:bCs/>
      <w:sz w:val="28"/>
      <w:szCs w:val="22"/>
    </w:rPr>
  </w:style>
  <w:style w:type="paragraph" w:customStyle="1" w:styleId="ZZAnxtitle">
    <w:name w:val="ZZ_Anx_title"/>
    <w:basedOn w:val="Normal-pool"/>
    <w:link w:val="ZZAnxtitleChar"/>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qFormat/>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qFormat/>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qForma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nhideWhenUsed/>
    <w:rsid w:val="00035D73"/>
  </w:style>
  <w:style w:type="character" w:customStyle="1" w:styleId="FootnoteTextChar">
    <w:name w:val="Footnote Text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ZZAnxheaderChar">
    <w:name w:val="ZZ_Anx_header Char"/>
    <w:link w:val="ZZAnxheader"/>
    <w:locked/>
    <w:rsid w:val="00B075DF"/>
    <w:rPr>
      <w:rFonts w:ascii="Times New Roman" w:eastAsia="Times New Roman" w:hAnsi="Times New Roman" w:cs="Times New Roman"/>
      <w:b/>
      <w:bCs/>
      <w:kern w:val="0"/>
      <w:sz w:val="28"/>
      <w:szCs w:val="22"/>
      <w:lang w:eastAsia="en-US"/>
      <w14:ligatures w14:val="none"/>
    </w:rPr>
  </w:style>
  <w:style w:type="character" w:customStyle="1" w:styleId="ZZAnxtitleChar">
    <w:name w:val="ZZ_Anx_title Char"/>
    <w:link w:val="ZZAnxtitle"/>
    <w:rsid w:val="00B075DF"/>
    <w:rPr>
      <w:rFonts w:ascii="Times New Roman" w:eastAsia="Times New Roman" w:hAnsi="Times New Roman" w:cs="Times New Roman"/>
      <w:b/>
      <w:bCs/>
      <w:kern w:val="0"/>
      <w:sz w:val="28"/>
      <w:szCs w:val="26"/>
      <w:lang w:eastAsia="en-US"/>
      <w14:ligatures w14:val="none"/>
    </w:rPr>
  </w:style>
  <w:style w:type="character" w:customStyle="1" w:styleId="Normal-poolChar">
    <w:name w:val="Normal-pool Char"/>
    <w:link w:val="Normal-pool"/>
    <w:locked/>
    <w:rsid w:val="00B075DF"/>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B075DF"/>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DA36C2"/>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75F9054A-2066-47BC-AAB5-FB3ED736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EF644-9636-44B9-985B-A01EA3078A1D}">
  <ds:schemaRefs>
    <ds:schemaRef ds:uri="http://schemas.openxmlformats.org/officeDocument/2006/bibliography"/>
  </ds:schemaRefs>
</ds:datastoreItem>
</file>

<file path=customXml/itemProps3.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4.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1925</Words>
  <Characters>10975</Characters>
  <Application>Microsoft Office Word</Application>
  <DocSecurity>0</DocSecurity>
  <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12875</CharactersWithSpaces>
  <SharedDoc>false</SharedDoc>
  <HyperlinkBase/>
  <HLinks>
    <vt:vector size="24" baseType="variant">
      <vt:variant>
        <vt:i4>5374004</vt:i4>
      </vt:variant>
      <vt:variant>
        <vt:i4>9</vt:i4>
      </vt:variant>
      <vt:variant>
        <vt:i4>0</vt:i4>
      </vt:variant>
      <vt:variant>
        <vt:i4>5</vt:i4>
      </vt:variant>
      <vt:variant>
        <vt:lpwstr>https://minamataconvention.org/sites/default/files/documents/working_document/4_12_ReviewFinancialMechanism.English.pdf</vt:lpwstr>
      </vt:variant>
      <vt:variant>
        <vt:lpwstr/>
      </vt:variant>
      <vt:variant>
        <vt:i4>6684766</vt:i4>
      </vt:variant>
      <vt:variant>
        <vt:i4>6</vt:i4>
      </vt:variant>
      <vt:variant>
        <vt:i4>0</vt:i4>
      </vt:variant>
      <vt:variant>
        <vt:i4>5</vt:i4>
      </vt:variant>
      <vt:variant>
        <vt:lpwstr>https://minamataconvention.org/sites/default/files/documents/decision/4_Dec7_Second_Review_Financial_Mechanism.English.pdf</vt:lpwstr>
      </vt:variant>
      <vt:variant>
        <vt:lpwstr/>
      </vt:variant>
      <vt:variant>
        <vt:i4>6684766</vt:i4>
      </vt:variant>
      <vt:variant>
        <vt:i4>3</vt:i4>
      </vt:variant>
      <vt:variant>
        <vt:i4>0</vt:i4>
      </vt:variant>
      <vt:variant>
        <vt:i4>5</vt:i4>
      </vt:variant>
      <vt:variant>
        <vt:lpwstr>https://minamataconvention.org/sites/default/files/documents/decision/4_Dec7_Second_Review_Financial_Mechanism.English.pdf</vt:lpwstr>
      </vt:variant>
      <vt:variant>
        <vt:lpwstr/>
      </vt:variant>
      <vt:variant>
        <vt:i4>1703950</vt:i4>
      </vt:variant>
      <vt:variant>
        <vt:i4>0</vt:i4>
      </vt:variant>
      <vt:variant>
        <vt:i4>0</vt:i4>
      </vt:variant>
      <vt:variant>
        <vt:i4>5</vt:i4>
      </vt:variant>
      <vt:variant>
        <vt:lpwstr>https://minamataconvention.org/en/documents/second-review-financial-mechanism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3</cp:revision>
  <cp:lastPrinted>2025-07-21T12:30:00Z</cp:lastPrinted>
  <dcterms:created xsi:type="dcterms:W3CDTF">2025-08-25T08:30:00Z</dcterms:created>
  <dcterms:modified xsi:type="dcterms:W3CDTF">2025-08-26T09:23:00Z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taira.mamedova@un.org</vt:lpwstr>
  </property>
  <property fmtid="{D5CDD505-2E9C-101B-9397-08002B2CF9AE}" pid="14" name="GeneratedDate">
    <vt:lpwstr>07/25/2025 08:50:43</vt:lpwstr>
  </property>
  <property fmtid="{D5CDD505-2E9C-101B-9397-08002B2CF9AE}" pid="15" name="OriginalDocID">
    <vt:lpwstr>e88d0488-c6b2-4d2a-b21b-a7fc8cc5b2ad</vt:lpwstr>
  </property>
</Properties>
</file>