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2679CE" w14:paraId="3458F379" w14:textId="77777777" w:rsidTr="00035D73">
        <w:trPr>
          <w:trHeight w:val="850"/>
        </w:trPr>
        <w:tc>
          <w:tcPr>
            <w:tcW w:w="1559" w:type="dxa"/>
          </w:tcPr>
          <w:p w14:paraId="22E6004B" w14:textId="2759E72D" w:rsidR="00035D73" w:rsidRPr="002679CE" w:rsidRDefault="00625F62" w:rsidP="00505079">
            <w:pPr>
              <w:pStyle w:val="AUnitedNations"/>
              <w:rPr>
                <w:rFonts w:ascii="SimHei" w:eastAsia="SimHei" w:hAnsi="SimHei"/>
                <w:sz w:val="32"/>
                <w:szCs w:val="32"/>
              </w:rPr>
            </w:pPr>
            <w:r w:rsidRPr="002679CE">
              <w:rPr>
                <w:rFonts w:ascii="SimHei" w:eastAsia="SimHei" w:hAnsi="SimHei" w:cs="SimSun" w:hint="eastAsia"/>
                <w:color w:val="000000"/>
                <w:sz w:val="32"/>
                <w:szCs w:val="32"/>
                <w:lang w:eastAsia="zh-CN"/>
              </w:rPr>
              <w:t>联合国</w:t>
            </w:r>
          </w:p>
        </w:tc>
        <w:tc>
          <w:tcPr>
            <w:tcW w:w="6520" w:type="dxa"/>
          </w:tcPr>
          <w:p w14:paraId="6CA5F763" w14:textId="33A8E8C5" w:rsidR="00035D73" w:rsidRPr="002679CE" w:rsidRDefault="00EA5EDB" w:rsidP="00505079">
            <w:pPr>
              <w:pStyle w:val="Normal-pool"/>
            </w:pPr>
            <w:r w:rsidRPr="002679CE">
              <w:rPr>
                <w:noProof/>
              </w:rPr>
              <w:drawing>
                <wp:anchor distT="0" distB="0" distL="114300" distR="114300" simplePos="0" relativeHeight="251659264" behindDoc="0" locked="0" layoutInCell="1" allowOverlap="0" wp14:anchorId="71F6956B" wp14:editId="1BCF317E">
                  <wp:simplePos x="0" y="0"/>
                  <wp:positionH relativeFrom="margin">
                    <wp:posOffset>635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6108F5F" w14:textId="77777777" w:rsidR="00035D73" w:rsidRPr="002679CE" w:rsidRDefault="00035D73" w:rsidP="00505079">
            <w:pPr>
              <w:pStyle w:val="Normal-pool"/>
            </w:pPr>
          </w:p>
        </w:tc>
      </w:tr>
    </w:tbl>
    <w:p w14:paraId="47DA12C6" w14:textId="77777777" w:rsidR="009443D7" w:rsidRPr="002679CE" w:rsidRDefault="009443D7" w:rsidP="00505079">
      <w:pPr>
        <w:pStyle w:val="ASpacer"/>
      </w:pPr>
    </w:p>
    <w:tbl>
      <w:tblPr>
        <w:tblW w:w="9496" w:type="dxa"/>
        <w:tblLook w:val="0000" w:firstRow="0" w:lastRow="0" w:firstColumn="0" w:lastColumn="0" w:noHBand="0" w:noVBand="0"/>
      </w:tblPr>
      <w:tblGrid>
        <w:gridCol w:w="6378"/>
        <w:gridCol w:w="3118"/>
      </w:tblGrid>
      <w:tr w:rsidR="00EA5EDB" w:rsidRPr="002679CE" w14:paraId="080B18E7" w14:textId="77777777" w:rsidTr="00795117">
        <w:trPr>
          <w:trHeight w:val="340"/>
        </w:trPr>
        <w:tc>
          <w:tcPr>
            <w:tcW w:w="3358" w:type="pct"/>
            <w:vAlign w:val="bottom"/>
          </w:tcPr>
          <w:p w14:paraId="06C0867D" w14:textId="77777777" w:rsidR="00EA5EDB" w:rsidRPr="002679CE" w:rsidRDefault="00EA5EDB" w:rsidP="00795117">
            <w:pPr>
              <w:pStyle w:val="Normal-pool"/>
            </w:pPr>
          </w:p>
        </w:tc>
        <w:tc>
          <w:tcPr>
            <w:tcW w:w="1642" w:type="pct"/>
            <w:noWrap/>
            <w:vAlign w:val="bottom"/>
          </w:tcPr>
          <w:p w14:paraId="22F40FB3" w14:textId="77777777" w:rsidR="00EA5EDB" w:rsidRPr="002679CE" w:rsidRDefault="00EA5EDB" w:rsidP="00795117">
            <w:pPr>
              <w:pStyle w:val="ASymbol"/>
              <w:rPr>
                <w:lang w:eastAsia="zh-CN"/>
              </w:rPr>
            </w:pPr>
            <w:r w:rsidRPr="002679CE">
              <w:rPr>
                <w:b/>
                <w:sz w:val="28"/>
              </w:rPr>
              <w:t>UNEP</w:t>
            </w:r>
            <w:r w:rsidRPr="002679CE">
              <w:t>/MC/COP.</w:t>
            </w:r>
            <w:bookmarkStart w:id="0" w:name="Symbol1A"/>
            <w:r w:rsidRPr="002679CE">
              <w:t>6</w:t>
            </w:r>
            <w:bookmarkStart w:id="1" w:name="Symbol1B"/>
            <w:bookmarkEnd w:id="0"/>
            <w:r w:rsidRPr="002679CE">
              <w:t>/12</w:t>
            </w:r>
            <w:bookmarkEnd w:id="1"/>
          </w:p>
        </w:tc>
      </w:tr>
    </w:tbl>
    <w:p w14:paraId="2D0643CB" w14:textId="77777777" w:rsidR="00035D73" w:rsidRPr="002679CE" w:rsidRDefault="00035D73" w:rsidP="00505079">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2679CE" w14:paraId="42EC19F5" w14:textId="77777777" w:rsidTr="00035D73">
        <w:trPr>
          <w:trHeight w:val="2098"/>
        </w:trPr>
        <w:tc>
          <w:tcPr>
            <w:tcW w:w="3685" w:type="dxa"/>
          </w:tcPr>
          <w:p w14:paraId="651BBC9F" w14:textId="7708BD54" w:rsidR="00035D73" w:rsidRPr="002679CE" w:rsidRDefault="00EA5EDB" w:rsidP="00505079">
            <w:pPr>
              <w:pStyle w:val="ALogo"/>
            </w:pPr>
            <w:r w:rsidRPr="002679CE">
              <w:rPr>
                <w:noProof/>
              </w:rPr>
              <w:drawing>
                <wp:inline distT="0" distB="0" distL="0" distR="0" wp14:anchorId="255424E5" wp14:editId="281835E4">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035D73" w:rsidRPr="002679CE">
              <w:rPr>
                <w:color w:val="000000"/>
              </w:rPr>
              <w:t xml:space="preserve"> </w:t>
            </w:r>
          </w:p>
          <w:p w14:paraId="097A3DBD" w14:textId="6BA99DE8" w:rsidR="00035D73" w:rsidRPr="002679CE" w:rsidRDefault="00035D73" w:rsidP="00505079">
            <w:pPr>
              <w:pStyle w:val="ALogo"/>
            </w:pPr>
          </w:p>
        </w:tc>
        <w:tc>
          <w:tcPr>
            <w:tcW w:w="2693" w:type="dxa"/>
          </w:tcPr>
          <w:p w14:paraId="319F2CE4" w14:textId="77777777" w:rsidR="00035D73" w:rsidRPr="002679CE" w:rsidRDefault="00035D73" w:rsidP="00505079">
            <w:pPr>
              <w:pStyle w:val="Normal-pool"/>
            </w:pPr>
          </w:p>
        </w:tc>
        <w:tc>
          <w:tcPr>
            <w:tcW w:w="3118" w:type="dxa"/>
          </w:tcPr>
          <w:p w14:paraId="35F2F81A" w14:textId="6CF46883" w:rsidR="00035D73" w:rsidRPr="002679CE" w:rsidRDefault="00035D73" w:rsidP="00505079">
            <w:pPr>
              <w:pStyle w:val="AText"/>
            </w:pPr>
            <w:r w:rsidRPr="002679CE">
              <w:rPr>
                <w:color w:val="000000"/>
              </w:rPr>
              <w:t xml:space="preserve">Distr.: </w:t>
            </w:r>
            <w:bookmarkStart w:id="2" w:name="Distribution"/>
            <w:r w:rsidR="00CB056B" w:rsidRPr="002679CE">
              <w:rPr>
                <w:color w:val="000000"/>
              </w:rPr>
              <w:t>General</w:t>
            </w:r>
            <w:bookmarkEnd w:id="2"/>
            <w:r w:rsidRPr="002679CE">
              <w:rPr>
                <w:color w:val="000000"/>
              </w:rPr>
              <w:t xml:space="preserve"> </w:t>
            </w:r>
          </w:p>
          <w:p w14:paraId="129D8AC2" w14:textId="77777777" w:rsidR="00625F62" w:rsidRPr="002679CE" w:rsidRDefault="00625F62" w:rsidP="00505079">
            <w:pPr>
              <w:pStyle w:val="AText0"/>
            </w:pPr>
            <w:bookmarkStart w:id="3" w:name="DistributionDate"/>
            <w:r w:rsidRPr="002679CE">
              <w:t>3 July 2025</w:t>
            </w:r>
            <w:bookmarkEnd w:id="3"/>
            <w:r w:rsidRPr="002679CE">
              <w:t xml:space="preserve"> </w:t>
            </w:r>
          </w:p>
          <w:p w14:paraId="4289FE43" w14:textId="0212FE1A" w:rsidR="00035D73" w:rsidRPr="002679CE" w:rsidRDefault="00625F62" w:rsidP="002679CE">
            <w:pPr>
              <w:pStyle w:val="AText"/>
            </w:pPr>
            <w:bookmarkStart w:id="4" w:name="DistributionLang"/>
            <w:r w:rsidRPr="002679CE">
              <w:rPr>
                <w:rFonts w:eastAsiaTheme="minorEastAsia" w:hint="eastAsia"/>
                <w:color w:val="000000"/>
                <w:lang w:eastAsia="zh-CN"/>
              </w:rPr>
              <w:t>Chinese</w:t>
            </w:r>
            <w:r w:rsidR="002679CE" w:rsidRPr="002679CE">
              <w:rPr>
                <w:rFonts w:eastAsiaTheme="minorEastAsia" w:hint="eastAsia"/>
                <w:color w:val="000000"/>
                <w:lang w:eastAsia="zh-CN"/>
              </w:rPr>
              <w:t xml:space="preserve"> </w:t>
            </w:r>
            <w:r w:rsidR="002679CE" w:rsidRPr="002679CE">
              <w:rPr>
                <w:rFonts w:eastAsiaTheme="minorEastAsia"/>
                <w:color w:val="000000"/>
                <w:lang w:eastAsia="zh-CN"/>
              </w:rPr>
              <w:br/>
            </w:r>
            <w:r w:rsidR="00035D73" w:rsidRPr="002679CE">
              <w:rPr>
                <w:color w:val="000000"/>
              </w:rPr>
              <w:t>Original: English</w:t>
            </w:r>
            <w:bookmarkEnd w:id="4"/>
          </w:p>
        </w:tc>
      </w:tr>
    </w:tbl>
    <w:p w14:paraId="26D3A770" w14:textId="77777777" w:rsidR="00035D73" w:rsidRPr="002679CE" w:rsidRDefault="00035D73" w:rsidP="00505079">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2679CE" w14:paraId="36BD4EC6" w14:textId="77777777" w:rsidTr="00035D73">
        <w:trPr>
          <w:trHeight w:val="57"/>
        </w:trPr>
        <w:tc>
          <w:tcPr>
            <w:tcW w:w="5301" w:type="dxa"/>
          </w:tcPr>
          <w:p w14:paraId="4BC4822C" w14:textId="77777777" w:rsidR="00035D73" w:rsidRPr="002679CE" w:rsidRDefault="00035D73" w:rsidP="00505079">
            <w:pPr>
              <w:pStyle w:val="AATitle"/>
              <w:rPr>
                <w:rFonts w:ascii="SimHei" w:eastAsia="SimHei" w:hAnsi="SimHei"/>
                <w:sz w:val="24"/>
                <w:szCs w:val="24"/>
                <w:lang w:eastAsia="zh-CN"/>
              </w:rPr>
            </w:pPr>
            <w:bookmarkStart w:id="5" w:name="CorNot1Text"/>
            <w:r w:rsidRPr="002679CE">
              <w:rPr>
                <w:rFonts w:ascii="SimHei" w:eastAsia="SimHei" w:hAnsi="SimHei"/>
                <w:bCs/>
                <w:color w:val="000000"/>
                <w:sz w:val="24"/>
                <w:szCs w:val="24"/>
                <w:lang w:val="zh-CN" w:eastAsia="zh-CN"/>
              </w:rPr>
              <w:t>关于汞的水</w:t>
            </w:r>
            <w:proofErr w:type="gramStart"/>
            <w:r w:rsidRPr="002679CE">
              <w:rPr>
                <w:rFonts w:ascii="SimHei" w:eastAsia="SimHei" w:hAnsi="SimHei"/>
                <w:bCs/>
                <w:color w:val="000000"/>
                <w:sz w:val="24"/>
                <w:szCs w:val="24"/>
                <w:lang w:val="zh-CN" w:eastAsia="zh-CN"/>
              </w:rPr>
              <w:t>俣</w:t>
            </w:r>
            <w:proofErr w:type="gramEnd"/>
            <w:r w:rsidRPr="002679CE">
              <w:rPr>
                <w:rFonts w:ascii="SimHei" w:eastAsia="SimHei" w:hAnsi="SimHei"/>
                <w:bCs/>
                <w:color w:val="000000"/>
                <w:sz w:val="24"/>
                <w:szCs w:val="24"/>
                <w:lang w:val="zh-CN" w:eastAsia="zh-CN"/>
              </w:rPr>
              <w:t>公约缔约方大会</w:t>
            </w:r>
          </w:p>
          <w:p w14:paraId="00E49D0B" w14:textId="6637AD70" w:rsidR="00035D73" w:rsidRPr="002679CE" w:rsidRDefault="00035D73" w:rsidP="00505079">
            <w:pPr>
              <w:pStyle w:val="AATitle"/>
              <w:rPr>
                <w:rFonts w:ascii="SimHei" w:eastAsia="SimHei" w:hAnsi="SimHei"/>
                <w:sz w:val="24"/>
                <w:szCs w:val="24"/>
                <w:lang w:eastAsia="zh-CN"/>
              </w:rPr>
            </w:pPr>
            <w:r w:rsidRPr="002679CE">
              <w:rPr>
                <w:rFonts w:ascii="SimHei" w:eastAsia="SimHei" w:hAnsi="SimHei"/>
                <w:bCs/>
                <w:color w:val="000000"/>
                <w:sz w:val="24"/>
                <w:szCs w:val="24"/>
                <w:lang w:val="zh-CN" w:eastAsia="zh-CN"/>
              </w:rPr>
              <w:t>第六次会议</w:t>
            </w:r>
            <w:bookmarkEnd w:id="5"/>
          </w:p>
          <w:p w14:paraId="0ACCD764" w14:textId="4F3A83D8" w:rsidR="00035D73" w:rsidRPr="00555C85" w:rsidRDefault="00035D73" w:rsidP="00505079">
            <w:pPr>
              <w:pStyle w:val="AATitle1"/>
              <w:rPr>
                <w:rFonts w:eastAsia="SimSun"/>
                <w:sz w:val="24"/>
                <w:szCs w:val="24"/>
                <w:lang w:eastAsia="zh-CN"/>
              </w:rPr>
            </w:pPr>
            <w:bookmarkStart w:id="6" w:name="CorNot1VenueDate"/>
            <w:r w:rsidRPr="00555C85">
              <w:rPr>
                <w:rFonts w:eastAsia="SimSun"/>
                <w:color w:val="000000"/>
                <w:sz w:val="24"/>
                <w:szCs w:val="24"/>
                <w:lang w:val="zh-CN" w:eastAsia="zh-CN"/>
              </w:rPr>
              <w:t>2025</w:t>
            </w:r>
            <w:r w:rsidRPr="00555C85">
              <w:rPr>
                <w:rFonts w:eastAsia="SimSun"/>
                <w:color w:val="000000"/>
                <w:sz w:val="24"/>
                <w:szCs w:val="24"/>
                <w:lang w:val="zh-CN" w:eastAsia="zh-CN"/>
              </w:rPr>
              <w:t>年</w:t>
            </w:r>
            <w:r w:rsidRPr="00555C85">
              <w:rPr>
                <w:rFonts w:eastAsia="SimSun"/>
                <w:color w:val="000000"/>
                <w:sz w:val="24"/>
                <w:szCs w:val="24"/>
                <w:lang w:val="zh-CN" w:eastAsia="zh-CN"/>
              </w:rPr>
              <w:t>11</w:t>
            </w:r>
            <w:r w:rsidRPr="00555C85">
              <w:rPr>
                <w:rFonts w:eastAsia="SimSun"/>
                <w:color w:val="000000"/>
                <w:sz w:val="24"/>
                <w:szCs w:val="24"/>
                <w:lang w:val="zh-CN" w:eastAsia="zh-CN"/>
              </w:rPr>
              <w:t>月</w:t>
            </w:r>
            <w:r w:rsidRPr="00555C85">
              <w:rPr>
                <w:rFonts w:eastAsia="SimSun"/>
                <w:color w:val="000000"/>
                <w:sz w:val="24"/>
                <w:szCs w:val="24"/>
                <w:lang w:val="zh-CN" w:eastAsia="zh-CN"/>
              </w:rPr>
              <w:t>3</w:t>
            </w:r>
            <w:r w:rsidRPr="00555C85">
              <w:rPr>
                <w:rFonts w:eastAsia="SimSun"/>
                <w:color w:val="000000"/>
                <w:sz w:val="24"/>
                <w:szCs w:val="24"/>
                <w:lang w:val="zh-CN" w:eastAsia="zh-CN"/>
              </w:rPr>
              <w:t>日至</w:t>
            </w:r>
            <w:r w:rsidRPr="00555C85">
              <w:rPr>
                <w:rFonts w:eastAsia="SimSun"/>
                <w:color w:val="000000"/>
                <w:sz w:val="24"/>
                <w:szCs w:val="24"/>
                <w:lang w:val="zh-CN" w:eastAsia="zh-CN"/>
              </w:rPr>
              <w:t>7</w:t>
            </w:r>
            <w:r w:rsidRPr="00555C85">
              <w:rPr>
                <w:rFonts w:eastAsia="SimSun"/>
                <w:color w:val="000000"/>
                <w:sz w:val="24"/>
                <w:szCs w:val="24"/>
                <w:lang w:val="zh-CN" w:eastAsia="zh-CN"/>
              </w:rPr>
              <w:t>日，日内瓦</w:t>
            </w:r>
            <w:bookmarkEnd w:id="6"/>
          </w:p>
          <w:p w14:paraId="2AEEDA16" w14:textId="29CE235B" w:rsidR="00035D73" w:rsidRPr="00555C85" w:rsidRDefault="00A46C10" w:rsidP="00505079">
            <w:pPr>
              <w:pStyle w:val="AATitle1"/>
              <w:rPr>
                <w:rFonts w:eastAsia="SimSun"/>
                <w:sz w:val="24"/>
                <w:szCs w:val="24"/>
                <w:lang w:eastAsia="zh-CN"/>
              </w:rPr>
            </w:pPr>
            <w:bookmarkStart w:id="7" w:name="CorNot1AgItem"/>
            <w:r w:rsidRPr="00555C85">
              <w:rPr>
                <w:rFonts w:eastAsia="SimSun"/>
                <w:color w:val="000000"/>
                <w:sz w:val="24"/>
                <w:szCs w:val="24"/>
                <w:lang w:val="zh-CN" w:eastAsia="zh-CN"/>
              </w:rPr>
              <w:t>临时议程</w:t>
            </w:r>
            <w:r w:rsidR="00CF4365" w:rsidRPr="00555C85">
              <w:rPr>
                <w:rStyle w:val="FootnoteReference"/>
                <w:spacing w:val="0"/>
                <w:w w:val="100"/>
                <w:position w:val="0"/>
                <w:sz w:val="24"/>
                <w:szCs w:val="22"/>
                <w:vertAlign w:val="baseline"/>
                <w:lang w:val="zh-CN" w:eastAsia="zh-CN"/>
              </w:rPr>
              <w:footnoteReference w:customMarkFollows="1" w:id="2"/>
              <w:t>*</w:t>
            </w:r>
            <w:r w:rsidRPr="00555C85">
              <w:rPr>
                <w:rFonts w:eastAsia="SimSun"/>
                <w:color w:val="000000"/>
                <w:sz w:val="24"/>
                <w:szCs w:val="24"/>
                <w:lang w:val="zh-CN" w:eastAsia="zh-CN"/>
              </w:rPr>
              <w:t>项目</w:t>
            </w:r>
            <w:r w:rsidRPr="00555C85">
              <w:rPr>
                <w:rFonts w:eastAsia="SimSun"/>
                <w:color w:val="000000"/>
                <w:sz w:val="24"/>
                <w:szCs w:val="24"/>
                <w:lang w:val="zh-CN" w:eastAsia="zh-CN"/>
              </w:rPr>
              <w:t xml:space="preserve">4 </w:t>
            </w:r>
            <w:r w:rsidRPr="00B53722">
              <w:rPr>
                <w:rFonts w:eastAsia="SimSun"/>
                <w:color w:val="000000"/>
                <w:sz w:val="24"/>
                <w:szCs w:val="24"/>
                <w:lang w:val="zh-CN" w:eastAsia="zh-CN"/>
              </w:rPr>
              <w:t>(</w:t>
            </w:r>
            <w:r w:rsidR="00BD3721">
              <w:rPr>
                <w:rFonts w:eastAsia="SimSun" w:hint="eastAsia"/>
                <w:color w:val="000000"/>
                <w:sz w:val="24"/>
                <w:szCs w:val="24"/>
                <w:lang w:val="zh-CN" w:eastAsia="zh-CN"/>
              </w:rPr>
              <w:t>e</w:t>
            </w:r>
            <w:r w:rsidRPr="00B53722">
              <w:rPr>
                <w:rFonts w:eastAsia="SimSun"/>
                <w:color w:val="000000"/>
                <w:sz w:val="24"/>
                <w:szCs w:val="24"/>
                <w:lang w:val="zh-CN" w:eastAsia="zh-CN"/>
              </w:rPr>
              <w:t>)</w:t>
            </w:r>
            <w:r w:rsidRPr="00555C85">
              <w:rPr>
                <w:rFonts w:eastAsia="SimSun"/>
                <w:color w:val="000000"/>
                <w:sz w:val="24"/>
                <w:szCs w:val="24"/>
                <w:lang w:val="zh-CN" w:eastAsia="zh-CN"/>
              </w:rPr>
              <w:t xml:space="preserve"> (</w:t>
            </w:r>
            <w:r w:rsidRPr="00555C85">
              <w:rPr>
                <w:rFonts w:eastAsia="SimSun"/>
                <w:color w:val="000000"/>
                <w:sz w:val="24"/>
                <w:szCs w:val="24"/>
                <w:lang w:val="zh-CN" w:eastAsia="zh-CN"/>
              </w:rPr>
              <w:t>三</w:t>
            </w:r>
            <w:r w:rsidRPr="00555C85">
              <w:rPr>
                <w:rFonts w:eastAsia="SimSun"/>
                <w:color w:val="000000"/>
                <w:sz w:val="24"/>
                <w:szCs w:val="24"/>
                <w:lang w:val="zh-CN" w:eastAsia="zh-CN"/>
              </w:rPr>
              <w:t>)</w:t>
            </w:r>
            <w:bookmarkEnd w:id="7"/>
          </w:p>
          <w:p w14:paraId="22E96D43" w14:textId="77777777" w:rsidR="00625F62" w:rsidRPr="002679CE" w:rsidRDefault="002039FA" w:rsidP="00505079">
            <w:pPr>
              <w:pStyle w:val="AATitle2"/>
              <w:spacing w:after="0"/>
              <w:rPr>
                <w:rFonts w:ascii="SimHei" w:eastAsia="SimHei" w:hAnsi="SimHei"/>
                <w:bCs/>
                <w:color w:val="000000"/>
                <w:sz w:val="24"/>
                <w:szCs w:val="24"/>
                <w:lang w:val="zh-CN" w:eastAsia="zh-CN"/>
              </w:rPr>
            </w:pPr>
            <w:bookmarkStart w:id="8" w:name="CorNot1AgTitle"/>
            <w:r w:rsidRPr="002679CE">
              <w:rPr>
                <w:rFonts w:ascii="SimHei" w:eastAsia="SimHei" w:hAnsi="SimHei"/>
                <w:bCs/>
                <w:color w:val="000000"/>
                <w:sz w:val="24"/>
                <w:szCs w:val="24"/>
                <w:lang w:val="zh-CN" w:eastAsia="zh-CN"/>
              </w:rPr>
              <w:t>供缔约方大会审议或采取行动的事项：</w:t>
            </w:r>
          </w:p>
          <w:p w14:paraId="515809EC" w14:textId="0E8517A9" w:rsidR="00035D73" w:rsidRPr="002679CE" w:rsidRDefault="002039FA" w:rsidP="00505079">
            <w:pPr>
              <w:pStyle w:val="AATitle2"/>
              <w:spacing w:before="0"/>
              <w:rPr>
                <w:rFonts w:ascii="SimHei" w:eastAsia="SimHei" w:hAnsi="SimHei"/>
                <w:lang w:eastAsia="zh-CN"/>
              </w:rPr>
            </w:pPr>
            <w:r w:rsidRPr="002679CE">
              <w:rPr>
                <w:rFonts w:ascii="SimHei" w:eastAsia="SimHei" w:hAnsi="SimHei"/>
                <w:bCs/>
                <w:color w:val="000000"/>
                <w:sz w:val="24"/>
                <w:szCs w:val="24"/>
                <w:lang w:val="zh-CN" w:eastAsia="zh-CN"/>
              </w:rPr>
              <w:t>财政资源和财务机制：审查财务机制</w:t>
            </w:r>
            <w:bookmarkEnd w:id="8"/>
          </w:p>
        </w:tc>
        <w:tc>
          <w:tcPr>
            <w:tcW w:w="4195" w:type="dxa"/>
          </w:tcPr>
          <w:p w14:paraId="398176F4" w14:textId="77777777" w:rsidR="00035D73" w:rsidRPr="002679CE" w:rsidRDefault="00035D73" w:rsidP="00505079">
            <w:pPr>
              <w:pStyle w:val="Normal-pool"/>
              <w:rPr>
                <w:lang w:eastAsia="zh-CN"/>
              </w:rPr>
            </w:pPr>
          </w:p>
        </w:tc>
      </w:tr>
    </w:tbl>
    <w:p w14:paraId="0AE285E8" w14:textId="77777777" w:rsidR="00B075DF" w:rsidRPr="002679CE" w:rsidRDefault="00B075DF" w:rsidP="00505079">
      <w:pPr>
        <w:pStyle w:val="BBTitle"/>
        <w:rPr>
          <w:rFonts w:ascii="SimHei" w:eastAsia="SimHei" w:hAnsi="SimHei"/>
          <w:sz w:val="32"/>
          <w:szCs w:val="32"/>
          <w:lang w:eastAsia="zh-CN"/>
        </w:rPr>
      </w:pPr>
      <w:r w:rsidRPr="002679CE">
        <w:rPr>
          <w:rFonts w:ascii="SimHei" w:eastAsia="SimHei" w:hAnsi="SimHei"/>
          <w:bCs/>
          <w:sz w:val="32"/>
          <w:szCs w:val="32"/>
          <w:lang w:val="zh-CN" w:eastAsia="zh-CN"/>
        </w:rPr>
        <w:t>财务机制第三次审查的职权范围草案</w:t>
      </w:r>
    </w:p>
    <w:p w14:paraId="2F37D5DF" w14:textId="77777777" w:rsidR="00B075DF" w:rsidRPr="002679CE" w:rsidRDefault="00B075DF" w:rsidP="00505079">
      <w:pPr>
        <w:pStyle w:val="CH2"/>
        <w:rPr>
          <w:rFonts w:ascii="SimHei" w:eastAsia="SimHei" w:hAnsi="SimHei"/>
          <w:lang w:eastAsia="zh-CN"/>
        </w:rPr>
      </w:pPr>
      <w:r w:rsidRPr="002679CE">
        <w:rPr>
          <w:lang w:val="zh-CN" w:eastAsia="zh-CN"/>
        </w:rPr>
        <w:tab/>
      </w:r>
      <w:r w:rsidRPr="002679CE">
        <w:rPr>
          <w:lang w:val="zh-CN" w:eastAsia="zh-CN"/>
        </w:rPr>
        <w:tab/>
      </w:r>
      <w:r w:rsidRPr="002679CE">
        <w:rPr>
          <w:rFonts w:ascii="SimHei" w:eastAsia="SimHei" w:hAnsi="SimHei"/>
          <w:bCs/>
          <w:sz w:val="28"/>
          <w:szCs w:val="28"/>
          <w:lang w:val="zh-CN" w:eastAsia="zh-CN"/>
        </w:rPr>
        <w:t>秘书处的说明</w:t>
      </w:r>
    </w:p>
    <w:p w14:paraId="0C149585" w14:textId="09916F64" w:rsidR="00B075DF" w:rsidRPr="002679CE" w:rsidRDefault="00B075DF" w:rsidP="00AA56B5">
      <w:pPr>
        <w:pStyle w:val="CH1"/>
        <w:numPr>
          <w:ilvl w:val="0"/>
          <w:numId w:val="27"/>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sz w:val="32"/>
          <w:szCs w:val="32"/>
          <w:lang w:eastAsia="zh-CN"/>
        </w:rPr>
      </w:pPr>
      <w:bookmarkStart w:id="9" w:name="_Hlk192252242"/>
      <w:r w:rsidRPr="002679CE">
        <w:rPr>
          <w:rFonts w:ascii="SimHei" w:eastAsia="SimHei" w:hAnsi="SimHei"/>
          <w:bCs/>
          <w:sz w:val="32"/>
          <w:szCs w:val="32"/>
          <w:lang w:val="zh-CN" w:eastAsia="zh-CN"/>
        </w:rPr>
        <w:t>导言</w:t>
      </w:r>
    </w:p>
    <w:bookmarkEnd w:id="9"/>
    <w:p w14:paraId="0CB8CA10" w14:textId="649E348B" w:rsidR="00B075DF" w:rsidRPr="002679CE" w:rsidRDefault="00EA3906"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《关于汞的公约》关于财政资源和财务机制的第十三条第十一款规定，公约缔约方大会应最迟在其第三次会议上、并于嗣后定期审查：</w:t>
      </w:r>
    </w:p>
    <w:p w14:paraId="282C8AE0" w14:textId="1C864ABD" w:rsidR="00B075DF" w:rsidRPr="002679CE" w:rsidRDefault="00B075DF" w:rsidP="00505079">
      <w:pPr>
        <w:pStyle w:val="Normalnumber"/>
        <w:numPr>
          <w:ilvl w:val="0"/>
          <w:numId w:val="17"/>
        </w:numPr>
        <w:tabs>
          <w:tab w:val="left" w:pos="624"/>
        </w:tabs>
        <w:spacing w:line="240" w:lineRule="auto"/>
        <w:ind w:left="1247" w:firstLine="624"/>
        <w:rPr>
          <w:sz w:val="24"/>
          <w:szCs w:val="24"/>
        </w:rPr>
      </w:pPr>
      <w:r w:rsidRPr="002679CE">
        <w:rPr>
          <w:sz w:val="24"/>
          <w:szCs w:val="24"/>
          <w:lang w:val="zh-CN"/>
        </w:rPr>
        <w:t>供资水平；</w:t>
      </w:r>
    </w:p>
    <w:p w14:paraId="4FD87CA7" w14:textId="0D3E8A2B" w:rsidR="00B075DF" w:rsidRPr="002679CE" w:rsidRDefault="00B075DF" w:rsidP="00505079">
      <w:pPr>
        <w:pStyle w:val="Normalnumber"/>
        <w:numPr>
          <w:ilvl w:val="0"/>
          <w:numId w:val="17"/>
        </w:numPr>
        <w:tabs>
          <w:tab w:val="left" w:pos="624"/>
        </w:tabs>
        <w:spacing w:line="240" w:lineRule="auto"/>
        <w:ind w:left="1247" w:firstLine="624"/>
        <w:rPr>
          <w:sz w:val="24"/>
          <w:szCs w:val="24"/>
        </w:rPr>
      </w:pPr>
      <w:r w:rsidRPr="002679CE">
        <w:rPr>
          <w:sz w:val="24"/>
          <w:szCs w:val="24"/>
          <w:lang w:val="zh-CN"/>
        </w:rPr>
        <w:t>缔约方大会向受托运行《公约》财务机制的实体提供的指导；</w:t>
      </w:r>
    </w:p>
    <w:p w14:paraId="3F33053C" w14:textId="77777777" w:rsidR="00B075DF" w:rsidRPr="002679CE" w:rsidRDefault="00B075DF" w:rsidP="00505079">
      <w:pPr>
        <w:pStyle w:val="Normalnumber"/>
        <w:numPr>
          <w:ilvl w:val="0"/>
          <w:numId w:val="17"/>
        </w:numPr>
        <w:tabs>
          <w:tab w:val="left" w:pos="624"/>
        </w:tabs>
        <w:spacing w:line="240" w:lineRule="auto"/>
        <w:ind w:left="1247" w:firstLine="624"/>
        <w:rPr>
          <w:sz w:val="24"/>
          <w:szCs w:val="24"/>
        </w:rPr>
      </w:pPr>
      <w:r w:rsidRPr="002679CE">
        <w:rPr>
          <w:sz w:val="24"/>
          <w:szCs w:val="24"/>
          <w:lang w:val="zh-CN"/>
        </w:rPr>
        <w:t>这些实体的成效；</w:t>
      </w:r>
    </w:p>
    <w:p w14:paraId="235C9E39" w14:textId="245293E9" w:rsidR="00B075DF" w:rsidRPr="002679CE" w:rsidRDefault="00B075DF" w:rsidP="00505079">
      <w:pPr>
        <w:pStyle w:val="Normalnumber"/>
        <w:numPr>
          <w:ilvl w:val="0"/>
          <w:numId w:val="17"/>
        </w:numPr>
        <w:tabs>
          <w:tab w:val="left" w:pos="624"/>
        </w:tabs>
        <w:spacing w:line="240" w:lineRule="auto"/>
        <w:ind w:left="1247" w:firstLine="624"/>
        <w:rPr>
          <w:sz w:val="24"/>
          <w:szCs w:val="24"/>
        </w:rPr>
      </w:pPr>
      <w:r w:rsidRPr="002679CE">
        <w:rPr>
          <w:sz w:val="24"/>
          <w:szCs w:val="24"/>
          <w:lang w:val="zh-CN"/>
        </w:rPr>
        <w:t>这些实体满足发展中国家缔约方和经济转型缔约方不断变化的需要的能力。</w:t>
      </w:r>
    </w:p>
    <w:p w14:paraId="332EB8DD" w14:textId="11900BA9" w:rsidR="00B075DF" w:rsidRPr="002679CE" w:rsidRDefault="00F326C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同一款还规定，缔约方大会应当根据此种审查为改进财务机制的成效采取适当的行动。</w:t>
      </w:r>
    </w:p>
    <w:p w14:paraId="2276CD0E" w14:textId="0BF71F6D"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缔约方大会第五次会议在</w:t>
      </w:r>
      <w:r w:rsidRPr="002679CE">
        <w:rPr>
          <w:sz w:val="24"/>
          <w:szCs w:val="24"/>
          <w:lang w:val="zh-CN"/>
        </w:rPr>
        <w:t>MC-5/11</w:t>
      </w:r>
      <w:r w:rsidRPr="002679CE">
        <w:rPr>
          <w:sz w:val="24"/>
          <w:szCs w:val="24"/>
          <w:lang w:val="zh-CN"/>
        </w:rPr>
        <w:t>号决定中请秘书处编写财务机制第三次审查的职权范围草案，供缔约方大会第六次会议审议。</w:t>
      </w:r>
    </w:p>
    <w:p w14:paraId="42A55299" w14:textId="25F5A922"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秘书处编写了第三次审查的职权范围草案，载于</w:t>
      </w:r>
      <w:proofErr w:type="gramStart"/>
      <w:r w:rsidRPr="002679CE">
        <w:rPr>
          <w:sz w:val="24"/>
          <w:szCs w:val="24"/>
          <w:lang w:val="zh-CN"/>
        </w:rPr>
        <w:t>本说明</w:t>
      </w:r>
      <w:proofErr w:type="gramEnd"/>
      <w:r w:rsidRPr="002679CE">
        <w:rPr>
          <w:sz w:val="24"/>
          <w:szCs w:val="24"/>
          <w:lang w:val="zh-CN"/>
        </w:rPr>
        <w:t>附件二。职权范围草案以财务机制第二次审查的职权范围（</w:t>
      </w:r>
      <w:r w:rsidRPr="002679CE">
        <w:rPr>
          <w:sz w:val="24"/>
          <w:szCs w:val="24"/>
          <w:lang w:val="zh-CN"/>
        </w:rPr>
        <w:t>MC-4/7</w:t>
      </w:r>
      <w:r w:rsidRPr="002679CE">
        <w:rPr>
          <w:sz w:val="24"/>
          <w:szCs w:val="24"/>
          <w:lang w:val="zh-CN"/>
        </w:rPr>
        <w:t>号决定附件）为基础，只对题为</w:t>
      </w:r>
      <w:r w:rsidRPr="002679CE">
        <w:rPr>
          <w:rFonts w:ascii="SimSun" w:hAnsi="SimSun"/>
          <w:sz w:val="24"/>
          <w:szCs w:val="24"/>
          <w:lang w:val="zh-CN"/>
        </w:rPr>
        <w:t>“报告”和“业绩标准”的</w:t>
      </w:r>
      <w:r w:rsidRPr="002679CE">
        <w:rPr>
          <w:sz w:val="24"/>
          <w:szCs w:val="24"/>
          <w:lang w:val="zh-CN"/>
        </w:rPr>
        <w:t>部分作了少量调整。</w:t>
      </w:r>
    </w:p>
    <w:p w14:paraId="5B5EA07B" w14:textId="7D3E0B1A"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lastRenderedPageBreak/>
        <w:t>此外，在拟定职权范围草案时，秘书处邀请全球环境基金（全环基金）秘书处和支持能力建设和技术援助的专门国际方案理事会提供意见和建议。</w:t>
      </w:r>
    </w:p>
    <w:p w14:paraId="583F73E9" w14:textId="7BA6EA46" w:rsidR="00B075DF" w:rsidRPr="002679CE" w:rsidRDefault="00B075DF" w:rsidP="00AA56B5">
      <w:pPr>
        <w:pStyle w:val="CH1"/>
        <w:numPr>
          <w:ilvl w:val="0"/>
          <w:numId w:val="27"/>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eastAsia="zh-CN"/>
        </w:rPr>
      </w:pPr>
      <w:r w:rsidRPr="002679CE">
        <w:rPr>
          <w:rFonts w:ascii="SimHei" w:eastAsia="SimHei" w:hAnsi="SimHei"/>
          <w:bCs/>
          <w:sz w:val="32"/>
          <w:szCs w:val="32"/>
          <w:lang w:val="zh-CN" w:eastAsia="zh-CN"/>
        </w:rPr>
        <w:t>关于第三次审查时间的考虑</w:t>
      </w:r>
    </w:p>
    <w:p w14:paraId="154E9AB2" w14:textId="4D766D20"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财务机制第二次审查涵盖</w:t>
      </w:r>
      <w:r w:rsidRPr="002679CE">
        <w:rPr>
          <w:sz w:val="24"/>
          <w:szCs w:val="24"/>
          <w:lang w:val="zh-CN"/>
        </w:rPr>
        <w:t>2019</w:t>
      </w:r>
      <w:r w:rsidRPr="002679CE">
        <w:rPr>
          <w:sz w:val="24"/>
          <w:szCs w:val="24"/>
          <w:lang w:val="zh-CN"/>
        </w:rPr>
        <w:t>年</w:t>
      </w:r>
      <w:r w:rsidRPr="002679CE">
        <w:rPr>
          <w:sz w:val="24"/>
          <w:szCs w:val="24"/>
          <w:lang w:val="zh-CN"/>
        </w:rPr>
        <w:t>8</w:t>
      </w:r>
      <w:r w:rsidRPr="002679CE">
        <w:rPr>
          <w:sz w:val="24"/>
          <w:szCs w:val="24"/>
          <w:lang w:val="zh-CN"/>
        </w:rPr>
        <w:t>月至</w:t>
      </w:r>
      <w:r w:rsidRPr="002679CE">
        <w:rPr>
          <w:sz w:val="24"/>
          <w:szCs w:val="24"/>
          <w:lang w:val="zh-CN"/>
        </w:rPr>
        <w:t>2022</w:t>
      </w:r>
      <w:r w:rsidRPr="002679CE">
        <w:rPr>
          <w:sz w:val="24"/>
          <w:szCs w:val="24"/>
          <w:lang w:val="zh-CN"/>
        </w:rPr>
        <w:t>年</w:t>
      </w:r>
      <w:r w:rsidRPr="002679CE">
        <w:rPr>
          <w:sz w:val="24"/>
          <w:szCs w:val="24"/>
          <w:lang w:val="zh-CN"/>
        </w:rPr>
        <w:t>7</w:t>
      </w:r>
      <w:r w:rsidRPr="002679CE">
        <w:rPr>
          <w:sz w:val="24"/>
          <w:szCs w:val="24"/>
          <w:lang w:val="zh-CN"/>
        </w:rPr>
        <w:t>月期间。根据《公约》</w:t>
      </w:r>
      <w:r w:rsidRPr="00AA56B5">
        <w:rPr>
          <w:spacing w:val="8"/>
          <w:sz w:val="24"/>
          <w:szCs w:val="24"/>
          <w:lang w:val="zh-CN"/>
        </w:rPr>
        <w:t>第十三条第十一款编写的关于财务机制第二次审查的报告已提交缔约方会议第五</w:t>
      </w:r>
      <w:r w:rsidRPr="002679CE">
        <w:rPr>
          <w:sz w:val="24"/>
          <w:szCs w:val="24"/>
          <w:lang w:val="zh-CN"/>
        </w:rPr>
        <w:t>次会议，并载于</w:t>
      </w:r>
      <w:r w:rsidRPr="002679CE">
        <w:rPr>
          <w:sz w:val="24"/>
          <w:szCs w:val="24"/>
          <w:lang w:val="zh-CN"/>
        </w:rPr>
        <w:t>UNEP/MC/COP.5/INF/17</w:t>
      </w:r>
      <w:r w:rsidRPr="002679CE">
        <w:rPr>
          <w:sz w:val="24"/>
          <w:szCs w:val="24"/>
          <w:lang w:val="zh-CN"/>
        </w:rPr>
        <w:t>号文件。缔约方大会在</w:t>
      </w:r>
      <w:r w:rsidRPr="002679CE">
        <w:rPr>
          <w:sz w:val="24"/>
          <w:szCs w:val="24"/>
          <w:lang w:val="zh-CN"/>
        </w:rPr>
        <w:t>2019</w:t>
      </w:r>
      <w:r w:rsidRPr="002679CE">
        <w:rPr>
          <w:sz w:val="24"/>
          <w:szCs w:val="24"/>
          <w:lang w:val="zh-CN"/>
        </w:rPr>
        <w:t>年</w:t>
      </w:r>
      <w:r w:rsidRPr="002679CE">
        <w:rPr>
          <w:sz w:val="24"/>
          <w:szCs w:val="24"/>
          <w:lang w:val="zh-CN"/>
        </w:rPr>
        <w:t>11</w:t>
      </w:r>
      <w:r w:rsidRPr="002679CE">
        <w:rPr>
          <w:sz w:val="24"/>
          <w:szCs w:val="24"/>
          <w:lang w:val="zh-CN"/>
        </w:rPr>
        <w:t>月举行的第三次会议上审议了对财务机制的第一次审查（</w:t>
      </w:r>
      <w:r w:rsidRPr="002679CE">
        <w:rPr>
          <w:sz w:val="24"/>
          <w:szCs w:val="24"/>
          <w:lang w:val="zh-CN"/>
        </w:rPr>
        <w:t>UNEP/MC/</w:t>
      </w:r>
      <w:r w:rsidR="00AA56B5">
        <w:rPr>
          <w:rFonts w:hint="eastAsia"/>
          <w:sz w:val="24"/>
          <w:szCs w:val="24"/>
          <w:lang w:val="zh-CN"/>
        </w:rPr>
        <w:t xml:space="preserve"> </w:t>
      </w:r>
      <w:r w:rsidRPr="002679CE">
        <w:rPr>
          <w:sz w:val="24"/>
          <w:szCs w:val="24"/>
          <w:lang w:val="zh-CN"/>
        </w:rPr>
        <w:t>COP.3/11</w:t>
      </w:r>
      <w:r w:rsidRPr="002679CE">
        <w:rPr>
          <w:sz w:val="24"/>
          <w:szCs w:val="24"/>
          <w:lang w:val="zh-CN"/>
        </w:rPr>
        <w:t>）。</w:t>
      </w:r>
    </w:p>
    <w:p w14:paraId="03916B78" w14:textId="54A4BFEB"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如果缔约方决定第三次审查将涵盖</w:t>
      </w:r>
      <w:r w:rsidRPr="002679CE">
        <w:rPr>
          <w:sz w:val="24"/>
          <w:szCs w:val="24"/>
          <w:lang w:val="zh-CN"/>
        </w:rPr>
        <w:t>2022</w:t>
      </w:r>
      <w:r w:rsidRPr="002679CE">
        <w:rPr>
          <w:sz w:val="24"/>
          <w:szCs w:val="24"/>
          <w:lang w:val="zh-CN"/>
        </w:rPr>
        <w:t>年</w:t>
      </w:r>
      <w:r w:rsidRPr="002679CE">
        <w:rPr>
          <w:sz w:val="24"/>
          <w:szCs w:val="24"/>
          <w:lang w:val="zh-CN"/>
        </w:rPr>
        <w:t>8</w:t>
      </w:r>
      <w:r w:rsidRPr="002679CE">
        <w:rPr>
          <w:sz w:val="24"/>
          <w:szCs w:val="24"/>
          <w:lang w:val="zh-CN"/>
        </w:rPr>
        <w:t>月至全球环境基金第八次充资期（</w:t>
      </w:r>
      <w:r w:rsidRPr="002679CE">
        <w:rPr>
          <w:sz w:val="24"/>
          <w:szCs w:val="24"/>
          <w:lang w:val="zh-CN"/>
        </w:rPr>
        <w:t>2026</w:t>
      </w:r>
      <w:r w:rsidRPr="002679CE">
        <w:rPr>
          <w:sz w:val="24"/>
          <w:szCs w:val="24"/>
          <w:lang w:val="zh-CN"/>
        </w:rPr>
        <w:t>年</w:t>
      </w:r>
      <w:r w:rsidRPr="002679CE">
        <w:rPr>
          <w:sz w:val="24"/>
          <w:szCs w:val="24"/>
          <w:lang w:val="zh-CN"/>
        </w:rPr>
        <w:t>6</w:t>
      </w:r>
      <w:r w:rsidRPr="002679CE">
        <w:rPr>
          <w:sz w:val="24"/>
          <w:szCs w:val="24"/>
          <w:lang w:val="zh-CN"/>
        </w:rPr>
        <w:t>月）结束这段时间，这一时限将允许审议紧接第二次审查之后的所有信息。这将包括关于正在进行的和已完成的项目、已完成项目的成效以及缔约</w:t>
      </w:r>
      <w:proofErr w:type="gramStart"/>
      <w:r w:rsidRPr="002679CE">
        <w:rPr>
          <w:sz w:val="24"/>
          <w:szCs w:val="24"/>
          <w:lang w:val="zh-CN"/>
        </w:rPr>
        <w:t>方执行</w:t>
      </w:r>
      <w:proofErr w:type="gramEnd"/>
      <w:r w:rsidRPr="002679CE">
        <w:rPr>
          <w:sz w:val="24"/>
          <w:szCs w:val="24"/>
          <w:lang w:val="zh-CN"/>
        </w:rPr>
        <w:t>这些项目的经验的重要信息。</w:t>
      </w:r>
    </w:p>
    <w:p w14:paraId="7CD49509" w14:textId="4719320F" w:rsidR="00B075DF" w:rsidRPr="002679CE" w:rsidRDefault="00074E8D"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在</w:t>
      </w:r>
      <w:r w:rsidRPr="002679CE">
        <w:rPr>
          <w:sz w:val="24"/>
          <w:szCs w:val="24"/>
          <w:lang w:val="zh-CN"/>
        </w:rPr>
        <w:t>2027</w:t>
      </w:r>
      <w:r w:rsidRPr="002679CE">
        <w:rPr>
          <w:sz w:val="24"/>
          <w:szCs w:val="24"/>
          <w:lang w:val="zh-CN"/>
        </w:rPr>
        <w:t>年举行的第七次会议上，缔约方大会预计将审议是否将专门国际方案的时限在其最初期限，即自信托基金设立之日起</w:t>
      </w:r>
      <w:r w:rsidRPr="002679CE">
        <w:rPr>
          <w:sz w:val="24"/>
          <w:szCs w:val="24"/>
          <w:lang w:val="zh-CN"/>
        </w:rPr>
        <w:t>10</w:t>
      </w:r>
      <w:r w:rsidRPr="002679CE">
        <w:rPr>
          <w:sz w:val="24"/>
          <w:szCs w:val="24"/>
          <w:lang w:val="zh-CN"/>
        </w:rPr>
        <w:t>年的基础上延长，这一期限将于</w:t>
      </w:r>
      <w:r w:rsidRPr="002679CE">
        <w:rPr>
          <w:sz w:val="24"/>
          <w:szCs w:val="24"/>
          <w:lang w:val="zh-CN"/>
        </w:rPr>
        <w:t>2027</w:t>
      </w:r>
      <w:r w:rsidRPr="002679CE">
        <w:rPr>
          <w:sz w:val="24"/>
          <w:szCs w:val="24"/>
          <w:lang w:val="zh-CN"/>
        </w:rPr>
        <w:t>年</w:t>
      </w:r>
      <w:r w:rsidRPr="002679CE">
        <w:rPr>
          <w:sz w:val="24"/>
          <w:szCs w:val="24"/>
          <w:lang w:val="zh-CN"/>
        </w:rPr>
        <w:t>12</w:t>
      </w:r>
      <w:r w:rsidRPr="002679CE">
        <w:rPr>
          <w:sz w:val="24"/>
          <w:szCs w:val="24"/>
          <w:lang w:val="zh-CN"/>
        </w:rPr>
        <w:t>月届满。根据</w:t>
      </w:r>
      <w:r w:rsidRPr="002679CE">
        <w:rPr>
          <w:sz w:val="24"/>
          <w:szCs w:val="24"/>
          <w:lang w:val="zh-CN"/>
        </w:rPr>
        <w:t>MC-1/6</w:t>
      </w:r>
      <w:r w:rsidRPr="002679CE">
        <w:rPr>
          <w:sz w:val="24"/>
          <w:szCs w:val="24"/>
          <w:lang w:val="zh-CN"/>
        </w:rPr>
        <w:t>号决定，考虑到根据第十三条第十一款对财务机制进行的审查，可能的延期不得超过</w:t>
      </w:r>
      <w:r w:rsidRPr="002679CE">
        <w:rPr>
          <w:sz w:val="24"/>
          <w:szCs w:val="24"/>
          <w:lang w:val="zh-CN"/>
        </w:rPr>
        <w:t>7</w:t>
      </w:r>
      <w:r w:rsidRPr="002679CE">
        <w:rPr>
          <w:sz w:val="24"/>
          <w:szCs w:val="24"/>
          <w:lang w:val="zh-CN"/>
        </w:rPr>
        <w:t>年。</w:t>
      </w:r>
    </w:p>
    <w:p w14:paraId="02666E30" w14:textId="2238DE6D"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完成对财务机制的第三次审查并由缔约方大会第七次会议进行审议，意在为缔约方大会关于延长专门国际方案期限的预期决定提供参考。</w:t>
      </w:r>
    </w:p>
    <w:p w14:paraId="2E9DDAEA" w14:textId="2C38C05C" w:rsidR="00B075DF" w:rsidRPr="002679CE" w:rsidRDefault="00B075DF" w:rsidP="00AA56B5">
      <w:pPr>
        <w:pStyle w:val="CH1"/>
        <w:numPr>
          <w:ilvl w:val="0"/>
          <w:numId w:val="27"/>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eastAsia="zh-CN"/>
        </w:rPr>
      </w:pPr>
      <w:r w:rsidRPr="002679CE">
        <w:rPr>
          <w:rFonts w:ascii="SimHei" w:eastAsia="SimHei" w:hAnsi="SimHei"/>
          <w:bCs/>
          <w:sz w:val="32"/>
          <w:szCs w:val="32"/>
          <w:lang w:val="zh-CN" w:eastAsia="zh-CN"/>
        </w:rPr>
        <w:t>建议缔约方大会采取的行动</w:t>
      </w:r>
    </w:p>
    <w:p w14:paraId="78E414AE" w14:textId="7D8A256B" w:rsidR="00B075DF" w:rsidRPr="002679CE" w:rsidRDefault="00B075DF" w:rsidP="00505079">
      <w:pPr>
        <w:pStyle w:val="Normalnumber"/>
        <w:numPr>
          <w:ilvl w:val="0"/>
          <w:numId w:val="24"/>
        </w:numPr>
        <w:tabs>
          <w:tab w:val="left" w:pos="624"/>
        </w:tabs>
        <w:spacing w:line="240" w:lineRule="auto"/>
        <w:ind w:left="1247" w:firstLine="0"/>
        <w:rPr>
          <w:sz w:val="24"/>
          <w:szCs w:val="24"/>
        </w:rPr>
      </w:pPr>
      <w:r w:rsidRPr="002679CE">
        <w:rPr>
          <w:sz w:val="24"/>
          <w:szCs w:val="24"/>
          <w:lang w:val="zh-CN"/>
        </w:rPr>
        <w:t>鉴于第十三条第十一款要求缔约方大会定期审查根据第十三条设立的财务机制，缔约方大会不妨审议</w:t>
      </w:r>
      <w:proofErr w:type="gramStart"/>
      <w:r w:rsidRPr="002679CE">
        <w:rPr>
          <w:sz w:val="24"/>
          <w:szCs w:val="24"/>
          <w:lang w:val="zh-CN"/>
        </w:rPr>
        <w:t>本说明</w:t>
      </w:r>
      <w:proofErr w:type="gramEnd"/>
      <w:r w:rsidRPr="002679CE">
        <w:rPr>
          <w:sz w:val="24"/>
          <w:szCs w:val="24"/>
          <w:lang w:val="zh-CN"/>
        </w:rPr>
        <w:t>所载的关于第三次审查的信息，并通过一项与</w:t>
      </w:r>
      <w:proofErr w:type="gramStart"/>
      <w:r w:rsidRPr="002679CE">
        <w:rPr>
          <w:sz w:val="24"/>
          <w:szCs w:val="24"/>
          <w:lang w:val="zh-CN"/>
        </w:rPr>
        <w:t>本说明</w:t>
      </w:r>
      <w:proofErr w:type="gramEnd"/>
      <w:r w:rsidRPr="002679CE">
        <w:rPr>
          <w:sz w:val="24"/>
          <w:szCs w:val="24"/>
          <w:lang w:val="zh-CN"/>
        </w:rPr>
        <w:t>附件一所载案文措辞大致相同的决定。</w:t>
      </w:r>
    </w:p>
    <w:p w14:paraId="60FA479A" w14:textId="77777777" w:rsidR="00B075DF" w:rsidRPr="002679CE" w:rsidRDefault="00B075DF" w:rsidP="00505079">
      <w:pPr>
        <w:pStyle w:val="Normal-pool"/>
        <w:rPr>
          <w:sz w:val="24"/>
          <w:szCs w:val="24"/>
          <w:lang w:eastAsia="zh-CN"/>
        </w:rPr>
      </w:pPr>
      <w:r w:rsidRPr="002679CE">
        <w:rPr>
          <w:sz w:val="24"/>
          <w:szCs w:val="24"/>
          <w:lang w:eastAsia="zh-CN"/>
        </w:rPr>
        <w:br w:type="page"/>
      </w:r>
    </w:p>
    <w:p w14:paraId="7C99CA77" w14:textId="77777777" w:rsidR="00B075DF" w:rsidRPr="002679CE" w:rsidRDefault="00B075DF" w:rsidP="00505079">
      <w:pPr>
        <w:pStyle w:val="ZZAnxheader"/>
        <w:rPr>
          <w:rFonts w:eastAsia="SimHei"/>
          <w:sz w:val="32"/>
          <w:szCs w:val="32"/>
          <w:lang w:eastAsia="zh-CN"/>
        </w:rPr>
      </w:pPr>
      <w:r w:rsidRPr="002679CE">
        <w:rPr>
          <w:rFonts w:eastAsia="SimHei"/>
          <w:sz w:val="32"/>
          <w:szCs w:val="32"/>
          <w:lang w:val="zh-CN" w:eastAsia="zh-CN"/>
        </w:rPr>
        <w:lastRenderedPageBreak/>
        <w:t>附件一</w:t>
      </w:r>
    </w:p>
    <w:p w14:paraId="32F92A2C" w14:textId="77777777" w:rsidR="00B075DF" w:rsidRPr="002679CE" w:rsidRDefault="00B075DF" w:rsidP="00505079">
      <w:pPr>
        <w:pStyle w:val="ZZAnxtitle"/>
        <w:rPr>
          <w:rFonts w:eastAsia="SimHei"/>
          <w:sz w:val="32"/>
          <w:szCs w:val="32"/>
          <w:lang w:eastAsia="zh-CN"/>
        </w:rPr>
      </w:pPr>
      <w:r w:rsidRPr="002679CE">
        <w:rPr>
          <w:rFonts w:eastAsia="SimHei"/>
          <w:sz w:val="32"/>
          <w:szCs w:val="32"/>
          <w:lang w:val="zh-CN" w:eastAsia="zh-CN"/>
        </w:rPr>
        <w:t>决定草案</w:t>
      </w:r>
      <w:r w:rsidRPr="002679CE">
        <w:rPr>
          <w:rFonts w:eastAsia="SimHei"/>
          <w:sz w:val="32"/>
          <w:szCs w:val="32"/>
          <w:lang w:val="zh-CN" w:eastAsia="zh-CN"/>
        </w:rPr>
        <w:t>MC-6/[--]</w:t>
      </w:r>
      <w:r w:rsidRPr="002679CE">
        <w:rPr>
          <w:rFonts w:eastAsia="SimHei"/>
          <w:sz w:val="32"/>
          <w:szCs w:val="32"/>
          <w:lang w:val="zh-CN" w:eastAsia="zh-CN"/>
        </w:rPr>
        <w:t>：财务机制第三次审查的职权范围草案</w:t>
      </w:r>
    </w:p>
    <w:p w14:paraId="1BD3A60A" w14:textId="77777777" w:rsidR="00B075DF" w:rsidRPr="002679CE" w:rsidRDefault="00B075DF" w:rsidP="00505079">
      <w:pPr>
        <w:pStyle w:val="Normal-pool"/>
        <w:tabs>
          <w:tab w:val="clear" w:pos="1247"/>
          <w:tab w:val="clear" w:pos="1871"/>
          <w:tab w:val="clear" w:pos="2495"/>
          <w:tab w:val="clear" w:pos="3119"/>
          <w:tab w:val="clear" w:pos="3742"/>
          <w:tab w:val="clear" w:pos="4366"/>
          <w:tab w:val="clear" w:pos="4990"/>
        </w:tabs>
        <w:spacing w:after="120"/>
        <w:ind w:left="1247" w:firstLine="624"/>
        <w:rPr>
          <w:rFonts w:ascii="KaiTi" w:eastAsia="KaiTi" w:hAnsi="KaiTi"/>
          <w:i/>
          <w:iCs/>
          <w:sz w:val="24"/>
          <w:szCs w:val="24"/>
          <w:lang w:eastAsia="zh-CN"/>
        </w:rPr>
      </w:pPr>
      <w:r w:rsidRPr="002679CE">
        <w:rPr>
          <w:rFonts w:ascii="KaiTi" w:eastAsia="KaiTi" w:hAnsi="KaiTi"/>
          <w:sz w:val="24"/>
          <w:szCs w:val="24"/>
          <w:lang w:val="zh-CN" w:eastAsia="zh-CN"/>
        </w:rPr>
        <w:t>缔约方大会，</w:t>
      </w:r>
    </w:p>
    <w:p w14:paraId="21958F1F" w14:textId="37CA86AA" w:rsidR="00B075DF" w:rsidRPr="002679CE" w:rsidRDefault="00B075DF" w:rsidP="00E205A2">
      <w:pPr>
        <w:pStyle w:val="Normal-pool"/>
        <w:tabs>
          <w:tab w:val="clear" w:pos="1247"/>
          <w:tab w:val="clear" w:pos="1871"/>
          <w:tab w:val="clear" w:pos="2495"/>
          <w:tab w:val="clear" w:pos="3119"/>
          <w:tab w:val="clear" w:pos="3742"/>
          <w:tab w:val="clear" w:pos="4366"/>
          <w:tab w:val="clear" w:pos="4990"/>
        </w:tabs>
        <w:spacing w:after="120"/>
        <w:ind w:left="1247" w:firstLine="624"/>
        <w:jc w:val="both"/>
        <w:rPr>
          <w:i/>
          <w:iCs/>
          <w:sz w:val="24"/>
          <w:szCs w:val="24"/>
          <w:lang w:eastAsia="zh-CN"/>
        </w:rPr>
      </w:pPr>
      <w:r w:rsidRPr="002679CE">
        <w:rPr>
          <w:rFonts w:ascii="KaiTi" w:eastAsia="KaiTi" w:hAnsi="KaiTi"/>
          <w:sz w:val="24"/>
          <w:szCs w:val="24"/>
          <w:lang w:val="zh-CN" w:eastAsia="zh-CN"/>
        </w:rPr>
        <w:t>认识到</w:t>
      </w:r>
      <w:r w:rsidRPr="002679CE">
        <w:rPr>
          <w:sz w:val="24"/>
          <w:szCs w:val="24"/>
          <w:lang w:val="zh-CN" w:eastAsia="zh-CN"/>
        </w:rPr>
        <w:t>财务机制第三次审查可供审议和借鉴的经验和信息的广度，</w:t>
      </w:r>
    </w:p>
    <w:p w14:paraId="01A068AA" w14:textId="6F9CE6EB" w:rsidR="00B075DF" w:rsidRPr="002679CE" w:rsidRDefault="00B075DF" w:rsidP="00E205A2">
      <w:pPr>
        <w:pStyle w:val="Normal-pool"/>
        <w:tabs>
          <w:tab w:val="clear" w:pos="1247"/>
          <w:tab w:val="clear" w:pos="1871"/>
          <w:tab w:val="clear" w:pos="2495"/>
          <w:tab w:val="clear" w:pos="3119"/>
          <w:tab w:val="clear" w:pos="3742"/>
          <w:tab w:val="clear" w:pos="4366"/>
          <w:tab w:val="clear" w:pos="4990"/>
        </w:tabs>
        <w:spacing w:after="120"/>
        <w:ind w:left="1247" w:firstLine="624"/>
        <w:jc w:val="both"/>
        <w:rPr>
          <w:sz w:val="24"/>
          <w:szCs w:val="24"/>
          <w:lang w:eastAsia="zh-CN"/>
        </w:rPr>
      </w:pPr>
      <w:r w:rsidRPr="002679CE">
        <w:rPr>
          <w:rFonts w:ascii="KaiTi" w:eastAsia="KaiTi" w:hAnsi="KaiTi"/>
          <w:sz w:val="24"/>
          <w:szCs w:val="24"/>
          <w:lang w:val="zh-CN" w:eastAsia="zh-CN"/>
        </w:rPr>
        <w:t>考虑到</w:t>
      </w:r>
      <w:r w:rsidRPr="002679CE">
        <w:rPr>
          <w:sz w:val="24"/>
          <w:szCs w:val="24"/>
          <w:lang w:val="zh-CN" w:eastAsia="zh-CN"/>
        </w:rPr>
        <w:t>《关于汞的水俣公约》关于审查财务机制的第十三条第十一款，</w:t>
      </w:r>
    </w:p>
    <w:p w14:paraId="01DBF16B" w14:textId="7153CA4B" w:rsidR="00B075DF" w:rsidRPr="002679CE" w:rsidRDefault="00B075DF" w:rsidP="00E205A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679CE">
        <w:rPr>
          <w:rFonts w:ascii="KaiTi" w:eastAsia="KaiTi" w:hAnsi="KaiTi"/>
          <w:sz w:val="24"/>
          <w:szCs w:val="24"/>
          <w:lang w:val="zh-CN" w:eastAsia="zh-CN"/>
        </w:rPr>
        <w:t>通过</w:t>
      </w:r>
      <w:r w:rsidRPr="002679CE">
        <w:rPr>
          <w:rFonts w:eastAsia="SimSun"/>
          <w:sz w:val="24"/>
          <w:szCs w:val="24"/>
          <w:lang w:val="zh-CN" w:eastAsia="zh-CN"/>
        </w:rPr>
        <w:t>本决定附件所载的财务机制第三次审查的职权范围；</w:t>
      </w:r>
    </w:p>
    <w:p w14:paraId="6DC93710" w14:textId="77777777" w:rsidR="00B075DF" w:rsidRPr="002679CE" w:rsidRDefault="00B075DF" w:rsidP="00E205A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679CE">
        <w:rPr>
          <w:rFonts w:ascii="KaiTi" w:eastAsia="KaiTi" w:hAnsi="KaiTi"/>
          <w:sz w:val="24"/>
          <w:szCs w:val="24"/>
          <w:lang w:val="zh-CN" w:eastAsia="zh-CN"/>
        </w:rPr>
        <w:t>邀请</w:t>
      </w:r>
      <w:r w:rsidRPr="002679CE">
        <w:rPr>
          <w:rFonts w:eastAsia="SimSun"/>
          <w:sz w:val="24"/>
          <w:szCs w:val="24"/>
          <w:lang w:val="zh-CN" w:eastAsia="zh-CN"/>
        </w:rPr>
        <w:t>缔约方、政府间组织、非政府组织和利益攸关方尽快且不迟于</w:t>
      </w:r>
      <w:r w:rsidRPr="002679CE">
        <w:rPr>
          <w:rFonts w:eastAsia="SimSun"/>
          <w:sz w:val="24"/>
          <w:szCs w:val="24"/>
          <w:lang w:val="zh-CN" w:eastAsia="zh-CN"/>
        </w:rPr>
        <w:t>2026</w:t>
      </w:r>
      <w:r w:rsidRPr="002679CE">
        <w:rPr>
          <w:rFonts w:eastAsia="SimSun"/>
          <w:sz w:val="24"/>
          <w:szCs w:val="24"/>
          <w:lang w:val="zh-CN" w:eastAsia="zh-CN"/>
        </w:rPr>
        <w:t>年</w:t>
      </w:r>
      <w:r w:rsidRPr="002679CE">
        <w:rPr>
          <w:rFonts w:eastAsia="SimSun"/>
          <w:sz w:val="24"/>
          <w:szCs w:val="24"/>
          <w:lang w:val="zh-CN" w:eastAsia="zh-CN"/>
        </w:rPr>
        <w:t>4</w:t>
      </w:r>
      <w:r w:rsidRPr="002679CE">
        <w:rPr>
          <w:rFonts w:eastAsia="SimSun"/>
          <w:sz w:val="24"/>
          <w:szCs w:val="24"/>
          <w:lang w:val="zh-CN" w:eastAsia="zh-CN"/>
        </w:rPr>
        <w:t>月</w:t>
      </w:r>
      <w:r w:rsidRPr="002679CE">
        <w:rPr>
          <w:rFonts w:eastAsia="SimSun"/>
          <w:sz w:val="24"/>
          <w:szCs w:val="24"/>
          <w:lang w:val="zh-CN" w:eastAsia="zh-CN"/>
        </w:rPr>
        <w:t>30</w:t>
      </w:r>
      <w:r w:rsidRPr="002679CE">
        <w:rPr>
          <w:rFonts w:eastAsia="SimSun"/>
          <w:sz w:val="24"/>
          <w:szCs w:val="24"/>
          <w:lang w:val="zh-CN" w:eastAsia="zh-CN"/>
        </w:rPr>
        <w:t>日提交符合审查职权范围并按所列绩效标准组织的信息，介绍其通过与财务机制互动获得的经验；</w:t>
      </w:r>
    </w:p>
    <w:p w14:paraId="5B52580F" w14:textId="77777777" w:rsidR="00B075DF" w:rsidRPr="002679CE" w:rsidRDefault="00B075DF" w:rsidP="00E205A2">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679CE">
        <w:rPr>
          <w:rFonts w:ascii="KaiTi" w:eastAsia="KaiTi" w:hAnsi="KaiTi"/>
          <w:sz w:val="24"/>
          <w:szCs w:val="24"/>
          <w:lang w:val="zh-CN" w:eastAsia="zh-CN"/>
        </w:rPr>
        <w:t>请</w:t>
      </w:r>
      <w:r w:rsidRPr="002679CE">
        <w:rPr>
          <w:rFonts w:eastAsia="SimSun"/>
          <w:sz w:val="24"/>
          <w:szCs w:val="24"/>
          <w:lang w:val="zh-CN" w:eastAsia="zh-CN"/>
        </w:rPr>
        <w:t>秘书处汇编与资金机制第三次审查相关的信息，提交缔约方大会第七次会议审议。</w:t>
      </w:r>
    </w:p>
    <w:p w14:paraId="010910B1" w14:textId="77777777" w:rsidR="00B075DF" w:rsidRPr="002679CE" w:rsidRDefault="00B075DF" w:rsidP="00505079">
      <w:pPr>
        <w:spacing w:line="240" w:lineRule="auto"/>
        <w:rPr>
          <w:sz w:val="24"/>
          <w:szCs w:val="24"/>
        </w:rPr>
      </w:pPr>
      <w:r w:rsidRPr="002679CE">
        <w:rPr>
          <w:sz w:val="24"/>
          <w:szCs w:val="24"/>
        </w:rPr>
        <w:br w:type="page"/>
      </w:r>
    </w:p>
    <w:p w14:paraId="53D21697" w14:textId="77777777" w:rsidR="00B075DF" w:rsidRPr="002679CE" w:rsidRDefault="00B075DF" w:rsidP="00505079">
      <w:pPr>
        <w:pStyle w:val="ZZAnxheader"/>
        <w:rPr>
          <w:rFonts w:ascii="SimHei" w:eastAsia="SimHei" w:hAnsi="SimHei"/>
          <w:sz w:val="32"/>
          <w:szCs w:val="32"/>
          <w:lang w:eastAsia="zh-CN"/>
        </w:rPr>
      </w:pPr>
      <w:r w:rsidRPr="002679CE">
        <w:rPr>
          <w:rFonts w:ascii="SimHei" w:eastAsia="SimHei" w:hAnsi="SimHei"/>
          <w:sz w:val="32"/>
          <w:szCs w:val="32"/>
          <w:lang w:val="zh-CN" w:eastAsia="zh-CN"/>
        </w:rPr>
        <w:lastRenderedPageBreak/>
        <w:t>附件二</w:t>
      </w:r>
    </w:p>
    <w:p w14:paraId="3DB972DA" w14:textId="77777777" w:rsidR="00B075DF" w:rsidRPr="002679CE" w:rsidRDefault="00B075DF" w:rsidP="00505079">
      <w:pPr>
        <w:pStyle w:val="ZZAnxtitle"/>
        <w:rPr>
          <w:rFonts w:ascii="SimHei" w:eastAsia="SimHei" w:hAnsi="SimHei"/>
          <w:sz w:val="32"/>
          <w:szCs w:val="32"/>
          <w:lang w:eastAsia="zh-CN"/>
        </w:rPr>
      </w:pPr>
      <w:r w:rsidRPr="002679CE">
        <w:rPr>
          <w:rFonts w:ascii="SimHei" w:eastAsia="SimHei" w:hAnsi="SimHei"/>
          <w:sz w:val="32"/>
          <w:szCs w:val="32"/>
          <w:lang w:val="zh-CN" w:eastAsia="zh-CN"/>
        </w:rPr>
        <w:t>财务机制第三次审查的职权范围草案</w:t>
      </w:r>
    </w:p>
    <w:p w14:paraId="0E77EBE4" w14:textId="0FBEC60F" w:rsidR="00B075DF" w:rsidRPr="002679CE" w:rsidRDefault="00B075DF" w:rsidP="00841D61">
      <w:pPr>
        <w:pStyle w:val="CH2"/>
        <w:numPr>
          <w:ilvl w:val="1"/>
          <w:numId w:val="3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 w:val="0"/>
          <w:sz w:val="28"/>
          <w:szCs w:val="28"/>
        </w:rPr>
      </w:pPr>
      <w:proofErr w:type="spellStart"/>
      <w:r w:rsidRPr="002679CE">
        <w:rPr>
          <w:rFonts w:eastAsia="SimHei"/>
          <w:bCs/>
          <w:sz w:val="28"/>
          <w:szCs w:val="28"/>
          <w:lang w:val="zh-CN"/>
        </w:rPr>
        <w:t>目标</w:t>
      </w:r>
      <w:proofErr w:type="spellEnd"/>
    </w:p>
    <w:p w14:paraId="29A14360" w14:textId="147F0339"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根据《关于汞的水俣公约》第十三条第十一款，缔约方大会将审查根据第十三条设立的支持缔约</w:t>
      </w:r>
      <w:proofErr w:type="gramStart"/>
      <w:r w:rsidRPr="002679CE">
        <w:rPr>
          <w:sz w:val="24"/>
          <w:szCs w:val="24"/>
          <w:lang w:val="zh-CN"/>
        </w:rPr>
        <w:t>方执行</w:t>
      </w:r>
      <w:proofErr w:type="gramEnd"/>
      <w:r w:rsidRPr="002679CE">
        <w:rPr>
          <w:sz w:val="24"/>
          <w:szCs w:val="24"/>
          <w:lang w:val="zh-CN"/>
        </w:rPr>
        <w:t>《公约》的财务机制，以期在必要时采取适当行动，提高财务机制的成效。根据第十三条第十一款，审查应包括对以下方面的分析：</w:t>
      </w:r>
    </w:p>
    <w:p w14:paraId="2AA28089" w14:textId="77777777" w:rsidR="00B075DF" w:rsidRPr="002679CE" w:rsidRDefault="00B075DF" w:rsidP="00505079">
      <w:pPr>
        <w:pStyle w:val="Normalnumber"/>
        <w:numPr>
          <w:ilvl w:val="0"/>
          <w:numId w:val="19"/>
        </w:numPr>
        <w:tabs>
          <w:tab w:val="left" w:pos="624"/>
        </w:tabs>
        <w:spacing w:line="240" w:lineRule="auto"/>
        <w:ind w:left="1247" w:firstLine="624"/>
        <w:rPr>
          <w:sz w:val="24"/>
          <w:szCs w:val="24"/>
        </w:rPr>
      </w:pPr>
      <w:r w:rsidRPr="002679CE">
        <w:rPr>
          <w:sz w:val="24"/>
          <w:szCs w:val="24"/>
          <w:lang w:val="zh-CN"/>
        </w:rPr>
        <w:t>供资水平；</w:t>
      </w:r>
    </w:p>
    <w:p w14:paraId="3729C643" w14:textId="3351F94C" w:rsidR="00B075DF" w:rsidRPr="002679CE" w:rsidRDefault="000E6FB7" w:rsidP="00505079">
      <w:pPr>
        <w:pStyle w:val="Normalnumber"/>
        <w:numPr>
          <w:ilvl w:val="0"/>
          <w:numId w:val="19"/>
        </w:numPr>
        <w:tabs>
          <w:tab w:val="left" w:pos="624"/>
        </w:tabs>
        <w:spacing w:line="240" w:lineRule="auto"/>
        <w:ind w:left="1247" w:firstLine="624"/>
        <w:rPr>
          <w:sz w:val="24"/>
          <w:szCs w:val="24"/>
        </w:rPr>
      </w:pPr>
      <w:r w:rsidRPr="002679CE">
        <w:rPr>
          <w:rFonts w:hint="eastAsia"/>
          <w:sz w:val="24"/>
          <w:szCs w:val="24"/>
          <w:lang w:val="zh-CN"/>
        </w:rPr>
        <w:t>财务</w:t>
      </w:r>
      <w:r w:rsidR="00B075DF" w:rsidRPr="002679CE">
        <w:rPr>
          <w:sz w:val="24"/>
          <w:szCs w:val="24"/>
          <w:lang w:val="zh-CN"/>
        </w:rPr>
        <w:t>机制从所有来源调集资源的能力、供资水平和类型，包括对专用和非专用自愿捐款的区别；</w:t>
      </w:r>
    </w:p>
    <w:p w14:paraId="58A7BE8C" w14:textId="77777777" w:rsidR="00B075DF" w:rsidRPr="002679CE" w:rsidRDefault="00B075DF" w:rsidP="00505079">
      <w:pPr>
        <w:pStyle w:val="Normalnumber"/>
        <w:numPr>
          <w:ilvl w:val="0"/>
          <w:numId w:val="19"/>
        </w:numPr>
        <w:tabs>
          <w:tab w:val="left" w:pos="624"/>
        </w:tabs>
        <w:spacing w:line="240" w:lineRule="auto"/>
        <w:ind w:left="1247" w:firstLine="624"/>
        <w:rPr>
          <w:sz w:val="24"/>
          <w:szCs w:val="24"/>
        </w:rPr>
      </w:pPr>
      <w:r w:rsidRPr="002679CE">
        <w:rPr>
          <w:sz w:val="24"/>
          <w:szCs w:val="24"/>
          <w:lang w:val="zh-CN"/>
        </w:rPr>
        <w:t>缔约方大会向作为受托运行财务机制的实体的全球环境基金以及支持能力建设和技术援助的专门国际方案提供的指导；</w:t>
      </w:r>
    </w:p>
    <w:p w14:paraId="3645E244" w14:textId="77777777" w:rsidR="00B075DF" w:rsidRPr="002679CE" w:rsidRDefault="00B075DF" w:rsidP="00505079">
      <w:pPr>
        <w:pStyle w:val="Normalnumber"/>
        <w:numPr>
          <w:ilvl w:val="0"/>
          <w:numId w:val="19"/>
        </w:numPr>
        <w:tabs>
          <w:tab w:val="left" w:pos="624"/>
        </w:tabs>
        <w:spacing w:line="240" w:lineRule="auto"/>
        <w:ind w:left="1247" w:firstLine="624"/>
        <w:rPr>
          <w:sz w:val="24"/>
          <w:szCs w:val="24"/>
        </w:rPr>
      </w:pPr>
      <w:r w:rsidRPr="002679CE">
        <w:rPr>
          <w:sz w:val="24"/>
          <w:szCs w:val="24"/>
          <w:lang w:val="zh-CN"/>
        </w:rPr>
        <w:t>全球环境基金和专门的国际方案作为受托运行财务机制的实体的效率和成效；</w:t>
      </w:r>
    </w:p>
    <w:p w14:paraId="320629A3" w14:textId="77777777" w:rsidR="00B075DF" w:rsidRPr="002679CE" w:rsidRDefault="00B075DF" w:rsidP="00505079">
      <w:pPr>
        <w:pStyle w:val="Normalnumber"/>
        <w:numPr>
          <w:ilvl w:val="0"/>
          <w:numId w:val="19"/>
        </w:numPr>
        <w:tabs>
          <w:tab w:val="left" w:pos="624"/>
        </w:tabs>
        <w:spacing w:line="240" w:lineRule="auto"/>
        <w:ind w:left="1247" w:firstLine="624"/>
        <w:rPr>
          <w:sz w:val="24"/>
          <w:szCs w:val="24"/>
        </w:rPr>
      </w:pPr>
      <w:r w:rsidRPr="002679CE">
        <w:rPr>
          <w:sz w:val="24"/>
          <w:szCs w:val="24"/>
          <w:lang w:val="zh-CN"/>
        </w:rPr>
        <w:t>财务机制的这两个实体满足发展中国家缔约方和经济转型缔约方不断变化的需要的能力。</w:t>
      </w:r>
    </w:p>
    <w:p w14:paraId="31783160" w14:textId="2671884F" w:rsidR="00B075DF" w:rsidRPr="002679CE" w:rsidRDefault="00B075DF" w:rsidP="00841D61">
      <w:pPr>
        <w:pStyle w:val="CH2"/>
        <w:numPr>
          <w:ilvl w:val="1"/>
          <w:numId w:val="3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Cs/>
          <w:sz w:val="28"/>
          <w:szCs w:val="28"/>
          <w:lang w:val="zh-CN"/>
        </w:rPr>
      </w:pPr>
      <w:proofErr w:type="spellStart"/>
      <w:r w:rsidRPr="002679CE">
        <w:rPr>
          <w:rFonts w:eastAsia="SimHei"/>
          <w:bCs/>
          <w:sz w:val="28"/>
          <w:szCs w:val="28"/>
          <w:lang w:val="zh-CN"/>
        </w:rPr>
        <w:t>方法</w:t>
      </w:r>
      <w:proofErr w:type="spellEnd"/>
    </w:p>
    <w:p w14:paraId="6B0AFD93" w14:textId="58675BD6"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第三次审查将涵盖财务机制在</w:t>
      </w:r>
      <w:r w:rsidRPr="002679CE">
        <w:rPr>
          <w:sz w:val="24"/>
          <w:szCs w:val="24"/>
          <w:lang w:val="zh-CN"/>
        </w:rPr>
        <w:t>2022</w:t>
      </w:r>
      <w:r w:rsidRPr="002679CE">
        <w:rPr>
          <w:sz w:val="24"/>
          <w:szCs w:val="24"/>
          <w:lang w:val="zh-CN"/>
        </w:rPr>
        <w:t>年</w:t>
      </w:r>
      <w:r w:rsidRPr="002679CE">
        <w:rPr>
          <w:sz w:val="24"/>
          <w:szCs w:val="24"/>
          <w:lang w:val="zh-CN"/>
        </w:rPr>
        <w:t>8</w:t>
      </w:r>
      <w:r w:rsidRPr="002679CE">
        <w:rPr>
          <w:sz w:val="24"/>
          <w:szCs w:val="24"/>
          <w:lang w:val="zh-CN"/>
        </w:rPr>
        <w:t>月（紧接第二次审查所</w:t>
      </w:r>
      <w:proofErr w:type="gramStart"/>
      <w:r w:rsidRPr="002679CE">
        <w:rPr>
          <w:sz w:val="24"/>
          <w:szCs w:val="24"/>
          <w:lang w:val="zh-CN"/>
        </w:rPr>
        <w:t>涉期间</w:t>
      </w:r>
      <w:proofErr w:type="gramEnd"/>
      <w:r w:rsidRPr="002679CE">
        <w:rPr>
          <w:sz w:val="24"/>
          <w:szCs w:val="24"/>
          <w:lang w:val="zh-CN"/>
        </w:rPr>
        <w:t>之后）至</w:t>
      </w:r>
      <w:r w:rsidRPr="002679CE">
        <w:rPr>
          <w:sz w:val="24"/>
          <w:szCs w:val="24"/>
          <w:lang w:val="zh-CN"/>
        </w:rPr>
        <w:t>2026</w:t>
      </w:r>
      <w:r w:rsidRPr="002679CE">
        <w:rPr>
          <w:sz w:val="24"/>
          <w:szCs w:val="24"/>
          <w:lang w:val="zh-CN"/>
        </w:rPr>
        <w:t>年</w:t>
      </w:r>
      <w:r w:rsidRPr="002679CE">
        <w:rPr>
          <w:sz w:val="24"/>
          <w:szCs w:val="24"/>
          <w:lang w:val="zh-CN"/>
        </w:rPr>
        <w:t>6</w:t>
      </w:r>
      <w:r w:rsidRPr="002679CE">
        <w:rPr>
          <w:sz w:val="24"/>
          <w:szCs w:val="24"/>
          <w:lang w:val="zh-CN"/>
        </w:rPr>
        <w:t>月（届时全球环境基金信托基金第八次充资将会结束）期间的活动，包括对专门国际方案的第三和第四轮申请，重点是在此期间完成的活动。</w:t>
      </w:r>
    </w:p>
    <w:p w14:paraId="1FAED81B" w14:textId="77777777"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除其他外，审查将利用以下信息来源：</w:t>
      </w:r>
    </w:p>
    <w:p w14:paraId="11A54646" w14:textId="70594692" w:rsidR="00B075DF" w:rsidRPr="002679CE" w:rsidRDefault="00B075DF" w:rsidP="00505079">
      <w:pPr>
        <w:pStyle w:val="Normalnumber"/>
        <w:numPr>
          <w:ilvl w:val="0"/>
          <w:numId w:val="20"/>
        </w:numPr>
        <w:tabs>
          <w:tab w:val="left" w:pos="624"/>
        </w:tabs>
        <w:spacing w:line="240" w:lineRule="auto"/>
        <w:ind w:left="1247" w:firstLine="624"/>
        <w:rPr>
          <w:sz w:val="24"/>
          <w:szCs w:val="24"/>
        </w:rPr>
      </w:pPr>
      <w:r w:rsidRPr="002679CE">
        <w:rPr>
          <w:sz w:val="24"/>
          <w:szCs w:val="24"/>
          <w:lang w:val="zh-CN"/>
        </w:rPr>
        <w:t>缔约方提交的关于其通过与财务机制互动而获得的经验的信息，按照本职权范围</w:t>
      </w:r>
      <w:r w:rsidRPr="002679CE">
        <w:rPr>
          <w:sz w:val="24"/>
          <w:szCs w:val="24"/>
          <w:lang w:val="zh-CN"/>
        </w:rPr>
        <w:t>D</w:t>
      </w:r>
      <w:r w:rsidRPr="002679CE">
        <w:rPr>
          <w:sz w:val="24"/>
          <w:szCs w:val="24"/>
          <w:lang w:val="zh-CN"/>
        </w:rPr>
        <w:t>节规定的业绩标准编排；</w:t>
      </w:r>
    </w:p>
    <w:p w14:paraId="0C85A354" w14:textId="77777777" w:rsidR="00B075DF" w:rsidRPr="002679CE" w:rsidRDefault="00B075DF" w:rsidP="00505079">
      <w:pPr>
        <w:pStyle w:val="Normalnumber"/>
        <w:numPr>
          <w:ilvl w:val="0"/>
          <w:numId w:val="20"/>
        </w:numPr>
        <w:tabs>
          <w:tab w:val="left" w:pos="624"/>
        </w:tabs>
        <w:spacing w:line="240" w:lineRule="auto"/>
        <w:ind w:left="1247" w:firstLine="624"/>
        <w:rPr>
          <w:sz w:val="24"/>
          <w:szCs w:val="24"/>
        </w:rPr>
      </w:pPr>
      <w:r w:rsidRPr="002679CE">
        <w:rPr>
          <w:sz w:val="24"/>
          <w:szCs w:val="24"/>
          <w:lang w:val="zh-CN"/>
        </w:rPr>
        <w:t>受托运行财务机制的实体向缔约方大会提交的报告；</w:t>
      </w:r>
    </w:p>
    <w:p w14:paraId="7DD79452" w14:textId="6946C1E3" w:rsidR="00B075DF" w:rsidRPr="009D3AAE" w:rsidRDefault="00B075DF" w:rsidP="00505079">
      <w:pPr>
        <w:pStyle w:val="Normalnumber"/>
        <w:numPr>
          <w:ilvl w:val="0"/>
          <w:numId w:val="20"/>
        </w:numPr>
        <w:tabs>
          <w:tab w:val="left" w:pos="624"/>
        </w:tabs>
        <w:spacing w:line="240" w:lineRule="auto"/>
        <w:ind w:left="1247" w:firstLine="624"/>
        <w:rPr>
          <w:sz w:val="24"/>
          <w:szCs w:val="24"/>
        </w:rPr>
      </w:pPr>
      <w:r w:rsidRPr="002679CE">
        <w:rPr>
          <w:sz w:val="24"/>
          <w:szCs w:val="24"/>
          <w:lang w:val="zh-CN"/>
        </w:rPr>
        <w:t>受托运行财务机制的实体提供的其他报告，除其他外，包括全球环境基金独立评估</w:t>
      </w:r>
      <w:r w:rsidRPr="009D3AAE">
        <w:rPr>
          <w:sz w:val="24"/>
          <w:szCs w:val="24"/>
          <w:lang w:val="zh-CN"/>
        </w:rPr>
        <w:t>办公室的报告、专门国际方案下已完成项目的最终审查和评价报告以及专门国际方案下正在进行和已完成项目的报告；</w:t>
      </w:r>
    </w:p>
    <w:p w14:paraId="52620094" w14:textId="5F1C5835" w:rsidR="00B075DF" w:rsidRPr="009D3AAE" w:rsidRDefault="00B075DF" w:rsidP="00505079">
      <w:pPr>
        <w:pStyle w:val="Normalnumber"/>
        <w:numPr>
          <w:ilvl w:val="0"/>
          <w:numId w:val="20"/>
        </w:numPr>
        <w:tabs>
          <w:tab w:val="left" w:pos="624"/>
        </w:tabs>
        <w:spacing w:line="240" w:lineRule="auto"/>
        <w:ind w:left="1247" w:firstLine="624"/>
        <w:rPr>
          <w:sz w:val="24"/>
          <w:szCs w:val="24"/>
        </w:rPr>
      </w:pPr>
      <w:r w:rsidRPr="009D3AAE">
        <w:rPr>
          <w:sz w:val="24"/>
          <w:szCs w:val="24"/>
          <w:lang w:val="zh-CN"/>
        </w:rPr>
        <w:t>以下各方提交的相关报告和信息：政府间组织和非政府组织；利益</w:t>
      </w:r>
      <w:r w:rsidRPr="009D3AAE">
        <w:rPr>
          <w:spacing w:val="4"/>
          <w:sz w:val="24"/>
          <w:szCs w:val="24"/>
          <w:lang w:val="zh-CN"/>
        </w:rPr>
        <w:t>攸关方；按照《公约》第十三条第一和第</w:t>
      </w:r>
      <w:r w:rsidR="009D3AAE" w:rsidRPr="009D3AAE">
        <w:rPr>
          <w:rFonts w:hint="eastAsia"/>
          <w:spacing w:val="4"/>
          <w:sz w:val="24"/>
          <w:szCs w:val="24"/>
          <w:lang w:val="zh-CN"/>
        </w:rPr>
        <w:t>三</w:t>
      </w:r>
      <w:r w:rsidRPr="009D3AAE">
        <w:rPr>
          <w:spacing w:val="4"/>
          <w:sz w:val="24"/>
          <w:szCs w:val="24"/>
          <w:lang w:val="zh-CN"/>
        </w:rPr>
        <w:t>款提供多边、区域和双边资金和</w:t>
      </w:r>
      <w:r w:rsidRPr="009D3AAE">
        <w:rPr>
          <w:spacing w:val="2"/>
          <w:sz w:val="24"/>
          <w:szCs w:val="24"/>
          <w:lang w:val="zh-CN"/>
        </w:rPr>
        <w:t>技术援助的其他实体；支持在国家一级加强体制以执行巴塞尔、鹿特丹和</w:t>
      </w:r>
      <w:r w:rsidRPr="009D3AAE">
        <w:rPr>
          <w:spacing w:val="4"/>
          <w:sz w:val="24"/>
          <w:szCs w:val="24"/>
          <w:lang w:val="zh-CN"/>
        </w:rPr>
        <w:t>斯德哥尔摩公约、关于汞的水</w:t>
      </w:r>
      <w:proofErr w:type="gramStart"/>
      <w:r w:rsidRPr="009D3AAE">
        <w:rPr>
          <w:spacing w:val="4"/>
          <w:sz w:val="24"/>
          <w:szCs w:val="24"/>
          <w:lang w:val="zh-CN"/>
        </w:rPr>
        <w:t>俣</w:t>
      </w:r>
      <w:proofErr w:type="gramEnd"/>
      <w:r w:rsidRPr="009D3AAE">
        <w:rPr>
          <w:spacing w:val="4"/>
          <w:sz w:val="24"/>
          <w:szCs w:val="24"/>
          <w:lang w:val="zh-CN"/>
        </w:rPr>
        <w:t>公约、国际化学品管理战略方针和</w:t>
      </w:r>
      <w:r w:rsidRPr="009D3AAE">
        <w:rPr>
          <w:rFonts w:ascii="SimSun" w:hAnsi="SimSun"/>
          <w:spacing w:val="4"/>
          <w:sz w:val="24"/>
          <w:szCs w:val="24"/>
          <w:lang w:val="zh-CN"/>
        </w:rPr>
        <w:t>“</w:t>
      </w:r>
      <w:r w:rsidRPr="009D3AAE">
        <w:rPr>
          <w:spacing w:val="4"/>
          <w:sz w:val="24"/>
          <w:szCs w:val="24"/>
          <w:lang w:val="zh-CN"/>
        </w:rPr>
        <w:t>全球化学品框架</w:t>
      </w:r>
      <w:r w:rsidRPr="009D3AAE">
        <w:rPr>
          <w:spacing w:val="4"/>
          <w:sz w:val="24"/>
          <w:szCs w:val="24"/>
          <w:lang w:val="zh-CN"/>
        </w:rPr>
        <w:t>——</w:t>
      </w:r>
      <w:r w:rsidRPr="009D3AAE">
        <w:rPr>
          <w:sz w:val="24"/>
          <w:szCs w:val="24"/>
          <w:lang w:val="zh-CN"/>
        </w:rPr>
        <w:t>使地球免受化学品和废物危害</w:t>
      </w:r>
      <w:r w:rsidRPr="009D3AAE">
        <w:rPr>
          <w:rFonts w:ascii="SimSun" w:hAnsi="SimSun"/>
          <w:sz w:val="24"/>
          <w:szCs w:val="24"/>
          <w:lang w:val="zh-CN"/>
        </w:rPr>
        <w:t>”</w:t>
      </w:r>
      <w:r w:rsidRPr="009D3AAE">
        <w:rPr>
          <w:sz w:val="24"/>
          <w:szCs w:val="24"/>
          <w:lang w:val="zh-CN"/>
        </w:rPr>
        <w:t>的特别方案（关于促进互补和避免重复）；全球化学品框架基金；全球汞伙伴关系（关于其在推动执行《关于汞的水俣公约》方面与财务机制的互动）；</w:t>
      </w:r>
    </w:p>
    <w:p w14:paraId="14BD1219" w14:textId="4CED3F61" w:rsidR="00B075DF" w:rsidRPr="009D3AAE" w:rsidRDefault="00B075DF" w:rsidP="00505079">
      <w:pPr>
        <w:pStyle w:val="Normalnumber"/>
        <w:numPr>
          <w:ilvl w:val="0"/>
          <w:numId w:val="20"/>
        </w:numPr>
        <w:tabs>
          <w:tab w:val="left" w:pos="624"/>
        </w:tabs>
        <w:spacing w:line="240" w:lineRule="auto"/>
        <w:ind w:left="1247" w:firstLine="624"/>
        <w:rPr>
          <w:sz w:val="24"/>
          <w:szCs w:val="24"/>
        </w:rPr>
      </w:pPr>
      <w:r w:rsidRPr="009D3AAE">
        <w:rPr>
          <w:sz w:val="24"/>
          <w:szCs w:val="24"/>
          <w:lang w:val="zh-CN"/>
        </w:rPr>
        <w:t>专门国际方案的中期评价报告</w:t>
      </w:r>
      <w:r w:rsidR="009D3AAE" w:rsidRPr="009D3AAE">
        <w:rPr>
          <w:rFonts w:hint="eastAsia"/>
          <w:sz w:val="24"/>
          <w:szCs w:val="24"/>
          <w:lang w:val="zh-CN"/>
        </w:rPr>
        <w:t>；</w:t>
      </w:r>
    </w:p>
    <w:p w14:paraId="346C04E0" w14:textId="77777777" w:rsidR="00B075DF" w:rsidRPr="002679CE" w:rsidRDefault="00B075DF" w:rsidP="00505079">
      <w:pPr>
        <w:pStyle w:val="Normalnumber"/>
        <w:numPr>
          <w:ilvl w:val="0"/>
          <w:numId w:val="20"/>
        </w:numPr>
        <w:tabs>
          <w:tab w:val="left" w:pos="624"/>
        </w:tabs>
        <w:spacing w:line="240" w:lineRule="auto"/>
        <w:ind w:left="1247" w:firstLine="624"/>
        <w:rPr>
          <w:sz w:val="24"/>
          <w:szCs w:val="24"/>
        </w:rPr>
      </w:pPr>
      <w:r w:rsidRPr="002679CE">
        <w:rPr>
          <w:sz w:val="24"/>
          <w:szCs w:val="24"/>
          <w:lang w:val="zh-CN"/>
        </w:rPr>
        <w:t>缔约方按照《公约》第二十一条提交的报告。</w:t>
      </w:r>
    </w:p>
    <w:p w14:paraId="2F03DD44" w14:textId="237B574F" w:rsidR="00B075DF" w:rsidRPr="002679CE" w:rsidRDefault="00B075DF" w:rsidP="001E3CD0">
      <w:pPr>
        <w:pStyle w:val="Normalnumber"/>
        <w:keepNext/>
        <w:numPr>
          <w:ilvl w:val="0"/>
          <w:numId w:val="18"/>
        </w:numPr>
        <w:tabs>
          <w:tab w:val="left" w:pos="624"/>
        </w:tabs>
        <w:spacing w:line="240" w:lineRule="auto"/>
        <w:ind w:left="1253" w:firstLine="0"/>
        <w:rPr>
          <w:sz w:val="24"/>
          <w:szCs w:val="24"/>
        </w:rPr>
      </w:pPr>
      <w:r w:rsidRPr="002679CE">
        <w:rPr>
          <w:sz w:val="24"/>
          <w:szCs w:val="24"/>
          <w:lang w:val="zh-CN"/>
        </w:rPr>
        <w:lastRenderedPageBreak/>
        <w:t>根据职权范围，秘书处将在资源允许的情况下：</w:t>
      </w:r>
    </w:p>
    <w:p w14:paraId="424C5604" w14:textId="6F23D7A2" w:rsidR="00B075DF" w:rsidRPr="002679CE" w:rsidRDefault="00B075DF" w:rsidP="00505079">
      <w:pPr>
        <w:pStyle w:val="Normalnumber"/>
        <w:numPr>
          <w:ilvl w:val="0"/>
          <w:numId w:val="21"/>
        </w:numPr>
        <w:tabs>
          <w:tab w:val="left" w:pos="624"/>
        </w:tabs>
        <w:spacing w:line="240" w:lineRule="auto"/>
        <w:ind w:left="1247" w:firstLine="624"/>
        <w:rPr>
          <w:sz w:val="24"/>
          <w:szCs w:val="24"/>
        </w:rPr>
      </w:pPr>
      <w:proofErr w:type="gramStart"/>
      <w:r w:rsidRPr="002679CE">
        <w:rPr>
          <w:sz w:val="24"/>
          <w:szCs w:val="24"/>
          <w:lang w:val="zh-CN"/>
        </w:rPr>
        <w:t>作出</w:t>
      </w:r>
      <w:proofErr w:type="gramEnd"/>
      <w:r w:rsidRPr="002679CE">
        <w:rPr>
          <w:sz w:val="24"/>
          <w:szCs w:val="24"/>
          <w:lang w:val="zh-CN"/>
        </w:rPr>
        <w:t>适当安排，确保财务机制的第三次审查以独立、透明、高效和有效的方式进行；</w:t>
      </w:r>
    </w:p>
    <w:p w14:paraId="058CA8E7" w14:textId="77777777" w:rsidR="00B075DF" w:rsidRPr="002679CE" w:rsidRDefault="00B075DF" w:rsidP="00505079">
      <w:pPr>
        <w:pStyle w:val="Normalnumber"/>
        <w:numPr>
          <w:ilvl w:val="0"/>
          <w:numId w:val="21"/>
        </w:numPr>
        <w:tabs>
          <w:tab w:val="left" w:pos="624"/>
        </w:tabs>
        <w:spacing w:line="240" w:lineRule="auto"/>
        <w:ind w:left="1247" w:firstLine="624"/>
        <w:rPr>
          <w:sz w:val="24"/>
          <w:szCs w:val="24"/>
        </w:rPr>
      </w:pPr>
      <w:r w:rsidRPr="002679CE">
        <w:rPr>
          <w:sz w:val="24"/>
          <w:szCs w:val="24"/>
          <w:lang w:val="zh-CN"/>
        </w:rPr>
        <w:t>聘用一名顾问，就提供的信息编写一份报告草案；</w:t>
      </w:r>
    </w:p>
    <w:p w14:paraId="00386A68" w14:textId="2CD097E6" w:rsidR="00B075DF" w:rsidRPr="002679CE" w:rsidRDefault="00B075DF" w:rsidP="00505079">
      <w:pPr>
        <w:pStyle w:val="Normalnumber"/>
        <w:numPr>
          <w:ilvl w:val="0"/>
          <w:numId w:val="21"/>
        </w:numPr>
        <w:tabs>
          <w:tab w:val="left" w:pos="624"/>
        </w:tabs>
        <w:spacing w:line="240" w:lineRule="auto"/>
        <w:ind w:left="1247" w:firstLine="624"/>
        <w:rPr>
          <w:sz w:val="24"/>
          <w:szCs w:val="24"/>
        </w:rPr>
      </w:pPr>
      <w:r w:rsidRPr="002679CE">
        <w:rPr>
          <w:sz w:val="24"/>
          <w:szCs w:val="24"/>
          <w:lang w:val="zh-CN"/>
        </w:rPr>
        <w:t>将审查报告提交缔约方大会第七次会议审议。</w:t>
      </w:r>
    </w:p>
    <w:p w14:paraId="0F56CC02" w14:textId="77777777"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请受托运行财务机制的实体及时提供与审查有关的信息。</w:t>
      </w:r>
    </w:p>
    <w:p w14:paraId="0FDD335C" w14:textId="77777777"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请缔约方尽快且不迟于</w:t>
      </w:r>
      <w:r w:rsidRPr="002679CE">
        <w:rPr>
          <w:sz w:val="24"/>
          <w:szCs w:val="24"/>
          <w:lang w:val="zh-CN"/>
        </w:rPr>
        <w:t>2026</w:t>
      </w:r>
      <w:r w:rsidRPr="002679CE">
        <w:rPr>
          <w:sz w:val="24"/>
          <w:szCs w:val="24"/>
          <w:lang w:val="zh-CN"/>
        </w:rPr>
        <w:t>年</w:t>
      </w:r>
      <w:r w:rsidRPr="002679CE">
        <w:rPr>
          <w:sz w:val="24"/>
          <w:szCs w:val="24"/>
          <w:lang w:val="zh-CN"/>
        </w:rPr>
        <w:t>4</w:t>
      </w:r>
      <w:r w:rsidRPr="002679CE">
        <w:rPr>
          <w:sz w:val="24"/>
          <w:szCs w:val="24"/>
          <w:lang w:val="zh-CN"/>
        </w:rPr>
        <w:t>月</w:t>
      </w:r>
      <w:r w:rsidRPr="002679CE">
        <w:rPr>
          <w:sz w:val="24"/>
          <w:szCs w:val="24"/>
          <w:lang w:val="zh-CN"/>
        </w:rPr>
        <w:t>30</w:t>
      </w:r>
      <w:r w:rsidRPr="002679CE">
        <w:rPr>
          <w:sz w:val="24"/>
          <w:szCs w:val="24"/>
          <w:lang w:val="zh-CN"/>
        </w:rPr>
        <w:t>日按照上文第</w:t>
      </w:r>
      <w:r w:rsidRPr="002679CE">
        <w:rPr>
          <w:sz w:val="24"/>
          <w:szCs w:val="24"/>
          <w:lang w:val="zh-CN"/>
        </w:rPr>
        <w:t>3 (a)</w:t>
      </w:r>
      <w:r w:rsidRPr="002679CE">
        <w:rPr>
          <w:sz w:val="24"/>
          <w:szCs w:val="24"/>
          <w:lang w:val="zh-CN"/>
        </w:rPr>
        <w:t>段提供信息。</w:t>
      </w:r>
    </w:p>
    <w:p w14:paraId="34080EF8" w14:textId="4D145338"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请政府间组织和非政府组织、利益攸关方、特别方案、全球化学品框架基金、全球汞伙伴关系以及提供多边、区域和双边资金和技术援助的相关实体根据本审查的目标尽快且不迟于</w:t>
      </w:r>
      <w:r w:rsidRPr="002679CE">
        <w:rPr>
          <w:sz w:val="24"/>
          <w:szCs w:val="24"/>
          <w:lang w:val="zh-CN"/>
        </w:rPr>
        <w:t>2026</w:t>
      </w:r>
      <w:r w:rsidRPr="002679CE">
        <w:rPr>
          <w:sz w:val="24"/>
          <w:szCs w:val="24"/>
          <w:lang w:val="zh-CN"/>
        </w:rPr>
        <w:t>年</w:t>
      </w:r>
      <w:r w:rsidRPr="002679CE">
        <w:rPr>
          <w:sz w:val="24"/>
          <w:szCs w:val="24"/>
          <w:lang w:val="zh-CN"/>
        </w:rPr>
        <w:t>4</w:t>
      </w:r>
      <w:r w:rsidRPr="002679CE">
        <w:rPr>
          <w:sz w:val="24"/>
          <w:szCs w:val="24"/>
          <w:lang w:val="zh-CN"/>
        </w:rPr>
        <w:t>月</w:t>
      </w:r>
      <w:r w:rsidRPr="002679CE">
        <w:rPr>
          <w:sz w:val="24"/>
          <w:szCs w:val="24"/>
          <w:lang w:val="zh-CN"/>
        </w:rPr>
        <w:t>30</w:t>
      </w:r>
      <w:r w:rsidRPr="002679CE">
        <w:rPr>
          <w:sz w:val="24"/>
          <w:szCs w:val="24"/>
          <w:lang w:val="zh-CN"/>
        </w:rPr>
        <w:t>日提供相关信息。</w:t>
      </w:r>
    </w:p>
    <w:p w14:paraId="3433151F" w14:textId="5736FC5B" w:rsidR="00B075DF" w:rsidRPr="002679CE" w:rsidRDefault="00B075DF" w:rsidP="00841D61">
      <w:pPr>
        <w:pStyle w:val="CH2"/>
        <w:numPr>
          <w:ilvl w:val="1"/>
          <w:numId w:val="3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Cs/>
          <w:sz w:val="28"/>
          <w:szCs w:val="28"/>
          <w:lang w:val="zh-CN"/>
        </w:rPr>
      </w:pPr>
      <w:proofErr w:type="spellStart"/>
      <w:r w:rsidRPr="002679CE">
        <w:rPr>
          <w:rFonts w:eastAsia="SimHei"/>
          <w:bCs/>
          <w:sz w:val="28"/>
          <w:szCs w:val="28"/>
          <w:lang w:val="zh-CN"/>
        </w:rPr>
        <w:t>报告</w:t>
      </w:r>
      <w:proofErr w:type="spellEnd"/>
    </w:p>
    <w:p w14:paraId="26BE07D3" w14:textId="77777777" w:rsidR="00B075DF" w:rsidRPr="002679CE" w:rsidRDefault="00B075DF"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第三次审查的报告将包含以下内容：</w:t>
      </w:r>
    </w:p>
    <w:p w14:paraId="633F0104"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概述上文第</w:t>
      </w:r>
      <w:r w:rsidRPr="002679CE">
        <w:rPr>
          <w:sz w:val="24"/>
          <w:szCs w:val="24"/>
        </w:rPr>
        <w:t>1</w:t>
      </w:r>
      <w:r w:rsidRPr="002679CE">
        <w:rPr>
          <w:sz w:val="24"/>
          <w:szCs w:val="24"/>
          <w:lang w:val="zh-CN"/>
        </w:rPr>
        <w:t>段所列要素</w:t>
      </w:r>
      <w:r w:rsidRPr="002679CE">
        <w:rPr>
          <w:sz w:val="24"/>
          <w:szCs w:val="24"/>
        </w:rPr>
        <w:t>(a)</w:t>
      </w:r>
      <w:r w:rsidRPr="002679CE">
        <w:rPr>
          <w:sz w:val="24"/>
          <w:szCs w:val="24"/>
          <w:lang w:val="zh-CN"/>
        </w:rPr>
        <w:t>至</w:t>
      </w:r>
      <w:r w:rsidRPr="002679CE">
        <w:rPr>
          <w:sz w:val="24"/>
          <w:szCs w:val="24"/>
        </w:rPr>
        <w:t>(e)</w:t>
      </w:r>
      <w:r w:rsidRPr="002679CE">
        <w:rPr>
          <w:sz w:val="24"/>
          <w:szCs w:val="24"/>
        </w:rPr>
        <w:t>；</w:t>
      </w:r>
    </w:p>
    <w:p w14:paraId="0316EEB8"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分析本次审查所</w:t>
      </w:r>
      <w:proofErr w:type="gramStart"/>
      <w:r w:rsidRPr="002679CE">
        <w:rPr>
          <w:sz w:val="24"/>
          <w:szCs w:val="24"/>
          <w:lang w:val="zh-CN"/>
        </w:rPr>
        <w:t>涉期间</w:t>
      </w:r>
      <w:proofErr w:type="gramEnd"/>
      <w:r w:rsidRPr="002679CE">
        <w:rPr>
          <w:sz w:val="24"/>
          <w:szCs w:val="24"/>
          <w:lang w:val="zh-CN"/>
        </w:rPr>
        <w:t>由财务机制供资的活动得出的经验教训；</w:t>
      </w:r>
    </w:p>
    <w:p w14:paraId="21D0AA6A"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评估全球环境基金与履行《公约》义务的活动有关的增量成本和全球环境效益原则，以及从关于全球环境基金活动的评价报告还有专门国际方案下已完成项目的最后报告及最终审查和评价报告中汲取的经验教训；</w:t>
      </w:r>
    </w:p>
    <w:p w14:paraId="5D26665F"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评估财务机制为实现《公约》目标提供的资金的可持续性、透明度和</w:t>
      </w:r>
      <w:proofErr w:type="gramStart"/>
      <w:r w:rsidRPr="002679CE">
        <w:rPr>
          <w:sz w:val="24"/>
          <w:szCs w:val="24"/>
          <w:lang w:val="zh-CN"/>
        </w:rPr>
        <w:t>可</w:t>
      </w:r>
      <w:proofErr w:type="gramEnd"/>
      <w:r w:rsidRPr="002679CE">
        <w:rPr>
          <w:sz w:val="24"/>
          <w:szCs w:val="24"/>
          <w:lang w:val="zh-CN"/>
        </w:rPr>
        <w:t>获得性；</w:t>
      </w:r>
    </w:p>
    <w:p w14:paraId="25322E65"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确定由财务机制直接调集的资源，包括实物捐助和共同筹资，并尽可能对由私营部门和其他利益攸关方的行动间接调集的资源进行定量和（或）定性评估；</w:t>
      </w:r>
    </w:p>
    <w:p w14:paraId="112A910A" w14:textId="1FC95E71" w:rsidR="00B075DF" w:rsidRPr="002679CE" w:rsidRDefault="003776BB"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关于在财务机制第二次审查中确定的关于提高财务机制成效的建议已在多大程度上得到采纳的信息；</w:t>
      </w:r>
    </w:p>
    <w:p w14:paraId="290AF6E3"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提高财务机制在实现《公约》目标方面的成效和效率的建议；</w:t>
      </w:r>
    </w:p>
    <w:p w14:paraId="24AE3C88" w14:textId="77777777" w:rsidR="00B075DF" w:rsidRPr="002679CE" w:rsidRDefault="00B075DF" w:rsidP="00505079">
      <w:pPr>
        <w:pStyle w:val="Normalnumber"/>
        <w:numPr>
          <w:ilvl w:val="0"/>
          <w:numId w:val="22"/>
        </w:numPr>
        <w:tabs>
          <w:tab w:val="left" w:pos="624"/>
        </w:tabs>
        <w:spacing w:line="240" w:lineRule="auto"/>
        <w:ind w:left="1247" w:firstLine="624"/>
        <w:rPr>
          <w:sz w:val="24"/>
          <w:szCs w:val="24"/>
        </w:rPr>
      </w:pPr>
      <w:r w:rsidRPr="002679CE">
        <w:rPr>
          <w:sz w:val="24"/>
          <w:szCs w:val="24"/>
          <w:lang w:val="zh-CN"/>
        </w:rPr>
        <w:t>对照下文第</w:t>
      </w:r>
      <w:r w:rsidRPr="002679CE">
        <w:rPr>
          <w:sz w:val="24"/>
          <w:szCs w:val="24"/>
          <w:lang w:val="zh-CN"/>
        </w:rPr>
        <w:t>9</w:t>
      </w:r>
      <w:r w:rsidRPr="002679CE">
        <w:rPr>
          <w:sz w:val="24"/>
          <w:szCs w:val="24"/>
          <w:lang w:val="zh-CN"/>
        </w:rPr>
        <w:t>段规定的业绩标准进行评估。</w:t>
      </w:r>
    </w:p>
    <w:p w14:paraId="4B54ED9F" w14:textId="7AD17D26" w:rsidR="00B075DF" w:rsidRPr="002679CE" w:rsidRDefault="00B075DF" w:rsidP="00841D61">
      <w:pPr>
        <w:pStyle w:val="CH2"/>
        <w:numPr>
          <w:ilvl w:val="1"/>
          <w:numId w:val="3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Cs/>
          <w:sz w:val="28"/>
          <w:szCs w:val="28"/>
          <w:lang w:val="zh-CN"/>
        </w:rPr>
      </w:pPr>
      <w:proofErr w:type="spellStart"/>
      <w:r w:rsidRPr="002679CE">
        <w:rPr>
          <w:rFonts w:eastAsia="SimHei"/>
          <w:bCs/>
          <w:sz w:val="28"/>
          <w:szCs w:val="28"/>
          <w:lang w:val="zh-CN"/>
        </w:rPr>
        <w:t>业绩标准</w:t>
      </w:r>
      <w:proofErr w:type="spellEnd"/>
    </w:p>
    <w:p w14:paraId="142CB9CA" w14:textId="1EF8779E" w:rsidR="00B075DF" w:rsidRPr="002679CE" w:rsidRDefault="00666664" w:rsidP="00505079">
      <w:pPr>
        <w:pStyle w:val="Normalnumber"/>
        <w:numPr>
          <w:ilvl w:val="0"/>
          <w:numId w:val="18"/>
        </w:numPr>
        <w:tabs>
          <w:tab w:val="left" w:pos="624"/>
        </w:tabs>
        <w:spacing w:line="240" w:lineRule="auto"/>
        <w:ind w:left="1247" w:firstLine="0"/>
        <w:rPr>
          <w:sz w:val="24"/>
          <w:szCs w:val="24"/>
        </w:rPr>
      </w:pPr>
      <w:r w:rsidRPr="002679CE">
        <w:rPr>
          <w:sz w:val="24"/>
          <w:szCs w:val="24"/>
          <w:lang w:val="zh-CN"/>
        </w:rPr>
        <w:t>除其他外，将参照以下方面来评估资金机制的成效和效率：</w:t>
      </w:r>
    </w:p>
    <w:p w14:paraId="12E049BC"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全球环境基金和专门国际方案对缔约方大会通过或提供的指导意见的响应程度；</w:t>
      </w:r>
    </w:p>
    <w:p w14:paraId="4179727C"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财务机制资助的项目已经减少或预期减少汞的供应、使用、排放和释放，并在执行《公约》方面带来其他惠益的程度；</w:t>
      </w:r>
    </w:p>
    <w:p w14:paraId="6B29D9EF"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项目核准程序的透明度和及时性；</w:t>
      </w:r>
    </w:p>
    <w:p w14:paraId="3F9A8C54"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获得资金以及执行项目和报告项目情况的程序简单、灵活和迅速；</w:t>
      </w:r>
    </w:p>
    <w:p w14:paraId="27063893" w14:textId="3D11BB45"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资源的充足性；</w:t>
      </w:r>
    </w:p>
    <w:p w14:paraId="34B532E0" w14:textId="6C4A1BDB"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由财务机制供资的活动的国家自主权和</w:t>
      </w:r>
      <w:proofErr w:type="gramStart"/>
      <w:r w:rsidRPr="002679CE">
        <w:rPr>
          <w:sz w:val="24"/>
          <w:szCs w:val="24"/>
          <w:lang w:val="zh-CN"/>
        </w:rPr>
        <w:t>可</w:t>
      </w:r>
      <w:proofErr w:type="gramEnd"/>
      <w:r w:rsidRPr="002679CE">
        <w:rPr>
          <w:sz w:val="24"/>
          <w:szCs w:val="24"/>
          <w:lang w:val="zh-CN"/>
        </w:rPr>
        <w:t>持续性；</w:t>
      </w:r>
    </w:p>
    <w:p w14:paraId="266D7C31"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lastRenderedPageBreak/>
        <w:t>利益攸关方的参与程度；</w:t>
      </w:r>
    </w:p>
    <w:p w14:paraId="51421BD9" w14:textId="0AE6B99F"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财务机制供资的项目在多大程度上惠及弱势群体；</w:t>
      </w:r>
    </w:p>
    <w:p w14:paraId="70332893" w14:textId="77777777" w:rsidR="00B075DF" w:rsidRPr="002679CE" w:rsidRDefault="00B075DF" w:rsidP="00505079">
      <w:pPr>
        <w:pStyle w:val="Normalnumber"/>
        <w:numPr>
          <w:ilvl w:val="0"/>
          <w:numId w:val="23"/>
        </w:numPr>
        <w:tabs>
          <w:tab w:val="left" w:pos="624"/>
        </w:tabs>
        <w:spacing w:line="240" w:lineRule="auto"/>
        <w:ind w:left="1247" w:firstLine="624"/>
        <w:rPr>
          <w:sz w:val="24"/>
          <w:szCs w:val="24"/>
        </w:rPr>
      </w:pPr>
      <w:r w:rsidRPr="002679CE">
        <w:rPr>
          <w:sz w:val="24"/>
          <w:szCs w:val="24"/>
          <w:lang w:val="zh-CN"/>
        </w:rPr>
        <w:t>缔约方提出的其他任何重要问题。</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B075DF" w:rsidRPr="008B2549" w14:paraId="627E6EED" w14:textId="77777777" w:rsidTr="008B2549">
        <w:trPr>
          <w:jc w:val="center"/>
        </w:trPr>
        <w:tc>
          <w:tcPr>
            <w:tcW w:w="1897" w:type="dxa"/>
          </w:tcPr>
          <w:p w14:paraId="5B5B4481" w14:textId="77777777" w:rsidR="00B075DF" w:rsidRPr="008B2549" w:rsidRDefault="00B075DF" w:rsidP="008B2549">
            <w:pPr>
              <w:pStyle w:val="Normal-pool"/>
              <w:spacing w:before="520"/>
              <w:rPr>
                <w:sz w:val="24"/>
                <w:szCs w:val="24"/>
                <w:lang w:eastAsia="zh-CN"/>
              </w:rPr>
            </w:pPr>
          </w:p>
        </w:tc>
        <w:tc>
          <w:tcPr>
            <w:tcW w:w="1897" w:type="dxa"/>
          </w:tcPr>
          <w:p w14:paraId="575FF1FD" w14:textId="77777777" w:rsidR="00B075DF" w:rsidRPr="008B2549" w:rsidRDefault="00B075DF" w:rsidP="008B2549">
            <w:pPr>
              <w:pStyle w:val="Normal-pool"/>
              <w:spacing w:before="520"/>
              <w:rPr>
                <w:sz w:val="24"/>
                <w:szCs w:val="24"/>
                <w:lang w:eastAsia="zh-CN"/>
              </w:rPr>
            </w:pPr>
          </w:p>
        </w:tc>
        <w:tc>
          <w:tcPr>
            <w:tcW w:w="1897" w:type="dxa"/>
            <w:tcBorders>
              <w:bottom w:val="single" w:sz="4" w:space="0" w:color="auto"/>
            </w:tcBorders>
          </w:tcPr>
          <w:p w14:paraId="16D34AAF" w14:textId="77777777" w:rsidR="00B075DF" w:rsidRPr="008B2549" w:rsidRDefault="00B075DF" w:rsidP="008B2549">
            <w:pPr>
              <w:pStyle w:val="Normal-pool"/>
              <w:spacing w:before="520"/>
              <w:rPr>
                <w:sz w:val="24"/>
                <w:szCs w:val="24"/>
                <w:lang w:eastAsia="zh-CN"/>
              </w:rPr>
            </w:pPr>
          </w:p>
        </w:tc>
        <w:tc>
          <w:tcPr>
            <w:tcW w:w="1897" w:type="dxa"/>
          </w:tcPr>
          <w:p w14:paraId="42E4D1E6" w14:textId="77777777" w:rsidR="00B075DF" w:rsidRPr="008B2549" w:rsidRDefault="00B075DF" w:rsidP="008B2549">
            <w:pPr>
              <w:pStyle w:val="Normal-pool"/>
              <w:spacing w:before="520"/>
              <w:rPr>
                <w:sz w:val="24"/>
                <w:szCs w:val="24"/>
                <w:lang w:eastAsia="zh-CN"/>
              </w:rPr>
            </w:pPr>
          </w:p>
        </w:tc>
        <w:tc>
          <w:tcPr>
            <w:tcW w:w="1898" w:type="dxa"/>
          </w:tcPr>
          <w:p w14:paraId="5F55327B" w14:textId="77777777" w:rsidR="00B075DF" w:rsidRPr="008B2549" w:rsidRDefault="00B075DF" w:rsidP="008B2549">
            <w:pPr>
              <w:pStyle w:val="Normal-pool"/>
              <w:spacing w:before="520"/>
              <w:rPr>
                <w:sz w:val="24"/>
                <w:szCs w:val="24"/>
                <w:lang w:eastAsia="zh-CN"/>
              </w:rPr>
            </w:pPr>
          </w:p>
        </w:tc>
      </w:tr>
    </w:tbl>
    <w:p w14:paraId="0AE67C31" w14:textId="76ACA46B" w:rsidR="00035D73" w:rsidRPr="002679CE" w:rsidRDefault="00035D73" w:rsidP="00505079">
      <w:pPr>
        <w:pStyle w:val="Normal-pool"/>
        <w:rPr>
          <w:lang w:eastAsia="zh-CN"/>
        </w:rPr>
      </w:pPr>
    </w:p>
    <w:sectPr w:rsidR="00035D73" w:rsidRPr="002679CE"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551C" w14:textId="77777777" w:rsidR="00FD6E41" w:rsidRPr="00035D73" w:rsidRDefault="00FD6E41" w:rsidP="00035D73">
      <w:r w:rsidRPr="00035D73">
        <w:separator/>
      </w:r>
    </w:p>
  </w:endnote>
  <w:endnote w:type="continuationSeparator" w:id="0">
    <w:p w14:paraId="2CD4B5E2" w14:textId="77777777" w:rsidR="00FD6E41" w:rsidRPr="00035D73" w:rsidRDefault="00FD6E41" w:rsidP="00035D73">
      <w:r w:rsidRPr="00035D73">
        <w:continuationSeparator/>
      </w:r>
    </w:p>
  </w:endnote>
  <w:endnote w:type="continuationNotice" w:id="1">
    <w:p w14:paraId="2EB4ECBA" w14:textId="77777777" w:rsidR="00FD6E41" w:rsidRDefault="00FD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FC2F2D" w:rsidRDefault="00035D73" w:rsidP="00035D73">
    <w:pPr>
      <w:pStyle w:val="Footer-pool"/>
      <w:rPr>
        <w:sz w:val="20"/>
      </w:rPr>
    </w:pPr>
    <w:r w:rsidRPr="00FC2F2D">
      <w:rPr>
        <w:sz w:val="20"/>
      </w:rPr>
      <w:fldChar w:fldCharType="begin"/>
    </w:r>
    <w:r w:rsidRPr="00FC2F2D">
      <w:rPr>
        <w:sz w:val="20"/>
      </w:rPr>
      <w:instrText xml:space="preserve"> PAGE </w:instrText>
    </w:r>
    <w:r w:rsidRPr="00FC2F2D">
      <w:rPr>
        <w:sz w:val="20"/>
      </w:rPr>
      <w:fldChar w:fldCharType="separate"/>
    </w:r>
    <w:r w:rsidRPr="00FC2F2D">
      <w:rPr>
        <w:noProof/>
        <w:sz w:val="20"/>
      </w:rPr>
      <w:t>1</w:t>
    </w:r>
    <w:r w:rsidRPr="00FC2F2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FC2F2D" w:rsidRDefault="00035D73" w:rsidP="00035D73">
    <w:pPr>
      <w:pStyle w:val="Footer-pool"/>
      <w:jc w:val="right"/>
      <w:rPr>
        <w:sz w:val="20"/>
      </w:rPr>
    </w:pPr>
    <w:r w:rsidRPr="00FC2F2D">
      <w:rPr>
        <w:sz w:val="20"/>
      </w:rPr>
      <w:fldChar w:fldCharType="begin"/>
    </w:r>
    <w:r w:rsidRPr="00FC2F2D">
      <w:rPr>
        <w:sz w:val="20"/>
      </w:rPr>
      <w:instrText xml:space="preserve"> PAGE \* MERGEFORMAT </w:instrText>
    </w:r>
    <w:r w:rsidRPr="00FC2F2D">
      <w:rPr>
        <w:sz w:val="20"/>
      </w:rPr>
      <w:fldChar w:fldCharType="separate"/>
    </w:r>
    <w:r w:rsidRPr="00FC2F2D">
      <w:rPr>
        <w:noProof/>
        <w:sz w:val="20"/>
      </w:rPr>
      <w:t>1</w:t>
    </w:r>
    <w:r w:rsidRPr="00FC2F2D">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21E768BD" w:rsidR="00035D73" w:rsidRPr="00035D73" w:rsidRDefault="00CB056B" w:rsidP="00035D73">
    <w:pPr>
      <w:pStyle w:val="Footer-jobnumber"/>
    </w:pPr>
    <w:bookmarkStart w:id="10" w:name="FooterJobDate"/>
    <w:r>
      <w:t>K2510988[</w:t>
    </w:r>
    <w:r w:rsidR="00505079">
      <w:rPr>
        <w:rFonts w:eastAsiaTheme="minorEastAsia" w:hint="eastAsia"/>
        <w:lang w:eastAsia="zh-CN"/>
      </w:rPr>
      <w:t>C</w:t>
    </w:r>
    <w:r>
      <w:t>]</w:t>
    </w:r>
    <w:r>
      <w:tab/>
    </w:r>
    <w:r w:rsidR="006E7FFD">
      <w:t>2</w:t>
    </w:r>
    <w:r w:rsidR="00BC3A7C">
      <w:rPr>
        <w:rFonts w:eastAsiaTheme="minorEastAsia" w:hint="eastAsia"/>
        <w:lang w:eastAsia="zh-CN"/>
      </w:rPr>
      <w:t>6</w:t>
    </w:r>
    <w:r>
      <w:t>0</w:t>
    </w:r>
    <w:r w:rsidR="00FC2F2D">
      <w:rPr>
        <w:rFonts w:eastAsiaTheme="minorEastAsia" w:hint="eastAsia"/>
        <w:lang w:eastAsia="zh-CN"/>
      </w:rPr>
      <w:t>8</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5C62" w14:textId="77777777" w:rsidR="00FD6E41" w:rsidRPr="00035D73" w:rsidRDefault="00FD6E41" w:rsidP="00FC2F2D">
      <w:pPr>
        <w:spacing w:after="0" w:line="240" w:lineRule="auto"/>
        <w:ind w:left="619"/>
      </w:pPr>
      <w:r w:rsidRPr="00035D73">
        <w:separator/>
      </w:r>
    </w:p>
  </w:footnote>
  <w:footnote w:type="continuationSeparator" w:id="0">
    <w:p w14:paraId="3B1869BA" w14:textId="77777777" w:rsidR="00FD6E41" w:rsidRPr="00035D73" w:rsidRDefault="00FD6E41" w:rsidP="00035D73">
      <w:r w:rsidRPr="00035D73">
        <w:continuationSeparator/>
      </w:r>
    </w:p>
  </w:footnote>
  <w:footnote w:type="continuationNotice" w:id="1">
    <w:p w14:paraId="4407F69B" w14:textId="77777777" w:rsidR="00FD6E41" w:rsidRDefault="00FD6E41"/>
  </w:footnote>
  <w:footnote w:id="2">
    <w:p w14:paraId="27311C7C" w14:textId="2E36CE06" w:rsidR="00CF4365" w:rsidRPr="00CF4365" w:rsidRDefault="00CF4365" w:rsidP="00FC2F2D">
      <w:pPr>
        <w:pStyle w:val="Footnote-Text"/>
        <w:ind w:left="1253"/>
      </w:pPr>
      <w:r w:rsidRPr="00505079">
        <w:rPr>
          <w:sz w:val="20"/>
          <w:szCs w:val="22"/>
          <w:lang w:val="zh-CN"/>
        </w:rPr>
        <w:t>* UNEP/MC/COP.6/1</w:t>
      </w:r>
      <w:r w:rsidR="00E34AD0">
        <w:rPr>
          <w:sz w:val="20"/>
          <w:szCs w:val="22"/>
          <w:lang w:val="fr-CH"/>
        </w:rPr>
        <w:t>/Rev.1</w:t>
      </w:r>
      <w:r w:rsidRPr="00505079">
        <w:rPr>
          <w:sz w:val="20"/>
          <w:szCs w:val="22"/>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52658C37" w:rsidR="00035D73" w:rsidRPr="00FC2F2D" w:rsidRDefault="00B448C5" w:rsidP="00FC2F2D">
    <w:pPr>
      <w:pStyle w:val="Header-pool"/>
      <w:spacing w:line="240" w:lineRule="auto"/>
      <w:rPr>
        <w:sz w:val="20"/>
        <w:szCs w:val="20"/>
      </w:rPr>
    </w:pPr>
    <w:r w:rsidRPr="00FC2F2D">
      <w:rPr>
        <w:noProof/>
        <w:sz w:val="20"/>
        <w:szCs w:val="20"/>
      </w:rPr>
      <w:t>UNEP/MC/COP.6/12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2E9804FD" w:rsidR="00035D73" w:rsidRPr="00FC2F2D" w:rsidRDefault="00B448C5" w:rsidP="00FC2F2D">
    <w:pPr>
      <w:pStyle w:val="Header-pool"/>
      <w:spacing w:line="240" w:lineRule="auto"/>
      <w:jc w:val="right"/>
      <w:rPr>
        <w:sz w:val="20"/>
        <w:szCs w:val="20"/>
      </w:rPr>
    </w:pPr>
    <w:r w:rsidRPr="00FC2F2D">
      <w:rPr>
        <w:noProof/>
        <w:sz w:val="20"/>
        <w:szCs w:val="20"/>
      </w:rPr>
      <w:t>UNEP/MC/COP.6/12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FBEC" w14:textId="50BAB496" w:rsidR="00AC2551" w:rsidRDefault="00AC2551" w:rsidP="00AC25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2"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 w15:restartNumberingAfterBreak="0">
    <w:nsid w:val="1864759F"/>
    <w:multiLevelType w:val="hybridMultilevel"/>
    <w:tmpl w:val="391AEAA0"/>
    <w:lvl w:ilvl="0" w:tplc="DF961906">
      <w:start w:val="1"/>
      <w:numFmt w:val="japaneseCounting"/>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DA3923"/>
    <w:multiLevelType w:val="hybridMultilevel"/>
    <w:tmpl w:val="220A29DA"/>
    <w:lvl w:ilvl="0" w:tplc="FFFFFFFF">
      <w:start w:val="1"/>
      <w:numFmt w:val="lowerLetter"/>
      <w:lvlText w:val="(%1)"/>
      <w:lvlJc w:val="left"/>
      <w:pPr>
        <w:ind w:left="535" w:hanging="360"/>
      </w:pPr>
      <w:rPr>
        <w:rFonts w:hint="default"/>
      </w:rPr>
    </w:lvl>
    <w:lvl w:ilvl="1" w:tplc="B776CA36">
      <w:start w:val="1"/>
      <w:numFmt w:val="lowerLetter"/>
      <w:lvlText w:val="(%2)"/>
      <w:lvlJc w:val="left"/>
      <w:pPr>
        <w:ind w:left="1255" w:hanging="360"/>
      </w:pPr>
      <w:rPr>
        <w:rFonts w:hint="default"/>
      </w:r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6" w15:restartNumberingAfterBreak="0">
    <w:nsid w:val="2AD84A02"/>
    <w:multiLevelType w:val="hybridMultilevel"/>
    <w:tmpl w:val="6F1ACD16"/>
    <w:lvl w:ilvl="0" w:tplc="AC9C5162">
      <w:start w:val="1"/>
      <w:numFmt w:val="chineseCountingThousand"/>
      <w:lvlText w:val="%1、"/>
      <w:lvlJc w:val="left"/>
      <w:pPr>
        <w:ind w:left="1287" w:hanging="360"/>
      </w:pPr>
      <w:rPr>
        <w:rFonts w:hint="default"/>
      </w:rPr>
    </w:lvl>
    <w:lvl w:ilvl="1" w:tplc="75F24444">
      <w:start w:val="1"/>
      <w:numFmt w:val="upperLetter"/>
      <w:lvlText w:val="%2."/>
      <w:lvlJc w:val="left"/>
      <w:pPr>
        <w:ind w:left="2047" w:hanging="400"/>
      </w:pPr>
      <w:rPr>
        <w:rFonts w:hint="default"/>
        <w:b/>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B4C3DC2"/>
    <w:multiLevelType w:val="hybridMultilevel"/>
    <w:tmpl w:val="257460D8"/>
    <w:lvl w:ilvl="0" w:tplc="100C000F">
      <w:start w:val="1"/>
      <w:numFmt w:val="decimal"/>
      <w:lvlText w:val="%1."/>
      <w:lvlJc w:val="left"/>
      <w:pPr>
        <w:ind w:left="1967" w:hanging="360"/>
      </w:pPr>
    </w:lvl>
    <w:lvl w:ilvl="1" w:tplc="100C0019" w:tentative="1">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3064C4"/>
    <w:multiLevelType w:val="hybridMultilevel"/>
    <w:tmpl w:val="15F0151A"/>
    <w:lvl w:ilvl="0" w:tplc="FFFFFFFF">
      <w:start w:val="1"/>
      <w:numFmt w:val="upperLetter"/>
      <w:lvlText w:val="%1."/>
      <w:lvlJc w:val="left"/>
      <w:pPr>
        <w:ind w:left="1571" w:hanging="360"/>
      </w:pPr>
    </w:lvl>
    <w:lvl w:ilvl="1" w:tplc="FAECE56A">
      <w:start w:val="1"/>
      <w:numFmt w:val="upperLetter"/>
      <w:lvlText w:val="%2."/>
      <w:lvlJc w:val="left"/>
      <w:pPr>
        <w:ind w:left="2291" w:hanging="360"/>
      </w:pPr>
      <w:rPr>
        <w:b/>
        <w:bCs/>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492432EB"/>
    <w:multiLevelType w:val="hybridMultilevel"/>
    <w:tmpl w:val="4A307308"/>
    <w:lvl w:ilvl="0" w:tplc="08090015">
      <w:start w:val="1"/>
      <w:numFmt w:val="upp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4A1379A8"/>
    <w:multiLevelType w:val="hybridMultilevel"/>
    <w:tmpl w:val="032E663C"/>
    <w:lvl w:ilvl="0" w:tplc="04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3"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5"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22"/>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6"/>
  </w:num>
  <w:num w:numId="3" w16cid:durableId="1933662228">
    <w:abstractNumId w:val="18"/>
  </w:num>
  <w:num w:numId="4" w16cid:durableId="1991909117">
    <w:abstractNumId w:val="10"/>
  </w:num>
  <w:num w:numId="5" w16cid:durableId="1138956019">
    <w:abstractNumId w:val="14"/>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838037566">
    <w:abstractNumId w:val="12"/>
    <w:lvlOverride w:ilvl="3">
      <w:lvl w:ilvl="3" w:tplc="0809000F">
        <w:start w:val="1"/>
        <w:numFmt w:val="decimal"/>
        <w:lvlText w:val="%4."/>
        <w:lvlJc w:val="left"/>
        <w:pPr>
          <w:ind w:left="4751" w:hanging="360"/>
        </w:pPr>
      </w:lvl>
    </w:lvlOverride>
  </w:num>
  <w:num w:numId="17" w16cid:durableId="908879098">
    <w:abstractNumId w:val="15"/>
  </w:num>
  <w:num w:numId="18" w16cid:durableId="1756170040">
    <w:abstractNumId w:val="17"/>
  </w:num>
  <w:num w:numId="19" w16cid:durableId="1390693965">
    <w:abstractNumId w:val="11"/>
  </w:num>
  <w:num w:numId="20" w16cid:durableId="46607558">
    <w:abstractNumId w:val="25"/>
  </w:num>
  <w:num w:numId="21" w16cid:durableId="1650789246">
    <w:abstractNumId w:val="23"/>
  </w:num>
  <w:num w:numId="22" w16cid:durableId="1153838717">
    <w:abstractNumId w:val="27"/>
  </w:num>
  <w:num w:numId="23" w16cid:durableId="223879771">
    <w:abstractNumId w:val="24"/>
  </w:num>
  <w:num w:numId="24" w16cid:durableId="499734178">
    <w:abstractNumId w:val="21"/>
  </w:num>
  <w:num w:numId="25" w16cid:durableId="1784306910">
    <w:abstractNumId w:val="22"/>
  </w:num>
  <w:num w:numId="26" w16cid:durableId="1590460236">
    <w:abstractNumId w:val="12"/>
  </w:num>
  <w:num w:numId="27" w16cid:durableId="70853391">
    <w:abstractNumId w:val="16"/>
  </w:num>
  <w:num w:numId="28" w16cid:durableId="694116471">
    <w:abstractNumId w:val="13"/>
  </w:num>
  <w:num w:numId="29" w16cid:durableId="214389149">
    <w:abstractNumId w:val="20"/>
  </w:num>
  <w:num w:numId="30" w16cid:durableId="19848460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619"/>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5E"/>
    <w:rsid w:val="000029C5"/>
    <w:rsid w:val="00003D6B"/>
    <w:rsid w:val="0001353D"/>
    <w:rsid w:val="00013C77"/>
    <w:rsid w:val="00023E04"/>
    <w:rsid w:val="000240DE"/>
    <w:rsid w:val="00035D73"/>
    <w:rsid w:val="00036C43"/>
    <w:rsid w:val="000453F6"/>
    <w:rsid w:val="00055520"/>
    <w:rsid w:val="0006666F"/>
    <w:rsid w:val="00074E8D"/>
    <w:rsid w:val="00074EC6"/>
    <w:rsid w:val="00076F25"/>
    <w:rsid w:val="000837FB"/>
    <w:rsid w:val="00091DBA"/>
    <w:rsid w:val="00094007"/>
    <w:rsid w:val="0009466F"/>
    <w:rsid w:val="000A50DA"/>
    <w:rsid w:val="000B5951"/>
    <w:rsid w:val="000B6044"/>
    <w:rsid w:val="000C1FDC"/>
    <w:rsid w:val="000C263B"/>
    <w:rsid w:val="000C4E77"/>
    <w:rsid w:val="000D03DB"/>
    <w:rsid w:val="000D2894"/>
    <w:rsid w:val="000D399C"/>
    <w:rsid w:val="000D558C"/>
    <w:rsid w:val="000E204F"/>
    <w:rsid w:val="000E6FB7"/>
    <w:rsid w:val="000F461D"/>
    <w:rsid w:val="00101B62"/>
    <w:rsid w:val="00123CE3"/>
    <w:rsid w:val="00124F33"/>
    <w:rsid w:val="00125DE3"/>
    <w:rsid w:val="00130242"/>
    <w:rsid w:val="00144B90"/>
    <w:rsid w:val="00146C61"/>
    <w:rsid w:val="00150E06"/>
    <w:rsid w:val="00157E28"/>
    <w:rsid w:val="00176ABF"/>
    <w:rsid w:val="001827BF"/>
    <w:rsid w:val="00182ECC"/>
    <w:rsid w:val="00184044"/>
    <w:rsid w:val="001960DC"/>
    <w:rsid w:val="001A4DAF"/>
    <w:rsid w:val="001A7AAE"/>
    <w:rsid w:val="001B0F72"/>
    <w:rsid w:val="001B2006"/>
    <w:rsid w:val="001B4946"/>
    <w:rsid w:val="001E0389"/>
    <w:rsid w:val="001E259F"/>
    <w:rsid w:val="001E2ABC"/>
    <w:rsid w:val="001E3CD0"/>
    <w:rsid w:val="001E50E7"/>
    <w:rsid w:val="001F16A5"/>
    <w:rsid w:val="002039FA"/>
    <w:rsid w:val="002054D8"/>
    <w:rsid w:val="002062AE"/>
    <w:rsid w:val="00240DBA"/>
    <w:rsid w:val="00251D54"/>
    <w:rsid w:val="002679CE"/>
    <w:rsid w:val="00271590"/>
    <w:rsid w:val="0027320E"/>
    <w:rsid w:val="002846F9"/>
    <w:rsid w:val="0029467A"/>
    <w:rsid w:val="00294D09"/>
    <w:rsid w:val="002C5CD5"/>
    <w:rsid w:val="002D1A60"/>
    <w:rsid w:val="002D57E3"/>
    <w:rsid w:val="002E51E4"/>
    <w:rsid w:val="002F3AE5"/>
    <w:rsid w:val="003035E7"/>
    <w:rsid w:val="00305F93"/>
    <w:rsid w:val="003236A9"/>
    <w:rsid w:val="00330472"/>
    <w:rsid w:val="00344B12"/>
    <w:rsid w:val="0035192E"/>
    <w:rsid w:val="00355ACE"/>
    <w:rsid w:val="0036664E"/>
    <w:rsid w:val="00373B46"/>
    <w:rsid w:val="00375D46"/>
    <w:rsid w:val="003776BB"/>
    <w:rsid w:val="00390E82"/>
    <w:rsid w:val="003A52BF"/>
    <w:rsid w:val="003A5B94"/>
    <w:rsid w:val="003B571C"/>
    <w:rsid w:val="003B632E"/>
    <w:rsid w:val="003B7259"/>
    <w:rsid w:val="003C494D"/>
    <w:rsid w:val="003C4A14"/>
    <w:rsid w:val="003D18F4"/>
    <w:rsid w:val="003E5F6C"/>
    <w:rsid w:val="003E7E68"/>
    <w:rsid w:val="003F1012"/>
    <w:rsid w:val="003F16FE"/>
    <w:rsid w:val="003F42D2"/>
    <w:rsid w:val="003F7628"/>
    <w:rsid w:val="00427D84"/>
    <w:rsid w:val="00433E72"/>
    <w:rsid w:val="004446E4"/>
    <w:rsid w:val="00454DA9"/>
    <w:rsid w:val="00456139"/>
    <w:rsid w:val="004610D8"/>
    <w:rsid w:val="0047468C"/>
    <w:rsid w:val="00484D85"/>
    <w:rsid w:val="00497397"/>
    <w:rsid w:val="004B0C1F"/>
    <w:rsid w:val="004B5719"/>
    <w:rsid w:val="004B5AD4"/>
    <w:rsid w:val="004D39D3"/>
    <w:rsid w:val="004E315A"/>
    <w:rsid w:val="004E3FC9"/>
    <w:rsid w:val="004E64BA"/>
    <w:rsid w:val="004E76A8"/>
    <w:rsid w:val="00505079"/>
    <w:rsid w:val="00510714"/>
    <w:rsid w:val="00521EE1"/>
    <w:rsid w:val="00523BCA"/>
    <w:rsid w:val="00541224"/>
    <w:rsid w:val="00543B57"/>
    <w:rsid w:val="00550732"/>
    <w:rsid w:val="00555C85"/>
    <w:rsid w:val="00572ABF"/>
    <w:rsid w:val="00583DAC"/>
    <w:rsid w:val="00584D50"/>
    <w:rsid w:val="0058780B"/>
    <w:rsid w:val="00592306"/>
    <w:rsid w:val="005B09D3"/>
    <w:rsid w:val="005B2B00"/>
    <w:rsid w:val="005C5E49"/>
    <w:rsid w:val="005D3262"/>
    <w:rsid w:val="005D3579"/>
    <w:rsid w:val="005E170C"/>
    <w:rsid w:val="005E5353"/>
    <w:rsid w:val="005E62B7"/>
    <w:rsid w:val="005F6C28"/>
    <w:rsid w:val="00622756"/>
    <w:rsid w:val="00625F62"/>
    <w:rsid w:val="00640968"/>
    <w:rsid w:val="006513F4"/>
    <w:rsid w:val="00651B2C"/>
    <w:rsid w:val="00666664"/>
    <w:rsid w:val="00670036"/>
    <w:rsid w:val="006825B1"/>
    <w:rsid w:val="00687520"/>
    <w:rsid w:val="00693BE4"/>
    <w:rsid w:val="006A1280"/>
    <w:rsid w:val="006A38DE"/>
    <w:rsid w:val="006B066A"/>
    <w:rsid w:val="006D2CED"/>
    <w:rsid w:val="006D7BCC"/>
    <w:rsid w:val="006E7FFD"/>
    <w:rsid w:val="006F7F41"/>
    <w:rsid w:val="007306F0"/>
    <w:rsid w:val="00763654"/>
    <w:rsid w:val="007648D4"/>
    <w:rsid w:val="007671A9"/>
    <w:rsid w:val="007726A4"/>
    <w:rsid w:val="00776DEE"/>
    <w:rsid w:val="007A2FD3"/>
    <w:rsid w:val="007A34F5"/>
    <w:rsid w:val="007A6D07"/>
    <w:rsid w:val="007B2868"/>
    <w:rsid w:val="007C1119"/>
    <w:rsid w:val="007C487F"/>
    <w:rsid w:val="007C7070"/>
    <w:rsid w:val="007D4232"/>
    <w:rsid w:val="007F091A"/>
    <w:rsid w:val="007F4162"/>
    <w:rsid w:val="008022E7"/>
    <w:rsid w:val="00813B00"/>
    <w:rsid w:val="0082726B"/>
    <w:rsid w:val="0083642C"/>
    <w:rsid w:val="00841D61"/>
    <w:rsid w:val="00846F10"/>
    <w:rsid w:val="0084767F"/>
    <w:rsid w:val="008512F3"/>
    <w:rsid w:val="00855847"/>
    <w:rsid w:val="00856B69"/>
    <w:rsid w:val="0086026F"/>
    <w:rsid w:val="00870B9D"/>
    <w:rsid w:val="00887E59"/>
    <w:rsid w:val="00891F6F"/>
    <w:rsid w:val="008924F7"/>
    <w:rsid w:val="008B0423"/>
    <w:rsid w:val="008B2549"/>
    <w:rsid w:val="008B3C30"/>
    <w:rsid w:val="008B6DBD"/>
    <w:rsid w:val="008D48D2"/>
    <w:rsid w:val="008E5159"/>
    <w:rsid w:val="0090083B"/>
    <w:rsid w:val="00907084"/>
    <w:rsid w:val="009143CB"/>
    <w:rsid w:val="00921940"/>
    <w:rsid w:val="00922853"/>
    <w:rsid w:val="009266A3"/>
    <w:rsid w:val="00926F4A"/>
    <w:rsid w:val="00927C3D"/>
    <w:rsid w:val="0093143C"/>
    <w:rsid w:val="009443D7"/>
    <w:rsid w:val="00956AC5"/>
    <w:rsid w:val="00964D7D"/>
    <w:rsid w:val="00965155"/>
    <w:rsid w:val="009843C4"/>
    <w:rsid w:val="00991490"/>
    <w:rsid w:val="00996B4A"/>
    <w:rsid w:val="00996CA8"/>
    <w:rsid w:val="009A34DA"/>
    <w:rsid w:val="009B1155"/>
    <w:rsid w:val="009B2B86"/>
    <w:rsid w:val="009B4D60"/>
    <w:rsid w:val="009C1933"/>
    <w:rsid w:val="009D0546"/>
    <w:rsid w:val="009D3569"/>
    <w:rsid w:val="009D3AAE"/>
    <w:rsid w:val="009D4573"/>
    <w:rsid w:val="009D4B8E"/>
    <w:rsid w:val="009D5186"/>
    <w:rsid w:val="009E14BC"/>
    <w:rsid w:val="009E3F60"/>
    <w:rsid w:val="00A050A1"/>
    <w:rsid w:val="00A24B6B"/>
    <w:rsid w:val="00A24DFD"/>
    <w:rsid w:val="00A2778C"/>
    <w:rsid w:val="00A46C10"/>
    <w:rsid w:val="00A52EB8"/>
    <w:rsid w:val="00A53E4C"/>
    <w:rsid w:val="00A825A1"/>
    <w:rsid w:val="00A82D2A"/>
    <w:rsid w:val="00A86470"/>
    <w:rsid w:val="00AA56B5"/>
    <w:rsid w:val="00AC1069"/>
    <w:rsid w:val="00AC2551"/>
    <w:rsid w:val="00AC34C1"/>
    <w:rsid w:val="00AC5ABF"/>
    <w:rsid w:val="00AC6436"/>
    <w:rsid w:val="00AE530F"/>
    <w:rsid w:val="00AE6DD7"/>
    <w:rsid w:val="00AE6F6B"/>
    <w:rsid w:val="00AE71F7"/>
    <w:rsid w:val="00AF2428"/>
    <w:rsid w:val="00B0002A"/>
    <w:rsid w:val="00B02285"/>
    <w:rsid w:val="00B075DF"/>
    <w:rsid w:val="00B15E52"/>
    <w:rsid w:val="00B31303"/>
    <w:rsid w:val="00B32937"/>
    <w:rsid w:val="00B448C5"/>
    <w:rsid w:val="00B53722"/>
    <w:rsid w:val="00B55A2A"/>
    <w:rsid w:val="00B623E9"/>
    <w:rsid w:val="00B83F25"/>
    <w:rsid w:val="00B86D35"/>
    <w:rsid w:val="00B90343"/>
    <w:rsid w:val="00B90580"/>
    <w:rsid w:val="00BA1A43"/>
    <w:rsid w:val="00BA7DF4"/>
    <w:rsid w:val="00BB1F6F"/>
    <w:rsid w:val="00BB75D0"/>
    <w:rsid w:val="00BB7A71"/>
    <w:rsid w:val="00BC125C"/>
    <w:rsid w:val="00BC3A7C"/>
    <w:rsid w:val="00BC3B2E"/>
    <w:rsid w:val="00BC670E"/>
    <w:rsid w:val="00BD3721"/>
    <w:rsid w:val="00BE399C"/>
    <w:rsid w:val="00BF14E4"/>
    <w:rsid w:val="00C056DF"/>
    <w:rsid w:val="00C058A3"/>
    <w:rsid w:val="00C13CF0"/>
    <w:rsid w:val="00C15761"/>
    <w:rsid w:val="00C15D7D"/>
    <w:rsid w:val="00C3179E"/>
    <w:rsid w:val="00C354F1"/>
    <w:rsid w:val="00C37FBF"/>
    <w:rsid w:val="00C55109"/>
    <w:rsid w:val="00C5798A"/>
    <w:rsid w:val="00C633E6"/>
    <w:rsid w:val="00C734CA"/>
    <w:rsid w:val="00C73C7D"/>
    <w:rsid w:val="00CA1273"/>
    <w:rsid w:val="00CB056B"/>
    <w:rsid w:val="00CD38C0"/>
    <w:rsid w:val="00CE5601"/>
    <w:rsid w:val="00CF4365"/>
    <w:rsid w:val="00D05FF3"/>
    <w:rsid w:val="00D10D2E"/>
    <w:rsid w:val="00D207B7"/>
    <w:rsid w:val="00D238A0"/>
    <w:rsid w:val="00D23A4C"/>
    <w:rsid w:val="00D25F99"/>
    <w:rsid w:val="00D279F5"/>
    <w:rsid w:val="00D31009"/>
    <w:rsid w:val="00D44ABF"/>
    <w:rsid w:val="00D673A0"/>
    <w:rsid w:val="00D82209"/>
    <w:rsid w:val="00D82D8F"/>
    <w:rsid w:val="00D84F8C"/>
    <w:rsid w:val="00D92449"/>
    <w:rsid w:val="00D93C8D"/>
    <w:rsid w:val="00D93FE7"/>
    <w:rsid w:val="00DA36C2"/>
    <w:rsid w:val="00DA3EBF"/>
    <w:rsid w:val="00DA7D4F"/>
    <w:rsid w:val="00DB134E"/>
    <w:rsid w:val="00DB4EB1"/>
    <w:rsid w:val="00DB5255"/>
    <w:rsid w:val="00DC65D5"/>
    <w:rsid w:val="00DF3504"/>
    <w:rsid w:val="00DF5EC6"/>
    <w:rsid w:val="00E0711D"/>
    <w:rsid w:val="00E11923"/>
    <w:rsid w:val="00E1308F"/>
    <w:rsid w:val="00E13E7C"/>
    <w:rsid w:val="00E205A2"/>
    <w:rsid w:val="00E23F0A"/>
    <w:rsid w:val="00E34AD0"/>
    <w:rsid w:val="00E374E0"/>
    <w:rsid w:val="00E401E4"/>
    <w:rsid w:val="00E55965"/>
    <w:rsid w:val="00E56F7D"/>
    <w:rsid w:val="00E71D1E"/>
    <w:rsid w:val="00E74425"/>
    <w:rsid w:val="00E74D29"/>
    <w:rsid w:val="00E94A83"/>
    <w:rsid w:val="00E94E56"/>
    <w:rsid w:val="00EA3407"/>
    <w:rsid w:val="00EA3906"/>
    <w:rsid w:val="00EA5EDB"/>
    <w:rsid w:val="00EA60A9"/>
    <w:rsid w:val="00EB49FB"/>
    <w:rsid w:val="00EC24E2"/>
    <w:rsid w:val="00EC4186"/>
    <w:rsid w:val="00EC7CC0"/>
    <w:rsid w:val="00ED3ADA"/>
    <w:rsid w:val="00ED6BF9"/>
    <w:rsid w:val="00EE6686"/>
    <w:rsid w:val="00EE708C"/>
    <w:rsid w:val="00EF7D3A"/>
    <w:rsid w:val="00F04772"/>
    <w:rsid w:val="00F1003C"/>
    <w:rsid w:val="00F11473"/>
    <w:rsid w:val="00F326CF"/>
    <w:rsid w:val="00F35E80"/>
    <w:rsid w:val="00F36CA8"/>
    <w:rsid w:val="00F36FEC"/>
    <w:rsid w:val="00F60120"/>
    <w:rsid w:val="00F63D84"/>
    <w:rsid w:val="00F64611"/>
    <w:rsid w:val="00F7048E"/>
    <w:rsid w:val="00F823D7"/>
    <w:rsid w:val="00F92BCF"/>
    <w:rsid w:val="00F932F7"/>
    <w:rsid w:val="00FB5267"/>
    <w:rsid w:val="00FC1185"/>
    <w:rsid w:val="00FC2F2D"/>
    <w:rsid w:val="00FD6E41"/>
    <w:rsid w:val="00FE66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C52AED01-C2BF-4DF1-8952-4FE377F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DF"/>
    <w:pPr>
      <w:spacing w:after="120" w:line="280" w:lineRule="exact"/>
      <w:jc w:val="both"/>
    </w:pPr>
    <w:rPr>
      <w:kern w:val="0"/>
      <w:sz w:val="21"/>
      <w:szCs w:val="10"/>
      <w:lang w:val="en-US" w:eastAsia="zh-CN"/>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35D73"/>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rFonts w:eastAsia="PMingLiU"/>
      <w:b/>
      <w:noProof/>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25"/>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link w:val="ZZAnxheaderChar"/>
    <w:rsid w:val="00035D73"/>
    <w:rPr>
      <w:b/>
      <w:bCs/>
      <w:sz w:val="28"/>
      <w:szCs w:val="22"/>
    </w:rPr>
  </w:style>
  <w:style w:type="paragraph" w:customStyle="1" w:styleId="ZZAnxtitle">
    <w:name w:val="ZZ_Anx_title"/>
    <w:basedOn w:val="Normal-pool"/>
    <w:link w:val="ZZAnxtitleChar"/>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nhideWhenUsed/>
    <w:rsid w:val="00035D73"/>
    <w:rPr>
      <w:rFonts w:ascii="Times New Roman" w:eastAsia="SimSun" w:hAnsi="Times New Roman"/>
      <w:sz w:val="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rFonts w:eastAsia="PMingLiU"/>
      <w:b/>
      <w:noProof/>
      <w:sz w:val="17"/>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FootnoteReference"/>
    <w:uiPriority w:val="99"/>
    <w:semiHidden/>
    <w:unhideWhenUsed/>
    <w:rsid w:val="00035D73"/>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nhideWhenUsed/>
    <w:rsid w:val="00035D73"/>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sz w:val="14"/>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ind w:left="283"/>
      <w:contextualSpacing/>
    </w:pPr>
  </w:style>
  <w:style w:type="paragraph" w:styleId="ListContinue2">
    <w:name w:val="List Continue 2"/>
    <w:basedOn w:val="Normal"/>
    <w:uiPriority w:val="99"/>
    <w:semiHidden/>
    <w:unhideWhenUsed/>
    <w:rsid w:val="00035D73"/>
    <w:pPr>
      <w:ind w:left="566"/>
      <w:contextualSpacing/>
    </w:pPr>
  </w:style>
  <w:style w:type="paragraph" w:styleId="ListContinue3">
    <w:name w:val="List Continue 3"/>
    <w:basedOn w:val="Normal"/>
    <w:uiPriority w:val="99"/>
    <w:semiHidden/>
    <w:unhideWhenUsed/>
    <w:rsid w:val="00035D73"/>
    <w:pPr>
      <w:ind w:left="849"/>
      <w:contextualSpacing/>
    </w:pPr>
  </w:style>
  <w:style w:type="paragraph" w:styleId="ListContinue4">
    <w:name w:val="List Continue 4"/>
    <w:basedOn w:val="Normal"/>
    <w:uiPriority w:val="99"/>
    <w:semiHidden/>
    <w:unhideWhenUsed/>
    <w:rsid w:val="00035D73"/>
    <w:pPr>
      <w:ind w:left="1132"/>
      <w:contextualSpacing/>
    </w:pPr>
  </w:style>
  <w:style w:type="paragraph" w:styleId="ListContinue5">
    <w:name w:val="List Continue 5"/>
    <w:basedOn w:val="Normal"/>
    <w:uiPriority w:val="99"/>
    <w:semiHidden/>
    <w:unhideWhenUsed/>
    <w:rsid w:val="00035D73"/>
    <w:pPr>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ZZAnxheaderChar">
    <w:name w:val="ZZ_Anx_header Char"/>
    <w:link w:val="ZZAnxheader"/>
    <w:locked/>
    <w:rsid w:val="00B075DF"/>
    <w:rPr>
      <w:rFonts w:ascii="Times New Roman" w:eastAsia="Times New Roman" w:hAnsi="Times New Roman" w:cs="Times New Roman"/>
      <w:b/>
      <w:bCs/>
      <w:kern w:val="0"/>
      <w:sz w:val="28"/>
      <w:szCs w:val="22"/>
      <w:lang w:eastAsia="en-US"/>
      <w14:ligatures w14:val="none"/>
    </w:rPr>
  </w:style>
  <w:style w:type="character" w:customStyle="1" w:styleId="ZZAnxtitleChar">
    <w:name w:val="ZZ_Anx_title Char"/>
    <w:link w:val="ZZAnxtitle"/>
    <w:rsid w:val="00B075DF"/>
    <w:rPr>
      <w:rFonts w:ascii="Times New Roman" w:eastAsia="Times New Roman" w:hAnsi="Times New Roman" w:cs="Times New Roman"/>
      <w:b/>
      <w:bCs/>
      <w:kern w:val="0"/>
      <w:sz w:val="28"/>
      <w:szCs w:val="26"/>
      <w:lang w:eastAsia="en-US"/>
      <w14:ligatures w14:val="none"/>
    </w:rPr>
  </w:style>
  <w:style w:type="character" w:customStyle="1" w:styleId="Normal-poolChar">
    <w:name w:val="Normal-pool Char"/>
    <w:link w:val="Normal-pool"/>
    <w:locked/>
    <w:rsid w:val="00B075DF"/>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B075DF"/>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DA36C2"/>
    <w:pPr>
      <w:spacing w:after="0" w:line="240" w:lineRule="auto"/>
    </w:pPr>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8777B-0A97-43F5-9976-7627E81070B3}">
  <ds:schemaRefs>
    <ds:schemaRef ds:uri="http://purl.org/dc/terms/"/>
    <ds:schemaRef ds:uri="44b29a07-ae0c-4297-aad9-2f7ae2e24b8e"/>
    <ds:schemaRef ds:uri="http://www.w3.org/XML/1998/namespace"/>
    <ds:schemaRef ds:uri="http://schemas.microsoft.com/office/2006/metadata/properties"/>
    <ds:schemaRef ds:uri="http://schemas.microsoft.com/office/2006/documentManagement/types"/>
    <ds:schemaRef ds:uri="http://purl.org/dc/dcmitype/"/>
    <ds:schemaRef ds:uri="985ec44e-1bab-4c0b-9df0-6ba128686fc9"/>
    <ds:schemaRef ds:uri="http://schemas.microsoft.com/office/infopath/2007/PartnerControls"/>
    <ds:schemaRef ds:uri="http://schemas.openxmlformats.org/package/2006/metadata/core-properties"/>
    <ds:schemaRef ds:uri="a591afa8-fd54-42f1-9ea9-749d51e1c00b"/>
    <ds:schemaRef ds:uri="http://purl.org/dc/elements/1.1/"/>
    <ds:schemaRef ds:uri="822da31b-d518-49e2-88cd-1351ccd720a8"/>
  </ds:schemaRefs>
</ds:datastoreItem>
</file>

<file path=customXml/itemProps2.xml><?xml version="1.0" encoding="utf-8"?>
<ds:datastoreItem xmlns:ds="http://schemas.openxmlformats.org/officeDocument/2006/customXml" ds:itemID="{7A14277F-4AC2-4A16-99AF-11C8C63D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EF644-9636-44B9-985B-A01EA3078A1D}">
  <ds:schemaRefs>
    <ds:schemaRef ds:uri="http://schemas.openxmlformats.org/officeDocument/2006/bibliography"/>
  </ds:schemaRefs>
</ds:datastoreItem>
</file>

<file path=customXml/itemProps4.xml><?xml version="1.0" encoding="utf-8"?>
<ds:datastoreItem xmlns:ds="http://schemas.openxmlformats.org/officeDocument/2006/customXml" ds:itemID="{0150C63D-F2EB-4B21-BF7E-AB5CA15E285A}">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6</Pages>
  <Words>473</Words>
  <Characters>2701</Characters>
  <Application>Microsoft Office Word</Application>
  <DocSecurity>0</DocSecurity>
  <PresentationFormat/>
  <Lines>22</Lines>
  <Paragraphs>6</Paragraphs>
  <ScaleCrop>false</ScaleCrop>
  <Manager/>
  <Company/>
  <LinksUpToDate>false</LinksUpToDate>
  <CharactersWithSpaces>3168</CharactersWithSpaces>
  <SharedDoc>false</SharedDoc>
  <HyperlinkBase/>
  <HLinks>
    <vt:vector size="24" baseType="variant">
      <vt:variant>
        <vt:i4>5374004</vt:i4>
      </vt:variant>
      <vt:variant>
        <vt:i4>9</vt:i4>
      </vt:variant>
      <vt:variant>
        <vt:i4>0</vt:i4>
      </vt:variant>
      <vt:variant>
        <vt:i4>5</vt:i4>
      </vt:variant>
      <vt:variant>
        <vt:lpwstr>https://minamataconvention.org/sites/default/files/documents/working_document/4_12_ReviewFinancialMechanism.English.pdf</vt:lpwstr>
      </vt:variant>
      <vt:variant>
        <vt:lpwstr/>
      </vt:variant>
      <vt:variant>
        <vt:i4>6684766</vt:i4>
      </vt:variant>
      <vt:variant>
        <vt:i4>6</vt:i4>
      </vt:variant>
      <vt:variant>
        <vt:i4>0</vt:i4>
      </vt:variant>
      <vt:variant>
        <vt:i4>5</vt:i4>
      </vt:variant>
      <vt:variant>
        <vt:lpwstr>https://minamataconvention.org/sites/default/files/documents/decision/4_Dec7_Second_Review_Financial_Mechanism.English.pdf</vt:lpwstr>
      </vt:variant>
      <vt:variant>
        <vt:lpwstr/>
      </vt:variant>
      <vt:variant>
        <vt:i4>6684766</vt:i4>
      </vt:variant>
      <vt:variant>
        <vt:i4>3</vt:i4>
      </vt:variant>
      <vt:variant>
        <vt:i4>0</vt:i4>
      </vt:variant>
      <vt:variant>
        <vt:i4>5</vt:i4>
      </vt:variant>
      <vt:variant>
        <vt:lpwstr>https://minamataconvention.org/sites/default/files/documents/decision/4_Dec7_Second_Review_Financial_Mechanism.English.pdf</vt:lpwstr>
      </vt:variant>
      <vt:variant>
        <vt:lpwstr/>
      </vt:variant>
      <vt:variant>
        <vt:i4>1703950</vt:i4>
      </vt:variant>
      <vt:variant>
        <vt:i4>0</vt:i4>
      </vt:variant>
      <vt:variant>
        <vt:i4>0</vt:i4>
      </vt:variant>
      <vt:variant>
        <vt:i4>5</vt:i4>
      </vt:variant>
      <vt:variant>
        <vt:lpwstr>https://minamataconvention.org/en/documents/second-review-financial-mechanism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21</cp:revision>
  <cp:lastPrinted>2025-08-26T09:00:00Z</cp:lastPrinted>
  <dcterms:created xsi:type="dcterms:W3CDTF">2025-08-21T11:03:00Z</dcterms:created>
  <dcterms:modified xsi:type="dcterms:W3CDTF">2025-08-26T09:21:00Z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07/23/2025 08:55:24</vt:lpwstr>
  </property>
  <property fmtid="{D5CDD505-2E9C-101B-9397-08002B2CF9AE}" pid="15" name="OriginalDocID">
    <vt:lpwstr>59b2979c-8666-48af-9796-9ba75d7cdd2c</vt:lpwstr>
  </property>
</Properties>
</file>