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701"/>
        <w:gridCol w:w="6378"/>
        <w:gridCol w:w="1417"/>
      </w:tblGrid>
      <w:tr w:rsidR="002763D1" w:rsidRPr="002763D1" w14:paraId="0F16E51C" w14:textId="77777777" w:rsidTr="000B448D">
        <w:trPr>
          <w:trHeight w:val="850"/>
        </w:trPr>
        <w:tc>
          <w:tcPr>
            <w:tcW w:w="1701" w:type="dxa"/>
          </w:tcPr>
          <w:p w14:paraId="3ACC9CFF" w14:textId="77777777" w:rsidR="002763D1" w:rsidRPr="002763D1" w:rsidRDefault="002763D1" w:rsidP="002763D1">
            <w:pPr>
              <w:tabs>
                <w:tab w:val="left" w:pos="624"/>
                <w:tab w:val="left" w:pos="1871"/>
                <w:tab w:val="left" w:pos="2495"/>
                <w:tab w:val="left" w:pos="3119"/>
                <w:tab w:val="left" w:pos="3742"/>
                <w:tab w:val="left" w:pos="4366"/>
              </w:tabs>
              <w:spacing w:before="20" w:after="20"/>
              <w:rPr>
                <w:rFonts w:ascii="Arial" w:eastAsia="Times New Roman" w:hAnsi="Arial" w:cs="Times New Roman Bold"/>
                <w:b/>
                <w:caps/>
                <w:color w:val="000000" w:themeColor="text1"/>
                <w:sz w:val="27"/>
                <w:lang w:val="es-ES_tradnl" w:eastAsia="en-US"/>
              </w:rPr>
            </w:pPr>
            <w:r w:rsidRPr="002763D1">
              <w:rPr>
                <w:rFonts w:ascii="Arial" w:eastAsia="Times New Roman" w:hAnsi="Arial" w:cs="Times New Roman Bold"/>
                <w:b/>
                <w:caps/>
                <w:color w:val="000000" w:themeColor="text1"/>
                <w:sz w:val="27"/>
                <w:lang w:val="es-ES_tradnl" w:eastAsia="en-US"/>
              </w:rPr>
              <w:t xml:space="preserve">Naciones </w:t>
            </w:r>
            <w:r w:rsidRPr="002763D1">
              <w:rPr>
                <w:rFonts w:ascii="Arial" w:eastAsia="Times New Roman" w:hAnsi="Arial" w:cs="Times New Roman Bold"/>
                <w:b/>
                <w:caps/>
                <w:color w:val="000000" w:themeColor="text1"/>
                <w:sz w:val="27"/>
                <w:lang w:val="es-ES_tradnl" w:eastAsia="en-US"/>
              </w:rPr>
              <w:br/>
              <w:t>Unidas</w:t>
            </w:r>
          </w:p>
        </w:tc>
        <w:tc>
          <w:tcPr>
            <w:tcW w:w="6378" w:type="dxa"/>
          </w:tcPr>
          <w:p w14:paraId="56AFC5C4" w14:textId="77777777" w:rsidR="002763D1" w:rsidRPr="002763D1" w:rsidRDefault="002763D1" w:rsidP="002763D1">
            <w:pPr>
              <w:tabs>
                <w:tab w:val="left" w:pos="1247"/>
                <w:tab w:val="left" w:pos="1871"/>
                <w:tab w:val="left" w:pos="2495"/>
                <w:tab w:val="left" w:pos="3119"/>
                <w:tab w:val="left" w:pos="3742"/>
                <w:tab w:val="left" w:pos="4366"/>
              </w:tabs>
              <w:rPr>
                <w:rFonts w:eastAsia="Times New Roman"/>
                <w:lang w:val="es-ES_tradnl" w:eastAsia="en-US"/>
              </w:rPr>
            </w:pPr>
            <w:r w:rsidRPr="002763D1">
              <w:rPr>
                <w:rFonts w:eastAsia="Times New Roman"/>
                <w:noProof/>
                <w:lang w:val="es-ES_tradnl" w:eastAsia="en-US"/>
                <w14:ligatures w14:val="standardContextual"/>
              </w:rPr>
              <w:drawing>
                <wp:anchor distT="0" distB="0" distL="114300" distR="114300" simplePos="0" relativeHeight="251660288" behindDoc="0" locked="0" layoutInCell="1" allowOverlap="1" wp14:anchorId="4EDFA4A3" wp14:editId="1D95D892">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3042D5F5" w14:textId="77777777" w:rsidR="002763D1" w:rsidRPr="002763D1" w:rsidRDefault="002763D1" w:rsidP="002763D1">
            <w:pPr>
              <w:tabs>
                <w:tab w:val="left" w:pos="1247"/>
                <w:tab w:val="left" w:pos="1871"/>
                <w:tab w:val="left" w:pos="2495"/>
                <w:tab w:val="left" w:pos="3119"/>
                <w:tab w:val="left" w:pos="3742"/>
                <w:tab w:val="left" w:pos="4366"/>
              </w:tabs>
              <w:rPr>
                <w:rFonts w:eastAsia="Times New Roman"/>
                <w:lang w:val="es-ES_tradnl" w:eastAsia="en-US"/>
              </w:rPr>
            </w:pPr>
          </w:p>
        </w:tc>
      </w:tr>
    </w:tbl>
    <w:p w14:paraId="7C60131F" w14:textId="77777777" w:rsidR="002763D1" w:rsidRPr="002763D1" w:rsidRDefault="002763D1" w:rsidP="002763D1">
      <w:pPr>
        <w:tabs>
          <w:tab w:val="left" w:pos="624"/>
          <w:tab w:val="left" w:pos="1247"/>
          <w:tab w:val="left" w:pos="1871"/>
          <w:tab w:val="left" w:pos="2495"/>
          <w:tab w:val="left" w:pos="3119"/>
          <w:tab w:val="left" w:pos="3742"/>
          <w:tab w:val="left" w:pos="4366"/>
        </w:tabs>
        <w:rPr>
          <w:rFonts w:eastAsia="Times New Roman"/>
          <w:sz w:val="2"/>
          <w:lang w:val="es-ES_tradnl" w:eastAsia="en-US"/>
        </w:rPr>
      </w:pPr>
    </w:p>
    <w:tbl>
      <w:tblPr>
        <w:tblW w:w="9496" w:type="dxa"/>
        <w:tblLook w:val="0000" w:firstRow="0" w:lastRow="0" w:firstColumn="0" w:lastColumn="0" w:noHBand="0" w:noVBand="0"/>
      </w:tblPr>
      <w:tblGrid>
        <w:gridCol w:w="6378"/>
        <w:gridCol w:w="3118"/>
      </w:tblGrid>
      <w:tr w:rsidR="002763D1" w:rsidRPr="002763D1" w14:paraId="2D91832F" w14:textId="77777777" w:rsidTr="000B448D">
        <w:trPr>
          <w:trHeight w:val="340"/>
        </w:trPr>
        <w:tc>
          <w:tcPr>
            <w:tcW w:w="3358" w:type="pct"/>
            <w:vAlign w:val="bottom"/>
          </w:tcPr>
          <w:p w14:paraId="0CCA960F" w14:textId="77777777" w:rsidR="002763D1" w:rsidRPr="002763D1" w:rsidRDefault="002763D1" w:rsidP="002763D1">
            <w:pPr>
              <w:tabs>
                <w:tab w:val="left" w:pos="1247"/>
                <w:tab w:val="left" w:pos="1871"/>
                <w:tab w:val="left" w:pos="2495"/>
                <w:tab w:val="left" w:pos="3119"/>
                <w:tab w:val="left" w:pos="3742"/>
                <w:tab w:val="left" w:pos="4366"/>
              </w:tabs>
              <w:rPr>
                <w:rFonts w:eastAsia="Times New Roman"/>
                <w:lang w:val="es-ES_tradnl" w:eastAsia="en-US"/>
              </w:rPr>
            </w:pPr>
          </w:p>
        </w:tc>
        <w:tc>
          <w:tcPr>
            <w:tcW w:w="1642" w:type="pct"/>
            <w:noWrap/>
            <w:vAlign w:val="bottom"/>
          </w:tcPr>
          <w:p w14:paraId="52EB726C" w14:textId="3D1DFF6F" w:rsidR="002763D1" w:rsidRPr="002763D1" w:rsidRDefault="002763D1" w:rsidP="002763D1">
            <w:pPr>
              <w:tabs>
                <w:tab w:val="left" w:pos="1871"/>
                <w:tab w:val="left" w:pos="2495"/>
                <w:tab w:val="right" w:pos="2920"/>
                <w:tab w:val="left" w:pos="3119"/>
                <w:tab w:val="left" w:pos="3742"/>
                <w:tab w:val="left" w:pos="4366"/>
              </w:tabs>
              <w:rPr>
                <w:lang w:val="es-ES_tradnl" w:eastAsia="en-US"/>
              </w:rPr>
            </w:pPr>
            <w:r w:rsidRPr="002763D1">
              <w:rPr>
                <w:b/>
                <w:sz w:val="28"/>
                <w:lang w:val="es-ES_tradnl" w:eastAsia="en-US"/>
              </w:rPr>
              <w:t>UNEP</w:t>
            </w:r>
            <w:r w:rsidRPr="002763D1">
              <w:rPr>
                <w:lang w:val="es-ES_tradnl" w:eastAsia="en-US"/>
              </w:rPr>
              <w:t>/MC/COP.6</w:t>
            </w:r>
            <w:r>
              <w:rPr>
                <w:lang w:val="es-ES_tradnl" w:eastAsia="en-US"/>
              </w:rPr>
              <w:t>/11</w:t>
            </w:r>
          </w:p>
        </w:tc>
      </w:tr>
    </w:tbl>
    <w:p w14:paraId="426275C5" w14:textId="77777777" w:rsidR="002763D1" w:rsidRPr="002763D1" w:rsidRDefault="002763D1" w:rsidP="002763D1">
      <w:pPr>
        <w:tabs>
          <w:tab w:val="left" w:pos="624"/>
          <w:tab w:val="left" w:pos="1247"/>
          <w:tab w:val="left" w:pos="1871"/>
          <w:tab w:val="left" w:pos="2495"/>
          <w:tab w:val="left" w:pos="3119"/>
          <w:tab w:val="left" w:pos="3742"/>
          <w:tab w:val="left" w:pos="4366"/>
        </w:tabs>
        <w:rPr>
          <w:rFonts w:eastAsia="Times New Roman"/>
          <w:sz w:val="2"/>
          <w:lang w:val="es-ES_tradnl" w:eastAsia="en-US"/>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2763D1" w:rsidRPr="002763D1" w14:paraId="143C29E9" w14:textId="77777777" w:rsidTr="000B448D">
        <w:trPr>
          <w:trHeight w:val="2098"/>
        </w:trPr>
        <w:tc>
          <w:tcPr>
            <w:tcW w:w="3685" w:type="dxa"/>
          </w:tcPr>
          <w:p w14:paraId="564CDC49" w14:textId="77777777" w:rsidR="002763D1" w:rsidRPr="002763D1" w:rsidRDefault="002763D1" w:rsidP="002763D1">
            <w:pPr>
              <w:tabs>
                <w:tab w:val="left" w:pos="624"/>
                <w:tab w:val="left" w:pos="1247"/>
                <w:tab w:val="left" w:pos="1871"/>
                <w:tab w:val="left" w:pos="2495"/>
                <w:tab w:val="left" w:pos="3119"/>
                <w:tab w:val="left" w:pos="3742"/>
                <w:tab w:val="left" w:pos="4366"/>
              </w:tabs>
              <w:spacing w:before="120" w:after="240"/>
              <w:rPr>
                <w:rFonts w:eastAsia="Times New Roman"/>
                <w:lang w:val="es-ES_tradnl" w:eastAsia="en-US"/>
              </w:rPr>
            </w:pPr>
            <w:r w:rsidRPr="002763D1">
              <w:rPr>
                <w:rFonts w:eastAsia="Times New Roman"/>
                <w:noProof/>
                <w:lang w:val="es-ES_tradnl" w:eastAsia="en-US"/>
                <w14:ligatures w14:val="standardContextual"/>
              </w:rPr>
              <w:drawing>
                <wp:inline distT="0" distB="0" distL="0" distR="0" wp14:anchorId="696190A1" wp14:editId="11A90E4A">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2763D1">
              <w:rPr>
                <w:rFonts w:eastAsia="Times New Roman"/>
                <w:lang w:val="es-ES_tradnl" w:eastAsia="en-US"/>
              </w:rPr>
              <w:t xml:space="preserve"> </w:t>
            </w:r>
          </w:p>
          <w:p w14:paraId="5DABAE91" w14:textId="77777777" w:rsidR="002763D1" w:rsidRPr="002763D1" w:rsidRDefault="002763D1" w:rsidP="002763D1">
            <w:pPr>
              <w:tabs>
                <w:tab w:val="left" w:pos="624"/>
                <w:tab w:val="left" w:pos="1247"/>
                <w:tab w:val="left" w:pos="1871"/>
                <w:tab w:val="left" w:pos="2495"/>
                <w:tab w:val="left" w:pos="3119"/>
                <w:tab w:val="left" w:pos="3742"/>
                <w:tab w:val="left" w:pos="4366"/>
              </w:tabs>
              <w:spacing w:before="120" w:after="240"/>
              <w:rPr>
                <w:rFonts w:eastAsia="Times New Roman"/>
                <w:lang w:val="es-ES_tradnl" w:eastAsia="en-US"/>
              </w:rPr>
            </w:pPr>
          </w:p>
        </w:tc>
        <w:tc>
          <w:tcPr>
            <w:tcW w:w="2693" w:type="dxa"/>
          </w:tcPr>
          <w:p w14:paraId="1E54C68C" w14:textId="77777777" w:rsidR="002763D1" w:rsidRPr="002763D1" w:rsidRDefault="002763D1" w:rsidP="002763D1">
            <w:pPr>
              <w:tabs>
                <w:tab w:val="left" w:pos="1247"/>
                <w:tab w:val="left" w:pos="1871"/>
                <w:tab w:val="left" w:pos="2495"/>
                <w:tab w:val="left" w:pos="3119"/>
                <w:tab w:val="left" w:pos="3742"/>
                <w:tab w:val="left" w:pos="4366"/>
              </w:tabs>
              <w:rPr>
                <w:rFonts w:eastAsia="Times New Roman"/>
                <w:lang w:val="es-ES_tradnl" w:eastAsia="en-US"/>
              </w:rPr>
            </w:pPr>
          </w:p>
        </w:tc>
        <w:tc>
          <w:tcPr>
            <w:tcW w:w="3118" w:type="dxa"/>
          </w:tcPr>
          <w:p w14:paraId="3CD9234F" w14:textId="77777777" w:rsidR="002763D1" w:rsidRPr="00580557" w:rsidRDefault="002763D1" w:rsidP="002763D1">
            <w:pPr>
              <w:pStyle w:val="AText"/>
              <w:rPr>
                <w:lang w:val="es-ES_tradnl"/>
              </w:rPr>
            </w:pPr>
            <w:proofErr w:type="spellStart"/>
            <w:r w:rsidRPr="002763D1">
              <w:rPr>
                <w:lang w:val="es-ES_tradnl"/>
              </w:rPr>
              <w:t>Distr</w:t>
            </w:r>
            <w:proofErr w:type="spellEnd"/>
            <w:r w:rsidRPr="002763D1">
              <w:rPr>
                <w:lang w:val="es-ES_tradnl"/>
              </w:rPr>
              <w:t xml:space="preserve">. </w:t>
            </w:r>
            <w:r w:rsidRPr="00580557">
              <w:rPr>
                <w:color w:val="000000"/>
                <w:lang w:val="es-ES_tradnl"/>
              </w:rPr>
              <w:t xml:space="preserve">general </w:t>
            </w:r>
          </w:p>
          <w:p w14:paraId="712C703A" w14:textId="77777777" w:rsidR="002763D1" w:rsidRPr="00580557" w:rsidRDefault="002763D1" w:rsidP="002763D1">
            <w:pPr>
              <w:pStyle w:val="AText0"/>
              <w:rPr>
                <w:lang w:val="es-ES_tradnl"/>
              </w:rPr>
            </w:pPr>
            <w:r w:rsidRPr="00580557">
              <w:rPr>
                <w:color w:val="000000"/>
                <w:lang w:val="es-ES_tradnl"/>
              </w:rPr>
              <w:t xml:space="preserve">3 de julio de 2025 </w:t>
            </w:r>
          </w:p>
          <w:p w14:paraId="180BB56F" w14:textId="50DA5BCD" w:rsidR="002763D1" w:rsidRPr="002763D1" w:rsidRDefault="002763D1" w:rsidP="002763D1">
            <w:pPr>
              <w:tabs>
                <w:tab w:val="left" w:pos="624"/>
                <w:tab w:val="left" w:pos="1247"/>
                <w:tab w:val="left" w:pos="1871"/>
                <w:tab w:val="left" w:pos="2495"/>
                <w:tab w:val="left" w:pos="3119"/>
                <w:tab w:val="left" w:pos="3742"/>
                <w:tab w:val="left" w:pos="4366"/>
              </w:tabs>
              <w:spacing w:before="120"/>
              <w:rPr>
                <w:rFonts w:eastAsia="Times New Roman"/>
                <w:lang w:val="es-ES_tradnl" w:eastAsia="en-US"/>
              </w:rPr>
            </w:pPr>
            <w:r w:rsidRPr="002763D1">
              <w:rPr>
                <w:rFonts w:eastAsia="Times New Roman"/>
                <w:lang w:val="es-ES_tradnl" w:eastAsia="en-US"/>
              </w:rPr>
              <w:t xml:space="preserve">Español </w:t>
            </w:r>
            <w:r w:rsidRPr="002763D1">
              <w:rPr>
                <w:rFonts w:eastAsia="Times New Roman"/>
                <w:lang w:val="es-ES_tradnl" w:eastAsia="en-US"/>
              </w:rPr>
              <w:br/>
              <w:t>Original: inglés</w:t>
            </w:r>
          </w:p>
        </w:tc>
      </w:tr>
    </w:tbl>
    <w:p w14:paraId="6320872A" w14:textId="77777777" w:rsidR="002763D1" w:rsidRPr="002763D1" w:rsidRDefault="002763D1" w:rsidP="002763D1">
      <w:pPr>
        <w:tabs>
          <w:tab w:val="left" w:pos="624"/>
          <w:tab w:val="left" w:pos="1247"/>
          <w:tab w:val="left" w:pos="1871"/>
          <w:tab w:val="left" w:pos="2495"/>
          <w:tab w:val="left" w:pos="3119"/>
          <w:tab w:val="left" w:pos="3742"/>
          <w:tab w:val="left" w:pos="4366"/>
        </w:tabs>
        <w:rPr>
          <w:rFonts w:eastAsia="Times New Roman"/>
          <w:sz w:val="2"/>
          <w:lang w:val="es-ES_tradnl" w:eastAsia="en-US"/>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2763D1" w:rsidRPr="003E30EB" w14:paraId="6680D12A" w14:textId="77777777" w:rsidTr="000B448D">
        <w:trPr>
          <w:trHeight w:val="57"/>
        </w:trPr>
        <w:tc>
          <w:tcPr>
            <w:tcW w:w="5301" w:type="dxa"/>
          </w:tcPr>
          <w:p w14:paraId="71EE46F2" w14:textId="77777777" w:rsidR="002763D1" w:rsidRPr="002763D1" w:rsidRDefault="002763D1" w:rsidP="002763D1">
            <w:pPr>
              <w:tabs>
                <w:tab w:val="left" w:pos="1247"/>
                <w:tab w:val="left" w:pos="1871"/>
                <w:tab w:val="left" w:pos="2495"/>
                <w:tab w:val="left" w:pos="3119"/>
                <w:tab w:val="left" w:pos="3742"/>
                <w:tab w:val="left" w:pos="4366"/>
              </w:tabs>
              <w:rPr>
                <w:rFonts w:eastAsia="Times New Roman"/>
                <w:b/>
                <w:lang w:val="es-ES_tradnl" w:eastAsia="en-US"/>
              </w:rPr>
            </w:pPr>
            <w:r w:rsidRPr="002763D1">
              <w:rPr>
                <w:rFonts w:eastAsia="Times New Roman"/>
                <w:b/>
                <w:lang w:val="es-ES_tradnl" w:eastAsia="en-US"/>
              </w:rPr>
              <w:t xml:space="preserve">Conferencia de las Partes en el Convenio </w:t>
            </w:r>
            <w:r w:rsidRPr="002763D1">
              <w:rPr>
                <w:rFonts w:eastAsia="Times New Roman"/>
                <w:b/>
                <w:lang w:val="es-ES_tradnl" w:eastAsia="en-US"/>
              </w:rPr>
              <w:br/>
              <w:t>de Minamata sobre el Mercurio</w:t>
            </w:r>
          </w:p>
          <w:p w14:paraId="5D24B94F" w14:textId="77777777" w:rsidR="002763D1" w:rsidRPr="002763D1" w:rsidRDefault="002763D1" w:rsidP="002763D1">
            <w:pPr>
              <w:tabs>
                <w:tab w:val="left" w:pos="1247"/>
                <w:tab w:val="left" w:pos="1871"/>
                <w:tab w:val="left" w:pos="2495"/>
                <w:tab w:val="left" w:pos="3119"/>
                <w:tab w:val="left" w:pos="3742"/>
                <w:tab w:val="left" w:pos="4366"/>
              </w:tabs>
              <w:rPr>
                <w:rFonts w:eastAsia="Times New Roman"/>
                <w:b/>
                <w:lang w:val="es-ES_tradnl" w:eastAsia="en-US"/>
              </w:rPr>
            </w:pPr>
            <w:r w:rsidRPr="002763D1">
              <w:rPr>
                <w:rFonts w:eastAsia="Times New Roman"/>
                <w:b/>
                <w:lang w:val="es-ES_tradnl" w:eastAsia="en-US"/>
              </w:rPr>
              <w:t xml:space="preserve">Sexta reunión </w:t>
            </w:r>
          </w:p>
          <w:p w14:paraId="64E5EE3A" w14:textId="77777777" w:rsidR="002763D1" w:rsidRPr="002763D1" w:rsidRDefault="002763D1" w:rsidP="002763D1">
            <w:pPr>
              <w:tabs>
                <w:tab w:val="left" w:pos="1247"/>
                <w:tab w:val="left" w:pos="1871"/>
                <w:tab w:val="left" w:pos="2495"/>
                <w:tab w:val="left" w:pos="3119"/>
                <w:tab w:val="left" w:pos="3742"/>
                <w:tab w:val="left" w:pos="4366"/>
              </w:tabs>
              <w:rPr>
                <w:rFonts w:eastAsia="Times New Roman"/>
                <w:lang w:val="es-ES_tradnl" w:eastAsia="en-US"/>
              </w:rPr>
            </w:pPr>
            <w:r w:rsidRPr="002763D1">
              <w:rPr>
                <w:rFonts w:eastAsia="Times New Roman"/>
                <w:lang w:val="es-ES_tradnl" w:eastAsia="en-US"/>
              </w:rPr>
              <w:t xml:space="preserve">Ginebra, 3 a 7 de noviembre de 2025 </w:t>
            </w:r>
          </w:p>
          <w:p w14:paraId="22514227" w14:textId="77777777" w:rsidR="002763D1" w:rsidRPr="00580557" w:rsidRDefault="002763D1" w:rsidP="002763D1">
            <w:pPr>
              <w:pStyle w:val="AATitle1"/>
              <w:rPr>
                <w:lang w:val="es-ES_tradnl"/>
              </w:rPr>
            </w:pPr>
            <w:r w:rsidRPr="00580557">
              <w:rPr>
                <w:color w:val="000000"/>
                <w:lang w:val="es-ES_tradnl"/>
              </w:rPr>
              <w:t xml:space="preserve">Tema 4 e) </w:t>
            </w:r>
            <w:proofErr w:type="spellStart"/>
            <w:r w:rsidRPr="00580557">
              <w:rPr>
                <w:color w:val="000000"/>
                <w:lang w:val="es-ES_tradnl"/>
              </w:rPr>
              <w:t>ii</w:t>
            </w:r>
            <w:proofErr w:type="spellEnd"/>
            <w:r w:rsidRPr="00580557">
              <w:rPr>
                <w:color w:val="000000"/>
                <w:lang w:val="es-ES_tradnl"/>
              </w:rPr>
              <w:t>) del programa provisional</w:t>
            </w:r>
            <w:r w:rsidRPr="00580557">
              <w:rPr>
                <w:rStyle w:val="FootnoteReference"/>
                <w:noProof/>
                <w:color w:val="000000"/>
                <w:vertAlign w:val="baseline"/>
                <w:lang w:val="es-ES_tradnl"/>
              </w:rPr>
              <w:footnoteReference w:customMarkFollows="1" w:id="2"/>
              <w:t>*</w:t>
            </w:r>
            <w:r w:rsidRPr="00580557">
              <w:rPr>
                <w:color w:val="000000"/>
                <w:lang w:val="es-ES_tradnl"/>
              </w:rPr>
              <w:t xml:space="preserve"> </w:t>
            </w:r>
          </w:p>
          <w:p w14:paraId="34AAA38B" w14:textId="2263A0EB" w:rsidR="002763D1" w:rsidRPr="002763D1" w:rsidRDefault="002763D1" w:rsidP="002763D1">
            <w:pPr>
              <w:tabs>
                <w:tab w:val="left" w:pos="1247"/>
                <w:tab w:val="left" w:pos="1871"/>
                <w:tab w:val="left" w:pos="2495"/>
                <w:tab w:val="left" w:pos="3119"/>
                <w:tab w:val="left" w:pos="3742"/>
                <w:tab w:val="left" w:pos="4366"/>
              </w:tabs>
              <w:spacing w:before="120" w:after="120"/>
              <w:rPr>
                <w:rFonts w:eastAsia="Times New Roman"/>
                <w:b/>
                <w:lang w:val="es-ES_tradnl" w:eastAsia="en-US"/>
              </w:rPr>
            </w:pPr>
            <w:r w:rsidRPr="002763D1">
              <w:rPr>
                <w:b/>
                <w:color w:val="000000"/>
                <w:lang w:val="es-ES_tradnl"/>
              </w:rPr>
              <w:t>Cuestiones para el examen o la adopción de medidas por la Conferencia de las Partes: recursos financieros y mecanismo financiero: Programa Internacional Específico para apoyar la creación de capacidad y la asistencia técnica</w:t>
            </w:r>
          </w:p>
        </w:tc>
        <w:tc>
          <w:tcPr>
            <w:tcW w:w="4195" w:type="dxa"/>
          </w:tcPr>
          <w:p w14:paraId="1150DED2" w14:textId="77777777" w:rsidR="002763D1" w:rsidRPr="002763D1" w:rsidRDefault="002763D1" w:rsidP="002763D1">
            <w:pPr>
              <w:tabs>
                <w:tab w:val="left" w:pos="1247"/>
                <w:tab w:val="left" w:pos="1871"/>
                <w:tab w:val="left" w:pos="2495"/>
                <w:tab w:val="left" w:pos="3119"/>
                <w:tab w:val="left" w:pos="3742"/>
                <w:tab w:val="left" w:pos="4366"/>
              </w:tabs>
              <w:rPr>
                <w:rFonts w:eastAsia="Times New Roman"/>
                <w:lang w:val="es-ES_tradnl" w:eastAsia="en-US"/>
              </w:rPr>
            </w:pPr>
          </w:p>
        </w:tc>
      </w:tr>
    </w:tbl>
    <w:p w14:paraId="5EEFD4AF" w14:textId="38C15E83" w:rsidR="00FF1D0E" w:rsidRPr="00580557" w:rsidRDefault="00FF1D0E" w:rsidP="002763D1">
      <w:pPr>
        <w:pStyle w:val="BBTitle"/>
        <w:rPr>
          <w:noProof/>
          <w:lang w:val="es-ES_tradnl"/>
        </w:rPr>
      </w:pPr>
      <w:r w:rsidRPr="00580557">
        <w:rPr>
          <w:bCs/>
          <w:lang w:val="es-ES_tradnl"/>
        </w:rPr>
        <w:t>Informe global sobre el Programa Internacional Específico para apoyar la creación de capacidad y la asistencia técnica</w:t>
      </w:r>
    </w:p>
    <w:p w14:paraId="31BF1E15" w14:textId="77777777" w:rsidR="00FF1D0E" w:rsidRPr="00580557" w:rsidRDefault="00FF1D0E" w:rsidP="002763D1">
      <w:pPr>
        <w:pStyle w:val="CH2"/>
        <w:rPr>
          <w:noProof/>
          <w:lang w:val="es-ES_tradnl"/>
        </w:rPr>
      </w:pPr>
      <w:r w:rsidRPr="00580557">
        <w:rPr>
          <w:lang w:val="es-ES_tradnl"/>
        </w:rPr>
        <w:tab/>
      </w:r>
      <w:r w:rsidRPr="00580557">
        <w:rPr>
          <w:lang w:val="es-ES_tradnl"/>
        </w:rPr>
        <w:tab/>
      </w:r>
      <w:r w:rsidRPr="00580557">
        <w:rPr>
          <w:bCs/>
          <w:lang w:val="es-ES_tradnl"/>
        </w:rPr>
        <w:t>Nota de la Secretaría</w:t>
      </w:r>
    </w:p>
    <w:p w14:paraId="0BF1E3AC" w14:textId="5B31E59D" w:rsidR="00FF1D0E" w:rsidRPr="00580557" w:rsidRDefault="002763D1" w:rsidP="002763D1">
      <w:pPr>
        <w:pStyle w:val="CH1"/>
        <w:rPr>
          <w:lang w:val="es-ES_tradnl"/>
        </w:rPr>
      </w:pPr>
      <w:bookmarkStart w:id="0" w:name="_Hlk192252242"/>
      <w:r w:rsidRPr="002763D1">
        <w:rPr>
          <w:bCs/>
          <w:lang w:val="es-ES_tradnl"/>
        </w:rPr>
        <w:tab/>
        <w:t>I.</w:t>
      </w:r>
      <w:r w:rsidRPr="002763D1">
        <w:rPr>
          <w:bCs/>
          <w:lang w:val="es-ES_tradnl"/>
        </w:rPr>
        <w:tab/>
      </w:r>
      <w:r w:rsidR="00FF1D0E" w:rsidRPr="00580557">
        <w:rPr>
          <w:bCs/>
          <w:lang w:val="es-ES_tradnl"/>
        </w:rPr>
        <w:t>Introducción</w:t>
      </w:r>
    </w:p>
    <w:bookmarkEnd w:id="0"/>
    <w:p w14:paraId="59B8015E" w14:textId="2D0AA033"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La presente nota proporciona información sobre la aplicación de la decisión MC-5/11, relativa al examen del mecanismo financiero del Convenio de Minamata sobre el Mercurio, que la Conferencia de las Partes en el Convenio adoptó en su quinta reunión. Específicamente, en la presente nota se expone el informe global de la Secretaría sobre el segundo componente del mecanismo financiero</w:t>
      </w:r>
      <w:r w:rsidRPr="00580557">
        <w:rPr>
          <w:rStyle w:val="FootnoteReference"/>
          <w:noProof/>
          <w:lang w:val="es-ES_tradnl"/>
        </w:rPr>
        <w:footnoteReference w:id="3"/>
      </w:r>
      <w:r w:rsidRPr="00580557">
        <w:rPr>
          <w:lang w:val="es-ES_tradnl"/>
        </w:rPr>
        <w:t>, a</w:t>
      </w:r>
      <w:r w:rsidR="002763D1">
        <w:rPr>
          <w:lang w:val="es-ES_tradnl"/>
        </w:rPr>
        <w:t> </w:t>
      </w:r>
      <w:r w:rsidRPr="00580557">
        <w:rPr>
          <w:lang w:val="es-ES_tradnl"/>
        </w:rPr>
        <w:t>saber, el Programa Internacional Específico para apoyar la creación de capacidad y la asistencia técnica, para que la Conferencia de las Partes lo examine en su sexta reunión.</w:t>
      </w:r>
    </w:p>
    <w:p w14:paraId="031962B9" w14:textId="2ED4D95C"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La nota debe leerse conjuntamente con el documento UNEP/MC/COP.6/INF/15, en el que se</w:t>
      </w:r>
      <w:r w:rsidR="00782AF6">
        <w:rPr>
          <w:lang w:val="es-ES_tradnl"/>
        </w:rPr>
        <w:t> </w:t>
      </w:r>
      <w:r w:rsidRPr="00580557">
        <w:rPr>
          <w:lang w:val="es-ES_tradnl"/>
        </w:rPr>
        <w:t>recogen los informes de las reuniones 9ª y 10ª de la Junta Directiva del Programa Específico Internacional.</w:t>
      </w:r>
    </w:p>
    <w:p w14:paraId="7FECF213" w14:textId="77777777"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En el documento UNEP/MC/COP.6/9 se presenta un proyecto de decisión relativo a ambos componentes del mecanismo financiero para su examen por la Conferencia de las Partes.</w:t>
      </w:r>
    </w:p>
    <w:p w14:paraId="400FBCD0" w14:textId="3363903D" w:rsidR="00FF1D0E" w:rsidRPr="00580557" w:rsidRDefault="002763D1" w:rsidP="002763D1">
      <w:pPr>
        <w:pStyle w:val="CH1"/>
        <w:rPr>
          <w:lang w:val="es-ES_tradnl"/>
        </w:rPr>
      </w:pPr>
      <w:r w:rsidRPr="002763D1">
        <w:rPr>
          <w:bCs/>
          <w:lang w:val="es-ES_tradnl"/>
        </w:rPr>
        <w:tab/>
        <w:t>II.</w:t>
      </w:r>
      <w:r w:rsidRPr="002763D1">
        <w:rPr>
          <w:bCs/>
          <w:lang w:val="es-ES_tradnl"/>
        </w:rPr>
        <w:tab/>
      </w:r>
      <w:r w:rsidR="00FF1D0E" w:rsidRPr="00580557">
        <w:rPr>
          <w:bCs/>
          <w:lang w:val="es-ES_tradnl"/>
        </w:rPr>
        <w:t>Apoyo prestado por la Secretaría del Convenio de Minamata sobre el Mercurio al Programa Internacional Específico</w:t>
      </w:r>
    </w:p>
    <w:p w14:paraId="36CB5659" w14:textId="7D7A87FA"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La Secretaría del Convenio de Minamata sobre el Mercurio administra el Programa Internacional Específico a través de las siguientes actividades en curso:</w:t>
      </w:r>
    </w:p>
    <w:p w14:paraId="31BC658E" w14:textId="1F6434D0" w:rsidR="00FF1D0E" w:rsidRPr="00580557" w:rsidRDefault="00FF1D0E" w:rsidP="002763D1">
      <w:pPr>
        <w:pStyle w:val="Normalnumber"/>
        <w:numPr>
          <w:ilvl w:val="0"/>
          <w:numId w:val="16"/>
        </w:numPr>
        <w:tabs>
          <w:tab w:val="left" w:pos="624"/>
        </w:tabs>
        <w:ind w:left="1247" w:firstLine="624"/>
        <w:rPr>
          <w:noProof/>
          <w:lang w:val="es-ES_tradnl"/>
        </w:rPr>
      </w:pPr>
      <w:r w:rsidRPr="00580557">
        <w:rPr>
          <w:i/>
          <w:iCs/>
          <w:lang w:val="es-ES_tradnl"/>
        </w:rPr>
        <w:t>Apoyo al funcionamiento de la Junta Directiva.</w:t>
      </w:r>
      <w:r w:rsidRPr="00580557">
        <w:rPr>
          <w:lang w:val="es-ES_tradnl"/>
        </w:rPr>
        <w:t xml:space="preserve"> La Secretaría organizó la 9ª reunión de la Junta Directiva, celebrada en línea los días 15 y 16 de abril de 2024, y la 10ª reunión, que tuvo lugar </w:t>
      </w:r>
      <w:r w:rsidRPr="00580557">
        <w:rPr>
          <w:lang w:val="es-ES_tradnl"/>
        </w:rPr>
        <w:lastRenderedPageBreak/>
        <w:t>en Ginebra, del 22 al 24 de enero de 2025, y preparó la documentación de esas reuniones. En la sección III de la presente nota se ofrece más información sobre la labor de la Junta Directiva.</w:t>
      </w:r>
    </w:p>
    <w:p w14:paraId="2390CE88" w14:textId="0D489FDD" w:rsidR="00FF1D0E" w:rsidRPr="00580557" w:rsidRDefault="00FF1D0E" w:rsidP="002763D1">
      <w:pPr>
        <w:pStyle w:val="Normalnumber"/>
        <w:numPr>
          <w:ilvl w:val="0"/>
          <w:numId w:val="16"/>
        </w:numPr>
        <w:tabs>
          <w:tab w:val="left" w:pos="624"/>
        </w:tabs>
        <w:ind w:left="1247" w:firstLine="624"/>
        <w:rPr>
          <w:noProof/>
          <w:lang w:val="es-ES_tradnl"/>
        </w:rPr>
      </w:pPr>
      <w:r w:rsidRPr="00580557">
        <w:rPr>
          <w:i/>
          <w:iCs/>
          <w:lang w:val="es-ES_tradnl"/>
        </w:rPr>
        <w:t>Puesta en marcha y examen de las rondas de candidaturas al Programa Específico Internacional.</w:t>
      </w:r>
      <w:r w:rsidRPr="00580557">
        <w:rPr>
          <w:lang w:val="es-ES_tradnl"/>
        </w:rPr>
        <w:t xml:space="preserve"> De conformidad con la decisión adoptada por la Junta Ejecutiva en su novena reunión, la Secretaría</w:t>
      </w:r>
      <w:r w:rsidR="00A44EC8" w:rsidRPr="00580557">
        <w:rPr>
          <w:lang w:val="es-ES_tradnl"/>
        </w:rPr>
        <w:t xml:space="preserve"> </w:t>
      </w:r>
      <w:r w:rsidRPr="00580557">
        <w:rPr>
          <w:lang w:val="es-ES_tradnl"/>
        </w:rPr>
        <w:t>completó la puesta en marcha de la cuarta ronda de solicitudes en abril de 2024. Durante el proceso de presentación de solicitudes, la Secretaría organizó seminarios web en diferentes idiomas y husos horarios y prestó apoyo técnico cuando los posibles candidatos así lo solicitaron. La Secretaría examinó todas las solicitudes recibidas para comprobar si cumplían los requisitos y estaban completas, y convocó al equipo de tareas intersecretarial, compuesto por representantes del Fondo para el Medio</w:t>
      </w:r>
      <w:r w:rsidR="002763D1">
        <w:rPr>
          <w:lang w:val="es-ES_tradnl"/>
        </w:rPr>
        <w:t> </w:t>
      </w:r>
      <w:r w:rsidRPr="00580557">
        <w:rPr>
          <w:lang w:val="es-ES_tradnl"/>
        </w:rPr>
        <w:t>Ambiente Mundial, el Programa Especial sobre Fortalecimiento Institucional para el Grupo Temático de los Productos Químicos y la Asociación Mundial sobre el Mercurio, junto con personal de la Secretaría, para que contribuyesen al examen técnico de las solicitudes. Posteriormente, la Secretaría formuló observaciones técnicas sobre las 30 propuestas de proyectos presentadas que reunían los requisitos y, tras la nueva presentación de propuestas revisadas, preparó evaluaciones exhaustivas de las 29 solicitudes que reunían los requisitos. Las evaluaciones se basaron en los criterios establecidos por la Junta Directiva y se integraron con las observaciones presentadas por escrito por</w:t>
      </w:r>
      <w:r w:rsidR="00A44EC8" w:rsidRPr="00580557">
        <w:rPr>
          <w:lang w:val="es-ES_tradnl"/>
        </w:rPr>
        <w:t xml:space="preserve"> </w:t>
      </w:r>
      <w:r w:rsidRPr="00580557">
        <w:rPr>
          <w:lang w:val="es-ES_tradnl"/>
        </w:rPr>
        <w:t>la Secretaría del Programa Especial, y se concluyeron a tiempo para la décima reunión de la Junta Directiva. Tras la decisión de la Junta Directiva sobre los proyectos que se financiarían, la Secretaría notificó los resultados a todos los solicitantes, trabajó con los candidatos seleccionados para perfeccionar los documentos de sus proyectos y redactó los acuerdos jurídicos de estos.</w:t>
      </w:r>
    </w:p>
    <w:p w14:paraId="054FF800" w14:textId="052D4A15" w:rsidR="00FF1D0E" w:rsidRPr="00580557" w:rsidRDefault="00FF1D0E" w:rsidP="002763D1">
      <w:pPr>
        <w:pStyle w:val="Normalnumber"/>
        <w:numPr>
          <w:ilvl w:val="0"/>
          <w:numId w:val="16"/>
        </w:numPr>
        <w:tabs>
          <w:tab w:val="left" w:pos="624"/>
        </w:tabs>
        <w:ind w:left="1247" w:firstLine="624"/>
        <w:rPr>
          <w:noProof/>
          <w:lang w:val="es-ES_tradnl"/>
        </w:rPr>
      </w:pPr>
      <w:r w:rsidRPr="00580557">
        <w:rPr>
          <w:i/>
          <w:iCs/>
          <w:lang w:val="es-ES_tradnl"/>
        </w:rPr>
        <w:t>Administración del fondo fiduciario específico.</w:t>
      </w:r>
      <w:r w:rsidRPr="00580557">
        <w:rPr>
          <w:lang w:val="es-ES_tradnl"/>
        </w:rPr>
        <w:t xml:space="preserve"> La Secretaría administró las contribuciones al fondo fiduciario específico y su desembolso de acuerdo con los procedimientos del</w:t>
      </w:r>
      <w:r w:rsidR="00BD5D14">
        <w:rPr>
          <w:lang w:val="es-ES_tradnl"/>
        </w:rPr>
        <w:t> </w:t>
      </w:r>
      <w:r w:rsidRPr="00580557">
        <w:rPr>
          <w:lang w:val="es-ES_tradnl"/>
        </w:rPr>
        <w:t xml:space="preserve">Programa de las Naciones Unidas para el Medio Ambiente (PNUMA), incluida la documentación en el sistema </w:t>
      </w:r>
      <w:proofErr w:type="spellStart"/>
      <w:r w:rsidRPr="00580557">
        <w:rPr>
          <w:lang w:val="es-ES_tradnl"/>
        </w:rPr>
        <w:t>Umoja</w:t>
      </w:r>
      <w:proofErr w:type="spellEnd"/>
      <w:r w:rsidRPr="00580557">
        <w:rPr>
          <w:lang w:val="es-ES_tradnl"/>
        </w:rPr>
        <w:t xml:space="preserve"> en relación con todos los informes, enmiendas, desembolsos y acuerdos en materia de donaciones. </w:t>
      </w:r>
    </w:p>
    <w:p w14:paraId="67E9BB24" w14:textId="542C90CE" w:rsidR="00FF1D0E" w:rsidRPr="00580557" w:rsidRDefault="00FF1D0E" w:rsidP="002763D1">
      <w:pPr>
        <w:pStyle w:val="Normalnumber"/>
        <w:numPr>
          <w:ilvl w:val="0"/>
          <w:numId w:val="16"/>
        </w:numPr>
        <w:tabs>
          <w:tab w:val="left" w:pos="624"/>
        </w:tabs>
        <w:ind w:left="1247" w:firstLine="624"/>
        <w:rPr>
          <w:noProof/>
          <w:lang w:val="es-ES_tradnl"/>
        </w:rPr>
      </w:pPr>
      <w:r w:rsidRPr="00580557">
        <w:rPr>
          <w:i/>
          <w:iCs/>
          <w:lang w:val="es-ES_tradnl"/>
        </w:rPr>
        <w:t>Aplicación y supervisión del apoyo a los proyectos aprobados.</w:t>
      </w:r>
      <w:r w:rsidRPr="00580557">
        <w:rPr>
          <w:lang w:val="es-ES_tradnl"/>
        </w:rPr>
        <w:t xml:space="preserve"> La Secretaría</w:t>
      </w:r>
      <w:r w:rsidR="00A44EC8" w:rsidRPr="00580557">
        <w:rPr>
          <w:lang w:val="es-ES_tradnl"/>
        </w:rPr>
        <w:t xml:space="preserve"> </w:t>
      </w:r>
      <w:r w:rsidRPr="00580557">
        <w:rPr>
          <w:lang w:val="es-ES_tradnl"/>
        </w:rPr>
        <w:t xml:space="preserve">apoyó y supervisó la ejecución de los 24 proyectos aprobados en las tres primeras rondas de solicitudes. La asistencia prestada a los asociados en los proyectos abarca todo el ciclo de vida de estos, incluida la redacción de los acuerdos jurídicos del proyecto y sus modificaciones, así como la coordinación del proceso de firma; la revisión y aprobación de los informes semestrales y finales de progreso y gastos del proyecto, el inventariado de los equipos, los informes de auditoría financiera y los resultados del proyecto presentados a la Secretaría; el desembolso de los tramos de financiación y la coordinación de los procedimientos de reembolso del saldo del proyecto; y el cierre de los proyectos terminados. </w:t>
      </w:r>
    </w:p>
    <w:p w14:paraId="0CBD3530" w14:textId="691E9B5D" w:rsidR="00FF1D0E" w:rsidRPr="00580557" w:rsidRDefault="00FF1D0E" w:rsidP="002763D1">
      <w:pPr>
        <w:pStyle w:val="Normalnumber"/>
        <w:numPr>
          <w:ilvl w:val="0"/>
          <w:numId w:val="16"/>
        </w:numPr>
        <w:tabs>
          <w:tab w:val="left" w:pos="624"/>
        </w:tabs>
        <w:ind w:left="1247" w:firstLine="624"/>
        <w:rPr>
          <w:color w:val="000000"/>
          <w:shd w:val="clear" w:color="auto" w:fill="FFFFFF"/>
          <w:lang w:val="es-ES_tradnl"/>
        </w:rPr>
      </w:pPr>
      <w:r w:rsidRPr="00580557">
        <w:rPr>
          <w:i/>
          <w:iCs/>
          <w:lang w:val="es-ES_tradnl"/>
        </w:rPr>
        <w:t>Movilización de recursos, reconocimiento de donantes y elaboración de informes para el fondo fiduciario específico.</w:t>
      </w:r>
      <w:r w:rsidRPr="00580557">
        <w:rPr>
          <w:lang w:val="es-ES_tradnl"/>
        </w:rPr>
        <w:t xml:space="preserve"> La Secretaría gestiona todos los aspectos de la recaudación de fondos y la elaboración de informes para el fondo fiduciario específico. A fin de dar a conocer el Programa Internacional Específico y fomentar la provisión de donaciones al fondo fiduciario específico, la Secretaría ha llamado la atención sobre la labor del Programa en todas sus actividades, seminarios web y reuniones pertinentes. La Secretaría gestiona la recepción de las contribuciones al fondo fiduciario específico, al tiempo que cumple con los requisitos particulares de los donantes en materia de documentación y presentación de informes. En el sitio web del Convenio y en las publicaciones pertinentes se destaca a los donantes</w:t>
      </w:r>
      <w:r w:rsidRPr="00580557">
        <w:rPr>
          <w:rStyle w:val="FootnoteReference"/>
          <w:noProof/>
          <w:lang w:val="es-ES_tradnl"/>
        </w:rPr>
        <w:footnoteReference w:id="4"/>
      </w:r>
      <w:r w:rsidRPr="00580557">
        <w:rPr>
          <w:lang w:val="es-ES_tradnl"/>
        </w:rPr>
        <w:t xml:space="preserve">. </w:t>
      </w:r>
    </w:p>
    <w:p w14:paraId="51AE357F" w14:textId="6D651E61" w:rsidR="00FF1D0E" w:rsidRPr="00580557" w:rsidRDefault="00FF1D0E" w:rsidP="002763D1">
      <w:pPr>
        <w:pStyle w:val="Normalnumber"/>
        <w:numPr>
          <w:ilvl w:val="0"/>
          <w:numId w:val="16"/>
        </w:numPr>
        <w:tabs>
          <w:tab w:val="left" w:pos="624"/>
        </w:tabs>
        <w:ind w:left="1247" w:firstLine="624"/>
        <w:rPr>
          <w:noProof/>
          <w:lang w:val="es-ES_tradnl"/>
        </w:rPr>
      </w:pPr>
      <w:r w:rsidRPr="00580557">
        <w:rPr>
          <w:i/>
          <w:iCs/>
          <w:lang w:val="es-ES_tradnl"/>
        </w:rPr>
        <w:t>Comunicación y divulgación.</w:t>
      </w:r>
      <w:r w:rsidRPr="00580557">
        <w:rPr>
          <w:lang w:val="es-ES_tradnl"/>
        </w:rPr>
        <w:t xml:space="preserve"> La Secretaría mejoró y actualizó la página web del Programa Internacional Específico en el sitio web del Convenio de Minamata sobre el Mercurio, para lo que creó una nueva pestaña que contiene toda la información relacionada con la cuarta ronda de solicitudes</w:t>
      </w:r>
      <w:r w:rsidRPr="00580557">
        <w:rPr>
          <w:rStyle w:val="FootnoteReference"/>
          <w:noProof/>
          <w:lang w:val="es-ES_tradnl"/>
        </w:rPr>
        <w:footnoteReference w:id="5"/>
      </w:r>
      <w:r w:rsidRPr="00580557">
        <w:rPr>
          <w:lang w:val="es-ES_tradnl"/>
        </w:rPr>
        <w:t>. Además, la Secretaría creó un panel de información</w:t>
      </w:r>
      <w:r w:rsidRPr="00580557">
        <w:rPr>
          <w:rStyle w:val="FootnoteReference"/>
          <w:noProof/>
          <w:lang w:val="es-ES_tradnl"/>
        </w:rPr>
        <w:footnoteReference w:id="6"/>
      </w:r>
      <w:r w:rsidRPr="00580557">
        <w:rPr>
          <w:lang w:val="es-ES_tradnl"/>
        </w:rPr>
        <w:t xml:space="preserve"> en Microsoft </w:t>
      </w:r>
      <w:proofErr w:type="spellStart"/>
      <w:r w:rsidRPr="00580557">
        <w:rPr>
          <w:lang w:val="es-ES_tradnl"/>
        </w:rPr>
        <w:t>PowerBI</w:t>
      </w:r>
      <w:proofErr w:type="spellEnd"/>
      <w:r w:rsidRPr="00580557">
        <w:rPr>
          <w:lang w:val="es-ES_tradnl"/>
        </w:rPr>
        <w:t xml:space="preserve"> y renovó su base de datos sobre proyectos, que ahora incluye tanto los proyectos del Programa Internacional Específico como los del Fondo para el Medio Ambiente Mundial</w:t>
      </w:r>
      <w:r w:rsidRPr="00580557">
        <w:rPr>
          <w:rStyle w:val="FootnoteReference"/>
          <w:noProof/>
          <w:lang w:val="es-ES_tradnl"/>
        </w:rPr>
        <w:footnoteReference w:id="7"/>
      </w:r>
      <w:r w:rsidRPr="00580557">
        <w:rPr>
          <w:lang w:val="es-ES_tradnl"/>
        </w:rPr>
        <w:t xml:space="preserve">. La Secretaría también organizó varios actos de concienciación en línea. </w:t>
      </w:r>
    </w:p>
    <w:p w14:paraId="234738C8" w14:textId="2AC93172"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 xml:space="preserve">El interés por el Programa Específico Internacional no ha dejado de crecer desde su creación: en la primera ronda de solicitudes de 2018 se presentaron 19 solicitudes, y 36 en la cuarta ronda (2024-2025). La Secretaría ha seguido perfeccionando y aumentando la eficiencia de estas operaciones a fin de gestionar con eficacia el creciente número de solicitudes y proyectos financiados, sin dejar de </w:t>
      </w:r>
      <w:r w:rsidRPr="00580557">
        <w:rPr>
          <w:lang w:val="es-ES_tradnl"/>
        </w:rPr>
        <w:lastRenderedPageBreak/>
        <w:t>mantener un alto nivel de responsabilidad fiduciaria, en consonancia con los procedimientos del</w:t>
      </w:r>
      <w:r w:rsidR="002763D1">
        <w:rPr>
          <w:lang w:val="es-ES_tradnl"/>
        </w:rPr>
        <w:t> </w:t>
      </w:r>
      <w:r w:rsidRPr="00580557">
        <w:rPr>
          <w:lang w:val="es-ES_tradnl"/>
        </w:rPr>
        <w:t>PNUMA.</w:t>
      </w:r>
    </w:p>
    <w:p w14:paraId="7E5A1CDB" w14:textId="1031E061" w:rsidR="00FF1D0E" w:rsidRPr="00580557" w:rsidRDefault="00A44EC8" w:rsidP="002763D1">
      <w:pPr>
        <w:pStyle w:val="CH1"/>
        <w:rPr>
          <w:lang w:val="es-ES_tradnl"/>
        </w:rPr>
      </w:pPr>
      <w:r w:rsidRPr="00580557">
        <w:rPr>
          <w:bCs/>
          <w:lang w:val="es-ES_tradnl"/>
        </w:rPr>
        <w:tab/>
      </w:r>
      <w:r w:rsidR="00FF1D0E" w:rsidRPr="00580557">
        <w:rPr>
          <w:bCs/>
          <w:lang w:val="es-ES_tradnl"/>
        </w:rPr>
        <w:t>III.</w:t>
      </w:r>
      <w:r w:rsidR="00FF1D0E" w:rsidRPr="00580557">
        <w:rPr>
          <w:lang w:val="es-ES_tradnl"/>
        </w:rPr>
        <w:tab/>
      </w:r>
      <w:r w:rsidR="00FF1D0E" w:rsidRPr="00580557">
        <w:rPr>
          <w:bCs/>
          <w:lang w:val="es-ES_tradnl"/>
        </w:rPr>
        <w:t>Labor realizada por la Junta Directiva del Programa Internacional Específico desde la quinta reunión de la Conferencia</w:t>
      </w:r>
      <w:r w:rsidR="002763D1">
        <w:rPr>
          <w:bCs/>
          <w:lang w:val="es-ES_tradnl"/>
        </w:rPr>
        <w:t> </w:t>
      </w:r>
      <w:r w:rsidR="00FF1D0E" w:rsidRPr="00580557">
        <w:rPr>
          <w:bCs/>
          <w:lang w:val="es-ES_tradnl"/>
        </w:rPr>
        <w:t>de las Partes</w:t>
      </w:r>
    </w:p>
    <w:p w14:paraId="6211F358" w14:textId="0CAC9C34"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La Junta Directiva está integrada por diez miembros de las Partes. Cada uno de los cinco grupos regionales de las Naciones Unidas designa dos miembros por conducto de sus respectivos representantes de la Mesa. En su quinta reunión, la Conferencia de las Partes confirmó el nombramiento de los siguientes miembros de la Junta Directiva:</w:t>
      </w:r>
    </w:p>
    <w:p w14:paraId="65B1657C" w14:textId="77777777" w:rsidR="00FF1D0E" w:rsidRPr="00580557" w:rsidRDefault="00FF1D0E" w:rsidP="002763D1">
      <w:pPr>
        <w:pStyle w:val="Normalnumber"/>
        <w:numPr>
          <w:ilvl w:val="0"/>
          <w:numId w:val="18"/>
        </w:numPr>
        <w:tabs>
          <w:tab w:val="left" w:pos="624"/>
        </w:tabs>
        <w:ind w:left="1247" w:firstLine="624"/>
        <w:rPr>
          <w:lang w:val="es-ES_tradnl"/>
        </w:rPr>
      </w:pPr>
      <w:r w:rsidRPr="00580557">
        <w:rPr>
          <w:i/>
          <w:iCs/>
          <w:lang w:val="es-ES_tradnl"/>
        </w:rPr>
        <w:t>De los Estados de África</w:t>
      </w:r>
      <w:r w:rsidRPr="00580557">
        <w:rPr>
          <w:lang w:val="es-ES_tradnl"/>
        </w:rPr>
        <w:t xml:space="preserve">: Liliane </w:t>
      </w:r>
      <w:proofErr w:type="spellStart"/>
      <w:r w:rsidRPr="00580557">
        <w:rPr>
          <w:lang w:val="es-ES_tradnl"/>
        </w:rPr>
        <w:t>Randrianomenjanahary</w:t>
      </w:r>
      <w:proofErr w:type="spellEnd"/>
      <w:r w:rsidRPr="00580557">
        <w:rPr>
          <w:lang w:val="es-ES_tradnl"/>
        </w:rPr>
        <w:t xml:space="preserve"> (Madagascar) y Obed </w:t>
      </w:r>
      <w:proofErr w:type="spellStart"/>
      <w:r w:rsidRPr="00580557">
        <w:rPr>
          <w:lang w:val="es-ES_tradnl"/>
        </w:rPr>
        <w:t>Meringo</w:t>
      </w:r>
      <w:proofErr w:type="spellEnd"/>
      <w:r w:rsidRPr="00580557">
        <w:rPr>
          <w:lang w:val="es-ES_tradnl"/>
        </w:rPr>
        <w:t xml:space="preserve"> </w:t>
      </w:r>
      <w:proofErr w:type="spellStart"/>
      <w:r w:rsidRPr="00580557">
        <w:rPr>
          <w:lang w:val="es-ES_tradnl"/>
        </w:rPr>
        <w:t>Baloyi</w:t>
      </w:r>
      <w:proofErr w:type="spellEnd"/>
      <w:r w:rsidRPr="00580557">
        <w:rPr>
          <w:lang w:val="es-ES_tradnl"/>
        </w:rPr>
        <w:t xml:space="preserve"> (Sudáfrica);</w:t>
      </w:r>
    </w:p>
    <w:p w14:paraId="618F432D" w14:textId="77777777" w:rsidR="00FF1D0E" w:rsidRPr="00580557" w:rsidRDefault="00FF1D0E" w:rsidP="002763D1">
      <w:pPr>
        <w:pStyle w:val="Normalnumber"/>
        <w:numPr>
          <w:ilvl w:val="0"/>
          <w:numId w:val="18"/>
        </w:numPr>
        <w:tabs>
          <w:tab w:val="left" w:pos="624"/>
        </w:tabs>
        <w:ind w:left="1247" w:firstLine="624"/>
        <w:rPr>
          <w:lang w:val="es-ES_tradnl"/>
        </w:rPr>
      </w:pPr>
      <w:r w:rsidRPr="00580557">
        <w:rPr>
          <w:i/>
          <w:iCs/>
          <w:lang w:val="es-ES_tradnl"/>
        </w:rPr>
        <w:t>De los Estados de Asia y el Pacífico</w:t>
      </w:r>
      <w:r w:rsidRPr="00580557">
        <w:rPr>
          <w:lang w:val="es-ES_tradnl"/>
        </w:rPr>
        <w:t xml:space="preserve">: Luay Sadeq </w:t>
      </w:r>
      <w:proofErr w:type="spellStart"/>
      <w:r w:rsidRPr="00580557">
        <w:rPr>
          <w:lang w:val="es-ES_tradnl"/>
        </w:rPr>
        <w:t>Almukhtar</w:t>
      </w:r>
      <w:proofErr w:type="spellEnd"/>
      <w:r w:rsidRPr="00580557">
        <w:rPr>
          <w:lang w:val="es-ES_tradnl"/>
        </w:rPr>
        <w:t xml:space="preserve"> (Iraq) y </w:t>
      </w:r>
      <w:proofErr w:type="spellStart"/>
      <w:r w:rsidRPr="00580557">
        <w:rPr>
          <w:lang w:val="es-ES_tradnl"/>
        </w:rPr>
        <w:t>Wasantha</w:t>
      </w:r>
      <w:proofErr w:type="spellEnd"/>
      <w:r w:rsidRPr="00580557">
        <w:rPr>
          <w:lang w:val="es-ES_tradnl"/>
        </w:rPr>
        <w:t xml:space="preserve"> </w:t>
      </w:r>
      <w:proofErr w:type="spellStart"/>
      <w:r w:rsidRPr="00580557">
        <w:rPr>
          <w:lang w:val="es-ES_tradnl"/>
        </w:rPr>
        <w:t>Dissanayake</w:t>
      </w:r>
      <w:proofErr w:type="spellEnd"/>
      <w:r w:rsidRPr="00580557">
        <w:rPr>
          <w:lang w:val="es-ES_tradnl"/>
        </w:rPr>
        <w:t xml:space="preserve"> (Sri Lanka);</w:t>
      </w:r>
    </w:p>
    <w:p w14:paraId="5010FC39" w14:textId="43775BC1" w:rsidR="00FF1D0E" w:rsidRPr="00580557" w:rsidRDefault="00FF1D0E" w:rsidP="002763D1">
      <w:pPr>
        <w:pStyle w:val="Normalnumber"/>
        <w:numPr>
          <w:ilvl w:val="0"/>
          <w:numId w:val="18"/>
        </w:numPr>
        <w:tabs>
          <w:tab w:val="left" w:pos="624"/>
        </w:tabs>
        <w:ind w:left="1247" w:firstLine="624"/>
        <w:rPr>
          <w:lang w:val="es-ES_tradnl"/>
        </w:rPr>
      </w:pPr>
      <w:r w:rsidRPr="00580557">
        <w:rPr>
          <w:i/>
          <w:iCs/>
          <w:lang w:val="es-ES_tradnl"/>
        </w:rPr>
        <w:t>De los Estados de Europa Oriental</w:t>
      </w:r>
      <w:r w:rsidRPr="00580557">
        <w:rPr>
          <w:lang w:val="es-ES_tradnl"/>
        </w:rPr>
        <w:t xml:space="preserve">: Mario </w:t>
      </w:r>
      <w:proofErr w:type="spellStart"/>
      <w:r w:rsidRPr="00580557">
        <w:rPr>
          <w:lang w:val="es-ES_tradnl"/>
        </w:rPr>
        <w:t>Vujić</w:t>
      </w:r>
      <w:proofErr w:type="spellEnd"/>
      <w:r w:rsidRPr="00580557">
        <w:rPr>
          <w:lang w:val="es-ES_tradnl"/>
        </w:rPr>
        <w:t xml:space="preserve"> (Croacia) y Suzana Andonova (Macedonia del Norte);</w:t>
      </w:r>
    </w:p>
    <w:p w14:paraId="36A8FF9C" w14:textId="77777777" w:rsidR="00FF1D0E" w:rsidRPr="00580557" w:rsidRDefault="00FF1D0E" w:rsidP="002763D1">
      <w:pPr>
        <w:pStyle w:val="Normalnumber"/>
        <w:numPr>
          <w:ilvl w:val="0"/>
          <w:numId w:val="18"/>
        </w:numPr>
        <w:tabs>
          <w:tab w:val="left" w:pos="624"/>
        </w:tabs>
        <w:ind w:left="1247" w:firstLine="624"/>
        <w:rPr>
          <w:lang w:val="es-ES_tradnl"/>
        </w:rPr>
      </w:pPr>
      <w:r w:rsidRPr="00580557">
        <w:rPr>
          <w:i/>
          <w:iCs/>
          <w:lang w:val="es-ES_tradnl"/>
        </w:rPr>
        <w:t>De los Estados de América Latina y el Caribe</w:t>
      </w:r>
      <w:r w:rsidRPr="00580557">
        <w:rPr>
          <w:lang w:val="es-ES_tradnl"/>
        </w:rPr>
        <w:t>: Ana Cristina Linhares (Brasil) y Michelle Astwood (Guyana);</w:t>
      </w:r>
    </w:p>
    <w:p w14:paraId="0C62C28A" w14:textId="77777777" w:rsidR="00FF1D0E" w:rsidRPr="00580557" w:rsidRDefault="00FF1D0E" w:rsidP="002763D1">
      <w:pPr>
        <w:pStyle w:val="Normalnumber"/>
        <w:numPr>
          <w:ilvl w:val="0"/>
          <w:numId w:val="18"/>
        </w:numPr>
        <w:tabs>
          <w:tab w:val="left" w:pos="624"/>
        </w:tabs>
        <w:ind w:left="1247" w:firstLine="624"/>
        <w:rPr>
          <w:lang w:val="es-ES_tradnl"/>
        </w:rPr>
      </w:pPr>
      <w:r w:rsidRPr="00580557">
        <w:rPr>
          <w:i/>
          <w:iCs/>
          <w:lang w:val="es-ES_tradnl"/>
        </w:rPr>
        <w:t>De los Estados de Europa Occidental y otros Estados</w:t>
      </w:r>
      <w:r w:rsidRPr="00580557">
        <w:rPr>
          <w:lang w:val="es-ES_tradnl"/>
        </w:rPr>
        <w:t>: Rafael Zubrzycki (Alemania) and Andrew Clark (Estados Unidos de América).</w:t>
      </w:r>
    </w:p>
    <w:p w14:paraId="43CDEAD2" w14:textId="77777777" w:rsidR="00FF1D0E" w:rsidRPr="00580557" w:rsidRDefault="00FF1D0E" w:rsidP="002763D1">
      <w:pPr>
        <w:pStyle w:val="Normalnumber"/>
        <w:numPr>
          <w:ilvl w:val="0"/>
          <w:numId w:val="17"/>
        </w:numPr>
        <w:tabs>
          <w:tab w:val="left" w:pos="624"/>
        </w:tabs>
        <w:snapToGrid w:val="0"/>
        <w:ind w:left="1247" w:firstLine="0"/>
        <w:rPr>
          <w:noProof/>
          <w:lang w:val="es-ES_tradnl"/>
        </w:rPr>
      </w:pPr>
      <w:r w:rsidRPr="002763D1">
        <w:rPr>
          <w:spacing w:val="-2"/>
          <w:lang w:val="es-ES_tradnl"/>
        </w:rPr>
        <w:t xml:space="preserve">En abril de 2024 se designó a </w:t>
      </w:r>
      <w:proofErr w:type="spellStart"/>
      <w:r w:rsidRPr="002763D1">
        <w:rPr>
          <w:spacing w:val="-2"/>
          <w:lang w:val="es-ES_tradnl"/>
        </w:rPr>
        <w:t>Rathnappuli</w:t>
      </w:r>
      <w:proofErr w:type="spellEnd"/>
      <w:r w:rsidRPr="002763D1">
        <w:rPr>
          <w:spacing w:val="-2"/>
          <w:lang w:val="es-ES_tradnl"/>
        </w:rPr>
        <w:t xml:space="preserve"> </w:t>
      </w:r>
      <w:proofErr w:type="spellStart"/>
      <w:r w:rsidRPr="002763D1">
        <w:rPr>
          <w:spacing w:val="-2"/>
          <w:lang w:val="es-ES_tradnl"/>
        </w:rPr>
        <w:t>Hewa</w:t>
      </w:r>
      <w:proofErr w:type="spellEnd"/>
      <w:r w:rsidRPr="002763D1">
        <w:rPr>
          <w:spacing w:val="-2"/>
          <w:lang w:val="es-ES_tradnl"/>
        </w:rPr>
        <w:t xml:space="preserve"> </w:t>
      </w:r>
      <w:proofErr w:type="spellStart"/>
      <w:r w:rsidRPr="002763D1">
        <w:rPr>
          <w:spacing w:val="-2"/>
          <w:lang w:val="es-ES_tradnl"/>
        </w:rPr>
        <w:t>Mynattuge</w:t>
      </w:r>
      <w:proofErr w:type="spellEnd"/>
      <w:r w:rsidRPr="002763D1">
        <w:rPr>
          <w:spacing w:val="-2"/>
          <w:lang w:val="es-ES_tradnl"/>
        </w:rPr>
        <w:t xml:space="preserve"> </w:t>
      </w:r>
      <w:proofErr w:type="spellStart"/>
      <w:r w:rsidRPr="002763D1">
        <w:rPr>
          <w:spacing w:val="-2"/>
          <w:lang w:val="es-ES_tradnl"/>
        </w:rPr>
        <w:t>Pathmalatha</w:t>
      </w:r>
      <w:proofErr w:type="spellEnd"/>
      <w:r w:rsidRPr="002763D1">
        <w:rPr>
          <w:spacing w:val="-2"/>
          <w:lang w:val="es-ES_tradnl"/>
        </w:rPr>
        <w:t xml:space="preserve"> Abeykoon (Sri Lanka) </w:t>
      </w:r>
      <w:r w:rsidRPr="00580557">
        <w:rPr>
          <w:lang w:val="es-ES_tradnl"/>
        </w:rPr>
        <w:t xml:space="preserve">como miembro de la Junta Directiva en sustitución de </w:t>
      </w:r>
      <w:proofErr w:type="spellStart"/>
      <w:r w:rsidRPr="00580557">
        <w:rPr>
          <w:lang w:val="es-ES_tradnl"/>
        </w:rPr>
        <w:t>Wasantha</w:t>
      </w:r>
      <w:proofErr w:type="spellEnd"/>
      <w:r w:rsidRPr="00580557">
        <w:rPr>
          <w:lang w:val="es-ES_tradnl"/>
        </w:rPr>
        <w:t xml:space="preserve"> </w:t>
      </w:r>
      <w:proofErr w:type="spellStart"/>
      <w:r w:rsidRPr="00580557">
        <w:rPr>
          <w:lang w:val="es-ES_tradnl"/>
        </w:rPr>
        <w:t>Dissanayake</w:t>
      </w:r>
      <w:proofErr w:type="spellEnd"/>
      <w:r w:rsidRPr="00580557">
        <w:rPr>
          <w:lang w:val="es-ES_tradnl"/>
        </w:rPr>
        <w:t xml:space="preserve"> (Sri Lanka) durante el resto del mandato. </w:t>
      </w:r>
    </w:p>
    <w:p w14:paraId="4DB64717" w14:textId="0FB63C89"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 xml:space="preserve">En su novena reunión, la Junta Directiva eligió a Obed </w:t>
      </w:r>
      <w:proofErr w:type="spellStart"/>
      <w:r w:rsidRPr="00580557">
        <w:rPr>
          <w:lang w:val="es-ES_tradnl"/>
        </w:rPr>
        <w:t>Meringo</w:t>
      </w:r>
      <w:proofErr w:type="spellEnd"/>
      <w:r w:rsidRPr="00580557">
        <w:rPr>
          <w:lang w:val="es-ES_tradnl"/>
        </w:rPr>
        <w:t xml:space="preserve"> </w:t>
      </w:r>
      <w:proofErr w:type="spellStart"/>
      <w:r w:rsidRPr="00580557">
        <w:rPr>
          <w:lang w:val="es-ES_tradnl"/>
        </w:rPr>
        <w:t>Baloyi</w:t>
      </w:r>
      <w:proofErr w:type="spellEnd"/>
      <w:r w:rsidRPr="00580557">
        <w:rPr>
          <w:lang w:val="es-ES_tradnl"/>
        </w:rPr>
        <w:t xml:space="preserve"> (Sudáfrica) y Andrew Clark (Estados Unidos de América) como Copresidentes para el presente mandato. </w:t>
      </w:r>
    </w:p>
    <w:p w14:paraId="64D21E29" w14:textId="7EFEEADC"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En su novena reunión, la Junta Directiva recibió y examinó el informe anual de la Secretaría a la Junta Directiva correspondiente a 2024 acerca de las actividades del Programa Internacional Específico, incluida información actualizada sobre los fondos que el fondo fiduciario específico había</w:t>
      </w:r>
      <w:r w:rsidR="002763D1">
        <w:rPr>
          <w:lang w:val="es-ES_tradnl"/>
        </w:rPr>
        <w:t> </w:t>
      </w:r>
      <w:r w:rsidRPr="00580557">
        <w:rPr>
          <w:lang w:val="es-ES_tradnl"/>
        </w:rPr>
        <w:t>recibido y lo que había gastado, así como sobre las contribuciones que se le habían prometido. La Junta Directiva</w:t>
      </w:r>
      <w:r w:rsidR="00A44EC8" w:rsidRPr="00580557">
        <w:rPr>
          <w:lang w:val="es-ES_tradnl"/>
        </w:rPr>
        <w:t xml:space="preserve"> </w:t>
      </w:r>
      <w:r w:rsidRPr="00580557">
        <w:rPr>
          <w:lang w:val="es-ES_tradnl"/>
        </w:rPr>
        <w:t xml:space="preserve">decidió poner en marcha la cuarta ronda de solicitudes y examinó las recomendaciones de la evaluación de mitad de período del Programa Internacional Específico dirigidas a la Junta Directiva en relación con la puesta en marcha de la cuarta ronda. </w:t>
      </w:r>
    </w:p>
    <w:p w14:paraId="6BDBFECE" w14:textId="4A6E66F7"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La décima reunión de la Junta Directiva se celebró en Ginebra del 22 al 24 de enero de 2025. En esa reunión, la Junta Directiva examinó el informe anual de la Secretaría sobre las operaciones del</w:t>
      </w:r>
      <w:r w:rsidR="002763D1">
        <w:rPr>
          <w:lang w:val="es-ES_tradnl"/>
        </w:rPr>
        <w:t> </w:t>
      </w:r>
      <w:r w:rsidRPr="00580557">
        <w:rPr>
          <w:lang w:val="es-ES_tradnl"/>
        </w:rPr>
        <w:t>Programa Internacional Específico; la situación del fondo fiduciario específico; el proyecto de mandato para el sexto examen del mecanismo financiero; y la información actualizada de la Secretaría sobre el proyecto de análisis de las necesidades de financiación previstas y de las necesidades de personal conexas durante la segunda mitad del período inicial del Programa Internacional Específico, y deliberó sobre esas cuestiones, entre otras. La Junta Directiva examinó las 29 solicitudes que se presentaron a la cuarta ronda de candidaturas y cumplían los requisitos y aprobó la financiación de diez proyectos.</w:t>
      </w:r>
    </w:p>
    <w:p w14:paraId="71CB24F6" w14:textId="749F8C36" w:rsidR="00FF1D0E" w:rsidRPr="00580557" w:rsidRDefault="00A44EC8" w:rsidP="002763D1">
      <w:pPr>
        <w:pStyle w:val="CH1"/>
        <w:rPr>
          <w:b w:val="0"/>
          <w:noProof/>
          <w:lang w:val="es-ES_tradnl"/>
        </w:rPr>
      </w:pPr>
      <w:r w:rsidRPr="00580557">
        <w:rPr>
          <w:bCs/>
          <w:lang w:val="es-ES_tradnl"/>
        </w:rPr>
        <w:tab/>
      </w:r>
      <w:r w:rsidR="00FF1D0E" w:rsidRPr="00580557">
        <w:rPr>
          <w:bCs/>
          <w:lang w:val="es-ES_tradnl"/>
        </w:rPr>
        <w:t>IV.</w:t>
      </w:r>
      <w:r w:rsidR="00FF1D0E" w:rsidRPr="00580557">
        <w:rPr>
          <w:lang w:val="es-ES_tradnl"/>
        </w:rPr>
        <w:tab/>
      </w:r>
      <w:r w:rsidR="00FF1D0E" w:rsidRPr="00580557">
        <w:rPr>
          <w:bCs/>
          <w:lang w:val="es-ES_tradnl"/>
        </w:rPr>
        <w:t>Estado de aplicación de los proyectos aprobados del Programa Internacional Específico</w:t>
      </w:r>
    </w:p>
    <w:p w14:paraId="1955E296" w14:textId="631EDE3B"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 xml:space="preserve">En la cuarta ronda de solicitudes (2024-2025), la Junta Directiva aprobó diez proyectos cuyo presupuesto total ascendía a 2.104.630 dólares </w:t>
      </w:r>
      <w:r w:rsidR="00BD5D14">
        <w:rPr>
          <w:lang w:val="es-ES_tradnl"/>
        </w:rPr>
        <w:t xml:space="preserve">de los Estados Unidos </w:t>
      </w:r>
      <w:r w:rsidRPr="00580557">
        <w:rPr>
          <w:lang w:val="es-ES_tradnl"/>
        </w:rPr>
        <w:t>(2.378.231 dólares si se añade el</w:t>
      </w:r>
      <w:r w:rsidR="00BD5D14">
        <w:rPr>
          <w:lang w:val="es-ES_tradnl"/>
        </w:rPr>
        <w:t> </w:t>
      </w:r>
      <w:r w:rsidRPr="00580557">
        <w:rPr>
          <w:lang w:val="es-ES_tradnl"/>
        </w:rPr>
        <w:t>13</w:t>
      </w:r>
      <w:r w:rsidR="00A44EC8" w:rsidRPr="00580557">
        <w:rPr>
          <w:lang w:val="es-ES_tradnl"/>
        </w:rPr>
        <w:t> %</w:t>
      </w:r>
      <w:r w:rsidRPr="00580557">
        <w:rPr>
          <w:lang w:val="es-ES_tradnl"/>
        </w:rPr>
        <w:t xml:space="preserve"> en concepto de gastos de apoyo a los programas). Los proyectos aprobados y sus presupuestos son los siguientes:</w:t>
      </w:r>
    </w:p>
    <w:p w14:paraId="0EE259A8" w14:textId="31A202DA" w:rsidR="00FF1D0E" w:rsidRPr="00580557" w:rsidRDefault="00FF1D0E" w:rsidP="002763D1">
      <w:pPr>
        <w:pStyle w:val="Normalnumber"/>
        <w:numPr>
          <w:ilvl w:val="0"/>
          <w:numId w:val="19"/>
        </w:numPr>
        <w:tabs>
          <w:tab w:val="left" w:pos="624"/>
        </w:tabs>
        <w:ind w:left="1247" w:firstLine="624"/>
        <w:rPr>
          <w:noProof/>
          <w:lang w:val="es-ES_tradnl"/>
        </w:rPr>
      </w:pPr>
      <w:r w:rsidRPr="00580557">
        <w:rPr>
          <w:i/>
          <w:iCs/>
          <w:lang w:val="es-ES_tradnl"/>
        </w:rPr>
        <w:t>Brasil</w:t>
      </w:r>
      <w:r w:rsidRPr="00580557">
        <w:rPr>
          <w:lang w:val="es-ES_tradnl"/>
        </w:rPr>
        <w:t xml:space="preserve">: extracción de oro artesanal y en pequeña escala: aspectos sanitarios y ambientales del uso del mercurio (250.000 dólares); </w:t>
      </w:r>
    </w:p>
    <w:p w14:paraId="1C96283F" w14:textId="5A523549" w:rsidR="00FF1D0E" w:rsidRPr="00580557" w:rsidRDefault="00FF1D0E" w:rsidP="002763D1">
      <w:pPr>
        <w:pStyle w:val="Normalnumber"/>
        <w:numPr>
          <w:ilvl w:val="0"/>
          <w:numId w:val="19"/>
        </w:numPr>
        <w:tabs>
          <w:tab w:val="left" w:pos="624"/>
        </w:tabs>
        <w:ind w:left="1247" w:firstLine="624"/>
        <w:rPr>
          <w:noProof/>
          <w:lang w:val="es-ES_tradnl"/>
        </w:rPr>
      </w:pPr>
      <w:r w:rsidRPr="00580557">
        <w:rPr>
          <w:i/>
          <w:iCs/>
          <w:lang w:val="es-ES_tradnl"/>
        </w:rPr>
        <w:t>Chad</w:t>
      </w:r>
      <w:r w:rsidRPr="00580557">
        <w:rPr>
          <w:lang w:val="es-ES_tradnl"/>
        </w:rPr>
        <w:t xml:space="preserve">: </w:t>
      </w:r>
      <w:r w:rsidR="00EE0236" w:rsidRPr="00580557">
        <w:rPr>
          <w:lang w:val="es-ES_tradnl"/>
        </w:rPr>
        <w:t>c</w:t>
      </w:r>
      <w:r w:rsidRPr="00580557">
        <w:rPr>
          <w:lang w:val="es-ES_tradnl"/>
        </w:rPr>
        <w:t xml:space="preserve">ontrol del comercio de mercurio y productos con mercurio añadido (230.000 dólares); </w:t>
      </w:r>
    </w:p>
    <w:p w14:paraId="4792C4CA" w14:textId="71E44A06" w:rsidR="00FF1D0E" w:rsidRPr="00580557" w:rsidRDefault="00FF1D0E" w:rsidP="002763D1">
      <w:pPr>
        <w:pStyle w:val="Normalnumber"/>
        <w:numPr>
          <w:ilvl w:val="0"/>
          <w:numId w:val="19"/>
        </w:numPr>
        <w:tabs>
          <w:tab w:val="left" w:pos="624"/>
        </w:tabs>
        <w:ind w:left="1247" w:firstLine="624"/>
        <w:rPr>
          <w:noProof/>
          <w:lang w:val="es-ES_tradnl"/>
        </w:rPr>
      </w:pPr>
      <w:r w:rsidRPr="00580557">
        <w:rPr>
          <w:i/>
          <w:iCs/>
          <w:lang w:val="es-ES_tradnl"/>
        </w:rPr>
        <w:lastRenderedPageBreak/>
        <w:t>Djibouti</w:t>
      </w:r>
      <w:r w:rsidRPr="00580557">
        <w:rPr>
          <w:lang w:val="es-ES_tradnl"/>
        </w:rPr>
        <w:t xml:space="preserve">: fortalecimiento del marco jurídico e institucional para la gestión ambientalmente racional del mercurio y los desechos que contienen mercurio (201.000 dólares); </w:t>
      </w:r>
    </w:p>
    <w:p w14:paraId="6494534B" w14:textId="3F32ECF6" w:rsidR="00FF1D0E" w:rsidRPr="00580557" w:rsidRDefault="00FF1D0E" w:rsidP="002763D1">
      <w:pPr>
        <w:pStyle w:val="Normalnumber"/>
        <w:numPr>
          <w:ilvl w:val="0"/>
          <w:numId w:val="19"/>
        </w:numPr>
        <w:tabs>
          <w:tab w:val="left" w:pos="624"/>
        </w:tabs>
        <w:ind w:left="1247" w:firstLine="624"/>
        <w:rPr>
          <w:noProof/>
          <w:lang w:val="es-ES_tradnl"/>
        </w:rPr>
      </w:pPr>
      <w:r w:rsidRPr="00580557">
        <w:rPr>
          <w:i/>
          <w:iCs/>
          <w:lang w:val="es-ES_tradnl"/>
        </w:rPr>
        <w:t>Eritrea</w:t>
      </w:r>
      <w:r w:rsidRPr="00580557">
        <w:rPr>
          <w:lang w:val="es-ES_tradnl"/>
        </w:rPr>
        <w:t xml:space="preserve">: creación de capacidad a escala nacional para concienciar sobre los efectos del mercurio sobre el medio ambiente y la salud en las actividades de extracción de oro artesanal y en pequeña escala (85.000 dólares); </w:t>
      </w:r>
    </w:p>
    <w:p w14:paraId="294C6340" w14:textId="56D31559" w:rsidR="00FF1D0E" w:rsidRPr="00580557" w:rsidRDefault="00FF1D0E" w:rsidP="002763D1">
      <w:pPr>
        <w:pStyle w:val="Normalnumber"/>
        <w:numPr>
          <w:ilvl w:val="0"/>
          <w:numId w:val="19"/>
        </w:numPr>
        <w:tabs>
          <w:tab w:val="left" w:pos="624"/>
        </w:tabs>
        <w:ind w:left="1247" w:firstLine="624"/>
        <w:rPr>
          <w:noProof/>
          <w:lang w:val="es-ES_tradnl"/>
        </w:rPr>
      </w:pPr>
      <w:r w:rsidRPr="00580557">
        <w:rPr>
          <w:i/>
          <w:iCs/>
          <w:lang w:val="es-ES_tradnl"/>
        </w:rPr>
        <w:t>Georgia</w:t>
      </w:r>
      <w:r w:rsidRPr="00580557">
        <w:rPr>
          <w:lang w:val="es-ES_tradnl"/>
        </w:rPr>
        <w:t xml:space="preserve">: potenciación de las capacidades nacionales y gestión del conocimiento para el cumplimiento del Convenio de Minamata sobre el Mercurio (244.000 </w:t>
      </w:r>
      <w:r w:rsidR="002763D1" w:rsidRPr="002763D1">
        <w:rPr>
          <w:lang w:val="es-ES_tradnl"/>
        </w:rPr>
        <w:t>dólares</w:t>
      </w:r>
      <w:r w:rsidRPr="00580557">
        <w:rPr>
          <w:lang w:val="es-ES_tradnl"/>
        </w:rPr>
        <w:t xml:space="preserve">); </w:t>
      </w:r>
    </w:p>
    <w:p w14:paraId="72886384" w14:textId="39C7E046" w:rsidR="00FF1D0E" w:rsidRPr="00580557" w:rsidRDefault="00FF1D0E" w:rsidP="002763D1">
      <w:pPr>
        <w:pStyle w:val="Normalnumber"/>
        <w:numPr>
          <w:ilvl w:val="0"/>
          <w:numId w:val="19"/>
        </w:numPr>
        <w:tabs>
          <w:tab w:val="left" w:pos="624"/>
        </w:tabs>
        <w:ind w:left="1247" w:firstLine="624"/>
        <w:rPr>
          <w:noProof/>
          <w:lang w:val="es-ES_tradnl"/>
        </w:rPr>
      </w:pPr>
      <w:r w:rsidRPr="00580557">
        <w:rPr>
          <w:i/>
          <w:iCs/>
          <w:lang w:val="es-ES_tradnl"/>
        </w:rPr>
        <w:t xml:space="preserve">Madagascar: </w:t>
      </w:r>
      <w:r w:rsidRPr="00580557">
        <w:rPr>
          <w:lang w:val="es-ES_tradnl"/>
        </w:rPr>
        <w:t xml:space="preserve">fortalecimiento de la capacidad de aplicación del Convenio de Minamata sobre el Mercurio y la gestión de los productos que contienen mercurio (244.000 </w:t>
      </w:r>
      <w:r w:rsidR="002763D1" w:rsidRPr="002763D1">
        <w:rPr>
          <w:lang w:val="es-ES_tradnl"/>
        </w:rPr>
        <w:t>dólare</w:t>
      </w:r>
      <w:r w:rsidR="002763D1">
        <w:rPr>
          <w:lang w:val="es-ES_tradnl"/>
        </w:rPr>
        <w:t>s</w:t>
      </w:r>
      <w:r w:rsidRPr="00580557">
        <w:rPr>
          <w:lang w:val="es-ES_tradnl"/>
        </w:rPr>
        <w:t xml:space="preserve">); </w:t>
      </w:r>
    </w:p>
    <w:p w14:paraId="755EB3EA" w14:textId="26445F0E" w:rsidR="00FF1D0E" w:rsidRPr="00580557" w:rsidRDefault="00FF1D0E" w:rsidP="002763D1">
      <w:pPr>
        <w:pStyle w:val="Normalnumber"/>
        <w:numPr>
          <w:ilvl w:val="0"/>
          <w:numId w:val="19"/>
        </w:numPr>
        <w:tabs>
          <w:tab w:val="left" w:pos="624"/>
        </w:tabs>
        <w:ind w:left="1247" w:firstLine="624"/>
        <w:rPr>
          <w:noProof/>
          <w:lang w:val="es-ES_tradnl"/>
        </w:rPr>
      </w:pPr>
      <w:r w:rsidRPr="00580557">
        <w:rPr>
          <w:i/>
          <w:iCs/>
          <w:lang w:val="es-ES_tradnl"/>
        </w:rPr>
        <w:t>Montenegro</w:t>
      </w:r>
      <w:r w:rsidRPr="00580557">
        <w:rPr>
          <w:lang w:val="es-ES_tradnl"/>
        </w:rPr>
        <w:t xml:space="preserve">: opciones de desarrollo para la eliminación de desechos espaciales de mercurio del antiguo emplazamiento minero de </w:t>
      </w:r>
      <w:proofErr w:type="spellStart"/>
      <w:r w:rsidRPr="00580557">
        <w:rPr>
          <w:lang w:val="es-ES_tradnl"/>
        </w:rPr>
        <w:t>Brskovo</w:t>
      </w:r>
      <w:proofErr w:type="spellEnd"/>
      <w:r w:rsidRPr="00580557">
        <w:rPr>
          <w:lang w:val="es-ES_tradnl"/>
        </w:rPr>
        <w:t xml:space="preserve"> (247.980 dólares); </w:t>
      </w:r>
    </w:p>
    <w:p w14:paraId="4D2906AD" w14:textId="451A5B25" w:rsidR="00FF1D0E" w:rsidRPr="00580557" w:rsidRDefault="00FF1D0E" w:rsidP="002763D1">
      <w:pPr>
        <w:pStyle w:val="Normalnumber"/>
        <w:numPr>
          <w:ilvl w:val="0"/>
          <w:numId w:val="19"/>
        </w:numPr>
        <w:tabs>
          <w:tab w:val="left" w:pos="624"/>
        </w:tabs>
        <w:ind w:left="1247" w:firstLine="624"/>
        <w:rPr>
          <w:noProof/>
          <w:lang w:val="es-ES_tradnl"/>
        </w:rPr>
      </w:pPr>
      <w:r w:rsidRPr="00580557">
        <w:rPr>
          <w:i/>
          <w:iCs/>
          <w:lang w:val="es-ES_tradnl"/>
        </w:rPr>
        <w:t>Sri Lanka</w:t>
      </w:r>
      <w:r w:rsidRPr="00580557">
        <w:rPr>
          <w:lang w:val="es-ES_tradnl"/>
        </w:rPr>
        <w:t>: aportación de una solución integrada y ambientalmente racional para la gestión de desechos que contengan mercurio o compuestos de mercurio o estén contaminados con ellos, generados en el proceso de fabricación de medicamentos ayurvédicos, con el fin de proteger la salud humana y el medio ambiente;</w:t>
      </w:r>
      <w:r w:rsidR="00A44EC8" w:rsidRPr="00580557">
        <w:rPr>
          <w:lang w:val="es-ES_tradnl"/>
        </w:rPr>
        <w:t xml:space="preserve"> </w:t>
      </w:r>
      <w:r w:rsidRPr="00580557">
        <w:rPr>
          <w:lang w:val="es-ES_tradnl"/>
        </w:rPr>
        <w:t>estudio detallado de Sri Lanka (197.650 dólares);</w:t>
      </w:r>
    </w:p>
    <w:p w14:paraId="39F1FFA0" w14:textId="25207529" w:rsidR="00FF1D0E" w:rsidRPr="00580557" w:rsidRDefault="00FF1D0E" w:rsidP="002763D1">
      <w:pPr>
        <w:pStyle w:val="Normalnumber"/>
        <w:numPr>
          <w:ilvl w:val="0"/>
          <w:numId w:val="19"/>
        </w:numPr>
        <w:tabs>
          <w:tab w:val="left" w:pos="624"/>
        </w:tabs>
        <w:ind w:left="1247" w:firstLine="624"/>
        <w:rPr>
          <w:noProof/>
          <w:lang w:val="es-ES_tradnl"/>
        </w:rPr>
      </w:pPr>
      <w:r w:rsidRPr="00580557">
        <w:rPr>
          <w:i/>
          <w:iCs/>
          <w:lang w:val="es-ES_tradnl"/>
        </w:rPr>
        <w:t xml:space="preserve">República Unida de </w:t>
      </w:r>
      <w:proofErr w:type="spellStart"/>
      <w:r w:rsidRPr="00580557">
        <w:rPr>
          <w:i/>
          <w:iCs/>
          <w:lang w:val="es-ES_tradnl"/>
        </w:rPr>
        <w:t>Tanzanía</w:t>
      </w:r>
      <w:proofErr w:type="spellEnd"/>
      <w:r w:rsidRPr="00580557">
        <w:rPr>
          <w:lang w:val="es-ES_tradnl"/>
        </w:rPr>
        <w:t>: refuerzo de la capacidad nacional para la aplicación del Convenio de Minamata sobre el Mercurio (211.000 dólares);</w:t>
      </w:r>
    </w:p>
    <w:p w14:paraId="13E882BB" w14:textId="5DB3184C" w:rsidR="00FF1D0E" w:rsidRPr="00580557" w:rsidRDefault="00FF1D0E" w:rsidP="002763D1">
      <w:pPr>
        <w:pStyle w:val="Normalnumber"/>
        <w:numPr>
          <w:ilvl w:val="0"/>
          <w:numId w:val="19"/>
        </w:numPr>
        <w:tabs>
          <w:tab w:val="left" w:pos="624"/>
        </w:tabs>
        <w:ind w:left="1247" w:firstLine="624"/>
        <w:rPr>
          <w:noProof/>
          <w:lang w:val="es-ES_tradnl"/>
        </w:rPr>
      </w:pPr>
      <w:r w:rsidRPr="00580557">
        <w:rPr>
          <w:i/>
          <w:iCs/>
          <w:lang w:val="es-ES_tradnl"/>
        </w:rPr>
        <w:t>Zimbabwe</w:t>
      </w:r>
      <w:r w:rsidRPr="00580557">
        <w:rPr>
          <w:lang w:val="es-ES_tradnl"/>
        </w:rPr>
        <w:t>: mitigación de las emisiones y liberaciones de mercurio de las centrales eléctricas de combustión de carbón en el país a fin de cumplir las obligaciones contraídas</w:t>
      </w:r>
      <w:r w:rsidR="00677EF2" w:rsidRPr="00580557">
        <w:rPr>
          <w:lang w:val="es-ES_tradnl"/>
        </w:rPr>
        <w:t xml:space="preserve"> </w:t>
      </w:r>
      <w:r w:rsidRPr="00580557">
        <w:rPr>
          <w:lang w:val="es-ES_tradnl"/>
        </w:rPr>
        <w:t>en virtud del artículo 8 del Convenio de Minamata sobre el Mercurio (194.000 dólares).</w:t>
      </w:r>
    </w:p>
    <w:p w14:paraId="59EBFF19" w14:textId="77777777"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La Secretaría está colaborando con todos esos Gobiernos para ultimar los documentos de los proyectos aprobados y preparar los acuerdos jurídicos para la firma, a fin de que pueda iniciarse el desembolso de los fondos.</w:t>
      </w:r>
    </w:p>
    <w:p w14:paraId="4DA640A4" w14:textId="43E73E84"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En la tercera ronda de solicitudes (2020-2021), la Junta Directiva aprobó los nueve proyectos que se indican a continuación, cuyo presupuesto total ascendía a 2.193.842 dólares (2.479.041 dólares si se añade el 13</w:t>
      </w:r>
      <w:r w:rsidR="00A44EC8" w:rsidRPr="00580557">
        <w:rPr>
          <w:lang w:val="es-ES_tradnl"/>
        </w:rPr>
        <w:t> %</w:t>
      </w:r>
      <w:r w:rsidRPr="00580557">
        <w:rPr>
          <w:lang w:val="es-ES_tradnl"/>
        </w:rPr>
        <w:t xml:space="preserve"> en concepto de gastos de apoyo a los programas).</w:t>
      </w:r>
    </w:p>
    <w:p w14:paraId="7E0AB641" w14:textId="51A25FB3" w:rsidR="00FF1D0E" w:rsidRPr="00580557" w:rsidRDefault="00FF1D0E" w:rsidP="002763D1">
      <w:pPr>
        <w:pStyle w:val="Normalnumber"/>
        <w:numPr>
          <w:ilvl w:val="0"/>
          <w:numId w:val="20"/>
        </w:numPr>
        <w:tabs>
          <w:tab w:val="left" w:pos="624"/>
        </w:tabs>
        <w:ind w:left="1247" w:firstLine="624"/>
        <w:rPr>
          <w:noProof/>
          <w:lang w:val="es-ES_tradnl"/>
        </w:rPr>
      </w:pPr>
      <w:r w:rsidRPr="00580557">
        <w:rPr>
          <w:i/>
          <w:iCs/>
          <w:lang w:val="es-ES_tradnl"/>
        </w:rPr>
        <w:t>Burundi</w:t>
      </w:r>
      <w:r w:rsidRPr="00580557">
        <w:rPr>
          <w:lang w:val="es-ES_tradnl"/>
        </w:rPr>
        <w:t xml:space="preserve">: apoyo a la creación de capacidad para la aplicación del Convenio de Minamata sobre el Mercurio (250.000 dólares); </w:t>
      </w:r>
    </w:p>
    <w:p w14:paraId="7BFEE447" w14:textId="763B6A60" w:rsidR="00FF1D0E" w:rsidRPr="00580557" w:rsidRDefault="00FF1D0E" w:rsidP="002763D1">
      <w:pPr>
        <w:pStyle w:val="Normalnumber"/>
        <w:numPr>
          <w:ilvl w:val="0"/>
          <w:numId w:val="20"/>
        </w:numPr>
        <w:tabs>
          <w:tab w:val="left" w:pos="624"/>
        </w:tabs>
        <w:ind w:left="1247" w:firstLine="624"/>
        <w:rPr>
          <w:noProof/>
          <w:lang w:val="es-ES_tradnl"/>
        </w:rPr>
      </w:pPr>
      <w:r w:rsidRPr="00580557">
        <w:rPr>
          <w:i/>
          <w:iCs/>
          <w:lang w:val="es-ES_tradnl"/>
        </w:rPr>
        <w:t>Cuba</w:t>
      </w:r>
      <w:r w:rsidRPr="00580557">
        <w:rPr>
          <w:lang w:val="es-ES_tradnl"/>
        </w:rPr>
        <w:t xml:space="preserve">: mejora de la información sobre los inventarios del uso del mercurio y el ciclo ambiental en </w:t>
      </w:r>
      <w:r w:rsidR="00677EF2" w:rsidRPr="00580557">
        <w:rPr>
          <w:lang w:val="es-ES_tradnl"/>
        </w:rPr>
        <w:t>el país</w:t>
      </w:r>
      <w:r w:rsidRPr="00580557">
        <w:rPr>
          <w:lang w:val="es-ES_tradnl"/>
        </w:rPr>
        <w:t xml:space="preserve"> para apoyar la aplicación del Convenio de Minamata sobre el Mercurio (249.210 dólares); </w:t>
      </w:r>
    </w:p>
    <w:p w14:paraId="7C8883FB" w14:textId="379C53DA" w:rsidR="00FF1D0E" w:rsidRPr="00580557" w:rsidRDefault="00FF1D0E" w:rsidP="002763D1">
      <w:pPr>
        <w:pStyle w:val="Normalnumber"/>
        <w:numPr>
          <w:ilvl w:val="0"/>
          <w:numId w:val="20"/>
        </w:numPr>
        <w:tabs>
          <w:tab w:val="left" w:pos="624"/>
        </w:tabs>
        <w:ind w:left="1247" w:firstLine="624"/>
        <w:rPr>
          <w:noProof/>
          <w:lang w:val="es-ES_tradnl"/>
        </w:rPr>
      </w:pPr>
      <w:r w:rsidRPr="00580557">
        <w:rPr>
          <w:i/>
          <w:iCs/>
          <w:lang w:val="es-ES_tradnl"/>
        </w:rPr>
        <w:t>Gabón</w:t>
      </w:r>
      <w:r w:rsidRPr="00580557">
        <w:rPr>
          <w:lang w:val="es-ES_tradnl"/>
        </w:rPr>
        <w:t xml:space="preserve">: facilitación de la creación de capacidad con asistencia técnica y transferencia de tecnología para la gestión del mercurio en África Central (249.500 dólares); </w:t>
      </w:r>
    </w:p>
    <w:p w14:paraId="1C3C2EB2" w14:textId="0349B208" w:rsidR="00FF1D0E" w:rsidRPr="00580557" w:rsidRDefault="00FF1D0E" w:rsidP="002763D1">
      <w:pPr>
        <w:pStyle w:val="Normalnumber"/>
        <w:numPr>
          <w:ilvl w:val="0"/>
          <w:numId w:val="20"/>
        </w:numPr>
        <w:tabs>
          <w:tab w:val="left" w:pos="624"/>
        </w:tabs>
        <w:ind w:left="1247" w:firstLine="624"/>
        <w:rPr>
          <w:noProof/>
          <w:lang w:val="es-ES_tradnl"/>
        </w:rPr>
      </w:pPr>
      <w:r w:rsidRPr="00580557">
        <w:rPr>
          <w:i/>
          <w:iCs/>
          <w:lang w:val="es-ES_tradnl"/>
        </w:rPr>
        <w:t xml:space="preserve">India: </w:t>
      </w:r>
      <w:r w:rsidRPr="00580557">
        <w:rPr>
          <w:lang w:val="es-ES_tradnl"/>
        </w:rPr>
        <w:t xml:space="preserve">desarrollo de un marco institucional y regulador para la aplicación del Convenio de Minamata sobre el Mercurio en el país (240.000 dólares); </w:t>
      </w:r>
    </w:p>
    <w:p w14:paraId="4BD8158A" w14:textId="3D3F9C99" w:rsidR="00FF1D0E" w:rsidRPr="00580557" w:rsidRDefault="00FF1D0E" w:rsidP="002763D1">
      <w:pPr>
        <w:pStyle w:val="Normalnumber"/>
        <w:numPr>
          <w:ilvl w:val="0"/>
          <w:numId w:val="20"/>
        </w:numPr>
        <w:tabs>
          <w:tab w:val="left" w:pos="624"/>
        </w:tabs>
        <w:ind w:left="1247" w:firstLine="624"/>
        <w:rPr>
          <w:noProof/>
          <w:lang w:val="es-ES_tradnl"/>
        </w:rPr>
      </w:pPr>
      <w:r w:rsidRPr="00580557">
        <w:rPr>
          <w:i/>
          <w:iCs/>
          <w:lang w:val="es-ES_tradnl"/>
        </w:rPr>
        <w:t>Irán (República Islámica del)</w:t>
      </w:r>
      <w:r w:rsidRPr="00580557">
        <w:rPr>
          <w:lang w:val="es-ES_tradnl"/>
        </w:rPr>
        <w:t xml:space="preserve">: mejora del programa de creación de capacidad para la sustitución de lámparas que contienen mercurio en el país (238.000 dólares); </w:t>
      </w:r>
    </w:p>
    <w:p w14:paraId="3BBF35C9" w14:textId="4C675C32" w:rsidR="00FF1D0E" w:rsidRPr="00580557" w:rsidRDefault="00FF1D0E" w:rsidP="002763D1">
      <w:pPr>
        <w:pStyle w:val="Normalnumber"/>
        <w:numPr>
          <w:ilvl w:val="0"/>
          <w:numId w:val="20"/>
        </w:numPr>
        <w:tabs>
          <w:tab w:val="left" w:pos="624"/>
        </w:tabs>
        <w:ind w:left="1247" w:firstLine="624"/>
        <w:rPr>
          <w:noProof/>
          <w:lang w:val="es-ES_tradnl"/>
        </w:rPr>
      </w:pPr>
      <w:r w:rsidRPr="00580557">
        <w:rPr>
          <w:i/>
          <w:iCs/>
          <w:lang w:val="es-ES_tradnl"/>
        </w:rPr>
        <w:t>Jordania</w:t>
      </w:r>
      <w:r w:rsidRPr="00580557">
        <w:rPr>
          <w:lang w:val="es-ES_tradnl"/>
        </w:rPr>
        <w:t xml:space="preserve">: gestión ambientalmente racional de los desechos que contienen mercurio y reducción del uso de productos que contienen mercurio en el país (250.000 dólares); </w:t>
      </w:r>
    </w:p>
    <w:p w14:paraId="317F3404" w14:textId="3448C700" w:rsidR="00FF1D0E" w:rsidRPr="00580557" w:rsidRDefault="00FF1D0E" w:rsidP="002763D1">
      <w:pPr>
        <w:pStyle w:val="Normalnumber"/>
        <w:numPr>
          <w:ilvl w:val="0"/>
          <w:numId w:val="20"/>
        </w:numPr>
        <w:tabs>
          <w:tab w:val="left" w:pos="624"/>
        </w:tabs>
        <w:ind w:left="1247" w:firstLine="624"/>
        <w:rPr>
          <w:noProof/>
          <w:lang w:val="es-ES_tradnl"/>
        </w:rPr>
      </w:pPr>
      <w:r w:rsidRPr="00580557">
        <w:rPr>
          <w:i/>
          <w:iCs/>
          <w:lang w:val="es-ES_tradnl"/>
        </w:rPr>
        <w:t>Macedonia del Norte</w:t>
      </w:r>
      <w:r w:rsidRPr="00580557">
        <w:rPr>
          <w:lang w:val="es-ES_tradnl"/>
        </w:rPr>
        <w:t xml:space="preserve">: fortalecimiento de las capacidades nacionales para la aplicación del Convenio de Minamata sobre el Mercurio, centrado en el desarrollo de una estrategia para evaluar los lugares contaminados con mercurio (248.500 dólares); </w:t>
      </w:r>
    </w:p>
    <w:p w14:paraId="77FB48AE" w14:textId="0715F910" w:rsidR="00FF1D0E" w:rsidRPr="00580557" w:rsidRDefault="00FF1D0E" w:rsidP="002763D1">
      <w:pPr>
        <w:pStyle w:val="Normalnumber"/>
        <w:numPr>
          <w:ilvl w:val="0"/>
          <w:numId w:val="20"/>
        </w:numPr>
        <w:tabs>
          <w:tab w:val="left" w:pos="624"/>
        </w:tabs>
        <w:ind w:left="1247" w:firstLine="624"/>
        <w:rPr>
          <w:noProof/>
          <w:lang w:val="es-ES_tradnl"/>
        </w:rPr>
      </w:pPr>
      <w:r w:rsidRPr="00580557">
        <w:rPr>
          <w:i/>
          <w:iCs/>
          <w:lang w:val="es-ES_tradnl"/>
        </w:rPr>
        <w:t>Rwanda</w:t>
      </w:r>
      <w:r w:rsidRPr="00580557">
        <w:rPr>
          <w:lang w:val="es-ES_tradnl"/>
        </w:rPr>
        <w:t>: fortalecimiento de la capacidad institucional en el país para la aplicación del Convenio de Minamata (220.000</w:t>
      </w:r>
      <w:r w:rsidR="002763D1">
        <w:rPr>
          <w:lang w:val="es-ES_tradnl"/>
        </w:rPr>
        <w:t xml:space="preserve"> dólares</w:t>
      </w:r>
      <w:r w:rsidRPr="00580557">
        <w:rPr>
          <w:lang w:val="es-ES_tradnl"/>
        </w:rPr>
        <w:t xml:space="preserve">); </w:t>
      </w:r>
    </w:p>
    <w:p w14:paraId="7E202322" w14:textId="186ABA4A" w:rsidR="00FF1D0E" w:rsidRPr="00580557" w:rsidRDefault="00FF1D0E" w:rsidP="002763D1">
      <w:pPr>
        <w:pStyle w:val="Normalnumber"/>
        <w:numPr>
          <w:ilvl w:val="0"/>
          <w:numId w:val="20"/>
        </w:numPr>
        <w:tabs>
          <w:tab w:val="left" w:pos="624"/>
        </w:tabs>
        <w:ind w:left="1247" w:firstLine="624"/>
        <w:rPr>
          <w:noProof/>
          <w:lang w:val="es-ES_tradnl"/>
        </w:rPr>
      </w:pPr>
      <w:r w:rsidRPr="00580557">
        <w:rPr>
          <w:i/>
          <w:iCs/>
          <w:lang w:val="es-ES_tradnl"/>
        </w:rPr>
        <w:t>Senegal</w:t>
      </w:r>
      <w:r w:rsidRPr="00580557">
        <w:rPr>
          <w:lang w:val="es-ES_tradnl"/>
        </w:rPr>
        <w:t>: fortalecimiento del marco jurídico y las capacidades institucionales de la Comunidad Económica de los Estados de África Occidental (Burkina Faso, Senegal y Togo) para la aplicación de los artículos 3 y 4 del Convenio de Minamata sobre el Mercurio (248.632 dólares).</w:t>
      </w:r>
    </w:p>
    <w:p w14:paraId="31F0CD28" w14:textId="51795FBB"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Ya se han firmado los nueve acuerdos jurídicos para los proyectos de la tercera ronda, cuya ejecución está en marcha. Hasta la fecha, cuatro proyectos han solicitado prórrogas sin costo. Está previsto que 6 de los 9 proyectos de la tercera ronda concluyan en 2025.</w:t>
      </w:r>
    </w:p>
    <w:p w14:paraId="7DFB5078" w14:textId="1AB157DE"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lastRenderedPageBreak/>
        <w:t>En la segunda ronda de solicitudes (2019), la Junta Directiva aprobó los diez proyectos siguientes, cuyo presupuesto total ascendía a 1.977.564 dólares (2.234.647 dólares si se añade el 13</w:t>
      </w:r>
      <w:r w:rsidR="00A44EC8" w:rsidRPr="00580557">
        <w:rPr>
          <w:lang w:val="es-ES_tradnl"/>
        </w:rPr>
        <w:t> %</w:t>
      </w:r>
      <w:r w:rsidRPr="00580557">
        <w:rPr>
          <w:lang w:val="es-ES_tradnl"/>
        </w:rPr>
        <w:t xml:space="preserve"> en concepto de gastos de apoyo a los programas).</w:t>
      </w:r>
    </w:p>
    <w:p w14:paraId="2D4AFCBD" w14:textId="470EA8D6" w:rsidR="00FF1D0E" w:rsidRPr="00580557" w:rsidRDefault="00FF1D0E" w:rsidP="002763D1">
      <w:pPr>
        <w:pStyle w:val="Normalnumber"/>
        <w:numPr>
          <w:ilvl w:val="0"/>
          <w:numId w:val="21"/>
        </w:numPr>
        <w:tabs>
          <w:tab w:val="left" w:pos="624"/>
        </w:tabs>
        <w:ind w:left="1247" w:firstLine="624"/>
        <w:rPr>
          <w:noProof/>
          <w:lang w:val="es-ES_tradnl"/>
        </w:rPr>
      </w:pPr>
      <w:r w:rsidRPr="00580557">
        <w:rPr>
          <w:i/>
          <w:iCs/>
          <w:lang w:val="es-ES_tradnl"/>
        </w:rPr>
        <w:t>Antigua y Barbuda</w:t>
      </w:r>
      <w:r w:rsidRPr="00580557">
        <w:rPr>
          <w:lang w:val="es-ES_tradnl"/>
        </w:rPr>
        <w:t xml:space="preserve">: facilitación de la creación de capacidad con asistencia técnica y transferencia de tecnología para la gestión del mercurio en la región del Caribe (210.000 dólares); </w:t>
      </w:r>
    </w:p>
    <w:p w14:paraId="30CE9CED" w14:textId="186FFE13" w:rsidR="00FF1D0E" w:rsidRPr="00580557" w:rsidRDefault="00FF1D0E" w:rsidP="002763D1">
      <w:pPr>
        <w:pStyle w:val="Normalnumber"/>
        <w:numPr>
          <w:ilvl w:val="0"/>
          <w:numId w:val="21"/>
        </w:numPr>
        <w:tabs>
          <w:tab w:val="left" w:pos="624"/>
        </w:tabs>
        <w:ind w:left="1247" w:firstLine="624"/>
        <w:rPr>
          <w:noProof/>
          <w:lang w:val="es-ES_tradnl"/>
        </w:rPr>
      </w:pPr>
      <w:r w:rsidRPr="00580557">
        <w:rPr>
          <w:i/>
          <w:iCs/>
          <w:lang w:val="es-ES_tradnl"/>
        </w:rPr>
        <w:t>Ecuador</w:t>
      </w:r>
      <w:r w:rsidRPr="00580557">
        <w:rPr>
          <w:lang w:val="es-ES_tradnl"/>
        </w:rPr>
        <w:t xml:space="preserve">: proyecto de fortalecimiento de la capacidad para la aplicación del Convenio de Minamata sobre el Mercurio en el país (250.000 dólares); </w:t>
      </w:r>
    </w:p>
    <w:p w14:paraId="016707C5" w14:textId="1B72DAB3" w:rsidR="00FF1D0E" w:rsidRPr="00580557" w:rsidRDefault="00FF1D0E" w:rsidP="002763D1">
      <w:pPr>
        <w:pStyle w:val="Normalnumber"/>
        <w:numPr>
          <w:ilvl w:val="0"/>
          <w:numId w:val="21"/>
        </w:numPr>
        <w:tabs>
          <w:tab w:val="left" w:pos="624"/>
        </w:tabs>
        <w:ind w:left="1247" w:firstLine="624"/>
        <w:rPr>
          <w:noProof/>
          <w:lang w:val="es-ES_tradnl"/>
        </w:rPr>
      </w:pPr>
      <w:r w:rsidRPr="00580557">
        <w:rPr>
          <w:i/>
          <w:iCs/>
          <w:lang w:val="es-ES_tradnl"/>
        </w:rPr>
        <w:t xml:space="preserve">Ghana: </w:t>
      </w:r>
      <w:r w:rsidRPr="00580557">
        <w:rPr>
          <w:lang w:val="es-ES_tradnl"/>
        </w:rPr>
        <w:t xml:space="preserve">fortalecimiento del sector de la salud del país para la aplicación del Convenio de Minamata sobre el Mercurio (250.000 dólares); </w:t>
      </w:r>
    </w:p>
    <w:p w14:paraId="68A1B19C" w14:textId="203CB68F" w:rsidR="00FF1D0E" w:rsidRPr="00580557" w:rsidRDefault="00FF1D0E" w:rsidP="002763D1">
      <w:pPr>
        <w:pStyle w:val="Normalnumber"/>
        <w:numPr>
          <w:ilvl w:val="0"/>
          <w:numId w:val="21"/>
        </w:numPr>
        <w:tabs>
          <w:tab w:val="left" w:pos="624"/>
        </w:tabs>
        <w:ind w:left="1247" w:firstLine="624"/>
        <w:rPr>
          <w:noProof/>
          <w:lang w:val="es-ES_tradnl"/>
        </w:rPr>
      </w:pPr>
      <w:r w:rsidRPr="00580557">
        <w:rPr>
          <w:i/>
          <w:iCs/>
          <w:lang w:val="es-ES_tradnl"/>
        </w:rPr>
        <w:t xml:space="preserve">Indonesia: </w:t>
      </w:r>
      <w:r w:rsidRPr="00580557">
        <w:rPr>
          <w:lang w:val="es-ES_tradnl"/>
        </w:rPr>
        <w:t xml:space="preserve">mejora del control de los riesgos para la salud de la exposición al mercurio en las explotaciones de extracción de oro artesanal y en pequeña escala y en las zonas circundantes mediante el modelo de enfoque participativo (143.340 dólares); </w:t>
      </w:r>
    </w:p>
    <w:p w14:paraId="1E278B7C" w14:textId="543441E6" w:rsidR="00FF1D0E" w:rsidRPr="00580557" w:rsidRDefault="00FF1D0E" w:rsidP="002763D1">
      <w:pPr>
        <w:pStyle w:val="Normalnumber"/>
        <w:numPr>
          <w:ilvl w:val="0"/>
          <w:numId w:val="21"/>
        </w:numPr>
        <w:tabs>
          <w:tab w:val="left" w:pos="624"/>
        </w:tabs>
        <w:ind w:left="1247" w:firstLine="624"/>
        <w:rPr>
          <w:noProof/>
          <w:lang w:val="es-ES_tradnl"/>
        </w:rPr>
      </w:pPr>
      <w:r w:rsidRPr="00580557">
        <w:rPr>
          <w:i/>
          <w:iCs/>
          <w:lang w:val="es-ES_tradnl"/>
        </w:rPr>
        <w:t>Irán (República Islámica del)</w:t>
      </w:r>
      <w:r w:rsidRPr="00580557">
        <w:rPr>
          <w:lang w:val="es-ES_tradnl"/>
        </w:rPr>
        <w:t xml:space="preserve">; creación de capacidad para la aplicación eficaz del Convenio de Minamata sobre el Mercurio centrada en las existencias de mercurio (149.800 dólares); </w:t>
      </w:r>
    </w:p>
    <w:p w14:paraId="6E1EE2DE" w14:textId="73D0E600" w:rsidR="00FF1D0E" w:rsidRPr="00580557" w:rsidRDefault="00FF1D0E" w:rsidP="002763D1">
      <w:pPr>
        <w:pStyle w:val="Normalnumber"/>
        <w:numPr>
          <w:ilvl w:val="0"/>
          <w:numId w:val="21"/>
        </w:numPr>
        <w:tabs>
          <w:tab w:val="left" w:pos="624"/>
        </w:tabs>
        <w:ind w:left="1247" w:firstLine="624"/>
        <w:rPr>
          <w:noProof/>
          <w:lang w:val="es-ES_tradnl"/>
        </w:rPr>
      </w:pPr>
      <w:r w:rsidRPr="00580557">
        <w:rPr>
          <w:i/>
          <w:iCs/>
          <w:lang w:val="es-ES_tradnl"/>
        </w:rPr>
        <w:t>Nigeria</w:t>
      </w:r>
      <w:r w:rsidRPr="00580557">
        <w:rPr>
          <w:lang w:val="es-ES_tradnl"/>
        </w:rPr>
        <w:t xml:space="preserve">: proyecto de fortalecimiento de la capacidad para la aplicación del Convenio de Minamata sobre el Mercurio en el país (250.000 dólares); </w:t>
      </w:r>
    </w:p>
    <w:p w14:paraId="31F26226" w14:textId="301478D9" w:rsidR="00FF1D0E" w:rsidRPr="00580557" w:rsidRDefault="00FF1D0E" w:rsidP="002763D1">
      <w:pPr>
        <w:pStyle w:val="Normalnumber"/>
        <w:numPr>
          <w:ilvl w:val="0"/>
          <w:numId w:val="21"/>
        </w:numPr>
        <w:tabs>
          <w:tab w:val="left" w:pos="624"/>
        </w:tabs>
        <w:ind w:left="1247" w:firstLine="624"/>
        <w:rPr>
          <w:noProof/>
          <w:lang w:val="es-ES_tradnl"/>
        </w:rPr>
      </w:pPr>
      <w:r w:rsidRPr="00580557">
        <w:rPr>
          <w:i/>
          <w:iCs/>
          <w:lang w:val="es-ES_tradnl"/>
        </w:rPr>
        <w:t>Perú</w:t>
      </w:r>
      <w:r w:rsidRPr="00580557">
        <w:rPr>
          <w:lang w:val="es-ES_tradnl"/>
        </w:rPr>
        <w:t xml:space="preserve">: fortalecimiento de la capacidad para el control de las emisiones y liberaciones de mercurio (126.000 dólares); </w:t>
      </w:r>
    </w:p>
    <w:p w14:paraId="3AAC1D41" w14:textId="4792FD8C" w:rsidR="00FF1D0E" w:rsidRPr="00580557" w:rsidRDefault="00FF1D0E" w:rsidP="002763D1">
      <w:pPr>
        <w:pStyle w:val="Normalnumber"/>
        <w:numPr>
          <w:ilvl w:val="0"/>
          <w:numId w:val="21"/>
        </w:numPr>
        <w:tabs>
          <w:tab w:val="left" w:pos="624"/>
        </w:tabs>
        <w:ind w:left="1247" w:firstLine="624"/>
        <w:rPr>
          <w:noProof/>
          <w:lang w:val="es-ES_tradnl"/>
        </w:rPr>
      </w:pPr>
      <w:r w:rsidRPr="00580557">
        <w:rPr>
          <w:i/>
          <w:iCs/>
          <w:lang w:val="es-ES_tradnl"/>
        </w:rPr>
        <w:t>República de Moldova</w:t>
      </w:r>
      <w:r w:rsidRPr="00580557">
        <w:rPr>
          <w:lang w:val="es-ES_tradnl"/>
        </w:rPr>
        <w:t xml:space="preserve">: apoyo al país tras la ratificación del Convenio de Minamata mediante la creación de capacidades de eliminación gradual y la reducción de los riesgos relacionados con el mercurio (219.765 dólares); </w:t>
      </w:r>
    </w:p>
    <w:p w14:paraId="77EB0B18" w14:textId="7737E0E5" w:rsidR="00FF1D0E" w:rsidRPr="00580557" w:rsidRDefault="00FF1D0E" w:rsidP="002763D1">
      <w:pPr>
        <w:pStyle w:val="Normalnumber"/>
        <w:numPr>
          <w:ilvl w:val="0"/>
          <w:numId w:val="21"/>
        </w:numPr>
        <w:tabs>
          <w:tab w:val="left" w:pos="624"/>
        </w:tabs>
        <w:ind w:left="1247" w:firstLine="624"/>
        <w:rPr>
          <w:noProof/>
          <w:lang w:val="es-ES_tradnl"/>
        </w:rPr>
      </w:pPr>
      <w:r w:rsidRPr="002763D1">
        <w:rPr>
          <w:i/>
          <w:iCs/>
          <w:spacing w:val="-2"/>
          <w:lang w:val="es-ES_tradnl"/>
        </w:rPr>
        <w:t>Sri Lanka</w:t>
      </w:r>
      <w:r w:rsidRPr="002763D1">
        <w:rPr>
          <w:spacing w:val="-2"/>
          <w:lang w:val="es-ES_tradnl"/>
        </w:rPr>
        <w:t xml:space="preserve">: fortalecimiento de la capacidad nacional para la eliminación de los productos </w:t>
      </w:r>
      <w:r w:rsidRPr="00580557">
        <w:rPr>
          <w:lang w:val="es-ES_tradnl"/>
        </w:rPr>
        <w:t xml:space="preserve">con mercurio añadido y la gestión ambientalmente racional de los desechos que contienen mercurio (178.659 dólares); </w:t>
      </w:r>
    </w:p>
    <w:p w14:paraId="0F1598AC" w14:textId="78DCAC1D" w:rsidR="00FF1D0E" w:rsidRPr="00580557" w:rsidRDefault="00FF1D0E" w:rsidP="002763D1">
      <w:pPr>
        <w:pStyle w:val="Normalnumber"/>
        <w:numPr>
          <w:ilvl w:val="0"/>
          <w:numId w:val="21"/>
        </w:numPr>
        <w:tabs>
          <w:tab w:val="left" w:pos="624"/>
        </w:tabs>
        <w:ind w:left="1247" w:firstLine="624"/>
        <w:rPr>
          <w:noProof/>
          <w:lang w:val="es-ES_tradnl"/>
        </w:rPr>
      </w:pPr>
      <w:r w:rsidRPr="00580557">
        <w:rPr>
          <w:i/>
          <w:iCs/>
          <w:lang w:val="es-ES_tradnl"/>
        </w:rPr>
        <w:t>Zambia</w:t>
      </w:r>
      <w:r w:rsidRPr="00580557">
        <w:rPr>
          <w:lang w:val="es-ES_tradnl"/>
        </w:rPr>
        <w:t>: fortalecimiento de la capacidad institucional del país para cumplir las obligaciones dimanantes del Convenio de Minamata mediante la reducción de la presencia de mercurio en las poblaciones vulnerables según lo previsto en los artículos 16 y 18 (200.000 dólares).</w:t>
      </w:r>
    </w:p>
    <w:p w14:paraId="4A8EC930" w14:textId="77777777"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 xml:space="preserve">Todos los proyectos de la segunda ronda han concluido. </w:t>
      </w:r>
    </w:p>
    <w:p w14:paraId="62C913F2" w14:textId="02E93087" w:rsidR="00FF1D0E" w:rsidRPr="00580557" w:rsidRDefault="00C507B2" w:rsidP="002763D1">
      <w:pPr>
        <w:pStyle w:val="Normalnumber"/>
        <w:numPr>
          <w:ilvl w:val="0"/>
          <w:numId w:val="17"/>
        </w:numPr>
        <w:tabs>
          <w:tab w:val="left" w:pos="624"/>
        </w:tabs>
        <w:snapToGrid w:val="0"/>
        <w:ind w:left="1247" w:firstLine="0"/>
        <w:rPr>
          <w:noProof/>
          <w:lang w:val="es-ES_tradnl"/>
        </w:rPr>
      </w:pPr>
      <w:r w:rsidRPr="00580557">
        <w:rPr>
          <w:lang w:val="es-ES_tradnl"/>
        </w:rPr>
        <w:t>En la primera ronda de solicitudes (2018), la Junta Directiva aprobó los cinco proyectos que se</w:t>
      </w:r>
      <w:r w:rsidR="002763D1">
        <w:rPr>
          <w:lang w:val="es-ES_tradnl"/>
        </w:rPr>
        <w:t> </w:t>
      </w:r>
      <w:r w:rsidRPr="00580557">
        <w:rPr>
          <w:lang w:val="es-ES_tradnl"/>
        </w:rPr>
        <w:t>indican a continuación, cuyo presupuesto total ascendía a 961.663 dólares (1.086.679 dólares si se añade el 13</w:t>
      </w:r>
      <w:r w:rsidR="00A44EC8" w:rsidRPr="00580557">
        <w:rPr>
          <w:lang w:val="es-ES_tradnl"/>
        </w:rPr>
        <w:t> %</w:t>
      </w:r>
      <w:r w:rsidRPr="00580557">
        <w:rPr>
          <w:lang w:val="es-ES_tradnl"/>
        </w:rPr>
        <w:t xml:space="preserve"> en concepto de gastos de apoyo a los programas): </w:t>
      </w:r>
    </w:p>
    <w:p w14:paraId="570F1F20" w14:textId="5CD9F3C0" w:rsidR="00FF1D0E" w:rsidRPr="00580557" w:rsidRDefault="00FF1D0E" w:rsidP="002763D1">
      <w:pPr>
        <w:pStyle w:val="Normalnumber"/>
        <w:numPr>
          <w:ilvl w:val="0"/>
          <w:numId w:val="22"/>
        </w:numPr>
        <w:tabs>
          <w:tab w:val="left" w:pos="624"/>
        </w:tabs>
        <w:ind w:left="1247" w:firstLine="624"/>
        <w:rPr>
          <w:lang w:val="es-ES_tradnl"/>
        </w:rPr>
      </w:pPr>
      <w:r w:rsidRPr="00580557">
        <w:rPr>
          <w:i/>
          <w:iCs/>
          <w:lang w:val="es-ES_tradnl"/>
        </w:rPr>
        <w:t>Argentina</w:t>
      </w:r>
      <w:r w:rsidRPr="00580557">
        <w:rPr>
          <w:lang w:val="es-ES_tradnl"/>
        </w:rPr>
        <w:t xml:space="preserve">: proyecto de creación de capacidad para la aplicación del Convenio de Minamata sobre el Mercurio (250.000 dólares); </w:t>
      </w:r>
    </w:p>
    <w:p w14:paraId="7A2A0442" w14:textId="4673BD39" w:rsidR="00FF1D0E" w:rsidRPr="00580557" w:rsidRDefault="00FF1D0E" w:rsidP="002763D1">
      <w:pPr>
        <w:pStyle w:val="Normalnumber"/>
        <w:numPr>
          <w:ilvl w:val="0"/>
          <w:numId w:val="22"/>
        </w:numPr>
        <w:tabs>
          <w:tab w:val="left" w:pos="624"/>
        </w:tabs>
        <w:ind w:left="1247" w:firstLine="624"/>
        <w:rPr>
          <w:lang w:val="es-ES_tradnl"/>
        </w:rPr>
      </w:pPr>
      <w:r w:rsidRPr="00580557">
        <w:rPr>
          <w:i/>
          <w:iCs/>
          <w:lang w:val="es-ES_tradnl"/>
        </w:rPr>
        <w:t xml:space="preserve">Armenia: </w:t>
      </w:r>
      <w:r w:rsidRPr="00580557">
        <w:rPr>
          <w:lang w:val="es-ES_tradnl"/>
        </w:rPr>
        <w:t xml:space="preserve">fortalecimiento de la capacidad para promover la eliminación gradual de productos con mercurio añadido (lámparas) (162.000 dólares); </w:t>
      </w:r>
    </w:p>
    <w:p w14:paraId="38F25EEC" w14:textId="612F0095" w:rsidR="00FF1D0E" w:rsidRPr="00580557" w:rsidRDefault="00FF1D0E" w:rsidP="002763D1">
      <w:pPr>
        <w:pStyle w:val="Normalnumber"/>
        <w:numPr>
          <w:ilvl w:val="0"/>
          <w:numId w:val="22"/>
        </w:numPr>
        <w:tabs>
          <w:tab w:val="left" w:pos="624"/>
        </w:tabs>
        <w:ind w:left="1247" w:firstLine="624"/>
        <w:rPr>
          <w:lang w:val="es-ES_tradnl"/>
        </w:rPr>
      </w:pPr>
      <w:r w:rsidRPr="00580557">
        <w:rPr>
          <w:i/>
          <w:iCs/>
          <w:lang w:val="es-ES_tradnl"/>
        </w:rPr>
        <w:t xml:space="preserve">Benin: </w:t>
      </w:r>
      <w:r w:rsidRPr="00580557">
        <w:rPr>
          <w:lang w:val="es-ES_tradnl"/>
        </w:rPr>
        <w:t xml:space="preserve">mejora del marco de gestión de los productos y desechos que contienen mercurio (249.113 dólares); </w:t>
      </w:r>
    </w:p>
    <w:p w14:paraId="453062D2" w14:textId="32A4FCB6" w:rsidR="00FF1D0E" w:rsidRPr="00580557" w:rsidRDefault="00FF1D0E" w:rsidP="002763D1">
      <w:pPr>
        <w:pStyle w:val="Normalnumber"/>
        <w:numPr>
          <w:ilvl w:val="0"/>
          <w:numId w:val="22"/>
        </w:numPr>
        <w:tabs>
          <w:tab w:val="left" w:pos="624"/>
        </w:tabs>
        <w:ind w:left="1247" w:firstLine="624"/>
        <w:rPr>
          <w:lang w:val="es-ES_tradnl"/>
        </w:rPr>
      </w:pPr>
      <w:r w:rsidRPr="00580557">
        <w:rPr>
          <w:i/>
          <w:iCs/>
          <w:lang w:val="es-ES_tradnl"/>
        </w:rPr>
        <w:t>Irán (República Islámica del)</w:t>
      </w:r>
      <w:r w:rsidRPr="00580557">
        <w:rPr>
          <w:lang w:val="es-ES_tradnl"/>
        </w:rPr>
        <w:t>:</w:t>
      </w:r>
      <w:r w:rsidRPr="00580557">
        <w:rPr>
          <w:i/>
          <w:iCs/>
          <w:lang w:val="es-ES_tradnl"/>
        </w:rPr>
        <w:t xml:space="preserve"> </w:t>
      </w:r>
      <w:r w:rsidRPr="00580557">
        <w:rPr>
          <w:lang w:val="es-ES_tradnl"/>
        </w:rPr>
        <w:t xml:space="preserve">aplicación del Convenio de Minamata sobre el Mercurio en la gestión de plantas de cloro-álcali de la industria petroquímica (100.000 dólares); </w:t>
      </w:r>
    </w:p>
    <w:p w14:paraId="6C4BD905" w14:textId="7E7FAC41" w:rsidR="00FF1D0E" w:rsidRPr="00580557" w:rsidRDefault="00FF1D0E" w:rsidP="002763D1">
      <w:pPr>
        <w:pStyle w:val="Normalnumber"/>
        <w:numPr>
          <w:ilvl w:val="0"/>
          <w:numId w:val="22"/>
        </w:numPr>
        <w:tabs>
          <w:tab w:val="left" w:pos="624"/>
        </w:tabs>
        <w:ind w:left="1247" w:firstLine="624"/>
        <w:rPr>
          <w:lang w:val="es-ES_tradnl"/>
        </w:rPr>
      </w:pPr>
      <w:proofErr w:type="spellStart"/>
      <w:r w:rsidRPr="00580557">
        <w:rPr>
          <w:i/>
          <w:iCs/>
          <w:lang w:val="es-ES_tradnl"/>
        </w:rPr>
        <w:t>Lesotho</w:t>
      </w:r>
      <w:proofErr w:type="spellEnd"/>
      <w:r w:rsidRPr="00580557">
        <w:rPr>
          <w:lang w:val="es-ES_tradnl"/>
        </w:rPr>
        <w:t>: fortalecimiento de la capacidad institucional en la elaboración de una estrategia de eliminación y reducción gradual de los productos con mercurio añadido en el país (200.550 dólares).</w:t>
      </w:r>
    </w:p>
    <w:p w14:paraId="34D180A4" w14:textId="77777777" w:rsidR="00FF1D0E" w:rsidRPr="00580557" w:rsidRDefault="00FF1D0E" w:rsidP="002763D1">
      <w:pPr>
        <w:pStyle w:val="Normalnumber"/>
        <w:numPr>
          <w:ilvl w:val="0"/>
          <w:numId w:val="17"/>
        </w:numPr>
        <w:tabs>
          <w:tab w:val="left" w:pos="1247"/>
          <w:tab w:val="left" w:pos="1814"/>
          <w:tab w:val="left" w:pos="2381"/>
          <w:tab w:val="left" w:pos="2948"/>
          <w:tab w:val="left" w:pos="3515"/>
          <w:tab w:val="left" w:pos="4082"/>
        </w:tabs>
        <w:snapToGrid w:val="0"/>
        <w:ind w:left="1247" w:firstLine="0"/>
        <w:rPr>
          <w:noProof/>
          <w:lang w:val="es-ES_tradnl"/>
        </w:rPr>
      </w:pPr>
      <w:r w:rsidRPr="00580557">
        <w:rPr>
          <w:lang w:val="es-ES_tradnl"/>
        </w:rPr>
        <w:t xml:space="preserve">Se han completado todos los proyectos de la primera ronda. La Secretaría contrató los servicios de varios consultores que llevaron a cabo evaluaciones finales de cuatro proyectos de la primera ronda, con arreglo a los presupuestos de proyectos acordados. </w:t>
      </w:r>
    </w:p>
    <w:p w14:paraId="6440D5BD" w14:textId="27D2F937" w:rsidR="00FF1D0E" w:rsidRPr="00580557" w:rsidRDefault="00A44EC8" w:rsidP="002763D1">
      <w:pPr>
        <w:pStyle w:val="CH1"/>
        <w:rPr>
          <w:lang w:val="es-ES_tradnl"/>
        </w:rPr>
      </w:pPr>
      <w:r w:rsidRPr="00580557">
        <w:rPr>
          <w:bCs/>
          <w:lang w:val="es-ES_tradnl"/>
        </w:rPr>
        <w:tab/>
      </w:r>
      <w:r w:rsidR="00FF1D0E" w:rsidRPr="00580557">
        <w:rPr>
          <w:bCs/>
          <w:lang w:val="es-ES_tradnl"/>
        </w:rPr>
        <w:t>V.</w:t>
      </w:r>
      <w:r w:rsidR="00FF1D0E" w:rsidRPr="00580557">
        <w:rPr>
          <w:lang w:val="es-ES_tradnl"/>
        </w:rPr>
        <w:tab/>
      </w:r>
      <w:r w:rsidR="00FF1D0E" w:rsidRPr="00580557">
        <w:rPr>
          <w:bCs/>
          <w:lang w:val="es-ES_tradnl"/>
        </w:rPr>
        <w:t>Situación de las contribuciones al fondo fiduciario específico</w:t>
      </w:r>
      <w:r w:rsidR="00FF1D0E" w:rsidRPr="00580557">
        <w:rPr>
          <w:lang w:val="es-ES_tradnl"/>
        </w:rPr>
        <w:t xml:space="preserve"> </w:t>
      </w:r>
    </w:p>
    <w:p w14:paraId="26549C69" w14:textId="7D003725" w:rsidR="00FF1D0E" w:rsidRPr="00580557" w:rsidRDefault="00FF1D0E" w:rsidP="002763D1">
      <w:pPr>
        <w:pStyle w:val="Normalnumber"/>
        <w:numPr>
          <w:ilvl w:val="0"/>
          <w:numId w:val="17"/>
        </w:numPr>
        <w:tabs>
          <w:tab w:val="left" w:pos="624"/>
        </w:tabs>
        <w:snapToGrid w:val="0"/>
        <w:ind w:left="1247" w:firstLine="0"/>
        <w:rPr>
          <w:noProof/>
          <w:lang w:val="es-ES_tradnl"/>
        </w:rPr>
      </w:pPr>
      <w:r w:rsidRPr="00580557">
        <w:rPr>
          <w:lang w:val="es-ES_tradnl"/>
        </w:rPr>
        <w:t xml:space="preserve">Desde que se estableció el fondo fiduciario específico en 2018, se han recibido contribuciones y promesas de contribuciones de Alemania, Austria, Dinamarca, los Estados Unidos de América, Francia, Noruega, el Reino de los Países Bajos, el Reino Unido de Gran Bretaña e Irlanda del Norte, Suecia y Suiza, como se indica en el cuadro siguiente. </w:t>
      </w:r>
    </w:p>
    <w:p w14:paraId="17013F70" w14:textId="7D935F1C" w:rsidR="00FF1D0E" w:rsidRPr="00580557" w:rsidRDefault="00F66B29" w:rsidP="002763D1">
      <w:pPr>
        <w:pStyle w:val="Titletable"/>
        <w:tabs>
          <w:tab w:val="clear" w:pos="4990"/>
        </w:tabs>
        <w:spacing w:before="240"/>
        <w:rPr>
          <w:lang w:val="es-ES_tradnl"/>
        </w:rPr>
      </w:pPr>
      <w:r w:rsidRPr="00580557">
        <w:rPr>
          <w:lang w:val="es-ES_tradnl"/>
        </w:rPr>
        <w:lastRenderedPageBreak/>
        <w:t xml:space="preserve">Contribuciones y promesas de contribuciones recibidas para el fondo fiduciario específico desde la creación del Programa Internacional Específico para apoyar la creación de capacidad y la asistencia técnica </w:t>
      </w:r>
    </w:p>
    <w:p w14:paraId="25EB769E" w14:textId="0762B127" w:rsidR="00FF1D0E" w:rsidRPr="00580557" w:rsidRDefault="00FF1D0E" w:rsidP="002763D1">
      <w:pPr>
        <w:pStyle w:val="Normal-pool"/>
        <w:keepNext/>
        <w:keepLines/>
        <w:spacing w:after="60"/>
        <w:ind w:left="1247"/>
        <w:rPr>
          <w:rFonts w:eastAsia="Calibri"/>
          <w:color w:val="000000" w:themeColor="text1"/>
          <w:sz w:val="18"/>
          <w:szCs w:val="18"/>
          <w:lang w:val="es-ES_tradnl"/>
        </w:rPr>
      </w:pPr>
      <w:r w:rsidRPr="002763D1">
        <w:rPr>
          <w:sz w:val="18"/>
          <w:szCs w:val="18"/>
          <w:lang w:val="es-ES_tradnl"/>
        </w:rPr>
        <w:t>(</w:t>
      </w:r>
      <w:r w:rsidR="002763D1" w:rsidRPr="002763D1">
        <w:rPr>
          <w:sz w:val="18"/>
          <w:szCs w:val="18"/>
          <w:lang w:val="es-ES_tradnl"/>
        </w:rPr>
        <w:t>en d</w:t>
      </w:r>
      <w:r w:rsidRPr="002763D1">
        <w:rPr>
          <w:sz w:val="18"/>
          <w:szCs w:val="18"/>
          <w:lang w:val="es-ES_tradnl"/>
        </w:rPr>
        <w:t>ólares de los Estados Unidos, a 28 de mayo de 2025</w:t>
      </w:r>
      <w:r w:rsidRPr="00580557">
        <w:rPr>
          <w:lang w:val="es-ES_tradnl"/>
        </w:rPr>
        <w:t>)</w:t>
      </w:r>
    </w:p>
    <w:tbl>
      <w:tblPr>
        <w:tblStyle w:val="TableGrid"/>
        <w:tblW w:w="4269" w:type="pct"/>
        <w:tblInd w:w="1247" w:type="dxa"/>
        <w:tblLook w:val="04A0" w:firstRow="1" w:lastRow="0" w:firstColumn="1" w:lastColumn="0" w:noHBand="0" w:noVBand="1"/>
      </w:tblPr>
      <w:tblGrid>
        <w:gridCol w:w="4282"/>
        <w:gridCol w:w="3827"/>
      </w:tblGrid>
      <w:tr w:rsidR="00813CAF" w:rsidRPr="00813CAF" w14:paraId="13BBE05B" w14:textId="77777777" w:rsidTr="00813CAF">
        <w:tc>
          <w:tcPr>
            <w:tcW w:w="4282" w:type="dxa"/>
            <w:tcBorders>
              <w:top w:val="single" w:sz="2" w:space="0" w:color="auto"/>
              <w:left w:val="nil"/>
              <w:bottom w:val="single" w:sz="8" w:space="0" w:color="auto"/>
              <w:right w:val="nil"/>
            </w:tcBorders>
          </w:tcPr>
          <w:p w14:paraId="26911D1F" w14:textId="40ABB444" w:rsidR="00813CAF" w:rsidRPr="00813CAF" w:rsidRDefault="00813CAF" w:rsidP="00813CAF">
            <w:pPr>
              <w:pStyle w:val="Titlefigure"/>
              <w:keepNext w:val="0"/>
              <w:keepLines w:val="0"/>
              <w:ind w:left="0"/>
              <w:rPr>
                <w:b w:val="0"/>
                <w:i/>
                <w:iCs/>
                <w:sz w:val="18"/>
                <w:szCs w:val="18"/>
                <w:lang w:val="es-ES_tradnl"/>
              </w:rPr>
            </w:pPr>
            <w:r w:rsidRPr="00813CAF">
              <w:rPr>
                <w:b w:val="0"/>
                <w:i/>
                <w:iCs/>
                <w:sz w:val="18"/>
                <w:szCs w:val="18"/>
                <w:lang w:val="es-ES_tradnl"/>
              </w:rPr>
              <w:t>Donante</w:t>
            </w:r>
          </w:p>
        </w:tc>
        <w:tc>
          <w:tcPr>
            <w:tcW w:w="3827" w:type="dxa"/>
            <w:tcBorders>
              <w:top w:val="single" w:sz="2" w:space="0" w:color="auto"/>
              <w:left w:val="nil"/>
              <w:bottom w:val="single" w:sz="8" w:space="0" w:color="auto"/>
              <w:right w:val="nil"/>
            </w:tcBorders>
          </w:tcPr>
          <w:p w14:paraId="2816F4D9" w14:textId="44968319" w:rsidR="00813CAF" w:rsidRPr="00813CAF" w:rsidRDefault="00813CAF" w:rsidP="00813CAF">
            <w:pPr>
              <w:pStyle w:val="Titlefigure"/>
              <w:ind w:left="0"/>
              <w:jc w:val="right"/>
              <w:rPr>
                <w:b w:val="0"/>
                <w:i/>
                <w:iCs/>
                <w:sz w:val="18"/>
                <w:szCs w:val="18"/>
                <w:lang w:val="es-ES_tradnl"/>
              </w:rPr>
            </w:pPr>
            <w:r w:rsidRPr="00813CAF">
              <w:rPr>
                <w:b w:val="0"/>
                <w:i/>
                <w:iCs/>
                <w:sz w:val="18"/>
                <w:szCs w:val="18"/>
                <w:lang w:val="es-ES_tradnl"/>
              </w:rPr>
              <w:t>Importe total prometido/aportado</w:t>
            </w:r>
          </w:p>
        </w:tc>
      </w:tr>
      <w:tr w:rsidR="00813CAF" w:rsidRPr="00813CAF" w14:paraId="782C2C17" w14:textId="77777777" w:rsidTr="00813CAF">
        <w:tc>
          <w:tcPr>
            <w:tcW w:w="4282" w:type="dxa"/>
            <w:tcBorders>
              <w:top w:val="single" w:sz="8" w:space="0" w:color="auto"/>
              <w:left w:val="nil"/>
              <w:bottom w:val="nil"/>
              <w:right w:val="nil"/>
            </w:tcBorders>
            <w:vAlign w:val="bottom"/>
          </w:tcPr>
          <w:p w14:paraId="299ACD64" w14:textId="4FD6C653" w:rsidR="00813CAF" w:rsidRPr="00813CAF" w:rsidRDefault="00813CAF" w:rsidP="00813CAF">
            <w:pPr>
              <w:pStyle w:val="Titlefigure"/>
              <w:keepNext w:val="0"/>
              <w:keepLines w:val="0"/>
              <w:ind w:left="0"/>
              <w:rPr>
                <w:b w:val="0"/>
                <w:bCs/>
                <w:sz w:val="18"/>
                <w:szCs w:val="18"/>
                <w:lang w:val="es-ES_tradnl"/>
              </w:rPr>
            </w:pPr>
            <w:r w:rsidRPr="00813CAF">
              <w:rPr>
                <w:b w:val="0"/>
                <w:bCs/>
                <w:color w:val="000000"/>
                <w:sz w:val="18"/>
                <w:szCs w:val="18"/>
                <w:lang w:val="es-ES_tradnl"/>
              </w:rPr>
              <w:t xml:space="preserve">Alemania </w:t>
            </w:r>
          </w:p>
        </w:tc>
        <w:tc>
          <w:tcPr>
            <w:tcW w:w="3827" w:type="dxa"/>
            <w:tcBorders>
              <w:top w:val="single" w:sz="8" w:space="0" w:color="auto"/>
              <w:left w:val="nil"/>
              <w:bottom w:val="nil"/>
              <w:right w:val="nil"/>
            </w:tcBorders>
          </w:tcPr>
          <w:p w14:paraId="32C63000" w14:textId="3C5C593B" w:rsidR="00813CAF" w:rsidRPr="00813CAF" w:rsidRDefault="00813CAF" w:rsidP="00813CAF">
            <w:pPr>
              <w:pStyle w:val="Titlefigure"/>
              <w:ind w:left="0"/>
              <w:jc w:val="right"/>
              <w:rPr>
                <w:b w:val="0"/>
                <w:sz w:val="18"/>
                <w:szCs w:val="18"/>
                <w:lang w:val="es-ES_tradnl"/>
              </w:rPr>
            </w:pPr>
            <w:r w:rsidRPr="00813CAF">
              <w:rPr>
                <w:b w:val="0"/>
                <w:sz w:val="18"/>
                <w:szCs w:val="18"/>
                <w:lang w:val="es-ES_tradnl"/>
              </w:rPr>
              <w:t>1 118 927</w:t>
            </w:r>
          </w:p>
        </w:tc>
      </w:tr>
      <w:tr w:rsidR="00813CAF" w:rsidRPr="00813CAF" w14:paraId="1B9A242D" w14:textId="77777777" w:rsidTr="00813CAF">
        <w:tc>
          <w:tcPr>
            <w:tcW w:w="4282" w:type="dxa"/>
            <w:tcBorders>
              <w:top w:val="nil"/>
              <w:left w:val="nil"/>
              <w:bottom w:val="nil"/>
              <w:right w:val="nil"/>
            </w:tcBorders>
            <w:vAlign w:val="bottom"/>
          </w:tcPr>
          <w:p w14:paraId="51A4621E" w14:textId="7D833763" w:rsidR="00813CAF" w:rsidRPr="00813CAF" w:rsidRDefault="00813CAF" w:rsidP="00813CAF">
            <w:pPr>
              <w:pStyle w:val="Titlefigure"/>
              <w:keepNext w:val="0"/>
              <w:keepLines w:val="0"/>
              <w:ind w:left="0"/>
              <w:rPr>
                <w:b w:val="0"/>
                <w:bCs/>
                <w:sz w:val="18"/>
                <w:szCs w:val="18"/>
                <w:lang w:val="es-ES_tradnl"/>
              </w:rPr>
            </w:pPr>
            <w:r w:rsidRPr="00813CAF">
              <w:rPr>
                <w:b w:val="0"/>
                <w:bCs/>
                <w:color w:val="000000"/>
                <w:sz w:val="18"/>
                <w:szCs w:val="18"/>
                <w:lang w:val="es-ES_tradnl"/>
              </w:rPr>
              <w:t>Austria</w:t>
            </w:r>
          </w:p>
        </w:tc>
        <w:tc>
          <w:tcPr>
            <w:tcW w:w="3827" w:type="dxa"/>
            <w:tcBorders>
              <w:top w:val="nil"/>
              <w:left w:val="nil"/>
              <w:bottom w:val="nil"/>
              <w:right w:val="nil"/>
            </w:tcBorders>
          </w:tcPr>
          <w:p w14:paraId="2A550B2A" w14:textId="3EC331C0" w:rsidR="00813CAF" w:rsidRPr="00813CAF" w:rsidRDefault="00813CAF" w:rsidP="00813CAF">
            <w:pPr>
              <w:pStyle w:val="Titlefigure"/>
              <w:ind w:left="0"/>
              <w:jc w:val="right"/>
              <w:rPr>
                <w:b w:val="0"/>
                <w:sz w:val="18"/>
                <w:szCs w:val="18"/>
                <w:lang w:val="es-ES_tradnl"/>
              </w:rPr>
            </w:pPr>
            <w:r>
              <w:rPr>
                <w:b w:val="0"/>
                <w:sz w:val="18"/>
                <w:szCs w:val="18"/>
                <w:lang w:val="es-ES_tradnl"/>
              </w:rPr>
              <w:t>505 194</w:t>
            </w:r>
          </w:p>
        </w:tc>
      </w:tr>
      <w:tr w:rsidR="00813CAF" w:rsidRPr="00813CAF" w14:paraId="3C4AC84B" w14:textId="77777777" w:rsidTr="00813CAF">
        <w:tc>
          <w:tcPr>
            <w:tcW w:w="4282" w:type="dxa"/>
            <w:tcBorders>
              <w:top w:val="nil"/>
              <w:left w:val="nil"/>
              <w:bottom w:val="nil"/>
              <w:right w:val="nil"/>
            </w:tcBorders>
            <w:vAlign w:val="bottom"/>
          </w:tcPr>
          <w:p w14:paraId="036A84A1" w14:textId="2DF0DDFB" w:rsidR="00813CAF" w:rsidRPr="00813CAF" w:rsidRDefault="00813CAF" w:rsidP="00813CAF">
            <w:pPr>
              <w:pStyle w:val="Titlefigure"/>
              <w:keepNext w:val="0"/>
              <w:keepLines w:val="0"/>
              <w:ind w:left="0"/>
              <w:rPr>
                <w:b w:val="0"/>
                <w:bCs/>
                <w:sz w:val="18"/>
                <w:szCs w:val="18"/>
                <w:lang w:val="es-ES_tradnl"/>
              </w:rPr>
            </w:pPr>
            <w:r w:rsidRPr="00813CAF">
              <w:rPr>
                <w:b w:val="0"/>
                <w:bCs/>
                <w:color w:val="000000"/>
                <w:sz w:val="18"/>
                <w:szCs w:val="18"/>
                <w:lang w:val="es-ES_tradnl"/>
              </w:rPr>
              <w:t>Dinamarca</w:t>
            </w:r>
          </w:p>
        </w:tc>
        <w:tc>
          <w:tcPr>
            <w:tcW w:w="3827" w:type="dxa"/>
            <w:tcBorders>
              <w:top w:val="nil"/>
              <w:left w:val="nil"/>
              <w:bottom w:val="nil"/>
              <w:right w:val="nil"/>
            </w:tcBorders>
          </w:tcPr>
          <w:p w14:paraId="286EC365" w14:textId="0D7E009D" w:rsidR="00813CAF" w:rsidRPr="00813CAF" w:rsidRDefault="00813CAF" w:rsidP="00813CAF">
            <w:pPr>
              <w:pStyle w:val="Titlefigure"/>
              <w:ind w:left="0"/>
              <w:jc w:val="right"/>
              <w:rPr>
                <w:b w:val="0"/>
                <w:sz w:val="18"/>
                <w:szCs w:val="18"/>
                <w:lang w:val="es-ES_tradnl"/>
              </w:rPr>
            </w:pPr>
            <w:r>
              <w:rPr>
                <w:b w:val="0"/>
                <w:sz w:val="18"/>
                <w:szCs w:val="18"/>
                <w:lang w:val="es-ES_tradnl"/>
              </w:rPr>
              <w:t>175 748</w:t>
            </w:r>
          </w:p>
        </w:tc>
      </w:tr>
      <w:tr w:rsidR="00813CAF" w:rsidRPr="00813CAF" w14:paraId="43469ED7" w14:textId="77777777" w:rsidTr="00813CAF">
        <w:tc>
          <w:tcPr>
            <w:tcW w:w="4282" w:type="dxa"/>
            <w:tcBorders>
              <w:top w:val="nil"/>
              <w:left w:val="nil"/>
              <w:bottom w:val="nil"/>
              <w:right w:val="nil"/>
            </w:tcBorders>
            <w:vAlign w:val="bottom"/>
          </w:tcPr>
          <w:p w14:paraId="1BF2AD7B" w14:textId="0C80BA55" w:rsidR="00813CAF" w:rsidRPr="00813CAF" w:rsidRDefault="00813CAF" w:rsidP="00813CAF">
            <w:pPr>
              <w:pStyle w:val="Titlefigure"/>
              <w:keepNext w:val="0"/>
              <w:keepLines w:val="0"/>
              <w:ind w:left="0"/>
              <w:rPr>
                <w:b w:val="0"/>
                <w:bCs/>
                <w:sz w:val="18"/>
                <w:szCs w:val="18"/>
                <w:lang w:val="es-ES_tradnl"/>
              </w:rPr>
            </w:pPr>
            <w:r w:rsidRPr="00813CAF">
              <w:rPr>
                <w:b w:val="0"/>
                <w:bCs/>
                <w:color w:val="000000"/>
                <w:sz w:val="18"/>
                <w:szCs w:val="18"/>
                <w:lang w:val="es-ES_tradnl"/>
              </w:rPr>
              <w:t xml:space="preserve">Estados Unidos </w:t>
            </w:r>
          </w:p>
        </w:tc>
        <w:tc>
          <w:tcPr>
            <w:tcW w:w="3827" w:type="dxa"/>
            <w:tcBorders>
              <w:top w:val="nil"/>
              <w:left w:val="nil"/>
              <w:bottom w:val="nil"/>
              <w:right w:val="nil"/>
            </w:tcBorders>
          </w:tcPr>
          <w:p w14:paraId="47F5FF0E" w14:textId="5289253D" w:rsidR="00813CAF" w:rsidRPr="00813CAF" w:rsidRDefault="00813CAF" w:rsidP="00813CAF">
            <w:pPr>
              <w:pStyle w:val="Titlefigure"/>
              <w:ind w:left="0"/>
              <w:jc w:val="right"/>
              <w:rPr>
                <w:b w:val="0"/>
                <w:sz w:val="18"/>
                <w:szCs w:val="18"/>
                <w:lang w:val="es-ES_tradnl"/>
              </w:rPr>
            </w:pPr>
            <w:r>
              <w:rPr>
                <w:b w:val="0"/>
                <w:sz w:val="18"/>
                <w:szCs w:val="18"/>
                <w:lang w:val="es-ES_tradnl"/>
              </w:rPr>
              <w:t>853 083</w:t>
            </w:r>
          </w:p>
        </w:tc>
      </w:tr>
      <w:tr w:rsidR="00813CAF" w:rsidRPr="00813CAF" w14:paraId="027F995D" w14:textId="77777777" w:rsidTr="00813CAF">
        <w:tc>
          <w:tcPr>
            <w:tcW w:w="4282" w:type="dxa"/>
            <w:tcBorders>
              <w:top w:val="nil"/>
              <w:left w:val="nil"/>
              <w:bottom w:val="nil"/>
              <w:right w:val="nil"/>
            </w:tcBorders>
            <w:vAlign w:val="bottom"/>
          </w:tcPr>
          <w:p w14:paraId="07488762" w14:textId="417901AE" w:rsidR="00813CAF" w:rsidRPr="00813CAF" w:rsidRDefault="00813CAF" w:rsidP="00813CAF">
            <w:pPr>
              <w:pStyle w:val="Titlefigure"/>
              <w:keepNext w:val="0"/>
              <w:keepLines w:val="0"/>
              <w:ind w:left="0"/>
              <w:rPr>
                <w:b w:val="0"/>
                <w:bCs/>
                <w:sz w:val="18"/>
                <w:szCs w:val="18"/>
                <w:lang w:val="es-ES_tradnl"/>
              </w:rPr>
            </w:pPr>
            <w:r w:rsidRPr="00813CAF">
              <w:rPr>
                <w:b w:val="0"/>
                <w:bCs/>
                <w:color w:val="000000"/>
                <w:sz w:val="18"/>
                <w:szCs w:val="18"/>
                <w:lang w:val="es-ES_tradnl"/>
              </w:rPr>
              <w:t xml:space="preserve">Francia </w:t>
            </w:r>
          </w:p>
        </w:tc>
        <w:tc>
          <w:tcPr>
            <w:tcW w:w="3827" w:type="dxa"/>
            <w:tcBorders>
              <w:top w:val="nil"/>
              <w:left w:val="nil"/>
              <w:bottom w:val="nil"/>
              <w:right w:val="nil"/>
            </w:tcBorders>
          </w:tcPr>
          <w:p w14:paraId="047E75F3" w14:textId="2C6F82DD" w:rsidR="00813CAF" w:rsidRPr="00813CAF" w:rsidRDefault="00813CAF" w:rsidP="00813CAF">
            <w:pPr>
              <w:pStyle w:val="Titlefigure"/>
              <w:ind w:left="0"/>
              <w:jc w:val="right"/>
              <w:rPr>
                <w:b w:val="0"/>
                <w:sz w:val="18"/>
                <w:szCs w:val="18"/>
                <w:lang w:val="es-ES_tradnl"/>
              </w:rPr>
            </w:pPr>
            <w:r>
              <w:rPr>
                <w:b w:val="0"/>
                <w:sz w:val="18"/>
                <w:szCs w:val="18"/>
                <w:lang w:val="es-ES_tradnl"/>
              </w:rPr>
              <w:t>324 144</w:t>
            </w:r>
          </w:p>
        </w:tc>
      </w:tr>
      <w:tr w:rsidR="00813CAF" w:rsidRPr="00813CAF" w14:paraId="015F9D19" w14:textId="77777777" w:rsidTr="00813CAF">
        <w:tc>
          <w:tcPr>
            <w:tcW w:w="4282" w:type="dxa"/>
            <w:tcBorders>
              <w:top w:val="nil"/>
              <w:left w:val="nil"/>
              <w:bottom w:val="nil"/>
              <w:right w:val="nil"/>
            </w:tcBorders>
            <w:vAlign w:val="bottom"/>
          </w:tcPr>
          <w:p w14:paraId="3EB38D8E" w14:textId="4C1A71BE" w:rsidR="00813CAF" w:rsidRPr="00813CAF" w:rsidRDefault="00813CAF" w:rsidP="00813CAF">
            <w:pPr>
              <w:pStyle w:val="Titlefigure"/>
              <w:keepNext w:val="0"/>
              <w:keepLines w:val="0"/>
              <w:ind w:left="0"/>
              <w:rPr>
                <w:b w:val="0"/>
                <w:bCs/>
                <w:color w:val="000000"/>
                <w:sz w:val="18"/>
                <w:szCs w:val="18"/>
                <w:lang w:val="es-ES_tradnl"/>
              </w:rPr>
            </w:pPr>
            <w:r w:rsidRPr="00813CAF">
              <w:rPr>
                <w:b w:val="0"/>
                <w:bCs/>
                <w:color w:val="000000"/>
                <w:sz w:val="18"/>
                <w:szCs w:val="18"/>
                <w:lang w:val="es-ES_tradnl"/>
              </w:rPr>
              <w:t xml:space="preserve">Noruega </w:t>
            </w:r>
          </w:p>
        </w:tc>
        <w:tc>
          <w:tcPr>
            <w:tcW w:w="3827" w:type="dxa"/>
            <w:tcBorders>
              <w:top w:val="nil"/>
              <w:left w:val="nil"/>
              <w:bottom w:val="nil"/>
              <w:right w:val="nil"/>
            </w:tcBorders>
          </w:tcPr>
          <w:p w14:paraId="094A45AC" w14:textId="4F59C0B1" w:rsidR="00813CAF" w:rsidRPr="00813CAF" w:rsidRDefault="00813CAF" w:rsidP="00813CAF">
            <w:pPr>
              <w:pStyle w:val="Titlefigure"/>
              <w:ind w:left="0"/>
              <w:jc w:val="right"/>
              <w:rPr>
                <w:b w:val="0"/>
                <w:sz w:val="18"/>
                <w:szCs w:val="18"/>
                <w:lang w:val="es-ES_tradnl"/>
              </w:rPr>
            </w:pPr>
            <w:r>
              <w:rPr>
                <w:b w:val="0"/>
                <w:sz w:val="18"/>
                <w:szCs w:val="18"/>
                <w:lang w:val="es-ES_tradnl"/>
              </w:rPr>
              <w:t>2 748 661</w:t>
            </w:r>
          </w:p>
        </w:tc>
      </w:tr>
      <w:tr w:rsidR="00813CAF" w:rsidRPr="00813CAF" w14:paraId="7B170EAB" w14:textId="77777777" w:rsidTr="00813CAF">
        <w:tc>
          <w:tcPr>
            <w:tcW w:w="4282" w:type="dxa"/>
            <w:tcBorders>
              <w:top w:val="nil"/>
              <w:left w:val="nil"/>
              <w:bottom w:val="nil"/>
              <w:right w:val="nil"/>
            </w:tcBorders>
            <w:vAlign w:val="bottom"/>
          </w:tcPr>
          <w:p w14:paraId="5FC11F0B" w14:textId="3E9AAC6F" w:rsidR="00813CAF" w:rsidRPr="00813CAF" w:rsidRDefault="00813CAF" w:rsidP="00813CAF">
            <w:pPr>
              <w:pStyle w:val="Titlefigure"/>
              <w:keepNext w:val="0"/>
              <w:keepLines w:val="0"/>
              <w:ind w:left="0"/>
              <w:rPr>
                <w:b w:val="0"/>
                <w:bCs/>
                <w:color w:val="000000"/>
                <w:sz w:val="18"/>
                <w:szCs w:val="18"/>
                <w:lang w:val="es-ES_tradnl"/>
              </w:rPr>
            </w:pPr>
            <w:r w:rsidRPr="00813CAF">
              <w:rPr>
                <w:b w:val="0"/>
                <w:bCs/>
                <w:color w:val="000000"/>
                <w:sz w:val="18"/>
                <w:szCs w:val="18"/>
                <w:lang w:val="es-ES_tradnl"/>
              </w:rPr>
              <w:t xml:space="preserve">Países Bajos (Reino de los) </w:t>
            </w:r>
          </w:p>
        </w:tc>
        <w:tc>
          <w:tcPr>
            <w:tcW w:w="3827" w:type="dxa"/>
            <w:tcBorders>
              <w:top w:val="nil"/>
              <w:left w:val="nil"/>
              <w:bottom w:val="nil"/>
              <w:right w:val="nil"/>
            </w:tcBorders>
          </w:tcPr>
          <w:p w14:paraId="0ED0CB61" w14:textId="7BEFB12A" w:rsidR="00813CAF" w:rsidRPr="00813CAF" w:rsidRDefault="00813CAF" w:rsidP="00813CAF">
            <w:pPr>
              <w:pStyle w:val="Titlefigure"/>
              <w:ind w:left="0"/>
              <w:jc w:val="right"/>
              <w:rPr>
                <w:b w:val="0"/>
                <w:sz w:val="18"/>
                <w:szCs w:val="18"/>
                <w:lang w:val="es-ES_tradnl"/>
              </w:rPr>
            </w:pPr>
            <w:r>
              <w:rPr>
                <w:b w:val="0"/>
                <w:sz w:val="18"/>
                <w:szCs w:val="18"/>
                <w:lang w:val="es-ES_tradnl"/>
              </w:rPr>
              <w:t>331 193</w:t>
            </w:r>
          </w:p>
        </w:tc>
      </w:tr>
      <w:tr w:rsidR="00813CAF" w:rsidRPr="00813CAF" w14:paraId="21CC1708" w14:textId="77777777" w:rsidTr="00813CAF">
        <w:tc>
          <w:tcPr>
            <w:tcW w:w="4282" w:type="dxa"/>
            <w:tcBorders>
              <w:top w:val="nil"/>
              <w:left w:val="nil"/>
              <w:bottom w:val="nil"/>
              <w:right w:val="nil"/>
            </w:tcBorders>
            <w:vAlign w:val="bottom"/>
          </w:tcPr>
          <w:p w14:paraId="52F9B259" w14:textId="2D9C4115" w:rsidR="00813CAF" w:rsidRPr="00813CAF" w:rsidRDefault="00813CAF" w:rsidP="00813CAF">
            <w:pPr>
              <w:pStyle w:val="Titlefigure"/>
              <w:keepNext w:val="0"/>
              <w:keepLines w:val="0"/>
              <w:ind w:left="0"/>
              <w:rPr>
                <w:b w:val="0"/>
                <w:bCs/>
                <w:color w:val="000000"/>
                <w:sz w:val="18"/>
                <w:szCs w:val="18"/>
                <w:lang w:val="es-ES_tradnl"/>
              </w:rPr>
            </w:pPr>
            <w:r w:rsidRPr="00813CAF">
              <w:rPr>
                <w:b w:val="0"/>
                <w:bCs/>
                <w:color w:val="000000"/>
                <w:sz w:val="18"/>
                <w:szCs w:val="18"/>
                <w:lang w:val="es-ES_tradnl"/>
              </w:rPr>
              <w:t xml:space="preserve">Reino Unido de Gran Bretaña e Irlanda del Norte </w:t>
            </w:r>
          </w:p>
        </w:tc>
        <w:tc>
          <w:tcPr>
            <w:tcW w:w="3827" w:type="dxa"/>
            <w:tcBorders>
              <w:top w:val="nil"/>
              <w:left w:val="nil"/>
              <w:bottom w:val="nil"/>
              <w:right w:val="nil"/>
            </w:tcBorders>
          </w:tcPr>
          <w:p w14:paraId="503BD0F5" w14:textId="24940A1E" w:rsidR="00813CAF" w:rsidRPr="00813CAF" w:rsidRDefault="00813CAF" w:rsidP="00813CAF">
            <w:pPr>
              <w:pStyle w:val="Titlefigure"/>
              <w:ind w:left="0"/>
              <w:jc w:val="right"/>
              <w:rPr>
                <w:b w:val="0"/>
                <w:sz w:val="18"/>
                <w:szCs w:val="18"/>
                <w:lang w:val="es-ES_tradnl"/>
              </w:rPr>
            </w:pPr>
            <w:r>
              <w:rPr>
                <w:b w:val="0"/>
                <w:sz w:val="18"/>
                <w:szCs w:val="18"/>
                <w:lang w:val="es-ES_tradnl"/>
              </w:rPr>
              <w:t>305 235</w:t>
            </w:r>
          </w:p>
        </w:tc>
      </w:tr>
      <w:tr w:rsidR="00813CAF" w:rsidRPr="00813CAF" w14:paraId="080B691C" w14:textId="77777777" w:rsidTr="00813CAF">
        <w:tc>
          <w:tcPr>
            <w:tcW w:w="4282" w:type="dxa"/>
            <w:tcBorders>
              <w:top w:val="nil"/>
              <w:left w:val="nil"/>
              <w:bottom w:val="nil"/>
              <w:right w:val="nil"/>
            </w:tcBorders>
            <w:vAlign w:val="bottom"/>
          </w:tcPr>
          <w:p w14:paraId="3BE3D1B4" w14:textId="38CC0A33" w:rsidR="00813CAF" w:rsidRPr="00813CAF" w:rsidRDefault="00813CAF" w:rsidP="00813CAF">
            <w:pPr>
              <w:pStyle w:val="Titlefigure"/>
              <w:keepNext w:val="0"/>
              <w:keepLines w:val="0"/>
              <w:ind w:left="0"/>
              <w:rPr>
                <w:b w:val="0"/>
                <w:bCs/>
                <w:color w:val="000000"/>
                <w:sz w:val="18"/>
                <w:szCs w:val="18"/>
                <w:lang w:val="es-ES_tradnl"/>
              </w:rPr>
            </w:pPr>
            <w:r w:rsidRPr="00813CAF">
              <w:rPr>
                <w:b w:val="0"/>
                <w:bCs/>
                <w:color w:val="000000"/>
                <w:sz w:val="18"/>
                <w:szCs w:val="18"/>
                <w:lang w:val="es-ES_tradnl"/>
              </w:rPr>
              <w:t xml:space="preserve">Suecia </w:t>
            </w:r>
          </w:p>
        </w:tc>
        <w:tc>
          <w:tcPr>
            <w:tcW w:w="3827" w:type="dxa"/>
            <w:tcBorders>
              <w:top w:val="nil"/>
              <w:left w:val="nil"/>
              <w:bottom w:val="nil"/>
              <w:right w:val="nil"/>
            </w:tcBorders>
          </w:tcPr>
          <w:p w14:paraId="2DF0C03B" w14:textId="597691EC" w:rsidR="00813CAF" w:rsidRPr="00813CAF" w:rsidRDefault="00813CAF" w:rsidP="00813CAF">
            <w:pPr>
              <w:pStyle w:val="Titlefigure"/>
              <w:ind w:left="0"/>
              <w:jc w:val="right"/>
              <w:rPr>
                <w:b w:val="0"/>
                <w:sz w:val="18"/>
                <w:szCs w:val="18"/>
                <w:lang w:val="es-ES_tradnl"/>
              </w:rPr>
            </w:pPr>
            <w:r>
              <w:rPr>
                <w:b w:val="0"/>
                <w:sz w:val="18"/>
                <w:szCs w:val="18"/>
                <w:lang w:val="es-ES_tradnl"/>
              </w:rPr>
              <w:t>844 663</w:t>
            </w:r>
          </w:p>
        </w:tc>
      </w:tr>
      <w:tr w:rsidR="00813CAF" w:rsidRPr="00813CAF" w14:paraId="7A82273E" w14:textId="77777777" w:rsidTr="00813CAF">
        <w:tc>
          <w:tcPr>
            <w:tcW w:w="4282" w:type="dxa"/>
            <w:tcBorders>
              <w:top w:val="nil"/>
              <w:left w:val="nil"/>
              <w:bottom w:val="single" w:sz="2" w:space="0" w:color="auto"/>
              <w:right w:val="nil"/>
            </w:tcBorders>
            <w:vAlign w:val="bottom"/>
          </w:tcPr>
          <w:p w14:paraId="55833FA0" w14:textId="6E287187" w:rsidR="00813CAF" w:rsidRPr="00813CAF" w:rsidRDefault="00813CAF" w:rsidP="00813CAF">
            <w:pPr>
              <w:pStyle w:val="Titlefigure"/>
              <w:keepNext w:val="0"/>
              <w:keepLines w:val="0"/>
              <w:ind w:left="0"/>
              <w:rPr>
                <w:b w:val="0"/>
                <w:bCs/>
                <w:color w:val="000000"/>
                <w:sz w:val="18"/>
                <w:szCs w:val="18"/>
                <w:lang w:val="es-ES_tradnl"/>
              </w:rPr>
            </w:pPr>
            <w:r w:rsidRPr="00813CAF">
              <w:rPr>
                <w:b w:val="0"/>
                <w:bCs/>
                <w:color w:val="000000"/>
                <w:sz w:val="18"/>
                <w:szCs w:val="18"/>
                <w:lang w:val="es-ES_tradnl"/>
              </w:rPr>
              <w:t xml:space="preserve">Suiza </w:t>
            </w:r>
          </w:p>
        </w:tc>
        <w:tc>
          <w:tcPr>
            <w:tcW w:w="3827" w:type="dxa"/>
            <w:tcBorders>
              <w:top w:val="nil"/>
              <w:left w:val="nil"/>
              <w:bottom w:val="single" w:sz="2" w:space="0" w:color="auto"/>
              <w:right w:val="nil"/>
            </w:tcBorders>
          </w:tcPr>
          <w:p w14:paraId="272CBE02" w14:textId="09E19FA5" w:rsidR="00813CAF" w:rsidRPr="00813CAF" w:rsidRDefault="00813CAF" w:rsidP="00813CAF">
            <w:pPr>
              <w:pStyle w:val="Titlefigure"/>
              <w:ind w:left="0"/>
              <w:jc w:val="right"/>
              <w:rPr>
                <w:b w:val="0"/>
                <w:sz w:val="18"/>
                <w:szCs w:val="18"/>
                <w:lang w:val="es-ES_tradnl"/>
              </w:rPr>
            </w:pPr>
            <w:r>
              <w:rPr>
                <w:b w:val="0"/>
                <w:sz w:val="18"/>
                <w:szCs w:val="18"/>
                <w:lang w:val="es-ES_tradnl"/>
              </w:rPr>
              <w:t>1 243 145</w:t>
            </w:r>
          </w:p>
        </w:tc>
      </w:tr>
      <w:tr w:rsidR="00813CAF" w:rsidRPr="00813CAF" w14:paraId="01400F04" w14:textId="77777777" w:rsidTr="00813CAF">
        <w:tc>
          <w:tcPr>
            <w:tcW w:w="4282" w:type="dxa"/>
            <w:tcBorders>
              <w:top w:val="single" w:sz="2" w:space="0" w:color="auto"/>
              <w:left w:val="nil"/>
              <w:bottom w:val="single" w:sz="8" w:space="0" w:color="auto"/>
              <w:right w:val="nil"/>
            </w:tcBorders>
            <w:vAlign w:val="bottom"/>
          </w:tcPr>
          <w:p w14:paraId="0ED696A5" w14:textId="118CB90A" w:rsidR="00813CAF" w:rsidRPr="00813CAF" w:rsidRDefault="00813CAF" w:rsidP="00813CAF">
            <w:pPr>
              <w:pStyle w:val="Titlefigure"/>
              <w:keepNext w:val="0"/>
              <w:keepLines w:val="0"/>
              <w:ind w:left="0"/>
              <w:rPr>
                <w:color w:val="000000"/>
                <w:sz w:val="18"/>
                <w:szCs w:val="18"/>
                <w:lang w:val="es-ES_tradnl"/>
              </w:rPr>
            </w:pPr>
            <w:r w:rsidRPr="00813CAF">
              <w:rPr>
                <w:color w:val="000000"/>
                <w:sz w:val="18"/>
                <w:szCs w:val="18"/>
                <w:lang w:val="es-ES_tradnl"/>
              </w:rPr>
              <w:t>Total</w:t>
            </w:r>
          </w:p>
        </w:tc>
        <w:tc>
          <w:tcPr>
            <w:tcW w:w="3827" w:type="dxa"/>
            <w:tcBorders>
              <w:top w:val="single" w:sz="2" w:space="0" w:color="auto"/>
              <w:left w:val="nil"/>
              <w:bottom w:val="single" w:sz="8" w:space="0" w:color="auto"/>
              <w:right w:val="nil"/>
            </w:tcBorders>
          </w:tcPr>
          <w:p w14:paraId="595DDEFA" w14:textId="35069F18" w:rsidR="00813CAF" w:rsidRPr="00813CAF" w:rsidRDefault="00813CAF" w:rsidP="00813CAF">
            <w:pPr>
              <w:pStyle w:val="Titlefigure"/>
              <w:ind w:left="0"/>
              <w:jc w:val="right"/>
              <w:rPr>
                <w:sz w:val="18"/>
                <w:szCs w:val="18"/>
                <w:lang w:val="es-ES_tradnl"/>
              </w:rPr>
            </w:pPr>
            <w:r w:rsidRPr="00813CAF">
              <w:rPr>
                <w:sz w:val="18"/>
                <w:szCs w:val="18"/>
                <w:lang w:val="es-ES_tradnl"/>
              </w:rPr>
              <w:t>8 449 992</w:t>
            </w:r>
          </w:p>
        </w:tc>
      </w:tr>
    </w:tbl>
    <w:p w14:paraId="6F626243" w14:textId="28ED808A" w:rsidR="00FF1D0E" w:rsidRPr="00580557" w:rsidRDefault="00FF1D0E" w:rsidP="00813CAF">
      <w:pPr>
        <w:pStyle w:val="Titlefigure"/>
        <w:spacing w:before="240"/>
        <w:rPr>
          <w:lang w:val="es-ES_tradnl"/>
        </w:rPr>
      </w:pPr>
      <w:r w:rsidRPr="00580557">
        <w:rPr>
          <w:bCs/>
          <w:lang w:val="es-ES_tradnl"/>
        </w:rPr>
        <w:t>Contribuciones a la cuarta ronda de solicitudes (en dólares de los Estados Unidos)</w:t>
      </w:r>
    </w:p>
    <w:p w14:paraId="73AB05A5" w14:textId="007591FD" w:rsidR="00EC2C26" w:rsidRPr="00580557" w:rsidRDefault="00943A7F" w:rsidP="002763D1">
      <w:pPr>
        <w:pStyle w:val="Normal-pool"/>
        <w:jc w:val="center"/>
        <w:rPr>
          <w:lang w:val="es-ES_tradnl"/>
        </w:rPr>
      </w:pPr>
      <w:r w:rsidRPr="00624B35">
        <w:rPr>
          <w:noProof/>
          <w:lang w:val="es-ES_tradnl"/>
        </w:rPr>
        <mc:AlternateContent>
          <mc:Choice Requires="wps">
            <w:drawing>
              <wp:anchor distT="45720" distB="45720" distL="114300" distR="114300" simplePos="0" relativeHeight="251678720" behindDoc="0" locked="0" layoutInCell="1" allowOverlap="1" wp14:anchorId="2B6C329F" wp14:editId="26FC43B8">
                <wp:simplePos x="0" y="0"/>
                <wp:positionH relativeFrom="column">
                  <wp:posOffset>4402988</wp:posOffset>
                </wp:positionH>
                <wp:positionV relativeFrom="paragraph">
                  <wp:posOffset>2875711</wp:posOffset>
                </wp:positionV>
                <wp:extent cx="892175" cy="685139"/>
                <wp:effectExtent l="0" t="0" r="0" b="1270"/>
                <wp:wrapNone/>
                <wp:docPr id="1753147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685139"/>
                        </a:xfrm>
                        <a:prstGeom prst="rect">
                          <a:avLst/>
                        </a:prstGeom>
                        <a:noFill/>
                        <a:ln w="9525">
                          <a:noFill/>
                          <a:miter lim="800000"/>
                          <a:headEnd/>
                          <a:tailEnd/>
                        </a:ln>
                      </wps:spPr>
                      <wps:txbx>
                        <w:txbxContent>
                          <w:p w14:paraId="7C7C99D5" w14:textId="56394FBD" w:rsidR="00624B35" w:rsidRPr="00624B35" w:rsidRDefault="00624B35" w:rsidP="00624B35">
                            <w:pPr>
                              <w:jc w:val="center"/>
                              <w:rPr>
                                <w:rFonts w:eastAsia="Times New Roman"/>
                                <w:b/>
                                <w:bCs/>
                                <w:color w:val="FFFFFF" w:themeColor="background1"/>
                                <w:sz w:val="16"/>
                                <w:szCs w:val="16"/>
                                <w:lang w:val="es-ES" w:eastAsia="es-ES"/>
                              </w:rPr>
                            </w:pPr>
                            <w:r w:rsidRPr="00920108">
                              <w:rPr>
                                <w:b/>
                                <w:bCs/>
                                <w:color w:val="FFFFFF" w:themeColor="background1"/>
                                <w:sz w:val="16"/>
                                <w:szCs w:val="16"/>
                                <w:lang w:val="fr-FR"/>
                              </w:rPr>
                              <w:t xml:space="preserve">Reino Unido de Gran Bretaña e Irlanda del Norte </w:t>
                            </w:r>
                            <w:r w:rsidRPr="00920108">
                              <w:rPr>
                                <w:b/>
                                <w:bCs/>
                                <w:color w:val="FFFFFF" w:themeColor="background1"/>
                                <w:sz w:val="16"/>
                                <w:szCs w:val="16"/>
                                <w:lang w:val="fr-FR"/>
                              </w:rPr>
                              <w:br/>
                              <w:t>95.235,0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6C329F" id="_x0000_t202" coordsize="21600,21600" o:spt="202" path="m,l,21600r21600,l21600,xe">
                <v:stroke joinstyle="miter"/>
                <v:path gradientshapeok="t" o:connecttype="rect"/>
              </v:shapetype>
              <v:shape id="Text Box 2" o:spid="_x0000_s1026" type="#_x0000_t202" style="position:absolute;left:0;text-align:left;margin-left:346.7pt;margin-top:226.45pt;width:70.25pt;height:53.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" filled="f" stroked="f">
                <v:textbox>
                  <w:txbxContent>
                    <w:p w14:paraId="7C7C99D5" w14:textId="56394FBD" w:rsidR="00624B35" w:rsidRPr="00624B35" w:rsidRDefault="00624B35" w:rsidP="00624B35">
                      <w:pPr>
                        <w:jc w:val="center"/>
                        <w:rPr>
                          <w:rFonts w:eastAsia="Times New Roman"/>
                          <w:b/>
                          <w:bCs/>
                          <w:color w:val="FFFFFF" w:themeColor="background1"/>
                          <w:sz w:val="16"/>
                          <w:szCs w:val="16"/>
                          <w:lang w:val="es-ES" w:eastAsia="es-ES"/>
                        </w:rPr>
                      </w:pPr>
                      <w:r w:rsidRPr="00920108">
                        <w:rPr>
                          <w:b/>
                          <w:bCs/>
                          <w:color w:val="FFFFFF" w:themeColor="background1"/>
                          <w:sz w:val="16"/>
                          <w:szCs w:val="16"/>
                          <w:lang w:val="fr-FR"/>
                        </w:rPr>
                        <w:t xml:space="preserve">Reino </w:t>
                      </w:r>
                      <w:proofErr w:type="spellStart"/>
                      <w:r w:rsidRPr="00920108">
                        <w:rPr>
                          <w:b/>
                          <w:bCs/>
                          <w:color w:val="FFFFFF" w:themeColor="background1"/>
                          <w:sz w:val="16"/>
                          <w:szCs w:val="16"/>
                          <w:lang w:val="fr-FR"/>
                        </w:rPr>
                        <w:t>Unido</w:t>
                      </w:r>
                      <w:proofErr w:type="spellEnd"/>
                      <w:r w:rsidRPr="00920108">
                        <w:rPr>
                          <w:b/>
                          <w:bCs/>
                          <w:color w:val="FFFFFF" w:themeColor="background1"/>
                          <w:sz w:val="16"/>
                          <w:szCs w:val="16"/>
                          <w:lang w:val="fr-FR"/>
                        </w:rPr>
                        <w:t xml:space="preserve"> de Gran </w:t>
                      </w:r>
                      <w:proofErr w:type="spellStart"/>
                      <w:r w:rsidRPr="00920108">
                        <w:rPr>
                          <w:b/>
                          <w:bCs/>
                          <w:color w:val="FFFFFF" w:themeColor="background1"/>
                          <w:sz w:val="16"/>
                          <w:szCs w:val="16"/>
                          <w:lang w:val="fr-FR"/>
                        </w:rPr>
                        <w:t>Bretaña</w:t>
                      </w:r>
                      <w:proofErr w:type="spellEnd"/>
                      <w:r w:rsidRPr="00920108">
                        <w:rPr>
                          <w:b/>
                          <w:bCs/>
                          <w:color w:val="FFFFFF" w:themeColor="background1"/>
                          <w:sz w:val="16"/>
                          <w:szCs w:val="16"/>
                          <w:lang w:val="fr-FR"/>
                        </w:rPr>
                        <w:t xml:space="preserve"> e </w:t>
                      </w:r>
                      <w:proofErr w:type="spellStart"/>
                      <w:r w:rsidRPr="00920108">
                        <w:rPr>
                          <w:b/>
                          <w:bCs/>
                          <w:color w:val="FFFFFF" w:themeColor="background1"/>
                          <w:sz w:val="16"/>
                          <w:szCs w:val="16"/>
                          <w:lang w:val="fr-FR"/>
                        </w:rPr>
                        <w:t>Irlanda</w:t>
                      </w:r>
                      <w:proofErr w:type="spellEnd"/>
                      <w:r w:rsidRPr="00920108">
                        <w:rPr>
                          <w:b/>
                          <w:bCs/>
                          <w:color w:val="FFFFFF" w:themeColor="background1"/>
                          <w:sz w:val="16"/>
                          <w:szCs w:val="16"/>
                          <w:lang w:val="fr-FR"/>
                        </w:rPr>
                        <w:t xml:space="preserve"> </w:t>
                      </w:r>
                      <w:proofErr w:type="spellStart"/>
                      <w:r w:rsidRPr="00920108">
                        <w:rPr>
                          <w:b/>
                          <w:bCs/>
                          <w:color w:val="FFFFFF" w:themeColor="background1"/>
                          <w:sz w:val="16"/>
                          <w:szCs w:val="16"/>
                          <w:lang w:val="fr-FR"/>
                        </w:rPr>
                        <w:t>del</w:t>
                      </w:r>
                      <w:proofErr w:type="spellEnd"/>
                      <w:r w:rsidRPr="00920108">
                        <w:rPr>
                          <w:b/>
                          <w:bCs/>
                          <w:color w:val="FFFFFF" w:themeColor="background1"/>
                          <w:sz w:val="16"/>
                          <w:szCs w:val="16"/>
                          <w:lang w:val="fr-FR"/>
                        </w:rPr>
                        <w:t xml:space="preserve"> Norte </w:t>
                      </w:r>
                      <w:r w:rsidRPr="00920108">
                        <w:rPr>
                          <w:b/>
                          <w:bCs/>
                          <w:color w:val="FFFFFF" w:themeColor="background1"/>
                          <w:sz w:val="16"/>
                          <w:szCs w:val="16"/>
                          <w:lang w:val="fr-FR"/>
                        </w:rPr>
                        <w:br/>
                        <w:t>95.235,0</w:t>
                      </w:r>
                    </w:p>
                  </w:txbxContent>
                </v:textbox>
              </v:shape>
            </w:pict>
          </mc:Fallback>
        </mc:AlternateContent>
      </w:r>
      <w:r w:rsidRPr="00624B35">
        <w:rPr>
          <w:noProof/>
          <w:lang w:val="es-ES_tradnl"/>
        </w:rPr>
        <mc:AlternateContent>
          <mc:Choice Requires="wps">
            <w:drawing>
              <wp:anchor distT="45720" distB="45720" distL="114300" distR="114300" simplePos="0" relativeHeight="251662336" behindDoc="0" locked="0" layoutInCell="1" allowOverlap="1" wp14:anchorId="29602ACC" wp14:editId="50BE8C5C">
                <wp:simplePos x="0" y="0"/>
                <wp:positionH relativeFrom="column">
                  <wp:posOffset>-30632</wp:posOffset>
                </wp:positionH>
                <wp:positionV relativeFrom="paragraph">
                  <wp:posOffset>3245027</wp:posOffset>
                </wp:positionV>
                <wp:extent cx="892454"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54" cy="1404620"/>
                        </a:xfrm>
                        <a:prstGeom prst="rect">
                          <a:avLst/>
                        </a:prstGeom>
                        <a:noFill/>
                        <a:ln w="9525">
                          <a:noFill/>
                          <a:miter lim="800000"/>
                          <a:headEnd/>
                          <a:tailEnd/>
                        </a:ln>
                      </wps:spPr>
                      <wps:txbx>
                        <w:txbxContent>
                          <w:p w14:paraId="1FF4CCC2" w14:textId="7605B949" w:rsidR="00624B35" w:rsidRPr="00624B35" w:rsidRDefault="00624B35" w:rsidP="00624B35">
                            <w:pPr>
                              <w:jc w:val="center"/>
                              <w:rPr>
                                <w:rFonts w:eastAsia="Times New Roman"/>
                                <w:b/>
                                <w:bCs/>
                                <w:color w:val="FFFFFF" w:themeColor="background1"/>
                                <w:sz w:val="16"/>
                                <w:szCs w:val="16"/>
                                <w:lang w:val="es-ES" w:eastAsia="es-ES"/>
                              </w:rPr>
                            </w:pPr>
                            <w:r w:rsidRPr="00624B35">
                              <w:rPr>
                                <w:b/>
                                <w:bCs/>
                                <w:color w:val="FFFFFF" w:themeColor="background1"/>
                                <w:sz w:val="16"/>
                                <w:szCs w:val="16"/>
                              </w:rPr>
                              <w:t xml:space="preserve">Alemania </w:t>
                            </w:r>
                            <w:r w:rsidRPr="00624B35">
                              <w:rPr>
                                <w:rFonts w:eastAsia="Times New Roman"/>
                                <w:b/>
                                <w:bCs/>
                                <w:color w:val="FFFFFF" w:themeColor="background1"/>
                                <w:sz w:val="16"/>
                                <w:szCs w:val="16"/>
                                <w:lang w:val="es-ES" w:eastAsia="es-ES"/>
                              </w:rPr>
                              <w:t>643.718,0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29602ACC" id="_x0000_s1027" type="#_x0000_t202" style="position:absolute;left:0;text-align:left;margin-left:-2.4pt;margin-top:255.5pt;width:70.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sF/AEAANQ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" filled="f" stroked="f">
                <v:textbox style="mso-fit-shape-to-text:t">
                  <w:txbxContent>
                    <w:p w14:paraId="1FF4CCC2" w14:textId="7605B949" w:rsidR="00624B35" w:rsidRPr="00624B35" w:rsidRDefault="00624B35" w:rsidP="00624B35">
                      <w:pPr>
                        <w:jc w:val="center"/>
                        <w:rPr>
                          <w:rFonts w:eastAsia="Times New Roman"/>
                          <w:b/>
                          <w:bCs/>
                          <w:color w:val="FFFFFF" w:themeColor="background1"/>
                          <w:sz w:val="16"/>
                          <w:szCs w:val="16"/>
                          <w:lang w:val="es-ES" w:eastAsia="es-ES"/>
                        </w:rPr>
                      </w:pPr>
                      <w:r w:rsidRPr="00624B35">
                        <w:rPr>
                          <w:b/>
                          <w:bCs/>
                          <w:color w:val="FFFFFF" w:themeColor="background1"/>
                          <w:sz w:val="16"/>
                          <w:szCs w:val="16"/>
                        </w:rPr>
                        <w:t xml:space="preserve">Alemania </w:t>
                      </w:r>
                      <w:r w:rsidRPr="00624B35">
                        <w:rPr>
                          <w:rFonts w:eastAsia="Times New Roman"/>
                          <w:b/>
                          <w:bCs/>
                          <w:color w:val="FFFFFF" w:themeColor="background1"/>
                          <w:sz w:val="16"/>
                          <w:szCs w:val="16"/>
                          <w:lang w:val="es-ES" w:eastAsia="es-ES"/>
                        </w:rPr>
                        <w:t>643.718,0</w:t>
                      </w:r>
                    </w:p>
                  </w:txbxContent>
                </v:textbox>
              </v:shape>
            </w:pict>
          </mc:Fallback>
        </mc:AlternateContent>
      </w:r>
      <w:r w:rsidRPr="00624B35">
        <w:rPr>
          <w:noProof/>
          <w:lang w:val="es-ES_tradnl"/>
        </w:rPr>
        <mc:AlternateContent>
          <mc:Choice Requires="wps">
            <w:drawing>
              <wp:anchor distT="45720" distB="45720" distL="114300" distR="114300" simplePos="0" relativeHeight="251676672" behindDoc="0" locked="0" layoutInCell="1" allowOverlap="1" wp14:anchorId="3A649BCA" wp14:editId="555BD588">
                <wp:simplePos x="0" y="0"/>
                <wp:positionH relativeFrom="column">
                  <wp:posOffset>5082286</wp:posOffset>
                </wp:positionH>
                <wp:positionV relativeFrom="paragraph">
                  <wp:posOffset>2369897</wp:posOffset>
                </wp:positionV>
                <wp:extent cx="892454" cy="1404620"/>
                <wp:effectExtent l="0" t="0" r="0" b="0"/>
                <wp:wrapNone/>
                <wp:docPr id="1604895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54" cy="1404620"/>
                        </a:xfrm>
                        <a:prstGeom prst="rect">
                          <a:avLst/>
                        </a:prstGeom>
                        <a:noFill/>
                        <a:ln w="9525">
                          <a:noFill/>
                          <a:miter lim="800000"/>
                          <a:headEnd/>
                          <a:tailEnd/>
                        </a:ln>
                      </wps:spPr>
                      <wps:txbx>
                        <w:txbxContent>
                          <w:p w14:paraId="56A48DD6" w14:textId="26F6AE12" w:rsidR="00624B35" w:rsidRPr="00624B35" w:rsidRDefault="00624B35" w:rsidP="00624B35">
                            <w:pPr>
                              <w:jc w:val="center"/>
                              <w:rPr>
                                <w:rFonts w:eastAsia="Times New Roman"/>
                                <w:b/>
                                <w:bCs/>
                                <w:color w:val="FFFFFF" w:themeColor="background1"/>
                                <w:sz w:val="16"/>
                                <w:szCs w:val="16"/>
                                <w:lang w:val="es-ES" w:eastAsia="es-ES"/>
                              </w:rPr>
                            </w:pPr>
                            <w:r w:rsidRPr="00624B35">
                              <w:rPr>
                                <w:b/>
                                <w:bCs/>
                                <w:color w:val="FFFFFF" w:themeColor="background1"/>
                                <w:sz w:val="16"/>
                                <w:szCs w:val="16"/>
                              </w:rPr>
                              <w:t>Noruega</w:t>
                            </w:r>
                            <w:r>
                              <w:rPr>
                                <w:b/>
                                <w:bCs/>
                                <w:color w:val="FFFFFF" w:themeColor="background1"/>
                                <w:sz w:val="16"/>
                                <w:szCs w:val="16"/>
                              </w:rPr>
                              <w:t xml:space="preserve"> </w:t>
                            </w:r>
                            <w:r w:rsidRPr="00624B35">
                              <w:rPr>
                                <w:rFonts w:eastAsia="Times New Roman"/>
                                <w:b/>
                                <w:bCs/>
                                <w:color w:val="FFFFFF" w:themeColor="background1"/>
                                <w:sz w:val="16"/>
                                <w:szCs w:val="16"/>
                                <w:lang w:val="es-ES" w:eastAsia="es-ES"/>
                              </w:rPr>
                              <w:t>110.522,0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3A649BCA" id="_x0000_s1028" type="#_x0000_t202" style="position:absolute;left:0;text-align:left;margin-left:400.2pt;margin-top:186.6pt;width:70.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" filled="f" stroked="f">
                <v:textbox style="mso-fit-shape-to-text:t">
                  <w:txbxContent>
                    <w:p w14:paraId="56A48DD6" w14:textId="26F6AE12" w:rsidR="00624B35" w:rsidRPr="00624B35" w:rsidRDefault="00624B35" w:rsidP="00624B35">
                      <w:pPr>
                        <w:jc w:val="center"/>
                        <w:rPr>
                          <w:rFonts w:eastAsia="Times New Roman"/>
                          <w:b/>
                          <w:bCs/>
                          <w:color w:val="FFFFFF" w:themeColor="background1"/>
                          <w:sz w:val="16"/>
                          <w:szCs w:val="16"/>
                          <w:lang w:val="es-ES" w:eastAsia="es-ES"/>
                        </w:rPr>
                      </w:pPr>
                      <w:proofErr w:type="spellStart"/>
                      <w:r w:rsidRPr="00624B35">
                        <w:rPr>
                          <w:b/>
                          <w:bCs/>
                          <w:color w:val="FFFFFF" w:themeColor="background1"/>
                          <w:sz w:val="16"/>
                          <w:szCs w:val="16"/>
                        </w:rPr>
                        <w:t>Noruega</w:t>
                      </w:r>
                      <w:proofErr w:type="spellEnd"/>
                      <w:r>
                        <w:rPr>
                          <w:b/>
                          <w:bCs/>
                          <w:color w:val="FFFFFF" w:themeColor="background1"/>
                          <w:sz w:val="16"/>
                          <w:szCs w:val="16"/>
                        </w:rPr>
                        <w:t xml:space="preserve"> </w:t>
                      </w:r>
                      <w:r w:rsidRPr="00624B35">
                        <w:rPr>
                          <w:rFonts w:eastAsia="Times New Roman"/>
                          <w:b/>
                          <w:bCs/>
                          <w:color w:val="FFFFFF" w:themeColor="background1"/>
                          <w:sz w:val="16"/>
                          <w:szCs w:val="16"/>
                          <w:lang w:val="es-ES" w:eastAsia="es-ES"/>
                        </w:rPr>
                        <w:t>110.522,0</w:t>
                      </w:r>
                    </w:p>
                  </w:txbxContent>
                </v:textbox>
              </v:shape>
            </w:pict>
          </mc:Fallback>
        </mc:AlternateContent>
      </w:r>
      <w:r w:rsidRPr="00624B35">
        <w:rPr>
          <w:noProof/>
          <w:lang w:val="es-ES_tradnl"/>
        </w:rPr>
        <mc:AlternateContent>
          <mc:Choice Requires="wps">
            <w:drawing>
              <wp:anchor distT="45720" distB="45720" distL="114300" distR="114300" simplePos="0" relativeHeight="251668480" behindDoc="0" locked="0" layoutInCell="1" allowOverlap="1" wp14:anchorId="629A8B97" wp14:editId="269F64D0">
                <wp:simplePos x="0" y="0"/>
                <wp:positionH relativeFrom="column">
                  <wp:posOffset>4402937</wp:posOffset>
                </wp:positionH>
                <wp:positionV relativeFrom="paragraph">
                  <wp:posOffset>993927</wp:posOffset>
                </wp:positionV>
                <wp:extent cx="892454" cy="1404620"/>
                <wp:effectExtent l="0" t="0" r="0" b="0"/>
                <wp:wrapNone/>
                <wp:docPr id="730807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54" cy="1404620"/>
                        </a:xfrm>
                        <a:prstGeom prst="rect">
                          <a:avLst/>
                        </a:prstGeom>
                        <a:noFill/>
                        <a:ln w="9525">
                          <a:noFill/>
                          <a:miter lim="800000"/>
                          <a:headEnd/>
                          <a:tailEnd/>
                        </a:ln>
                      </wps:spPr>
                      <wps:txbx>
                        <w:txbxContent>
                          <w:p w14:paraId="468539DF" w14:textId="32D8E9E1" w:rsidR="00624B35" w:rsidRPr="00624B35" w:rsidRDefault="00624B35" w:rsidP="00624B35">
                            <w:pPr>
                              <w:jc w:val="center"/>
                              <w:rPr>
                                <w:rFonts w:eastAsia="Times New Roman"/>
                                <w:b/>
                                <w:bCs/>
                                <w:color w:val="FFFFFF" w:themeColor="background1"/>
                                <w:sz w:val="16"/>
                                <w:szCs w:val="16"/>
                                <w:lang w:val="es-ES_tradnl" w:eastAsia="es-ES"/>
                              </w:rPr>
                            </w:pPr>
                            <w:r w:rsidRPr="00624B35">
                              <w:rPr>
                                <w:b/>
                                <w:bCs/>
                                <w:color w:val="FFFFFF" w:themeColor="background1"/>
                                <w:sz w:val="16"/>
                                <w:szCs w:val="16"/>
                                <w:lang w:val="es-ES_tradnl"/>
                              </w:rPr>
                              <w:t xml:space="preserve">Suecia </w:t>
                            </w:r>
                            <w:r w:rsidRPr="00624B35">
                              <w:rPr>
                                <w:rFonts w:eastAsia="Times New Roman"/>
                                <w:b/>
                                <w:bCs/>
                                <w:color w:val="FFFFFF" w:themeColor="background1"/>
                                <w:sz w:val="16"/>
                                <w:szCs w:val="16"/>
                                <w:lang w:val="es-ES_tradnl" w:eastAsia="es-ES"/>
                              </w:rPr>
                              <w:t>193.673,0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629A8B97" id="_x0000_s1029" type="#_x0000_t202" style="position:absolute;left:0;text-align:left;margin-left:346.7pt;margin-top:78.25pt;width:70.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" filled="f" stroked="f">
                <v:textbox style="mso-fit-shape-to-text:t">
                  <w:txbxContent>
                    <w:p w14:paraId="468539DF" w14:textId="32D8E9E1" w:rsidR="00624B35" w:rsidRPr="00624B35" w:rsidRDefault="00624B35" w:rsidP="00624B35">
                      <w:pPr>
                        <w:jc w:val="center"/>
                        <w:rPr>
                          <w:rFonts w:eastAsia="Times New Roman"/>
                          <w:b/>
                          <w:bCs/>
                          <w:color w:val="FFFFFF" w:themeColor="background1"/>
                          <w:sz w:val="16"/>
                          <w:szCs w:val="16"/>
                          <w:lang w:val="es-ES_tradnl" w:eastAsia="es-ES"/>
                        </w:rPr>
                      </w:pPr>
                      <w:r w:rsidRPr="00624B35">
                        <w:rPr>
                          <w:b/>
                          <w:bCs/>
                          <w:color w:val="FFFFFF" w:themeColor="background1"/>
                          <w:sz w:val="16"/>
                          <w:szCs w:val="16"/>
                          <w:lang w:val="es-ES_tradnl"/>
                        </w:rPr>
                        <w:t xml:space="preserve">Suecia </w:t>
                      </w:r>
                      <w:r w:rsidRPr="00624B35">
                        <w:rPr>
                          <w:rFonts w:eastAsia="Times New Roman"/>
                          <w:b/>
                          <w:bCs/>
                          <w:color w:val="FFFFFF" w:themeColor="background1"/>
                          <w:sz w:val="16"/>
                          <w:szCs w:val="16"/>
                          <w:lang w:val="es-ES_tradnl" w:eastAsia="es-ES"/>
                        </w:rPr>
                        <w:t>193.673,0</w:t>
                      </w:r>
                    </w:p>
                  </w:txbxContent>
                </v:textbox>
              </v:shape>
            </w:pict>
          </mc:Fallback>
        </mc:AlternateContent>
      </w:r>
      <w:r w:rsidRPr="00624B35">
        <w:rPr>
          <w:noProof/>
          <w:lang w:val="es-ES_tradnl"/>
        </w:rPr>
        <mc:AlternateContent>
          <mc:Choice Requires="wps">
            <w:drawing>
              <wp:anchor distT="45720" distB="45720" distL="114300" distR="114300" simplePos="0" relativeHeight="251674624" behindDoc="0" locked="0" layoutInCell="1" allowOverlap="1" wp14:anchorId="6B0D7531" wp14:editId="354AB87D">
                <wp:simplePos x="0" y="0"/>
                <wp:positionH relativeFrom="column">
                  <wp:posOffset>4271112</wp:posOffset>
                </wp:positionH>
                <wp:positionV relativeFrom="paragraph">
                  <wp:posOffset>2353056</wp:posOffset>
                </wp:positionV>
                <wp:extent cx="811987" cy="1404620"/>
                <wp:effectExtent l="0" t="0" r="0" b="0"/>
                <wp:wrapNone/>
                <wp:docPr id="2002222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87" cy="1404620"/>
                        </a:xfrm>
                        <a:prstGeom prst="rect">
                          <a:avLst/>
                        </a:prstGeom>
                        <a:noFill/>
                        <a:ln w="9525">
                          <a:noFill/>
                          <a:miter lim="800000"/>
                          <a:headEnd/>
                          <a:tailEnd/>
                        </a:ln>
                      </wps:spPr>
                      <wps:txbx>
                        <w:txbxContent>
                          <w:p w14:paraId="605A88AE" w14:textId="5A7BC59A" w:rsidR="00624B35" w:rsidRPr="00624B35" w:rsidRDefault="00624B35" w:rsidP="00624B35">
                            <w:pPr>
                              <w:jc w:val="center"/>
                              <w:rPr>
                                <w:rFonts w:eastAsia="Times New Roman"/>
                                <w:b/>
                                <w:bCs/>
                                <w:color w:val="FFFFFF" w:themeColor="background1"/>
                                <w:sz w:val="16"/>
                                <w:szCs w:val="16"/>
                                <w:lang w:val="es-ES" w:eastAsia="es-ES"/>
                              </w:rPr>
                            </w:pPr>
                            <w:r w:rsidRPr="00624B35">
                              <w:rPr>
                                <w:b/>
                                <w:bCs/>
                                <w:color w:val="FFFFFF" w:themeColor="background1"/>
                                <w:sz w:val="16"/>
                                <w:szCs w:val="16"/>
                              </w:rPr>
                              <w:t>Suiza</w:t>
                            </w:r>
                            <w:r>
                              <w:rPr>
                                <w:b/>
                                <w:bCs/>
                                <w:color w:val="FFFFFF" w:themeColor="background1"/>
                                <w:sz w:val="16"/>
                                <w:szCs w:val="16"/>
                              </w:rPr>
                              <w:t xml:space="preserve"> </w:t>
                            </w:r>
                            <w:r w:rsidRPr="00624B35">
                              <w:rPr>
                                <w:rFonts w:eastAsia="Times New Roman"/>
                                <w:b/>
                                <w:bCs/>
                                <w:color w:val="FFFFFF" w:themeColor="background1"/>
                                <w:sz w:val="16"/>
                                <w:szCs w:val="16"/>
                                <w:lang w:val="es-ES" w:eastAsia="es-ES"/>
                              </w:rPr>
                              <w:t>128.276,0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6B0D7531" id="_x0000_s1030" type="#_x0000_t202" style="position:absolute;left:0;text-align:left;margin-left:336.3pt;margin-top:185.3pt;width:63.9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" filled="f" stroked="f">
                <v:textbox style="mso-fit-shape-to-text:t">
                  <w:txbxContent>
                    <w:p w14:paraId="605A88AE" w14:textId="5A7BC59A" w:rsidR="00624B35" w:rsidRPr="00624B35" w:rsidRDefault="00624B35" w:rsidP="00624B35">
                      <w:pPr>
                        <w:jc w:val="center"/>
                        <w:rPr>
                          <w:rFonts w:eastAsia="Times New Roman"/>
                          <w:b/>
                          <w:bCs/>
                          <w:color w:val="FFFFFF" w:themeColor="background1"/>
                          <w:sz w:val="16"/>
                          <w:szCs w:val="16"/>
                          <w:lang w:val="es-ES" w:eastAsia="es-ES"/>
                        </w:rPr>
                      </w:pPr>
                      <w:r w:rsidRPr="00624B35">
                        <w:rPr>
                          <w:b/>
                          <w:bCs/>
                          <w:color w:val="FFFFFF" w:themeColor="background1"/>
                          <w:sz w:val="16"/>
                          <w:szCs w:val="16"/>
                        </w:rPr>
                        <w:t>Suiza</w:t>
                      </w:r>
                      <w:r>
                        <w:rPr>
                          <w:b/>
                          <w:bCs/>
                          <w:color w:val="FFFFFF" w:themeColor="background1"/>
                          <w:sz w:val="16"/>
                          <w:szCs w:val="16"/>
                        </w:rPr>
                        <w:t xml:space="preserve"> </w:t>
                      </w:r>
                      <w:r w:rsidRPr="00624B35">
                        <w:rPr>
                          <w:rFonts w:eastAsia="Times New Roman"/>
                          <w:b/>
                          <w:bCs/>
                          <w:color w:val="FFFFFF" w:themeColor="background1"/>
                          <w:sz w:val="16"/>
                          <w:szCs w:val="16"/>
                          <w:lang w:val="es-ES" w:eastAsia="es-ES"/>
                        </w:rPr>
                        <w:t>128.276,0</w:t>
                      </w:r>
                    </w:p>
                  </w:txbxContent>
                </v:textbox>
              </v:shape>
            </w:pict>
          </mc:Fallback>
        </mc:AlternateContent>
      </w:r>
      <w:r w:rsidRPr="00624B35">
        <w:rPr>
          <w:noProof/>
          <w:lang w:val="es-ES_tradnl"/>
        </w:rPr>
        <mc:AlternateContent>
          <mc:Choice Requires="wps">
            <w:drawing>
              <wp:anchor distT="45720" distB="45720" distL="114300" distR="114300" simplePos="0" relativeHeight="251672576" behindDoc="0" locked="0" layoutInCell="1" allowOverlap="1" wp14:anchorId="35509A90" wp14:editId="3244E8DA">
                <wp:simplePos x="0" y="0"/>
                <wp:positionH relativeFrom="column">
                  <wp:posOffset>2895829</wp:posOffset>
                </wp:positionH>
                <wp:positionV relativeFrom="paragraph">
                  <wp:posOffset>3225444</wp:posOffset>
                </wp:positionV>
                <wp:extent cx="892454" cy="1404620"/>
                <wp:effectExtent l="0" t="0" r="0" b="0"/>
                <wp:wrapNone/>
                <wp:docPr id="1840331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54" cy="1404620"/>
                        </a:xfrm>
                        <a:prstGeom prst="rect">
                          <a:avLst/>
                        </a:prstGeom>
                        <a:noFill/>
                        <a:ln w="9525">
                          <a:noFill/>
                          <a:miter lim="800000"/>
                          <a:headEnd/>
                          <a:tailEnd/>
                        </a:ln>
                      </wps:spPr>
                      <wps:txbx>
                        <w:txbxContent>
                          <w:p w14:paraId="7A360DD4" w14:textId="42D7859A" w:rsidR="00624B35" w:rsidRPr="00624B35" w:rsidRDefault="00624B35" w:rsidP="00624B35">
                            <w:pPr>
                              <w:jc w:val="center"/>
                              <w:rPr>
                                <w:rFonts w:eastAsia="Times New Roman"/>
                                <w:b/>
                                <w:bCs/>
                                <w:color w:val="FFFFFF" w:themeColor="background1"/>
                                <w:sz w:val="16"/>
                                <w:szCs w:val="16"/>
                                <w:lang w:val="es-ES" w:eastAsia="es-ES"/>
                              </w:rPr>
                            </w:pPr>
                            <w:r w:rsidRPr="00624B35">
                              <w:rPr>
                                <w:b/>
                                <w:bCs/>
                                <w:color w:val="FFFFFF" w:themeColor="background1"/>
                                <w:sz w:val="16"/>
                                <w:szCs w:val="16"/>
                                <w:lang w:val="es-ES"/>
                              </w:rPr>
                              <w:t xml:space="preserve">Países Bajos </w:t>
                            </w:r>
                            <w:r w:rsidRPr="00624B35">
                              <w:rPr>
                                <w:rFonts w:eastAsia="Times New Roman"/>
                                <w:b/>
                                <w:bCs/>
                                <w:color w:val="FFFFFF" w:themeColor="background1"/>
                                <w:sz w:val="16"/>
                                <w:szCs w:val="16"/>
                                <w:lang w:val="es-ES" w:eastAsia="es-ES"/>
                              </w:rPr>
                              <w:t>172.826,0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35509A90" id="_x0000_s1031" type="#_x0000_t202" style="position:absolute;left:0;text-align:left;margin-left:228pt;margin-top:253.95pt;width:70.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" filled="f" stroked="f">
                <v:textbox style="mso-fit-shape-to-text:t">
                  <w:txbxContent>
                    <w:p w14:paraId="7A360DD4" w14:textId="42D7859A" w:rsidR="00624B35" w:rsidRPr="00624B35" w:rsidRDefault="00624B35" w:rsidP="00624B35">
                      <w:pPr>
                        <w:jc w:val="center"/>
                        <w:rPr>
                          <w:rFonts w:eastAsia="Times New Roman"/>
                          <w:b/>
                          <w:bCs/>
                          <w:color w:val="FFFFFF" w:themeColor="background1"/>
                          <w:sz w:val="16"/>
                          <w:szCs w:val="16"/>
                          <w:lang w:val="es-ES" w:eastAsia="es-ES"/>
                        </w:rPr>
                      </w:pPr>
                      <w:r w:rsidRPr="00624B35">
                        <w:rPr>
                          <w:b/>
                          <w:bCs/>
                          <w:color w:val="FFFFFF" w:themeColor="background1"/>
                          <w:sz w:val="16"/>
                          <w:szCs w:val="16"/>
                          <w:lang w:val="es-ES"/>
                        </w:rPr>
                        <w:t xml:space="preserve">Países Bajos </w:t>
                      </w:r>
                      <w:r w:rsidRPr="00624B35">
                        <w:rPr>
                          <w:rFonts w:eastAsia="Times New Roman"/>
                          <w:b/>
                          <w:bCs/>
                          <w:color w:val="FFFFFF" w:themeColor="background1"/>
                          <w:sz w:val="16"/>
                          <w:szCs w:val="16"/>
                          <w:lang w:val="es-ES" w:eastAsia="es-ES"/>
                        </w:rPr>
                        <w:t>172.826,0</w:t>
                      </w:r>
                    </w:p>
                  </w:txbxContent>
                </v:textbox>
              </v:shape>
            </w:pict>
          </mc:Fallback>
        </mc:AlternateContent>
      </w:r>
      <w:r w:rsidRPr="00624B35">
        <w:rPr>
          <w:noProof/>
          <w:lang w:val="es-ES_tradnl"/>
        </w:rPr>
        <mc:AlternateContent>
          <mc:Choice Requires="wps">
            <w:drawing>
              <wp:anchor distT="45720" distB="45720" distL="114300" distR="114300" simplePos="0" relativeHeight="251670528" behindDoc="0" locked="0" layoutInCell="1" allowOverlap="1" wp14:anchorId="77203E7B" wp14:editId="2A4FE72F">
                <wp:simplePos x="0" y="0"/>
                <wp:positionH relativeFrom="column">
                  <wp:posOffset>2808047</wp:posOffset>
                </wp:positionH>
                <wp:positionV relativeFrom="paragraph">
                  <wp:posOffset>2114067</wp:posOffset>
                </wp:positionV>
                <wp:extent cx="892175" cy="385216"/>
                <wp:effectExtent l="0" t="0" r="0" b="0"/>
                <wp:wrapNone/>
                <wp:docPr id="325927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385216"/>
                        </a:xfrm>
                        <a:prstGeom prst="rect">
                          <a:avLst/>
                        </a:prstGeom>
                        <a:noFill/>
                        <a:ln w="9525">
                          <a:noFill/>
                          <a:miter lim="800000"/>
                          <a:headEnd/>
                          <a:tailEnd/>
                        </a:ln>
                      </wps:spPr>
                      <wps:txbx>
                        <w:txbxContent>
                          <w:p w14:paraId="5CFE9E1F" w14:textId="56C80F82" w:rsidR="00624B35" w:rsidRPr="00624B35" w:rsidRDefault="00624B35" w:rsidP="00624B35">
                            <w:pPr>
                              <w:jc w:val="center"/>
                              <w:rPr>
                                <w:rFonts w:eastAsia="Times New Roman"/>
                                <w:b/>
                                <w:bCs/>
                                <w:color w:val="FFFFFF" w:themeColor="background1"/>
                                <w:sz w:val="16"/>
                                <w:szCs w:val="16"/>
                                <w:lang w:val="es-ES" w:eastAsia="es-ES"/>
                              </w:rPr>
                            </w:pPr>
                            <w:r w:rsidRPr="00624B35">
                              <w:rPr>
                                <w:b/>
                                <w:bCs/>
                                <w:color w:val="FFFFFF" w:themeColor="background1"/>
                                <w:sz w:val="16"/>
                                <w:szCs w:val="16"/>
                              </w:rPr>
                              <w:t>Austria</w:t>
                            </w:r>
                            <w:r>
                              <w:rPr>
                                <w:b/>
                                <w:bCs/>
                                <w:color w:val="FFFFFF" w:themeColor="background1"/>
                                <w:sz w:val="16"/>
                                <w:szCs w:val="16"/>
                              </w:rPr>
                              <w:t xml:space="preserve"> </w:t>
                            </w:r>
                            <w:r w:rsidRPr="00624B35">
                              <w:rPr>
                                <w:rFonts w:eastAsia="Times New Roman"/>
                                <w:b/>
                                <w:bCs/>
                                <w:color w:val="FFFFFF" w:themeColor="background1"/>
                                <w:sz w:val="16"/>
                                <w:szCs w:val="16"/>
                                <w:lang w:val="es-ES" w:eastAsia="es-ES"/>
                              </w:rPr>
                              <w:t>184.721,0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7203E7B" id="_x0000_s1032" type="#_x0000_t202" style="position:absolute;left:0;text-align:left;margin-left:221.1pt;margin-top:166.45pt;width:70.25pt;height:30.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" filled="f" stroked="f">
                <v:textbox>
                  <w:txbxContent>
                    <w:p w14:paraId="5CFE9E1F" w14:textId="56C80F82" w:rsidR="00624B35" w:rsidRPr="00624B35" w:rsidRDefault="00624B35" w:rsidP="00624B35">
                      <w:pPr>
                        <w:jc w:val="center"/>
                        <w:rPr>
                          <w:rFonts w:eastAsia="Times New Roman"/>
                          <w:b/>
                          <w:bCs/>
                          <w:color w:val="FFFFFF" w:themeColor="background1"/>
                          <w:sz w:val="16"/>
                          <w:szCs w:val="16"/>
                          <w:lang w:val="es-ES" w:eastAsia="es-ES"/>
                        </w:rPr>
                      </w:pPr>
                      <w:r w:rsidRPr="00624B35">
                        <w:rPr>
                          <w:b/>
                          <w:bCs/>
                          <w:color w:val="FFFFFF" w:themeColor="background1"/>
                          <w:sz w:val="16"/>
                          <w:szCs w:val="16"/>
                        </w:rPr>
                        <w:t>Austria</w:t>
                      </w:r>
                      <w:r>
                        <w:rPr>
                          <w:b/>
                          <w:bCs/>
                          <w:color w:val="FFFFFF" w:themeColor="background1"/>
                          <w:sz w:val="16"/>
                          <w:szCs w:val="16"/>
                        </w:rPr>
                        <w:t xml:space="preserve"> </w:t>
                      </w:r>
                      <w:r w:rsidRPr="00624B35">
                        <w:rPr>
                          <w:rFonts w:eastAsia="Times New Roman"/>
                          <w:b/>
                          <w:bCs/>
                          <w:color w:val="FFFFFF" w:themeColor="background1"/>
                          <w:sz w:val="16"/>
                          <w:szCs w:val="16"/>
                          <w:lang w:val="es-ES" w:eastAsia="es-ES"/>
                        </w:rPr>
                        <w:t>184.721,0</w:t>
                      </w:r>
                    </w:p>
                  </w:txbxContent>
                </v:textbox>
              </v:shape>
            </w:pict>
          </mc:Fallback>
        </mc:AlternateContent>
      </w:r>
      <w:r w:rsidRPr="00624B35">
        <w:rPr>
          <w:noProof/>
          <w:lang w:val="es-ES_tradnl"/>
        </w:rPr>
        <mc:AlternateContent>
          <mc:Choice Requires="wps">
            <w:drawing>
              <wp:anchor distT="45720" distB="45720" distL="114300" distR="114300" simplePos="0" relativeHeight="251666432" behindDoc="0" locked="0" layoutInCell="1" allowOverlap="1" wp14:anchorId="5431528B" wp14:editId="69CB538A">
                <wp:simplePos x="0" y="0"/>
                <wp:positionH relativeFrom="column">
                  <wp:posOffset>2954477</wp:posOffset>
                </wp:positionH>
                <wp:positionV relativeFrom="paragraph">
                  <wp:posOffset>986765</wp:posOffset>
                </wp:positionV>
                <wp:extent cx="892454" cy="1404620"/>
                <wp:effectExtent l="0" t="0" r="0" b="0"/>
                <wp:wrapNone/>
                <wp:docPr id="882725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54" cy="1404620"/>
                        </a:xfrm>
                        <a:prstGeom prst="rect">
                          <a:avLst/>
                        </a:prstGeom>
                        <a:noFill/>
                        <a:ln w="9525">
                          <a:noFill/>
                          <a:miter lim="800000"/>
                          <a:headEnd/>
                          <a:tailEnd/>
                        </a:ln>
                      </wps:spPr>
                      <wps:txbx>
                        <w:txbxContent>
                          <w:p w14:paraId="656ED3EF" w14:textId="46911FB9" w:rsidR="00624B35" w:rsidRPr="00624B35" w:rsidRDefault="00624B35" w:rsidP="00624B35">
                            <w:pPr>
                              <w:jc w:val="center"/>
                              <w:rPr>
                                <w:b/>
                                <w:bCs/>
                                <w:color w:val="FFFFFF" w:themeColor="background1"/>
                                <w:sz w:val="16"/>
                                <w:szCs w:val="16"/>
                              </w:rPr>
                            </w:pPr>
                            <w:r w:rsidRPr="00624B35">
                              <w:rPr>
                                <w:b/>
                                <w:bCs/>
                                <w:color w:val="FFFFFF" w:themeColor="background1"/>
                                <w:sz w:val="16"/>
                                <w:szCs w:val="16"/>
                              </w:rPr>
                              <w:t>Francia</w:t>
                            </w:r>
                            <w:r>
                              <w:rPr>
                                <w:b/>
                                <w:bCs/>
                                <w:color w:val="FFFFFF" w:themeColor="background1"/>
                                <w:sz w:val="16"/>
                                <w:szCs w:val="16"/>
                              </w:rPr>
                              <w:t xml:space="preserve"> </w:t>
                            </w:r>
                            <w:r w:rsidRPr="00624B35">
                              <w:rPr>
                                <w:rFonts w:eastAsia="Times New Roman"/>
                                <w:b/>
                                <w:bCs/>
                                <w:color w:val="FFFFFF" w:themeColor="background1"/>
                                <w:sz w:val="16"/>
                                <w:szCs w:val="16"/>
                                <w:lang w:val="es-ES" w:eastAsia="es-ES"/>
                              </w:rPr>
                              <w:t>214.133,0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5431528B" id="_x0000_s1033" type="#_x0000_t202" style="position:absolute;left:0;text-align:left;margin-left:232.65pt;margin-top:77.7pt;width:70.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" filled="f" stroked="f">
                <v:textbox style="mso-fit-shape-to-text:t">
                  <w:txbxContent>
                    <w:p w14:paraId="656ED3EF" w14:textId="46911FB9" w:rsidR="00624B35" w:rsidRPr="00624B35" w:rsidRDefault="00624B35" w:rsidP="00624B35">
                      <w:pPr>
                        <w:jc w:val="center"/>
                        <w:rPr>
                          <w:b/>
                          <w:bCs/>
                          <w:color w:val="FFFFFF" w:themeColor="background1"/>
                          <w:sz w:val="16"/>
                          <w:szCs w:val="16"/>
                        </w:rPr>
                      </w:pPr>
                      <w:r w:rsidRPr="00624B35">
                        <w:rPr>
                          <w:b/>
                          <w:bCs/>
                          <w:color w:val="FFFFFF" w:themeColor="background1"/>
                          <w:sz w:val="16"/>
                          <w:szCs w:val="16"/>
                        </w:rPr>
                        <w:t>Francia</w:t>
                      </w:r>
                      <w:r>
                        <w:rPr>
                          <w:b/>
                          <w:bCs/>
                          <w:color w:val="FFFFFF" w:themeColor="background1"/>
                          <w:sz w:val="16"/>
                          <w:szCs w:val="16"/>
                        </w:rPr>
                        <w:t xml:space="preserve"> </w:t>
                      </w:r>
                      <w:r w:rsidRPr="00624B35">
                        <w:rPr>
                          <w:rFonts w:eastAsia="Times New Roman"/>
                          <w:b/>
                          <w:bCs/>
                          <w:color w:val="FFFFFF" w:themeColor="background1"/>
                          <w:sz w:val="16"/>
                          <w:szCs w:val="16"/>
                          <w:lang w:val="es-ES" w:eastAsia="es-ES"/>
                        </w:rPr>
                        <w:t>214.133,0</w:t>
                      </w:r>
                    </w:p>
                  </w:txbxContent>
                </v:textbox>
              </v:shape>
            </w:pict>
          </mc:Fallback>
        </mc:AlternateContent>
      </w:r>
      <w:r w:rsidR="00624B35" w:rsidRPr="00624B35">
        <w:rPr>
          <w:noProof/>
          <w:lang w:val="es-ES_tradnl"/>
        </w:rPr>
        <mc:AlternateContent>
          <mc:Choice Requires="wps">
            <w:drawing>
              <wp:anchor distT="45720" distB="45720" distL="114300" distR="114300" simplePos="0" relativeHeight="251680768" behindDoc="0" locked="0" layoutInCell="1" allowOverlap="1" wp14:anchorId="37EC3C0C" wp14:editId="1F18E10F">
                <wp:simplePos x="0" y="0"/>
                <wp:positionH relativeFrom="column">
                  <wp:posOffset>5295163</wp:posOffset>
                </wp:positionH>
                <wp:positionV relativeFrom="paragraph">
                  <wp:posOffset>3175000</wp:posOffset>
                </wp:positionV>
                <wp:extent cx="745871" cy="1404620"/>
                <wp:effectExtent l="0" t="0" r="0" b="0"/>
                <wp:wrapNone/>
                <wp:docPr id="1503602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71" cy="1404620"/>
                        </a:xfrm>
                        <a:prstGeom prst="rect">
                          <a:avLst/>
                        </a:prstGeom>
                        <a:noFill/>
                        <a:ln w="9525">
                          <a:noFill/>
                          <a:miter lim="800000"/>
                          <a:headEnd/>
                          <a:tailEnd/>
                        </a:ln>
                      </wps:spPr>
                      <wps:txbx>
                        <w:txbxContent>
                          <w:p w14:paraId="0543DD97" w14:textId="699D6719" w:rsidR="00624B35" w:rsidRPr="00624B35" w:rsidRDefault="00624B35" w:rsidP="00624B35">
                            <w:pPr>
                              <w:jc w:val="center"/>
                              <w:rPr>
                                <w:rFonts w:eastAsia="Times New Roman"/>
                                <w:b/>
                                <w:bCs/>
                                <w:color w:val="FFFFFF" w:themeColor="background1"/>
                                <w:sz w:val="15"/>
                                <w:szCs w:val="15"/>
                                <w:lang w:val="es-ES" w:eastAsia="es-ES"/>
                              </w:rPr>
                            </w:pPr>
                            <w:r w:rsidRPr="00624B35">
                              <w:rPr>
                                <w:b/>
                                <w:bCs/>
                                <w:color w:val="FFFFFF" w:themeColor="background1"/>
                                <w:sz w:val="15"/>
                                <w:szCs w:val="15"/>
                              </w:rPr>
                              <w:t xml:space="preserve">Dinamarca </w:t>
                            </w:r>
                            <w:r w:rsidRPr="00624B35">
                              <w:rPr>
                                <w:rFonts w:eastAsia="Times New Roman"/>
                                <w:b/>
                                <w:bCs/>
                                <w:color w:val="FFFFFF" w:themeColor="background1"/>
                                <w:sz w:val="15"/>
                                <w:szCs w:val="15"/>
                                <w:lang w:val="es-ES" w:eastAsia="es-ES"/>
                              </w:rPr>
                              <w:t>50.992,0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37EC3C0C" id="_x0000_s1034" type="#_x0000_t202" style="position:absolute;left:0;text-align:left;margin-left:416.95pt;margin-top:250pt;width:58.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" filled="f" stroked="f">
                <v:textbox style="mso-fit-shape-to-text:t">
                  <w:txbxContent>
                    <w:p w14:paraId="0543DD97" w14:textId="699D6719" w:rsidR="00624B35" w:rsidRPr="00624B35" w:rsidRDefault="00624B35" w:rsidP="00624B35">
                      <w:pPr>
                        <w:jc w:val="center"/>
                        <w:rPr>
                          <w:rFonts w:eastAsia="Times New Roman"/>
                          <w:b/>
                          <w:bCs/>
                          <w:color w:val="FFFFFF" w:themeColor="background1"/>
                          <w:sz w:val="15"/>
                          <w:szCs w:val="15"/>
                          <w:lang w:val="es-ES" w:eastAsia="es-ES"/>
                        </w:rPr>
                      </w:pPr>
                      <w:r w:rsidRPr="00624B35">
                        <w:rPr>
                          <w:b/>
                          <w:bCs/>
                          <w:color w:val="FFFFFF" w:themeColor="background1"/>
                          <w:sz w:val="15"/>
                          <w:szCs w:val="15"/>
                        </w:rPr>
                        <w:t xml:space="preserve">Dinamarca </w:t>
                      </w:r>
                      <w:r w:rsidRPr="00624B35">
                        <w:rPr>
                          <w:rFonts w:eastAsia="Times New Roman"/>
                          <w:b/>
                          <w:bCs/>
                          <w:color w:val="FFFFFF" w:themeColor="background1"/>
                          <w:sz w:val="15"/>
                          <w:szCs w:val="15"/>
                          <w:lang w:val="es-ES" w:eastAsia="es-ES"/>
                        </w:rPr>
                        <w:t>50.992,0</w:t>
                      </w:r>
                    </w:p>
                  </w:txbxContent>
                </v:textbox>
              </v:shape>
            </w:pict>
          </mc:Fallback>
        </mc:AlternateContent>
      </w:r>
      <w:r w:rsidR="00624B35" w:rsidRPr="00624B35">
        <w:rPr>
          <w:noProof/>
          <w:lang w:val="es-ES_tradnl"/>
        </w:rPr>
        <mc:AlternateContent>
          <mc:Choice Requires="wps">
            <w:drawing>
              <wp:anchor distT="45720" distB="45720" distL="114300" distR="114300" simplePos="0" relativeHeight="251664384" behindDoc="0" locked="0" layoutInCell="1" allowOverlap="1" wp14:anchorId="726CF7E9" wp14:editId="4B780171">
                <wp:simplePos x="0" y="0"/>
                <wp:positionH relativeFrom="column">
                  <wp:posOffset>1856969</wp:posOffset>
                </wp:positionH>
                <wp:positionV relativeFrom="paragraph">
                  <wp:posOffset>3014167</wp:posOffset>
                </wp:positionV>
                <wp:extent cx="892454" cy="1404620"/>
                <wp:effectExtent l="0" t="0" r="0" b="0"/>
                <wp:wrapNone/>
                <wp:docPr id="572026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54" cy="1404620"/>
                        </a:xfrm>
                        <a:prstGeom prst="rect">
                          <a:avLst/>
                        </a:prstGeom>
                        <a:noFill/>
                        <a:ln w="9525">
                          <a:noFill/>
                          <a:miter lim="800000"/>
                          <a:headEnd/>
                          <a:tailEnd/>
                        </a:ln>
                      </wps:spPr>
                      <wps:txbx>
                        <w:txbxContent>
                          <w:p w14:paraId="5C26F028" w14:textId="6264FC5C" w:rsidR="00624B35" w:rsidRPr="00624B35" w:rsidRDefault="00624B35" w:rsidP="00624B35">
                            <w:pPr>
                              <w:jc w:val="center"/>
                              <w:rPr>
                                <w:rFonts w:eastAsia="Times New Roman"/>
                                <w:b/>
                                <w:bCs/>
                                <w:color w:val="FFFFFF" w:themeColor="background1"/>
                                <w:sz w:val="16"/>
                                <w:szCs w:val="16"/>
                                <w:lang w:val="es-ES_tradnl" w:eastAsia="es-ES"/>
                              </w:rPr>
                            </w:pPr>
                            <w:r w:rsidRPr="00624B35">
                              <w:rPr>
                                <w:b/>
                                <w:bCs/>
                                <w:color w:val="FFFFFF" w:themeColor="background1"/>
                                <w:sz w:val="16"/>
                                <w:szCs w:val="16"/>
                                <w:lang w:val="es-ES_tradnl"/>
                              </w:rPr>
                              <w:t>Estados Unidos de América</w:t>
                            </w:r>
                            <w:r>
                              <w:rPr>
                                <w:b/>
                                <w:bCs/>
                                <w:color w:val="FFFFFF" w:themeColor="background1"/>
                                <w:sz w:val="16"/>
                                <w:szCs w:val="16"/>
                                <w:lang w:val="es-ES_tradnl"/>
                              </w:rPr>
                              <w:t xml:space="preserve"> </w:t>
                            </w:r>
                            <w:r w:rsidRPr="00624B35">
                              <w:rPr>
                                <w:rFonts w:eastAsia="Times New Roman"/>
                                <w:b/>
                                <w:bCs/>
                                <w:color w:val="FFFFFF" w:themeColor="background1"/>
                                <w:sz w:val="16"/>
                                <w:szCs w:val="16"/>
                                <w:lang w:val="es-ES_tradnl" w:eastAsia="es-ES"/>
                              </w:rPr>
                              <w:t>480.075,0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726CF7E9" id="_x0000_s1035" type="#_x0000_t202" style="position:absolute;left:0;text-align:left;margin-left:146.2pt;margin-top:237.35pt;width:70.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" filled="f" stroked="f">
                <v:textbox style="mso-fit-shape-to-text:t">
                  <w:txbxContent>
                    <w:p w14:paraId="5C26F028" w14:textId="6264FC5C" w:rsidR="00624B35" w:rsidRPr="00624B35" w:rsidRDefault="00624B35" w:rsidP="00624B35">
                      <w:pPr>
                        <w:jc w:val="center"/>
                        <w:rPr>
                          <w:rFonts w:eastAsia="Times New Roman"/>
                          <w:b/>
                          <w:bCs/>
                          <w:color w:val="FFFFFF" w:themeColor="background1"/>
                          <w:sz w:val="16"/>
                          <w:szCs w:val="16"/>
                          <w:lang w:val="es-ES_tradnl" w:eastAsia="es-ES"/>
                        </w:rPr>
                      </w:pPr>
                      <w:r w:rsidRPr="00624B35">
                        <w:rPr>
                          <w:b/>
                          <w:bCs/>
                          <w:color w:val="FFFFFF" w:themeColor="background1"/>
                          <w:sz w:val="16"/>
                          <w:szCs w:val="16"/>
                          <w:lang w:val="es-ES_tradnl"/>
                        </w:rPr>
                        <w:t>Estados Unidos de América</w:t>
                      </w:r>
                      <w:r>
                        <w:rPr>
                          <w:b/>
                          <w:bCs/>
                          <w:color w:val="FFFFFF" w:themeColor="background1"/>
                          <w:sz w:val="16"/>
                          <w:szCs w:val="16"/>
                          <w:lang w:val="es-ES_tradnl"/>
                        </w:rPr>
                        <w:t xml:space="preserve"> </w:t>
                      </w:r>
                      <w:r w:rsidRPr="00624B35">
                        <w:rPr>
                          <w:rFonts w:eastAsia="Times New Roman"/>
                          <w:b/>
                          <w:bCs/>
                          <w:color w:val="FFFFFF" w:themeColor="background1"/>
                          <w:sz w:val="16"/>
                          <w:szCs w:val="16"/>
                          <w:lang w:val="es-ES_tradnl" w:eastAsia="es-ES"/>
                        </w:rPr>
                        <w:t>480.075,0</w:t>
                      </w:r>
                    </w:p>
                  </w:txbxContent>
                </v:textbox>
              </v:shape>
            </w:pict>
          </mc:Fallback>
        </mc:AlternateContent>
      </w:r>
      <w:r w:rsidR="002A2063" w:rsidRPr="00580557">
        <w:rPr>
          <w:noProof/>
          <w:lang w:val="es-ES_tradnl"/>
          <w14:ligatures w14:val="standardContextual"/>
        </w:rPr>
        <mc:AlternateContent>
          <mc:Choice Requires="cx1">
            <w:drawing>
              <wp:inline distT="0" distB="0" distL="0" distR="0" wp14:anchorId="0D89B35D" wp14:editId="57656B42">
                <wp:extent cx="6030595" cy="3656965"/>
                <wp:effectExtent l="0" t="0" r="8255" b="635"/>
                <wp:docPr id="760010618" name="Chart 1">
                  <a:extLst xmlns:a="http://schemas.openxmlformats.org/drawingml/2006/main">
                    <a:ext uri="{FF2B5EF4-FFF2-40B4-BE49-F238E27FC236}">
                      <a16:creationId xmlns:a16="http://schemas.microsoft.com/office/drawing/2014/main" id="{BD04D6E6-76F7-452A-8363-E025B790326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xmlns:w16sdtfl="http://schemas.microsoft.com/office/word/2024/wordml/sdtformatlock" xmlns:w16du="http://schemas.microsoft.com/office/word/2023/wordml/word16du">
            <w:drawing>
              <wp:inline distT="0" distB="0" distL="0" distR="0" wp14:anchorId="0D89B35D" wp14:editId="57656B42">
                <wp:extent cx="6030595" cy="3656965"/>
                <wp:effectExtent l="0" t="0" r="8255" b="635"/>
                <wp:docPr id="760010618" name="Chart 1">
                  <a:extLst xmlns:a="http://schemas.openxmlformats.org/drawingml/2006/main">
                    <a:ext uri="{FF2B5EF4-FFF2-40B4-BE49-F238E27FC236}">
                      <a16:creationId xmlns:a16="http://schemas.microsoft.com/office/drawing/2014/main" id="{BD04D6E6-76F7-452A-8363-E025B790326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60010618" name="Chart 1">
                          <a:extLst>
                            <a:ext uri="{FF2B5EF4-FFF2-40B4-BE49-F238E27FC236}">
                              <a16:creationId xmlns:a16="http://schemas.microsoft.com/office/drawing/2014/main" id="{BD04D6E6-76F7-452A-8363-E025B7903261}"/>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6030595" cy="3656965"/>
                        </a:xfrm>
                        <a:prstGeom prst="rect">
                          <a:avLst/>
                        </a:prstGeom>
                      </pic:spPr>
                    </pic:pic>
                  </a:graphicData>
                </a:graphic>
              </wp:inline>
            </w:drawing>
          </mc:Fallback>
        </mc:AlternateContent>
      </w:r>
    </w:p>
    <w:p w14:paraId="7036A594" w14:textId="77777777" w:rsidR="00EC2C26" w:rsidRPr="00580557" w:rsidRDefault="00EC2C26" w:rsidP="002763D1">
      <w:pPr>
        <w:pStyle w:val="Normal-pool"/>
        <w:rPr>
          <w:lang w:val="es-ES_tradnl"/>
        </w:rPr>
      </w:pPr>
    </w:p>
    <w:p w14:paraId="242F33AE" w14:textId="050C94C8" w:rsidR="00FF1D0E" w:rsidRPr="00580557" w:rsidRDefault="00FF1D0E" w:rsidP="002763D1">
      <w:pPr>
        <w:pStyle w:val="Normalnumber"/>
        <w:numPr>
          <w:ilvl w:val="0"/>
          <w:numId w:val="17"/>
        </w:numPr>
        <w:tabs>
          <w:tab w:val="left" w:pos="624"/>
        </w:tabs>
        <w:snapToGrid w:val="0"/>
        <w:ind w:left="1247" w:firstLine="0"/>
        <w:rPr>
          <w:lang w:val="es-ES_tradnl"/>
        </w:rPr>
      </w:pPr>
      <w:r w:rsidRPr="00580557">
        <w:rPr>
          <w:lang w:val="es-ES_tradnl"/>
        </w:rPr>
        <w:t xml:space="preserve">Las contribuciones al fondo fiduciario específico se destinan principalmente a subvencionar los proyectos nacionales que escoja y apruebe la Junta Directiva. Esas contribuciones deben servir para sufragar los costos relacionados con las reuniones y la labor de la Junta Directiva y con el funcionamiento del Programa Internacional Específico, según se establece en la decisión MC-1/6. </w:t>
      </w:r>
    </w:p>
    <w:p w14:paraId="41DE5D6C" w14:textId="09126FA7" w:rsidR="00FF1D0E" w:rsidRPr="00580557" w:rsidRDefault="006E55F5" w:rsidP="002763D1">
      <w:pPr>
        <w:pStyle w:val="Normalnumber"/>
        <w:numPr>
          <w:ilvl w:val="0"/>
          <w:numId w:val="17"/>
        </w:numPr>
        <w:tabs>
          <w:tab w:val="left" w:pos="624"/>
        </w:tabs>
        <w:snapToGrid w:val="0"/>
        <w:ind w:left="1247" w:firstLine="0"/>
        <w:rPr>
          <w:noProof/>
          <w:lang w:val="es-ES_tradnl"/>
        </w:rPr>
      </w:pPr>
      <w:r w:rsidRPr="00580557">
        <w:rPr>
          <w:lang w:val="es-ES_tradnl"/>
        </w:rPr>
        <w:t>El gráfico precedente muestra las contribuciones a la cuarta ronda de solicitudes, desglosadas por países. A 24 de junio de 2025, Francia había prometido 100.000 euros para la quinta ronda de solicitudes. La constancia en las contribuciones que recibe el fondo fiduciario específico es esencial para que la Secretaría pueda poner en marcha una quinta ronda de solicitudes que permita apoyar a las Partes en la aplicación del Convenio.</w:t>
      </w:r>
    </w:p>
    <w:p w14:paraId="0AB2CF74" w14:textId="77777777" w:rsidR="00FF1D0E" w:rsidRPr="00580557" w:rsidRDefault="00FF1D0E" w:rsidP="002763D1">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FF1D0E" w:rsidRPr="003E30EB" w14:paraId="7601B6C4" w14:textId="77777777" w:rsidTr="004251E9">
        <w:tc>
          <w:tcPr>
            <w:tcW w:w="1897" w:type="dxa"/>
          </w:tcPr>
          <w:p w14:paraId="08CD591B" w14:textId="77777777" w:rsidR="00FF1D0E" w:rsidRPr="00580557" w:rsidRDefault="00FF1D0E" w:rsidP="002763D1">
            <w:pPr>
              <w:pStyle w:val="Normal-pool"/>
              <w:spacing w:before="520"/>
              <w:rPr>
                <w:lang w:val="es-ES_tradnl"/>
              </w:rPr>
            </w:pPr>
          </w:p>
        </w:tc>
        <w:tc>
          <w:tcPr>
            <w:tcW w:w="1897" w:type="dxa"/>
          </w:tcPr>
          <w:p w14:paraId="48E00A9E" w14:textId="77777777" w:rsidR="00FF1D0E" w:rsidRPr="00580557" w:rsidRDefault="00FF1D0E" w:rsidP="002763D1">
            <w:pPr>
              <w:pStyle w:val="Normal-pool"/>
              <w:spacing w:before="520"/>
              <w:rPr>
                <w:lang w:val="es-ES_tradnl"/>
              </w:rPr>
            </w:pPr>
          </w:p>
        </w:tc>
        <w:tc>
          <w:tcPr>
            <w:tcW w:w="1897" w:type="dxa"/>
            <w:tcBorders>
              <w:bottom w:val="single" w:sz="4" w:space="0" w:color="auto"/>
            </w:tcBorders>
          </w:tcPr>
          <w:p w14:paraId="560436E0" w14:textId="77777777" w:rsidR="00FF1D0E" w:rsidRPr="00580557" w:rsidRDefault="00FF1D0E" w:rsidP="002763D1">
            <w:pPr>
              <w:pStyle w:val="Normal-pool"/>
              <w:spacing w:before="520"/>
              <w:rPr>
                <w:lang w:val="es-ES_tradnl"/>
              </w:rPr>
            </w:pPr>
          </w:p>
        </w:tc>
        <w:tc>
          <w:tcPr>
            <w:tcW w:w="1897" w:type="dxa"/>
          </w:tcPr>
          <w:p w14:paraId="7ABA034B" w14:textId="77777777" w:rsidR="00FF1D0E" w:rsidRPr="00580557" w:rsidRDefault="00FF1D0E" w:rsidP="002763D1">
            <w:pPr>
              <w:pStyle w:val="Normal-pool"/>
              <w:spacing w:before="520"/>
              <w:rPr>
                <w:lang w:val="es-ES_tradnl"/>
              </w:rPr>
            </w:pPr>
          </w:p>
        </w:tc>
        <w:tc>
          <w:tcPr>
            <w:tcW w:w="1898" w:type="dxa"/>
          </w:tcPr>
          <w:p w14:paraId="4D1D3EDE" w14:textId="77777777" w:rsidR="00FF1D0E" w:rsidRPr="00580557" w:rsidRDefault="00FF1D0E" w:rsidP="002763D1">
            <w:pPr>
              <w:pStyle w:val="Normal-pool"/>
              <w:spacing w:before="520"/>
              <w:rPr>
                <w:lang w:val="es-ES_tradnl"/>
              </w:rPr>
            </w:pPr>
          </w:p>
        </w:tc>
      </w:tr>
    </w:tbl>
    <w:p w14:paraId="3ACD8187" w14:textId="77777777" w:rsidR="00FF1D0E" w:rsidRPr="00580557" w:rsidRDefault="00FF1D0E" w:rsidP="002763D1">
      <w:pPr>
        <w:pStyle w:val="Normal-pool"/>
        <w:rPr>
          <w:lang w:val="es-ES_tradnl"/>
        </w:rPr>
      </w:pPr>
    </w:p>
    <w:sectPr w:rsidR="00FF1D0E" w:rsidRPr="00580557" w:rsidSect="00035D73">
      <w:headerReference w:type="even" r:id="rId15"/>
      <w:headerReference w:type="default" r:id="rId16"/>
      <w:footerReference w:type="even" r:id="rId17"/>
      <w:footerReference w:type="default" r:id="rId18"/>
      <w:footerReference w:type="first" r:id="rId19"/>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723D" w14:textId="77777777" w:rsidR="00965A9F" w:rsidRPr="00035D73" w:rsidRDefault="00965A9F" w:rsidP="00035D73">
      <w:r w:rsidRPr="00035D73">
        <w:separator/>
      </w:r>
    </w:p>
  </w:endnote>
  <w:endnote w:type="continuationSeparator" w:id="0">
    <w:p w14:paraId="14DE0986" w14:textId="77777777" w:rsidR="00965A9F" w:rsidRPr="00035D73" w:rsidRDefault="00965A9F" w:rsidP="00035D73">
      <w:r w:rsidRPr="00035D73">
        <w:continuationSeparator/>
      </w:r>
    </w:p>
  </w:endnote>
  <w:endnote w:type="continuationNotice" w:id="1">
    <w:p w14:paraId="5DDE5893" w14:textId="77777777" w:rsidR="00965A9F" w:rsidRDefault="00965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7EB8" w14:textId="0CFAD0C8" w:rsidR="00035D73" w:rsidRPr="00035D73" w:rsidRDefault="00035D73" w:rsidP="00035D73">
    <w:pPr>
      <w:pStyle w:val="Footer-pool"/>
    </w:pPr>
    <w:r w:rsidRPr="00035D73">
      <w:fldChar w:fldCharType="begin"/>
    </w:r>
    <w:r w:rsidRPr="00035D73">
      <w:instrText xml:space="preserve"> PAGE </w:instrText>
    </w:r>
    <w:r w:rsidRPr="00035D73">
      <w:fldChar w:fldCharType="separate"/>
    </w:r>
    <w:r w:rsidRPr="00035D73">
      <w:rPr>
        <w:noProof/>
      </w:rPr>
      <w:t>1</w:t>
    </w:r>
    <w:r w:rsidRPr="00035D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B29B" w14:textId="0C5F2943" w:rsidR="00035D73" w:rsidRPr="00035D73" w:rsidRDefault="00035D73" w:rsidP="00035D73">
    <w:pPr>
      <w:pStyle w:val="Footer-pool"/>
      <w:jc w:val="right"/>
    </w:pPr>
    <w:r w:rsidRPr="00035D73">
      <w:fldChar w:fldCharType="begin"/>
    </w:r>
    <w:r w:rsidRPr="00035D73">
      <w:instrText xml:space="preserve"> PAGE \* MERGEFORMAT </w:instrText>
    </w:r>
    <w:r w:rsidRPr="00035D73">
      <w:fldChar w:fldCharType="separate"/>
    </w:r>
    <w:r w:rsidRPr="00035D73">
      <w:rPr>
        <w:noProof/>
      </w:rPr>
      <w:t>1</w:t>
    </w:r>
    <w:r w:rsidRPr="00035D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142" w14:textId="3BEF6B8A" w:rsidR="00035D73" w:rsidRPr="00035D73" w:rsidRDefault="003F0E5B" w:rsidP="00035D73">
    <w:pPr>
      <w:pStyle w:val="Footer-jobnumber"/>
    </w:pPr>
    <w:bookmarkStart w:id="1" w:name="FooterJobDate"/>
    <w:r>
      <w:t>K2510939[</w:t>
    </w:r>
    <w:r w:rsidR="002763D1">
      <w:t>S</w:t>
    </w:r>
    <w:r>
      <w:t>]</w:t>
    </w:r>
    <w:r>
      <w:tab/>
    </w:r>
    <w:r w:rsidR="00CF0631">
      <w:t>0109</w:t>
    </w:r>
    <w:r>
      <w:t>25</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A9D4" w14:textId="77777777" w:rsidR="00965A9F" w:rsidRPr="00035D73" w:rsidRDefault="00965A9F" w:rsidP="002763D1">
      <w:pPr>
        <w:spacing w:before="20" w:after="40"/>
      </w:pPr>
      <w:r w:rsidRPr="00035D73">
        <w:separator/>
      </w:r>
    </w:p>
  </w:footnote>
  <w:footnote w:type="continuationSeparator" w:id="0">
    <w:p w14:paraId="2255C494" w14:textId="77777777" w:rsidR="00965A9F" w:rsidRPr="00035D73" w:rsidRDefault="00965A9F" w:rsidP="00035D73">
      <w:r w:rsidRPr="00035D73">
        <w:continuationSeparator/>
      </w:r>
    </w:p>
  </w:footnote>
  <w:footnote w:type="continuationNotice" w:id="1">
    <w:p w14:paraId="2A8B56A8" w14:textId="77777777" w:rsidR="00965A9F" w:rsidRDefault="00965A9F"/>
  </w:footnote>
  <w:footnote w:id="2">
    <w:p w14:paraId="63212D89" w14:textId="5B708487" w:rsidR="002763D1" w:rsidRPr="003E30EB" w:rsidRDefault="002763D1" w:rsidP="002763D1">
      <w:pPr>
        <w:pStyle w:val="Footnote-Text"/>
        <w:rPr>
          <w:szCs w:val="18"/>
          <w:lang w:val="es-ES"/>
        </w:rPr>
      </w:pPr>
      <w:r w:rsidRPr="002763D1">
        <w:rPr>
          <w:szCs w:val="18"/>
          <w:lang w:val="es-ES"/>
        </w:rPr>
        <w:t>* UNEP/MC/COP.6/1</w:t>
      </w:r>
      <w:r w:rsidR="00CF0631">
        <w:rPr>
          <w:szCs w:val="18"/>
          <w:lang w:val="es-ES"/>
        </w:rPr>
        <w:t>/Rev.1</w:t>
      </w:r>
      <w:r w:rsidRPr="002763D1">
        <w:rPr>
          <w:szCs w:val="18"/>
          <w:lang w:val="es-ES"/>
        </w:rPr>
        <w:t>.</w:t>
      </w:r>
    </w:p>
  </w:footnote>
  <w:footnote w:id="3">
    <w:p w14:paraId="54D3FDB7" w14:textId="77777777" w:rsidR="00FF1D0E" w:rsidRPr="003E30EB" w:rsidRDefault="00FF1D0E" w:rsidP="00FF1D0E">
      <w:pPr>
        <w:pStyle w:val="Footnote-Text"/>
        <w:rPr>
          <w:szCs w:val="18"/>
          <w:lang w:val="es-ES"/>
        </w:rPr>
      </w:pPr>
      <w:r w:rsidRPr="002763D1">
        <w:rPr>
          <w:rStyle w:val="FootnoteReference"/>
          <w:sz w:val="18"/>
          <w:lang w:val="es-ES"/>
        </w:rPr>
        <w:footnoteRef/>
      </w:r>
      <w:r w:rsidRPr="002763D1">
        <w:rPr>
          <w:szCs w:val="18"/>
          <w:lang w:val="es-ES"/>
        </w:rPr>
        <w:t xml:space="preserve"> En el documento UNEP/MC/COP.6/10 se reseñan asuntos relativos a la primera entidad del mecanismo financiero, a saber, el fondo fiduciario del Fondo para el Medio Ambiente Mundial.</w:t>
      </w:r>
    </w:p>
  </w:footnote>
  <w:footnote w:id="4">
    <w:p w14:paraId="63B92E0C" w14:textId="69D33033" w:rsidR="00FF1D0E" w:rsidRPr="00920108" w:rsidRDefault="00FF1D0E" w:rsidP="00FF1D0E">
      <w:pPr>
        <w:pStyle w:val="Footnote-Text"/>
        <w:rPr>
          <w:szCs w:val="18"/>
          <w:lang w:val="fr-FR"/>
        </w:rPr>
      </w:pPr>
      <w:r w:rsidRPr="002763D1">
        <w:rPr>
          <w:rStyle w:val="FootnoteReference"/>
          <w:sz w:val="18"/>
          <w:lang w:val="es-ES"/>
        </w:rPr>
        <w:footnoteRef/>
      </w:r>
      <w:r w:rsidRPr="002763D1">
        <w:rPr>
          <w:szCs w:val="18"/>
          <w:lang w:val="es-ES"/>
        </w:rPr>
        <w:t xml:space="preserve"> Véase </w:t>
      </w:r>
      <w:hyperlink r:id="rId1" w:history="1">
        <w:r w:rsidRPr="00920108">
          <w:rPr>
            <w:rStyle w:val="Hyperlink"/>
            <w:color w:val="0000FF"/>
            <w:lang w:val="fr-FR"/>
          </w:rPr>
          <w:t>https://minamataconvention.org/en/implementation/specific-international-programme/donors</w:t>
        </w:r>
      </w:hyperlink>
      <w:r w:rsidRPr="002763D1">
        <w:rPr>
          <w:szCs w:val="18"/>
          <w:lang w:val="es-ES"/>
        </w:rPr>
        <w:t>.</w:t>
      </w:r>
      <w:hyperlink r:id="rId2" w:history="1"/>
    </w:p>
  </w:footnote>
  <w:footnote w:id="5">
    <w:p w14:paraId="52285C1F" w14:textId="7688E324" w:rsidR="00FF1D0E" w:rsidRPr="00920108" w:rsidRDefault="00FF1D0E" w:rsidP="00FF1D0E">
      <w:pPr>
        <w:pStyle w:val="Footnote-Text"/>
        <w:rPr>
          <w:szCs w:val="18"/>
          <w:lang w:val="fr-FR"/>
        </w:rPr>
      </w:pPr>
      <w:r w:rsidRPr="002763D1">
        <w:rPr>
          <w:rStyle w:val="FootnoteReference"/>
          <w:sz w:val="18"/>
          <w:lang w:val="es-ES"/>
        </w:rPr>
        <w:footnoteRef/>
      </w:r>
      <w:r w:rsidRPr="003E30EB">
        <w:rPr>
          <w:szCs w:val="18"/>
          <w:lang w:val="fr-FR"/>
        </w:rPr>
        <w:t xml:space="preserve"> </w:t>
      </w:r>
      <w:hyperlink r:id="rId3" w:history="1">
        <w:r w:rsidRPr="003E30EB">
          <w:rPr>
            <w:rStyle w:val="Hyperlink"/>
            <w:color w:val="0000FF"/>
            <w:szCs w:val="18"/>
            <w:lang w:val="fr-FR"/>
          </w:rPr>
          <w:t>https://minamataconvention.org/en/implementation/specific-international-programme/fourth-round</w:t>
        </w:r>
      </w:hyperlink>
      <w:hyperlink r:id="rId4" w:history="1"/>
    </w:p>
  </w:footnote>
  <w:footnote w:id="6">
    <w:p w14:paraId="71630253" w14:textId="13F54C67" w:rsidR="00FF1D0E" w:rsidRPr="00920108" w:rsidRDefault="00FF1D0E" w:rsidP="00FF1D0E">
      <w:pPr>
        <w:pStyle w:val="Footnote-Text"/>
        <w:rPr>
          <w:szCs w:val="18"/>
          <w:lang w:val="fr-FR"/>
        </w:rPr>
      </w:pPr>
      <w:r w:rsidRPr="002763D1">
        <w:rPr>
          <w:rStyle w:val="FootnoteReference"/>
          <w:sz w:val="18"/>
          <w:lang w:val="es-ES"/>
        </w:rPr>
        <w:footnoteRef/>
      </w:r>
      <w:r w:rsidRPr="002763D1">
        <w:rPr>
          <w:szCs w:val="18"/>
          <w:lang w:val="es-ES"/>
        </w:rPr>
        <w:t xml:space="preserve"> Véase </w:t>
      </w:r>
      <w:hyperlink r:id="rId5" w:history="1">
        <w:r w:rsidRPr="002763D1">
          <w:rPr>
            <w:rStyle w:val="Hyperlink"/>
            <w:color w:val="0000FF"/>
            <w:szCs w:val="18"/>
            <w:lang w:val="es-ES"/>
          </w:rPr>
          <w:t>https://minamataconvention.org/en/implementation/specific-international-programme/dashboard</w:t>
        </w:r>
      </w:hyperlink>
      <w:r w:rsidR="002763D1">
        <w:rPr>
          <w:szCs w:val="18"/>
          <w:lang w:val="es-ES"/>
        </w:rPr>
        <w:t>.</w:t>
      </w:r>
      <w:hyperlink r:id="rId6" w:history="1"/>
    </w:p>
  </w:footnote>
  <w:footnote w:id="7">
    <w:p w14:paraId="7E5D2E06" w14:textId="062561B0" w:rsidR="00FF1D0E" w:rsidRPr="00920108" w:rsidRDefault="00FF1D0E" w:rsidP="00FF1D0E">
      <w:pPr>
        <w:pStyle w:val="Footnote-Text"/>
        <w:rPr>
          <w:lang w:val="fr-FR"/>
        </w:rPr>
      </w:pPr>
      <w:r w:rsidRPr="002763D1">
        <w:rPr>
          <w:rStyle w:val="FootnoteReference"/>
          <w:sz w:val="18"/>
          <w:lang w:val="es-ES"/>
        </w:rPr>
        <w:footnoteRef/>
      </w:r>
      <w:r w:rsidRPr="002763D1">
        <w:rPr>
          <w:szCs w:val="18"/>
          <w:lang w:val="es-ES"/>
        </w:rPr>
        <w:t xml:space="preserve"> Véase </w:t>
      </w:r>
      <w:hyperlink r:id="rId7" w:history="1">
        <w:r w:rsidRPr="002763D1">
          <w:rPr>
            <w:rStyle w:val="Hyperlink"/>
            <w:color w:val="0000FF"/>
            <w:szCs w:val="18"/>
            <w:lang w:val="es-ES"/>
          </w:rPr>
          <w:t>https://minamataconvention.org/en/projects/list</w:t>
        </w:r>
      </w:hyperlink>
      <w:r w:rsidRPr="002763D1">
        <w:rPr>
          <w:szCs w:val="18"/>
          <w:lang w:val="es-ES"/>
        </w:rPr>
        <w:t>.</w:t>
      </w:r>
      <w:hyperlink r:id="rId8"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804B" w14:textId="6866BDB9" w:rsidR="00035D73" w:rsidRPr="00035D73" w:rsidRDefault="00C902CD" w:rsidP="00035D73">
    <w:pPr>
      <w:pStyle w:val="Header-pool"/>
    </w:pPr>
    <w:r>
      <w:rPr>
        <w:noProof/>
      </w:rPr>
      <w:t>UNEP/MC/COP.6/11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A5D7" w14:textId="27E2EF12" w:rsidR="00035D73" w:rsidRPr="00035D73" w:rsidRDefault="00C902CD" w:rsidP="00035D73">
    <w:pPr>
      <w:pStyle w:val="Header-pool"/>
      <w:jc w:val="right"/>
    </w:pPr>
    <w:r>
      <w:rPr>
        <w:noProof/>
      </w:rPr>
      <w:t>UNEP/MC/COP.6/11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18B562E"/>
    <w:multiLevelType w:val="hybridMultilevel"/>
    <w:tmpl w:val="C1849D1E"/>
    <w:lvl w:ilvl="0" w:tplc="04090017">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F8D7FF6"/>
    <w:multiLevelType w:val="hybridMultilevel"/>
    <w:tmpl w:val="848C92F8"/>
    <w:lvl w:ilvl="0" w:tplc="0409000F">
      <w:start w:val="1"/>
      <w:numFmt w:val="decimal"/>
      <w:lvlText w:val="%1."/>
      <w:lvlJc w:val="lef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CB78E7"/>
    <w:multiLevelType w:val="hybridMultilevel"/>
    <w:tmpl w:val="7CA89B86"/>
    <w:lvl w:ilvl="0" w:tplc="04090017">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6" w15:restartNumberingAfterBreak="0">
    <w:nsid w:val="393A1E9B"/>
    <w:multiLevelType w:val="hybridMultilevel"/>
    <w:tmpl w:val="8850FF48"/>
    <w:lvl w:ilvl="0" w:tplc="04090017">
      <w:start w:val="1"/>
      <w:numFmt w:val="lowerLetter"/>
      <w:lvlText w:val="%1)"/>
      <w:lvlJc w:val="left"/>
      <w:pPr>
        <w:ind w:left="893" w:hanging="360"/>
      </w:pPr>
      <w:rPr>
        <w:rFonts w:hint="default"/>
      </w:rPr>
    </w:lvl>
    <w:lvl w:ilvl="1" w:tplc="100C0019">
      <w:start w:val="1"/>
      <w:numFmt w:val="lowerLetter"/>
      <w:lvlText w:val="%2."/>
      <w:lvlJc w:val="left"/>
      <w:pPr>
        <w:ind w:left="1613" w:hanging="360"/>
      </w:pPr>
    </w:lvl>
    <w:lvl w:ilvl="2" w:tplc="100C001B" w:tentative="1">
      <w:start w:val="1"/>
      <w:numFmt w:val="lowerRoman"/>
      <w:lvlText w:val="%3."/>
      <w:lvlJc w:val="right"/>
      <w:pPr>
        <w:ind w:left="2333" w:hanging="180"/>
      </w:pPr>
    </w:lvl>
    <w:lvl w:ilvl="3" w:tplc="100C000F" w:tentative="1">
      <w:start w:val="1"/>
      <w:numFmt w:val="decimal"/>
      <w:lvlText w:val="%4."/>
      <w:lvlJc w:val="left"/>
      <w:pPr>
        <w:ind w:left="3053" w:hanging="360"/>
      </w:pPr>
    </w:lvl>
    <w:lvl w:ilvl="4" w:tplc="100C0019" w:tentative="1">
      <w:start w:val="1"/>
      <w:numFmt w:val="lowerLetter"/>
      <w:lvlText w:val="%5."/>
      <w:lvlJc w:val="left"/>
      <w:pPr>
        <w:ind w:left="3773" w:hanging="360"/>
      </w:pPr>
    </w:lvl>
    <w:lvl w:ilvl="5" w:tplc="100C001B" w:tentative="1">
      <w:start w:val="1"/>
      <w:numFmt w:val="lowerRoman"/>
      <w:lvlText w:val="%6."/>
      <w:lvlJc w:val="right"/>
      <w:pPr>
        <w:ind w:left="4493" w:hanging="180"/>
      </w:pPr>
    </w:lvl>
    <w:lvl w:ilvl="6" w:tplc="100C000F" w:tentative="1">
      <w:start w:val="1"/>
      <w:numFmt w:val="decimal"/>
      <w:lvlText w:val="%7."/>
      <w:lvlJc w:val="left"/>
      <w:pPr>
        <w:ind w:left="5213" w:hanging="360"/>
      </w:pPr>
    </w:lvl>
    <w:lvl w:ilvl="7" w:tplc="100C0019" w:tentative="1">
      <w:start w:val="1"/>
      <w:numFmt w:val="lowerLetter"/>
      <w:lvlText w:val="%8."/>
      <w:lvlJc w:val="left"/>
      <w:pPr>
        <w:ind w:left="5933" w:hanging="360"/>
      </w:pPr>
    </w:lvl>
    <w:lvl w:ilvl="8" w:tplc="100C001B" w:tentative="1">
      <w:start w:val="1"/>
      <w:numFmt w:val="lowerRoman"/>
      <w:lvlText w:val="%9."/>
      <w:lvlJc w:val="right"/>
      <w:pPr>
        <w:ind w:left="6653" w:hanging="180"/>
      </w:pPr>
    </w:lvl>
  </w:abstractNum>
  <w:abstractNum w:abstractNumId="17" w15:restartNumberingAfterBreak="0">
    <w:nsid w:val="3A187CA9"/>
    <w:multiLevelType w:val="hybridMultilevel"/>
    <w:tmpl w:val="933A9E94"/>
    <w:lvl w:ilvl="0" w:tplc="04090017">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8" w15:restartNumberingAfterBreak="0">
    <w:nsid w:val="40900C77"/>
    <w:multiLevelType w:val="hybridMultilevel"/>
    <w:tmpl w:val="564E5DEC"/>
    <w:lvl w:ilvl="0" w:tplc="04090017">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9"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1" w15:restartNumberingAfterBreak="0">
    <w:nsid w:val="764221F4"/>
    <w:multiLevelType w:val="hybridMultilevel"/>
    <w:tmpl w:val="55EA600A"/>
    <w:lvl w:ilvl="0" w:tplc="04090017">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num w:numId="1" w16cid:durableId="560672902">
    <w:abstractNumId w:val="19"/>
  </w:num>
  <w:num w:numId="2" w16cid:durableId="1242644713">
    <w:abstractNumId w:val="20"/>
  </w:num>
  <w:num w:numId="3" w16cid:durableId="1933662228">
    <w:abstractNumId w:val="14"/>
  </w:num>
  <w:num w:numId="4" w16cid:durableId="1991909117">
    <w:abstractNumId w:val="10"/>
  </w:num>
  <w:num w:numId="5" w16cid:durableId="1138956019">
    <w:abstractNumId w:val="12"/>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075006139">
    <w:abstractNumId w:val="16"/>
  </w:num>
  <w:num w:numId="17" w16cid:durableId="456608139">
    <w:abstractNumId w:val="13"/>
  </w:num>
  <w:num w:numId="18" w16cid:durableId="1267881763">
    <w:abstractNumId w:val="21"/>
  </w:num>
  <w:num w:numId="19" w16cid:durableId="413094655">
    <w:abstractNumId w:val="15"/>
  </w:num>
  <w:num w:numId="20" w16cid:durableId="1937907965">
    <w:abstractNumId w:val="11"/>
  </w:num>
  <w:num w:numId="21" w16cid:durableId="1019116208">
    <w:abstractNumId w:val="17"/>
  </w:num>
  <w:num w:numId="22" w16cid:durableId="15169200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1BD4"/>
    <w:rsid w:val="000029C5"/>
    <w:rsid w:val="00025EE5"/>
    <w:rsid w:val="00035D73"/>
    <w:rsid w:val="000721B7"/>
    <w:rsid w:val="000834DC"/>
    <w:rsid w:val="00094AC8"/>
    <w:rsid w:val="000A25B7"/>
    <w:rsid w:val="000A6B20"/>
    <w:rsid w:val="000B7D74"/>
    <w:rsid w:val="000E7CF7"/>
    <w:rsid w:val="000F2CC2"/>
    <w:rsid w:val="001109B1"/>
    <w:rsid w:val="00115D7B"/>
    <w:rsid w:val="0015008E"/>
    <w:rsid w:val="00154296"/>
    <w:rsid w:val="00161E4F"/>
    <w:rsid w:val="001A7D77"/>
    <w:rsid w:val="001B2E9B"/>
    <w:rsid w:val="001B7488"/>
    <w:rsid w:val="001C1FEA"/>
    <w:rsid w:val="001E0E53"/>
    <w:rsid w:val="001E16AD"/>
    <w:rsid w:val="001E2AEA"/>
    <w:rsid w:val="001E63E1"/>
    <w:rsid w:val="001F0046"/>
    <w:rsid w:val="001F6DC4"/>
    <w:rsid w:val="00204069"/>
    <w:rsid w:val="00207266"/>
    <w:rsid w:val="002104D7"/>
    <w:rsid w:val="0022069B"/>
    <w:rsid w:val="00236DC5"/>
    <w:rsid w:val="002423A3"/>
    <w:rsid w:val="0025040A"/>
    <w:rsid w:val="0026041D"/>
    <w:rsid w:val="0026465F"/>
    <w:rsid w:val="002763D1"/>
    <w:rsid w:val="00292223"/>
    <w:rsid w:val="00293924"/>
    <w:rsid w:val="002A2063"/>
    <w:rsid w:val="002A206E"/>
    <w:rsid w:val="002B385A"/>
    <w:rsid w:val="002D5051"/>
    <w:rsid w:val="002E3B3E"/>
    <w:rsid w:val="002E4A14"/>
    <w:rsid w:val="002E67C4"/>
    <w:rsid w:val="002E7F87"/>
    <w:rsid w:val="003071B0"/>
    <w:rsid w:val="00314596"/>
    <w:rsid w:val="00321731"/>
    <w:rsid w:val="00321BA4"/>
    <w:rsid w:val="00323D27"/>
    <w:rsid w:val="0032404B"/>
    <w:rsid w:val="00336A18"/>
    <w:rsid w:val="00344753"/>
    <w:rsid w:val="0037103B"/>
    <w:rsid w:val="00371049"/>
    <w:rsid w:val="00375A6A"/>
    <w:rsid w:val="00380897"/>
    <w:rsid w:val="003A532B"/>
    <w:rsid w:val="003A7517"/>
    <w:rsid w:val="003E12DC"/>
    <w:rsid w:val="003E30EB"/>
    <w:rsid w:val="003F0E5B"/>
    <w:rsid w:val="003F2759"/>
    <w:rsid w:val="003F7001"/>
    <w:rsid w:val="00403B33"/>
    <w:rsid w:val="0041279A"/>
    <w:rsid w:val="00413A40"/>
    <w:rsid w:val="0041461A"/>
    <w:rsid w:val="00417B4C"/>
    <w:rsid w:val="0042071B"/>
    <w:rsid w:val="004251E9"/>
    <w:rsid w:val="004355FD"/>
    <w:rsid w:val="00436FCD"/>
    <w:rsid w:val="00440685"/>
    <w:rsid w:val="004408EC"/>
    <w:rsid w:val="00452A41"/>
    <w:rsid w:val="00457FFD"/>
    <w:rsid w:val="00462419"/>
    <w:rsid w:val="00463A93"/>
    <w:rsid w:val="00464D18"/>
    <w:rsid w:val="00476FFD"/>
    <w:rsid w:val="004973C9"/>
    <w:rsid w:val="004A5D85"/>
    <w:rsid w:val="004B5E55"/>
    <w:rsid w:val="004C1349"/>
    <w:rsid w:val="004C3015"/>
    <w:rsid w:val="004C4DA0"/>
    <w:rsid w:val="004D0CF2"/>
    <w:rsid w:val="005031A4"/>
    <w:rsid w:val="005125F5"/>
    <w:rsid w:val="00520D3F"/>
    <w:rsid w:val="00536523"/>
    <w:rsid w:val="00545280"/>
    <w:rsid w:val="00562DBA"/>
    <w:rsid w:val="00580557"/>
    <w:rsid w:val="00584A2B"/>
    <w:rsid w:val="005A2770"/>
    <w:rsid w:val="005B3726"/>
    <w:rsid w:val="005D2B6F"/>
    <w:rsid w:val="005D3579"/>
    <w:rsid w:val="005D76F9"/>
    <w:rsid w:val="005E0A90"/>
    <w:rsid w:val="005E561A"/>
    <w:rsid w:val="005F1BA0"/>
    <w:rsid w:val="00601569"/>
    <w:rsid w:val="00624B35"/>
    <w:rsid w:val="00625F32"/>
    <w:rsid w:val="00626349"/>
    <w:rsid w:val="00653DB5"/>
    <w:rsid w:val="00664C96"/>
    <w:rsid w:val="00674457"/>
    <w:rsid w:val="00675187"/>
    <w:rsid w:val="00677EF2"/>
    <w:rsid w:val="00680A10"/>
    <w:rsid w:val="00684C92"/>
    <w:rsid w:val="006944EE"/>
    <w:rsid w:val="006A0130"/>
    <w:rsid w:val="006A3087"/>
    <w:rsid w:val="006A65E6"/>
    <w:rsid w:val="006D1BC2"/>
    <w:rsid w:val="006D7F4A"/>
    <w:rsid w:val="006E01E3"/>
    <w:rsid w:val="006E55F5"/>
    <w:rsid w:val="006F06B2"/>
    <w:rsid w:val="007112C8"/>
    <w:rsid w:val="00715765"/>
    <w:rsid w:val="007463B9"/>
    <w:rsid w:val="00751F83"/>
    <w:rsid w:val="00760831"/>
    <w:rsid w:val="00781F8F"/>
    <w:rsid w:val="00782AF6"/>
    <w:rsid w:val="00784DF8"/>
    <w:rsid w:val="00791985"/>
    <w:rsid w:val="007B113D"/>
    <w:rsid w:val="007B7998"/>
    <w:rsid w:val="007C3D2A"/>
    <w:rsid w:val="007C5BDC"/>
    <w:rsid w:val="007E5108"/>
    <w:rsid w:val="00803F33"/>
    <w:rsid w:val="0080428F"/>
    <w:rsid w:val="00812E06"/>
    <w:rsid w:val="00813CAF"/>
    <w:rsid w:val="008227A1"/>
    <w:rsid w:val="0082515C"/>
    <w:rsid w:val="0084263F"/>
    <w:rsid w:val="00844318"/>
    <w:rsid w:val="008448AD"/>
    <w:rsid w:val="008549CC"/>
    <w:rsid w:val="00865683"/>
    <w:rsid w:val="00875069"/>
    <w:rsid w:val="00881F77"/>
    <w:rsid w:val="0089319D"/>
    <w:rsid w:val="0089511D"/>
    <w:rsid w:val="008B24A7"/>
    <w:rsid w:val="008B5E65"/>
    <w:rsid w:val="008B6DBD"/>
    <w:rsid w:val="008F254D"/>
    <w:rsid w:val="008F5031"/>
    <w:rsid w:val="008F7DA4"/>
    <w:rsid w:val="00907084"/>
    <w:rsid w:val="009143CB"/>
    <w:rsid w:val="009165C1"/>
    <w:rsid w:val="00920108"/>
    <w:rsid w:val="009208CF"/>
    <w:rsid w:val="009233BE"/>
    <w:rsid w:val="00926193"/>
    <w:rsid w:val="009336E9"/>
    <w:rsid w:val="00943A7F"/>
    <w:rsid w:val="009443D7"/>
    <w:rsid w:val="00957531"/>
    <w:rsid w:val="00960EF8"/>
    <w:rsid w:val="009632FB"/>
    <w:rsid w:val="00965A9F"/>
    <w:rsid w:val="00986617"/>
    <w:rsid w:val="00990D32"/>
    <w:rsid w:val="00991490"/>
    <w:rsid w:val="009D1BD4"/>
    <w:rsid w:val="009F1B88"/>
    <w:rsid w:val="00A024FB"/>
    <w:rsid w:val="00A31654"/>
    <w:rsid w:val="00A33322"/>
    <w:rsid w:val="00A35441"/>
    <w:rsid w:val="00A379D2"/>
    <w:rsid w:val="00A37ED7"/>
    <w:rsid w:val="00A446B6"/>
    <w:rsid w:val="00A44EC8"/>
    <w:rsid w:val="00A56CCC"/>
    <w:rsid w:val="00A60CEC"/>
    <w:rsid w:val="00A93903"/>
    <w:rsid w:val="00AA5C4F"/>
    <w:rsid w:val="00AB57CB"/>
    <w:rsid w:val="00AE3465"/>
    <w:rsid w:val="00B04634"/>
    <w:rsid w:val="00B404FF"/>
    <w:rsid w:val="00B41556"/>
    <w:rsid w:val="00B435F2"/>
    <w:rsid w:val="00B506E5"/>
    <w:rsid w:val="00B60795"/>
    <w:rsid w:val="00B8479D"/>
    <w:rsid w:val="00BA4CAB"/>
    <w:rsid w:val="00BA69C8"/>
    <w:rsid w:val="00BB0191"/>
    <w:rsid w:val="00BB08AF"/>
    <w:rsid w:val="00BC46E8"/>
    <w:rsid w:val="00BC7464"/>
    <w:rsid w:val="00BC7825"/>
    <w:rsid w:val="00BD14E5"/>
    <w:rsid w:val="00BD5D14"/>
    <w:rsid w:val="00BF23DB"/>
    <w:rsid w:val="00BF3779"/>
    <w:rsid w:val="00BF6767"/>
    <w:rsid w:val="00BF7EEF"/>
    <w:rsid w:val="00C05759"/>
    <w:rsid w:val="00C064F4"/>
    <w:rsid w:val="00C16A4C"/>
    <w:rsid w:val="00C2362A"/>
    <w:rsid w:val="00C327F6"/>
    <w:rsid w:val="00C446AB"/>
    <w:rsid w:val="00C47294"/>
    <w:rsid w:val="00C507B2"/>
    <w:rsid w:val="00C567E7"/>
    <w:rsid w:val="00C61A26"/>
    <w:rsid w:val="00C6237A"/>
    <w:rsid w:val="00C769B1"/>
    <w:rsid w:val="00C76E10"/>
    <w:rsid w:val="00C833CD"/>
    <w:rsid w:val="00C84FD3"/>
    <w:rsid w:val="00C850DD"/>
    <w:rsid w:val="00C902CD"/>
    <w:rsid w:val="00C9242E"/>
    <w:rsid w:val="00C95979"/>
    <w:rsid w:val="00CB5337"/>
    <w:rsid w:val="00CB7EB2"/>
    <w:rsid w:val="00CD38C0"/>
    <w:rsid w:val="00CD6122"/>
    <w:rsid w:val="00CE1582"/>
    <w:rsid w:val="00CF0631"/>
    <w:rsid w:val="00CF08E3"/>
    <w:rsid w:val="00CF4286"/>
    <w:rsid w:val="00D11068"/>
    <w:rsid w:val="00D24161"/>
    <w:rsid w:val="00D2654D"/>
    <w:rsid w:val="00D30343"/>
    <w:rsid w:val="00D407CE"/>
    <w:rsid w:val="00D43AF7"/>
    <w:rsid w:val="00D43BD3"/>
    <w:rsid w:val="00D43CA6"/>
    <w:rsid w:val="00D43FE0"/>
    <w:rsid w:val="00D903EF"/>
    <w:rsid w:val="00D92449"/>
    <w:rsid w:val="00D948A8"/>
    <w:rsid w:val="00DA1394"/>
    <w:rsid w:val="00DB38E2"/>
    <w:rsid w:val="00DC0670"/>
    <w:rsid w:val="00DC56AD"/>
    <w:rsid w:val="00DC7034"/>
    <w:rsid w:val="00DE2E4E"/>
    <w:rsid w:val="00DE647A"/>
    <w:rsid w:val="00DF0003"/>
    <w:rsid w:val="00DF634C"/>
    <w:rsid w:val="00E009D6"/>
    <w:rsid w:val="00E07C17"/>
    <w:rsid w:val="00E14DBF"/>
    <w:rsid w:val="00E40CA5"/>
    <w:rsid w:val="00E60E59"/>
    <w:rsid w:val="00E75DE8"/>
    <w:rsid w:val="00EA0D88"/>
    <w:rsid w:val="00EC2C26"/>
    <w:rsid w:val="00ED78D5"/>
    <w:rsid w:val="00EE0236"/>
    <w:rsid w:val="00F078B8"/>
    <w:rsid w:val="00F24445"/>
    <w:rsid w:val="00F31D27"/>
    <w:rsid w:val="00F33645"/>
    <w:rsid w:val="00F454C7"/>
    <w:rsid w:val="00F456FA"/>
    <w:rsid w:val="00F45FD8"/>
    <w:rsid w:val="00F56428"/>
    <w:rsid w:val="00F66B29"/>
    <w:rsid w:val="00F7048E"/>
    <w:rsid w:val="00F73F11"/>
    <w:rsid w:val="00F9293B"/>
    <w:rsid w:val="00F95A1C"/>
    <w:rsid w:val="00FA0841"/>
    <w:rsid w:val="00FB5358"/>
    <w:rsid w:val="00FE3096"/>
    <w:rsid w:val="00FF1D0E"/>
    <w:rsid w:val="00FF2E6B"/>
    <w:rsid w:val="650C59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DDAE4"/>
  <w15:chartTrackingRefBased/>
  <w15:docId w15:val="{DF0902C4-75FD-48B8-99E9-9C791CE3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1D0E"/>
    <w:pPr>
      <w:spacing w:after="0" w:line="240" w:lineRule="auto"/>
    </w:pPr>
    <w:rPr>
      <w:rFonts w:ascii="Times New Roman" w:eastAsia="SimSun" w:hAnsi="Times New Roman" w:cs="Times New Roman"/>
      <w:kern w:val="0"/>
      <w:sz w:val="20"/>
      <w:szCs w:val="20"/>
      <w14:ligatures w14:val="none"/>
    </w:r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unhideWhenUsed/>
    <w:rsid w:val="00035D73"/>
    <w:rPr>
      <w:rFonts w:ascii="Times New Roman" w:hAnsi="Times New Roman"/>
      <w:color w:val="auto"/>
      <w:sz w:val="20"/>
      <w:szCs w:val="18"/>
      <w:vertAlign w:val="superscript"/>
      <w:lang w:val="en-GB"/>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rsid w:val="00035D73"/>
    <w:pPr>
      <w:numPr>
        <w:numId w:val="1"/>
      </w:numPr>
      <w:tabs>
        <w:tab w:val="clear" w:pos="624"/>
      </w:tabs>
      <w:spacing w:after="120"/>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rsid w:val="00035D73"/>
    <w:rPr>
      <w:b/>
      <w:bCs/>
      <w:sz w:val="28"/>
      <w:szCs w:val="22"/>
    </w:rPr>
  </w:style>
  <w:style w:type="paragraph" w:customStyle="1" w:styleId="ZZAnxtitle">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035D73"/>
    <w:rPr>
      <w:sz w:val="1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nhideWhenUsed/>
    <w:rsid w:val="00035D73"/>
    <w:pPr>
      <w:tabs>
        <w:tab w:val="right" w:pos="8641"/>
      </w:tabs>
    </w:pPr>
    <w:rPr>
      <w:b/>
      <w:sz w:val="18"/>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DefaultParagraphFont"/>
    <w:uiPriority w:val="99"/>
    <w:semiHidden/>
    <w:unhideWhenUsed/>
    <w:rsid w:val="00035D73"/>
    <w:rPr>
      <w:vertAlign w:val="superscript"/>
      <w:lang w:val="en-GB"/>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035D73"/>
  </w:style>
  <w:style w:type="character" w:customStyle="1" w:styleId="FootnoteTextChar">
    <w:name w:val="Footnote Text Char"/>
    <w:basedOn w:val="DefaultParagraphFont"/>
    <w:link w:val="FootnoteText"/>
    <w:uiPriority w:val="99"/>
    <w:semiHidden/>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ind w:left="200" w:hanging="200"/>
    </w:pPr>
  </w:style>
  <w:style w:type="paragraph" w:styleId="Index2">
    <w:name w:val="index 2"/>
    <w:basedOn w:val="Normal"/>
    <w:next w:val="Normal"/>
    <w:autoRedefine/>
    <w:uiPriority w:val="99"/>
    <w:semiHidden/>
    <w:unhideWhenUsed/>
    <w:rsid w:val="00035D73"/>
    <w:pPr>
      <w:ind w:left="400" w:hanging="200"/>
    </w:pPr>
  </w:style>
  <w:style w:type="paragraph" w:styleId="Index3">
    <w:name w:val="index 3"/>
    <w:basedOn w:val="Normal"/>
    <w:next w:val="Normal"/>
    <w:autoRedefine/>
    <w:uiPriority w:val="99"/>
    <w:semiHidden/>
    <w:unhideWhenUsed/>
    <w:rsid w:val="00035D73"/>
    <w:pPr>
      <w:ind w:left="600" w:hanging="200"/>
    </w:pPr>
  </w:style>
  <w:style w:type="paragraph" w:styleId="Index4">
    <w:name w:val="index 4"/>
    <w:basedOn w:val="Normal"/>
    <w:next w:val="Normal"/>
    <w:autoRedefine/>
    <w:uiPriority w:val="99"/>
    <w:semiHidden/>
    <w:unhideWhenUsed/>
    <w:rsid w:val="00035D73"/>
    <w:pPr>
      <w:ind w:left="800" w:hanging="200"/>
    </w:pPr>
  </w:style>
  <w:style w:type="paragraph" w:styleId="Index5">
    <w:name w:val="index 5"/>
    <w:basedOn w:val="Normal"/>
    <w:next w:val="Normal"/>
    <w:autoRedefine/>
    <w:uiPriority w:val="99"/>
    <w:semiHidden/>
    <w:unhideWhenUsed/>
    <w:rsid w:val="00035D73"/>
    <w:pPr>
      <w:ind w:left="1000" w:hanging="200"/>
    </w:pPr>
  </w:style>
  <w:style w:type="paragraph" w:styleId="Index6">
    <w:name w:val="index 6"/>
    <w:basedOn w:val="Normal"/>
    <w:next w:val="Normal"/>
    <w:autoRedefine/>
    <w:uiPriority w:val="99"/>
    <w:semiHidden/>
    <w:unhideWhenUsed/>
    <w:rsid w:val="00035D73"/>
    <w:pPr>
      <w:ind w:left="1200" w:hanging="200"/>
    </w:pPr>
  </w:style>
  <w:style w:type="paragraph" w:styleId="Index7">
    <w:name w:val="index 7"/>
    <w:basedOn w:val="Normal"/>
    <w:next w:val="Normal"/>
    <w:autoRedefine/>
    <w:uiPriority w:val="99"/>
    <w:semiHidden/>
    <w:unhideWhenUsed/>
    <w:rsid w:val="00035D73"/>
    <w:pPr>
      <w:ind w:left="1400" w:hanging="200"/>
    </w:pPr>
  </w:style>
  <w:style w:type="paragraph" w:styleId="Index8">
    <w:name w:val="index 8"/>
    <w:basedOn w:val="Normal"/>
    <w:next w:val="Normal"/>
    <w:autoRedefine/>
    <w:uiPriority w:val="99"/>
    <w:semiHidden/>
    <w:unhideWhenUsed/>
    <w:rsid w:val="00035D73"/>
    <w:pPr>
      <w:ind w:left="1600" w:hanging="200"/>
    </w:pPr>
  </w:style>
  <w:style w:type="paragraph" w:styleId="Index9">
    <w:name w:val="index 9"/>
    <w:basedOn w:val="Normal"/>
    <w:next w:val="Normal"/>
    <w:autoRedefine/>
    <w:uiPriority w:val="99"/>
    <w:semiHidden/>
    <w:unhideWhenUsed/>
    <w:rsid w:val="00035D73"/>
    <w:pPr>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poolChar">
    <w:name w:val="Normal-pool Char"/>
    <w:link w:val="Normal-pool"/>
    <w:locked/>
    <w:rsid w:val="00FF1D0E"/>
    <w:rPr>
      <w:rFonts w:ascii="Times New Roman" w:eastAsia="Times New Roman" w:hAnsi="Times New Roman" w:cs="Times New Roman"/>
      <w:kern w:val="0"/>
      <w:sz w:val="20"/>
      <w:szCs w:val="20"/>
      <w:lang w:eastAsia="en-US"/>
      <w14:ligatures w14:val="none"/>
    </w:rPr>
  </w:style>
  <w:style w:type="character" w:customStyle="1" w:styleId="CH2Char">
    <w:name w:val="CH2 Char"/>
    <w:link w:val="CH2"/>
    <w:rsid w:val="00FF1D0E"/>
    <w:rPr>
      <w:rFonts w:ascii="Times New Roman" w:eastAsia="Times New Roman" w:hAnsi="Times New Roman" w:cs="Times New Roman"/>
      <w:b/>
      <w:kern w:val="0"/>
      <w:lang w:eastAsia="en-US"/>
      <w14:ligatures w14:val="none"/>
    </w:rPr>
  </w:style>
  <w:style w:type="paragraph" w:styleId="Revision">
    <w:name w:val="Revision"/>
    <w:hidden/>
    <w:uiPriority w:val="99"/>
    <w:semiHidden/>
    <w:rsid w:val="001E0E53"/>
    <w:pPr>
      <w:spacing w:after="0" w:line="240" w:lineRule="auto"/>
    </w:pPr>
    <w:rPr>
      <w:rFonts w:ascii="Times New Roman" w:eastAsia="SimSu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7726">
      <w:bodyDiv w:val="1"/>
      <w:marLeft w:val="0"/>
      <w:marRight w:val="0"/>
      <w:marTop w:val="0"/>
      <w:marBottom w:val="0"/>
      <w:divBdr>
        <w:top w:val="none" w:sz="0" w:space="0" w:color="auto"/>
        <w:left w:val="none" w:sz="0" w:space="0" w:color="auto"/>
        <w:bottom w:val="none" w:sz="0" w:space="0" w:color="auto"/>
        <w:right w:val="none" w:sz="0" w:space="0" w:color="auto"/>
      </w:divBdr>
    </w:div>
    <w:div w:id="328866843">
      <w:bodyDiv w:val="1"/>
      <w:marLeft w:val="0"/>
      <w:marRight w:val="0"/>
      <w:marTop w:val="0"/>
      <w:marBottom w:val="0"/>
      <w:divBdr>
        <w:top w:val="none" w:sz="0" w:space="0" w:color="auto"/>
        <w:left w:val="none" w:sz="0" w:space="0" w:color="auto"/>
        <w:bottom w:val="none" w:sz="0" w:space="0" w:color="auto"/>
        <w:right w:val="none" w:sz="0" w:space="0" w:color="auto"/>
      </w:divBdr>
    </w:div>
    <w:div w:id="351032496">
      <w:bodyDiv w:val="1"/>
      <w:marLeft w:val="0"/>
      <w:marRight w:val="0"/>
      <w:marTop w:val="0"/>
      <w:marBottom w:val="0"/>
      <w:divBdr>
        <w:top w:val="none" w:sz="0" w:space="0" w:color="auto"/>
        <w:left w:val="none" w:sz="0" w:space="0" w:color="auto"/>
        <w:bottom w:val="none" w:sz="0" w:space="0" w:color="auto"/>
        <w:right w:val="none" w:sz="0" w:space="0" w:color="auto"/>
      </w:divBdr>
    </w:div>
    <w:div w:id="569081572">
      <w:bodyDiv w:val="1"/>
      <w:marLeft w:val="0"/>
      <w:marRight w:val="0"/>
      <w:marTop w:val="0"/>
      <w:marBottom w:val="0"/>
      <w:divBdr>
        <w:top w:val="none" w:sz="0" w:space="0" w:color="auto"/>
        <w:left w:val="none" w:sz="0" w:space="0" w:color="auto"/>
        <w:bottom w:val="none" w:sz="0" w:space="0" w:color="auto"/>
        <w:right w:val="none" w:sz="0" w:space="0" w:color="auto"/>
      </w:divBdr>
    </w:div>
    <w:div w:id="598370417">
      <w:bodyDiv w:val="1"/>
      <w:marLeft w:val="0"/>
      <w:marRight w:val="0"/>
      <w:marTop w:val="0"/>
      <w:marBottom w:val="0"/>
      <w:divBdr>
        <w:top w:val="none" w:sz="0" w:space="0" w:color="auto"/>
        <w:left w:val="none" w:sz="0" w:space="0" w:color="auto"/>
        <w:bottom w:val="none" w:sz="0" w:space="0" w:color="auto"/>
        <w:right w:val="none" w:sz="0" w:space="0" w:color="auto"/>
      </w:divBdr>
    </w:div>
    <w:div w:id="634529854">
      <w:bodyDiv w:val="1"/>
      <w:marLeft w:val="0"/>
      <w:marRight w:val="0"/>
      <w:marTop w:val="0"/>
      <w:marBottom w:val="0"/>
      <w:divBdr>
        <w:top w:val="none" w:sz="0" w:space="0" w:color="auto"/>
        <w:left w:val="none" w:sz="0" w:space="0" w:color="auto"/>
        <w:bottom w:val="none" w:sz="0" w:space="0" w:color="auto"/>
        <w:right w:val="none" w:sz="0" w:space="0" w:color="auto"/>
      </w:divBdr>
    </w:div>
    <w:div w:id="722141271">
      <w:bodyDiv w:val="1"/>
      <w:marLeft w:val="0"/>
      <w:marRight w:val="0"/>
      <w:marTop w:val="0"/>
      <w:marBottom w:val="0"/>
      <w:divBdr>
        <w:top w:val="none" w:sz="0" w:space="0" w:color="auto"/>
        <w:left w:val="none" w:sz="0" w:space="0" w:color="auto"/>
        <w:bottom w:val="none" w:sz="0" w:space="0" w:color="auto"/>
        <w:right w:val="none" w:sz="0" w:space="0" w:color="auto"/>
      </w:divBdr>
    </w:div>
    <w:div w:id="783500794">
      <w:bodyDiv w:val="1"/>
      <w:marLeft w:val="0"/>
      <w:marRight w:val="0"/>
      <w:marTop w:val="0"/>
      <w:marBottom w:val="0"/>
      <w:divBdr>
        <w:top w:val="none" w:sz="0" w:space="0" w:color="auto"/>
        <w:left w:val="none" w:sz="0" w:space="0" w:color="auto"/>
        <w:bottom w:val="none" w:sz="0" w:space="0" w:color="auto"/>
        <w:right w:val="none" w:sz="0" w:space="0" w:color="auto"/>
      </w:divBdr>
    </w:div>
    <w:div w:id="812528185">
      <w:bodyDiv w:val="1"/>
      <w:marLeft w:val="0"/>
      <w:marRight w:val="0"/>
      <w:marTop w:val="0"/>
      <w:marBottom w:val="0"/>
      <w:divBdr>
        <w:top w:val="none" w:sz="0" w:space="0" w:color="auto"/>
        <w:left w:val="none" w:sz="0" w:space="0" w:color="auto"/>
        <w:bottom w:val="none" w:sz="0" w:space="0" w:color="auto"/>
        <w:right w:val="none" w:sz="0" w:space="0" w:color="auto"/>
      </w:divBdr>
    </w:div>
    <w:div w:id="864289797">
      <w:bodyDiv w:val="1"/>
      <w:marLeft w:val="0"/>
      <w:marRight w:val="0"/>
      <w:marTop w:val="0"/>
      <w:marBottom w:val="0"/>
      <w:divBdr>
        <w:top w:val="none" w:sz="0" w:space="0" w:color="auto"/>
        <w:left w:val="none" w:sz="0" w:space="0" w:color="auto"/>
        <w:bottom w:val="none" w:sz="0" w:space="0" w:color="auto"/>
        <w:right w:val="none" w:sz="0" w:space="0" w:color="auto"/>
      </w:divBdr>
    </w:div>
    <w:div w:id="934440221">
      <w:bodyDiv w:val="1"/>
      <w:marLeft w:val="0"/>
      <w:marRight w:val="0"/>
      <w:marTop w:val="0"/>
      <w:marBottom w:val="0"/>
      <w:divBdr>
        <w:top w:val="none" w:sz="0" w:space="0" w:color="auto"/>
        <w:left w:val="none" w:sz="0" w:space="0" w:color="auto"/>
        <w:bottom w:val="none" w:sz="0" w:space="0" w:color="auto"/>
        <w:right w:val="none" w:sz="0" w:space="0" w:color="auto"/>
      </w:divBdr>
    </w:div>
    <w:div w:id="1000809503">
      <w:bodyDiv w:val="1"/>
      <w:marLeft w:val="0"/>
      <w:marRight w:val="0"/>
      <w:marTop w:val="0"/>
      <w:marBottom w:val="0"/>
      <w:divBdr>
        <w:top w:val="none" w:sz="0" w:space="0" w:color="auto"/>
        <w:left w:val="none" w:sz="0" w:space="0" w:color="auto"/>
        <w:bottom w:val="none" w:sz="0" w:space="0" w:color="auto"/>
        <w:right w:val="none" w:sz="0" w:space="0" w:color="auto"/>
      </w:divBdr>
    </w:div>
    <w:div w:id="1052726090">
      <w:bodyDiv w:val="1"/>
      <w:marLeft w:val="0"/>
      <w:marRight w:val="0"/>
      <w:marTop w:val="0"/>
      <w:marBottom w:val="0"/>
      <w:divBdr>
        <w:top w:val="none" w:sz="0" w:space="0" w:color="auto"/>
        <w:left w:val="none" w:sz="0" w:space="0" w:color="auto"/>
        <w:bottom w:val="none" w:sz="0" w:space="0" w:color="auto"/>
        <w:right w:val="none" w:sz="0" w:space="0" w:color="auto"/>
      </w:divBdr>
    </w:div>
    <w:div w:id="1059865323">
      <w:bodyDiv w:val="1"/>
      <w:marLeft w:val="0"/>
      <w:marRight w:val="0"/>
      <w:marTop w:val="0"/>
      <w:marBottom w:val="0"/>
      <w:divBdr>
        <w:top w:val="none" w:sz="0" w:space="0" w:color="auto"/>
        <w:left w:val="none" w:sz="0" w:space="0" w:color="auto"/>
        <w:bottom w:val="none" w:sz="0" w:space="0" w:color="auto"/>
        <w:right w:val="none" w:sz="0" w:space="0" w:color="auto"/>
      </w:divBdr>
    </w:div>
    <w:div w:id="1143041963">
      <w:bodyDiv w:val="1"/>
      <w:marLeft w:val="0"/>
      <w:marRight w:val="0"/>
      <w:marTop w:val="0"/>
      <w:marBottom w:val="0"/>
      <w:divBdr>
        <w:top w:val="none" w:sz="0" w:space="0" w:color="auto"/>
        <w:left w:val="none" w:sz="0" w:space="0" w:color="auto"/>
        <w:bottom w:val="none" w:sz="0" w:space="0" w:color="auto"/>
        <w:right w:val="none" w:sz="0" w:space="0" w:color="auto"/>
      </w:divBdr>
    </w:div>
    <w:div w:id="1203053173">
      <w:bodyDiv w:val="1"/>
      <w:marLeft w:val="0"/>
      <w:marRight w:val="0"/>
      <w:marTop w:val="0"/>
      <w:marBottom w:val="0"/>
      <w:divBdr>
        <w:top w:val="none" w:sz="0" w:space="0" w:color="auto"/>
        <w:left w:val="none" w:sz="0" w:space="0" w:color="auto"/>
        <w:bottom w:val="none" w:sz="0" w:space="0" w:color="auto"/>
        <w:right w:val="none" w:sz="0" w:space="0" w:color="auto"/>
      </w:divBdr>
    </w:div>
    <w:div w:id="1243222570">
      <w:bodyDiv w:val="1"/>
      <w:marLeft w:val="0"/>
      <w:marRight w:val="0"/>
      <w:marTop w:val="0"/>
      <w:marBottom w:val="0"/>
      <w:divBdr>
        <w:top w:val="none" w:sz="0" w:space="0" w:color="auto"/>
        <w:left w:val="none" w:sz="0" w:space="0" w:color="auto"/>
        <w:bottom w:val="none" w:sz="0" w:space="0" w:color="auto"/>
        <w:right w:val="none" w:sz="0" w:space="0" w:color="auto"/>
      </w:divBdr>
    </w:div>
    <w:div w:id="1425489397">
      <w:bodyDiv w:val="1"/>
      <w:marLeft w:val="0"/>
      <w:marRight w:val="0"/>
      <w:marTop w:val="0"/>
      <w:marBottom w:val="0"/>
      <w:divBdr>
        <w:top w:val="none" w:sz="0" w:space="0" w:color="auto"/>
        <w:left w:val="none" w:sz="0" w:space="0" w:color="auto"/>
        <w:bottom w:val="none" w:sz="0" w:space="0" w:color="auto"/>
        <w:right w:val="none" w:sz="0" w:space="0" w:color="auto"/>
      </w:divBdr>
    </w:div>
    <w:div w:id="1489318767">
      <w:bodyDiv w:val="1"/>
      <w:marLeft w:val="0"/>
      <w:marRight w:val="0"/>
      <w:marTop w:val="0"/>
      <w:marBottom w:val="0"/>
      <w:divBdr>
        <w:top w:val="none" w:sz="0" w:space="0" w:color="auto"/>
        <w:left w:val="none" w:sz="0" w:space="0" w:color="auto"/>
        <w:bottom w:val="none" w:sz="0" w:space="0" w:color="auto"/>
        <w:right w:val="none" w:sz="0" w:space="0" w:color="auto"/>
      </w:divBdr>
    </w:div>
    <w:div w:id="2145081528">
      <w:bodyDiv w:val="1"/>
      <w:marLeft w:val="0"/>
      <w:marRight w:val="0"/>
      <w:marTop w:val="0"/>
      <w:marBottom w:val="0"/>
      <w:divBdr>
        <w:top w:val="none" w:sz="0" w:space="0" w:color="auto"/>
        <w:left w:val="none" w:sz="0" w:space="0" w:color="auto"/>
        <w:bottom w:val="none" w:sz="0" w:space="0" w:color="auto"/>
        <w:right w:val="none" w:sz="0" w:space="0" w:color="auto"/>
      </w:divBdr>
    </w:div>
    <w:div w:id="21464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4/relationships/chartEx" Target="charts/chartEx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minamataconvention.org/en/projects/list" TargetMode="External"/><Relationship Id="rId3" Type="http://schemas.openxmlformats.org/officeDocument/2006/relationships/hyperlink" Target="https://minamataconvention.org/en/implementation/specific-international-programme/fourth-round" TargetMode="External"/><Relationship Id="rId7" Type="http://schemas.openxmlformats.org/officeDocument/2006/relationships/hyperlink" Target="https://minamataconvention.org/en/projects/list" TargetMode="External"/><Relationship Id="rId2" Type="http://schemas.openxmlformats.org/officeDocument/2006/relationships/hyperlink" Target="https://minamataconvention.org/en/implementation/specific-international-programme/donors" TargetMode="External"/><Relationship Id="rId1" Type="http://schemas.openxmlformats.org/officeDocument/2006/relationships/hyperlink" Target="https://minamataconvention.org/en/implementation/specific-international-programme/donors" TargetMode="External"/><Relationship Id="rId6" Type="http://schemas.openxmlformats.org/officeDocument/2006/relationships/hyperlink" Target="https://minamataconvention.org/en/implementation/specific-international-programme/dashboard" TargetMode="External"/><Relationship Id="rId5" Type="http://schemas.openxmlformats.org/officeDocument/2006/relationships/hyperlink" Target="https://minamataconvention.org/en/implementation/specific-international-programme/dashboard" TargetMode="External"/><Relationship Id="rId4" Type="http://schemas.openxmlformats.org/officeDocument/2006/relationships/hyperlink" Target="https://minamataconvention.org/en/implementation/specific-international-programme/fourth-round"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Sheet1!$A$2:$A$17</cx:f>
        <cx:lvl ptCount="16">
          <cx:pt idx="0">Noruega</cx:pt>
          <cx:pt idx="1">Suiza</cx:pt>
          <cx:pt idx="2">Suecia</cx:pt>
          <cx:pt idx="3">Estados Unidos de América</cx:pt>
          <cx:pt idx="4">Austria</cx:pt>
          <cx:pt idx="5">Reino Unido de Gran Bretaña e Irlanda del Norte</cx:pt>
          <cx:pt idx="6">Alemania</cx:pt>
          <cx:pt idx="7">Países Bajos</cx:pt>
          <cx:pt idx="8">Dinamarca</cx:pt>
          <cx:pt idx="9">Francia</cx:pt>
        </cx:lvl>
        <cx:lvl ptCount="0"/>
        <cx:lvl ptCount="0"/>
      </cx:strDim>
      <cx:numDim type="size">
        <cx:f>Sheet1!$B$2:$B$17</cx:f>
        <cx:lvl ptCount="16" formatCode="#.##0,00">
          <cx:pt idx="0">110522</cx:pt>
          <cx:pt idx="1">128276</cx:pt>
          <cx:pt idx="2">193673</cx:pt>
          <cx:pt idx="3">480075</cx:pt>
          <cx:pt idx="4">184721</cx:pt>
          <cx:pt idx="5">95235</cx:pt>
          <cx:pt idx="6">643718</cx:pt>
          <cx:pt idx="7">172826</cx:pt>
          <cx:pt idx="8">50992</cx:pt>
          <cx:pt idx="9">214133</cx:pt>
        </cx:lvl>
      </cx:numDim>
    </cx:data>
  </cx:chartData>
  <cx:chart>
    <cx:plotArea>
      <cx:plotAreaRegion>
        <cx:series layoutId="treemap" uniqueId="{7A651AD2-3A04-437C-A0CD-5584D5507A16}">
          <cx:tx>
            <cx:txData>
              <cx:f>Sheet1!$B$1</cx:f>
              <cx:v>Series1</cx:v>
            </cx:txData>
          </cx:tx>
          <cx:dataPt idx="0">
            <cx:spPr>
              <a:solidFill>
                <a:srgbClr val="E2B900"/>
              </a:solidFill>
              <a:effectLst>
                <a:outerShdw blurRad="50800" dist="50800" dir="600000" algn="ctr" rotWithShape="0">
                  <a:srgbClr val="000000">
                    <a:alpha val="43137"/>
                  </a:srgbClr>
                </a:outerShdw>
              </a:effectLst>
            </cx:spPr>
          </cx:dataPt>
          <cx:dataPt idx="1">
            <cx:spPr>
              <a:solidFill>
                <a:srgbClr val="3D3555"/>
              </a:solidFill>
              <a:effectLst>
                <a:outerShdw blurRad="50800" dist="50800" sx="1000" sy="1000" algn="ctr" rotWithShape="0">
                  <a:srgbClr val="000000">
                    <a:alpha val="43137"/>
                  </a:srgbClr>
                </a:outerShdw>
              </a:effectLst>
            </cx:spPr>
          </cx:dataPt>
          <cx:dataPt idx="2">
            <cx:spPr>
              <a:solidFill>
                <a:srgbClr val="709C9D"/>
              </a:solidFill>
            </cx:spPr>
          </cx:dataPt>
          <cx:dataPt idx="3">
            <cx:spPr>
              <a:solidFill>
                <a:srgbClr val="00807F"/>
              </a:solidFill>
            </cx:spPr>
          </cx:dataPt>
          <cx:dataPt idx="4">
            <cx:spPr>
              <a:solidFill>
                <a:srgbClr val="20AAE1"/>
              </a:solidFill>
            </cx:spPr>
          </cx:dataPt>
          <cx:dataPt idx="5">
            <cx:spPr>
              <a:solidFill>
                <a:srgbClr val="C88F42"/>
              </a:solidFill>
            </cx:spPr>
          </cx:dataPt>
          <cx:dataPt idx="6">
            <cx:spPr>
              <a:solidFill>
                <a:srgbClr val="7AD6EB"/>
              </a:solidFill>
            </cx:spPr>
          </cx:dataPt>
          <cx:dataPt idx="7">
            <cx:spPr>
              <a:solidFill>
                <a:srgbClr val="19907F"/>
              </a:solidFill>
            </cx:spPr>
          </cx:dataPt>
          <cx:dataPt idx="8">
            <cx:spPr>
              <a:solidFill>
                <a:srgbClr val="BDDC5B"/>
              </a:solidFill>
            </cx:spPr>
          </cx:dataPt>
          <cx:dataPt idx="9">
            <cx:spPr>
              <a:solidFill>
                <a:srgbClr val="2B5068"/>
              </a:solidFill>
            </cx:spPr>
          </cx:dataPt>
          <cx:dataId val="0"/>
          <cx:layoutPr>
            <cx:parentLabelLayout val="none"/>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1197"/>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cs:chartArea>
  <cs:dataLabel>
    <cs:lnRef idx="0"/>
    <cs:fillRef idx="0"/>
    <cs:effectRef idx="0"/>
    <cs:fontRef idx="minor">
      <a:schemeClr val="lt1"/>
    </cs:fontRef>
    <cs:defRPr sz="1197"/>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862"/>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999C1-7831-4244-ACE0-B2546B8C646F}">
  <ds:schemaRefs>
    <ds:schemaRef ds:uri="http://schemas.openxmlformats.org/officeDocument/2006/bibliography"/>
  </ds:schemaRefs>
</ds:datastoreItem>
</file>

<file path=customXml/itemProps2.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3.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44b29a07-ae0c-4297-aad9-2f7ae2e24b8e"/>
    <ds:schemaRef ds:uri="822da31b-d518-49e2-88cd-1351ccd720a8"/>
  </ds:schemaRefs>
</ds:datastoreItem>
</file>

<file path=customXml/itemProps4.xml><?xml version="1.0" encoding="utf-8"?>
<ds:datastoreItem xmlns:ds="http://schemas.openxmlformats.org/officeDocument/2006/customXml" ds:itemID="{91CCCDBE-861F-4135-8287-45BEE7F4C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3104</Words>
  <Characters>16847</Characters>
  <Application>Microsoft Office Word</Application>
  <DocSecurity>0</DocSecurity>
  <PresentationFormat/>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3</cp:revision>
  <cp:lastPrinted>2025-08-11T12:14:00Z</cp:lastPrinted>
  <dcterms:created xsi:type="dcterms:W3CDTF">2025-08-11T12:26:00Z</dcterms:created>
  <dcterms:modified xsi:type="dcterms:W3CDTF">2025-09-02T14:03:00Z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y fmtid="{D5CDD505-2E9C-101B-9397-08002B2CF9AE}" pid="12" name="TranslatedWith">
    <vt:lpwstr>Mercury</vt:lpwstr>
  </property>
  <property fmtid="{D5CDD505-2E9C-101B-9397-08002B2CF9AE}" pid="13" name="GeneratedBy">
    <vt:lpwstr>pablo.alvarez@un.org</vt:lpwstr>
  </property>
  <property fmtid="{D5CDD505-2E9C-101B-9397-08002B2CF9AE}" pid="14" name="GeneratedDate">
    <vt:lpwstr>07/22/2025 08:48:22</vt:lpwstr>
  </property>
  <property fmtid="{D5CDD505-2E9C-101B-9397-08002B2CF9AE}" pid="15" name="OriginalDocID">
    <vt:lpwstr>4f74de3c-74eb-4d56-bfae-28990d2a3f57</vt:lpwstr>
  </property>
  <property fmtid="{D5CDD505-2E9C-101B-9397-08002B2CF9AE}" pid="16" name="GrammarlyDocumentId">
    <vt:lpwstr>4d96ab09-f533-4a13-a1a3-0cf9047104e8</vt:lpwstr>
  </property>
</Properties>
</file>