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73774E" w:rsidRPr="006A36C2" w14:paraId="0DFBF717" w14:textId="77777777" w:rsidTr="0073774E">
        <w:trPr>
          <w:trHeight w:val="850"/>
        </w:trPr>
        <w:tc>
          <w:tcPr>
            <w:tcW w:w="1559" w:type="dxa"/>
            <w:shd w:val="clear" w:color="auto" w:fill="auto"/>
          </w:tcPr>
          <w:p w14:paraId="79A13549" w14:textId="1380AF62" w:rsidR="0073774E" w:rsidRPr="006A36C2" w:rsidRDefault="0073774E" w:rsidP="0073774E">
            <w:pPr>
              <w:pStyle w:val="AUnitedNations"/>
            </w:pPr>
            <w:r w:rsidRPr="006A36C2">
              <w:t xml:space="preserve">NATIONS </w:t>
            </w:r>
            <w:r w:rsidRPr="006A36C2">
              <w:br/>
              <w:t>UNIES</w:t>
            </w:r>
          </w:p>
        </w:tc>
        <w:tc>
          <w:tcPr>
            <w:tcW w:w="6520" w:type="dxa"/>
            <w:shd w:val="clear" w:color="auto" w:fill="auto"/>
          </w:tcPr>
          <w:p w14:paraId="38862762" w14:textId="718DC369" w:rsidR="0073774E" w:rsidRPr="006A36C2" w:rsidRDefault="0073774E" w:rsidP="0073774E">
            <w:pPr>
              <w:pStyle w:val="Normal-pool"/>
            </w:pPr>
            <w:r w:rsidRPr="006A36C2">
              <w:rPr>
                <w:noProof/>
                <w14:ligatures w14:val="standardContextual"/>
              </w:rPr>
              <w:drawing>
                <wp:anchor distT="0" distB="0" distL="114300" distR="114300" simplePos="0" relativeHeight="251658240" behindDoc="0" locked="0" layoutInCell="1" allowOverlap="1" wp14:anchorId="668E9332" wp14:editId="2AD7AEE3">
                  <wp:simplePos x="0" y="0"/>
                  <wp:positionH relativeFrom="column">
                    <wp:posOffset>-3175</wp:posOffset>
                  </wp:positionH>
                  <wp:positionV relativeFrom="paragraph">
                    <wp:posOffset>1905</wp:posOffset>
                  </wp:positionV>
                  <wp:extent cx="1269153" cy="573559"/>
                  <wp:effectExtent l="0" t="0" r="7620" b="0"/>
                  <wp:wrapNone/>
                  <wp:docPr id="90914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43035" name=""/>
                          <pic:cNvPicPr/>
                        </pic:nvPicPr>
                        <pic:blipFill>
                          <a:blip r:embed="rId10">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0DA1A9CE" w14:textId="77777777" w:rsidR="0073774E" w:rsidRPr="006A36C2" w:rsidRDefault="0073774E" w:rsidP="0073774E">
            <w:pPr>
              <w:pStyle w:val="Normal-pool"/>
            </w:pPr>
          </w:p>
        </w:tc>
      </w:tr>
    </w:tbl>
    <w:p w14:paraId="68BAB960" w14:textId="77777777" w:rsidR="0073774E" w:rsidRPr="006A36C2" w:rsidRDefault="0073774E" w:rsidP="0073774E">
      <w:pPr>
        <w:pStyle w:val="ASpacer"/>
      </w:pPr>
    </w:p>
    <w:tbl>
      <w:tblPr>
        <w:tblW w:w="9496" w:type="dxa"/>
        <w:tblLook w:val="0000" w:firstRow="0" w:lastRow="0" w:firstColumn="0" w:lastColumn="0" w:noHBand="0" w:noVBand="0"/>
      </w:tblPr>
      <w:tblGrid>
        <w:gridCol w:w="6378"/>
        <w:gridCol w:w="3118"/>
      </w:tblGrid>
      <w:tr w:rsidR="0073774E" w:rsidRPr="006A36C2" w14:paraId="5B30987F" w14:textId="77777777" w:rsidTr="0073774E">
        <w:trPr>
          <w:trHeight w:val="340"/>
        </w:trPr>
        <w:tc>
          <w:tcPr>
            <w:tcW w:w="3358" w:type="pct"/>
            <w:shd w:val="clear" w:color="auto" w:fill="auto"/>
            <w:vAlign w:val="bottom"/>
          </w:tcPr>
          <w:p w14:paraId="686BE159" w14:textId="77777777" w:rsidR="0073774E" w:rsidRPr="006A36C2" w:rsidRDefault="0073774E" w:rsidP="0073774E">
            <w:pPr>
              <w:pStyle w:val="Normal-pool"/>
            </w:pPr>
          </w:p>
        </w:tc>
        <w:tc>
          <w:tcPr>
            <w:tcW w:w="1642" w:type="pct"/>
            <w:shd w:val="clear" w:color="auto" w:fill="auto"/>
            <w:noWrap/>
            <w:vAlign w:val="bottom"/>
          </w:tcPr>
          <w:p w14:paraId="0DB1059A" w14:textId="2F8C4AF2" w:rsidR="0073774E" w:rsidRPr="006A36C2" w:rsidRDefault="0073774E" w:rsidP="0073774E">
            <w:pPr>
              <w:pStyle w:val="ASymbol"/>
            </w:pPr>
            <w:r w:rsidRPr="006A36C2">
              <w:rPr>
                <w:b/>
                <w:sz w:val="28"/>
              </w:rPr>
              <w:t>UNEP</w:t>
            </w:r>
            <w:r w:rsidRPr="006A36C2">
              <w:t>/MC/COP.</w:t>
            </w:r>
            <w:bookmarkStart w:id="0" w:name="Symbol1A"/>
            <w:r w:rsidRPr="006A36C2">
              <w:t>6</w:t>
            </w:r>
            <w:bookmarkStart w:id="1" w:name="Symbol1B"/>
            <w:bookmarkEnd w:id="0"/>
            <w:r w:rsidRPr="006A36C2">
              <w:t>/11</w:t>
            </w:r>
            <w:bookmarkEnd w:id="1"/>
          </w:p>
        </w:tc>
      </w:tr>
    </w:tbl>
    <w:p w14:paraId="230AB7DB" w14:textId="77777777" w:rsidR="0073774E" w:rsidRPr="006A36C2" w:rsidRDefault="0073774E" w:rsidP="0073774E">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3774E" w:rsidRPr="006A36C2" w14:paraId="13022E33" w14:textId="77777777" w:rsidTr="0073774E">
        <w:trPr>
          <w:trHeight w:val="2098"/>
        </w:trPr>
        <w:tc>
          <w:tcPr>
            <w:tcW w:w="3685" w:type="dxa"/>
            <w:shd w:val="clear" w:color="auto" w:fill="auto"/>
          </w:tcPr>
          <w:p w14:paraId="144DFDE5" w14:textId="41A5FEF4" w:rsidR="0073774E" w:rsidRPr="006A36C2" w:rsidRDefault="0073774E" w:rsidP="0073774E">
            <w:pPr>
              <w:pStyle w:val="ALogo"/>
            </w:pPr>
            <w:r w:rsidRPr="006A36C2">
              <w:rPr>
                <w:noProof/>
                <w14:ligatures w14:val="standardContextual"/>
              </w:rPr>
              <w:drawing>
                <wp:inline distT="0" distB="0" distL="0" distR="0" wp14:anchorId="1832A013" wp14:editId="43680800">
                  <wp:extent cx="2202815" cy="1028700"/>
                  <wp:effectExtent l="0" t="0" r="6985" b="0"/>
                  <wp:docPr id="410036893" name="Picture 2"/>
                  <wp:cNvGraphicFramePr/>
                  <a:graphic xmlns:a="http://schemas.openxmlformats.org/drawingml/2006/main">
                    <a:graphicData uri="http://schemas.openxmlformats.org/drawingml/2006/picture">
                      <pic:pic xmlns:pic="http://schemas.openxmlformats.org/drawingml/2006/picture">
                        <pic:nvPicPr>
                          <pic:cNvPr id="41003689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A36C2">
              <w:t xml:space="preserve"> </w:t>
            </w:r>
          </w:p>
          <w:p w14:paraId="51330B5A" w14:textId="37495BA8" w:rsidR="0073774E" w:rsidRPr="006A36C2" w:rsidRDefault="0073774E" w:rsidP="0073774E">
            <w:pPr>
              <w:pStyle w:val="ALogo"/>
            </w:pPr>
          </w:p>
        </w:tc>
        <w:tc>
          <w:tcPr>
            <w:tcW w:w="2693" w:type="dxa"/>
            <w:shd w:val="clear" w:color="auto" w:fill="auto"/>
          </w:tcPr>
          <w:p w14:paraId="2E475DED" w14:textId="77777777" w:rsidR="0073774E" w:rsidRPr="006A36C2" w:rsidRDefault="0073774E" w:rsidP="0073774E">
            <w:pPr>
              <w:pStyle w:val="Normal-pool"/>
            </w:pPr>
          </w:p>
        </w:tc>
        <w:tc>
          <w:tcPr>
            <w:tcW w:w="3118" w:type="dxa"/>
            <w:shd w:val="clear" w:color="auto" w:fill="auto"/>
          </w:tcPr>
          <w:p w14:paraId="00DEF39C" w14:textId="5FF2B081" w:rsidR="0073774E" w:rsidRPr="006A36C2" w:rsidRDefault="0073774E" w:rsidP="0073774E">
            <w:pPr>
              <w:pStyle w:val="AText"/>
            </w:pPr>
            <w:proofErr w:type="spellStart"/>
            <w:r w:rsidRPr="006A36C2">
              <w:t>Distr</w:t>
            </w:r>
            <w:proofErr w:type="spellEnd"/>
            <w:r w:rsidRPr="006A36C2">
              <w:t xml:space="preserve">. </w:t>
            </w:r>
            <w:bookmarkStart w:id="2" w:name="Distribution"/>
            <w:proofErr w:type="gramStart"/>
            <w:r w:rsidRPr="006A36C2">
              <w:t>générale</w:t>
            </w:r>
            <w:bookmarkEnd w:id="2"/>
            <w:proofErr w:type="gramEnd"/>
            <w:r w:rsidRPr="006A36C2">
              <w:t xml:space="preserve"> </w:t>
            </w:r>
          </w:p>
          <w:p w14:paraId="7C06C08B" w14:textId="09721F21" w:rsidR="0073774E" w:rsidRPr="006A36C2" w:rsidRDefault="0073774E" w:rsidP="0073774E">
            <w:pPr>
              <w:pStyle w:val="AText0"/>
            </w:pPr>
            <w:bookmarkStart w:id="3" w:name="DistributionDate"/>
            <w:r w:rsidRPr="006A36C2">
              <w:t>3 juillet 2025</w:t>
            </w:r>
            <w:bookmarkEnd w:id="3"/>
            <w:r w:rsidRPr="006A36C2">
              <w:t xml:space="preserve"> </w:t>
            </w:r>
          </w:p>
          <w:p w14:paraId="02EB2BF6" w14:textId="73B77349" w:rsidR="0073774E" w:rsidRPr="006A36C2" w:rsidRDefault="0073774E" w:rsidP="0073774E">
            <w:pPr>
              <w:pStyle w:val="AText"/>
            </w:pPr>
            <w:bookmarkStart w:id="4" w:name="DistributionLang"/>
            <w:r w:rsidRPr="006A36C2">
              <w:t xml:space="preserve">Français </w:t>
            </w:r>
            <w:r w:rsidRPr="006A36C2">
              <w:br/>
              <w:t>Original : anglais</w:t>
            </w:r>
            <w:bookmarkEnd w:id="4"/>
          </w:p>
        </w:tc>
      </w:tr>
    </w:tbl>
    <w:p w14:paraId="19D404F6" w14:textId="77777777" w:rsidR="0073774E" w:rsidRPr="006A36C2" w:rsidRDefault="0073774E" w:rsidP="0073774E">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3774E" w:rsidRPr="006A36C2" w14:paraId="792B2217" w14:textId="77777777" w:rsidTr="0073774E">
        <w:trPr>
          <w:trHeight w:val="57"/>
        </w:trPr>
        <w:tc>
          <w:tcPr>
            <w:tcW w:w="5301" w:type="dxa"/>
            <w:shd w:val="clear" w:color="auto" w:fill="auto"/>
          </w:tcPr>
          <w:p w14:paraId="102B6B56" w14:textId="77777777" w:rsidR="0073774E" w:rsidRPr="006A36C2" w:rsidRDefault="0073774E" w:rsidP="0073774E">
            <w:pPr>
              <w:pStyle w:val="AATitle"/>
            </w:pPr>
            <w:bookmarkStart w:id="5" w:name="CorNot1Text"/>
            <w:r w:rsidRPr="006A36C2">
              <w:t xml:space="preserve">Conférence des Parties à la Convention de </w:t>
            </w:r>
            <w:r w:rsidRPr="006A36C2">
              <w:br/>
              <w:t xml:space="preserve">Minamata sur le mercure </w:t>
            </w:r>
          </w:p>
          <w:p w14:paraId="2405A290" w14:textId="16CC4C95" w:rsidR="0073774E" w:rsidRPr="006A36C2" w:rsidRDefault="0073774E" w:rsidP="0073774E">
            <w:pPr>
              <w:pStyle w:val="AATitle"/>
            </w:pPr>
            <w:r w:rsidRPr="006A36C2">
              <w:t>Sixième réunion</w:t>
            </w:r>
            <w:bookmarkEnd w:id="5"/>
            <w:r w:rsidRPr="006A36C2">
              <w:t xml:space="preserve"> </w:t>
            </w:r>
          </w:p>
          <w:p w14:paraId="5E8F9889" w14:textId="1CBB1152" w:rsidR="0073774E" w:rsidRPr="006A36C2" w:rsidRDefault="0073774E" w:rsidP="0073774E">
            <w:pPr>
              <w:pStyle w:val="AATitle1"/>
            </w:pPr>
            <w:bookmarkStart w:id="6" w:name="CorNot1VenueDate"/>
            <w:r w:rsidRPr="006A36C2">
              <w:t>Genève, 3-7 novembre 2025</w:t>
            </w:r>
            <w:bookmarkEnd w:id="6"/>
            <w:r w:rsidRPr="006A36C2">
              <w:t xml:space="preserve"> </w:t>
            </w:r>
          </w:p>
          <w:p w14:paraId="7670C2D2" w14:textId="42131A91" w:rsidR="0073774E" w:rsidRPr="006A36C2" w:rsidRDefault="0073774E" w:rsidP="0073774E">
            <w:pPr>
              <w:pStyle w:val="AATitle1"/>
            </w:pPr>
            <w:bookmarkStart w:id="7" w:name="CorNot1AgItem"/>
            <w:r w:rsidRPr="006A36C2">
              <w:t xml:space="preserve">Point 4 e) </w:t>
            </w:r>
            <w:r w:rsidR="00C760FE" w:rsidRPr="006A36C2">
              <w:t xml:space="preserve">ii) </w:t>
            </w:r>
            <w:r w:rsidRPr="006A36C2">
              <w:t>de l</w:t>
            </w:r>
            <w:r w:rsidR="008D631F" w:rsidRPr="006A36C2">
              <w:t>’</w:t>
            </w:r>
            <w:r w:rsidRPr="006A36C2">
              <w:t>ordre du jour provisoire</w:t>
            </w:r>
            <w:bookmarkEnd w:id="7"/>
            <w:r w:rsidRPr="006A36C2">
              <w:rPr>
                <w:rStyle w:val="FootnoteReference"/>
                <w:vertAlign w:val="baseline"/>
              </w:rPr>
              <w:footnoteReference w:customMarkFollows="1" w:id="2"/>
              <w:t>*</w:t>
            </w:r>
            <w:r w:rsidRPr="006A36C2">
              <w:t xml:space="preserve"> </w:t>
            </w:r>
          </w:p>
          <w:p w14:paraId="2A0F4E48" w14:textId="6FEA87A8" w:rsidR="0073774E" w:rsidRPr="006A36C2" w:rsidRDefault="0073774E" w:rsidP="0073774E">
            <w:pPr>
              <w:pStyle w:val="AATitle2"/>
            </w:pPr>
            <w:bookmarkStart w:id="8" w:name="CorNot1AgTitle"/>
            <w:r w:rsidRPr="006A36C2">
              <w:t>Questions soumises à la Conférence des Parties pour examen ou décision : ressources financières et mécanisme de financement : Programme international spécifique visant</w:t>
            </w:r>
            <w:r w:rsidR="009E2DF9" w:rsidRPr="006A36C2">
              <w:t> </w:t>
            </w:r>
            <w:r w:rsidRPr="006A36C2">
              <w:t>à soutenir le renforcement des capacités et</w:t>
            </w:r>
            <w:r w:rsidR="009E2DF9" w:rsidRPr="006A36C2">
              <w:t> </w:t>
            </w:r>
            <w:r w:rsidRPr="006A36C2">
              <w:t>l</w:t>
            </w:r>
            <w:r w:rsidR="008D631F" w:rsidRPr="006A36C2">
              <w:t>’</w:t>
            </w:r>
            <w:r w:rsidRPr="006A36C2">
              <w:t>assistance</w:t>
            </w:r>
            <w:r w:rsidR="009E2DF9" w:rsidRPr="006A36C2">
              <w:t> </w:t>
            </w:r>
            <w:r w:rsidRPr="006A36C2">
              <w:t>technique</w:t>
            </w:r>
            <w:bookmarkEnd w:id="8"/>
            <w:r w:rsidRPr="006A36C2">
              <w:t xml:space="preserve">  </w:t>
            </w:r>
          </w:p>
        </w:tc>
        <w:tc>
          <w:tcPr>
            <w:tcW w:w="4195" w:type="dxa"/>
            <w:shd w:val="clear" w:color="auto" w:fill="auto"/>
          </w:tcPr>
          <w:p w14:paraId="283AF73A" w14:textId="77777777" w:rsidR="0073774E" w:rsidRPr="006A36C2" w:rsidRDefault="0073774E" w:rsidP="0073774E">
            <w:pPr>
              <w:pStyle w:val="Normal-pool"/>
            </w:pPr>
          </w:p>
        </w:tc>
      </w:tr>
    </w:tbl>
    <w:p w14:paraId="5EEFD4AF" w14:textId="7F76BBF3" w:rsidR="00FF1D0E" w:rsidRPr="006A36C2" w:rsidRDefault="00FF1D0E" w:rsidP="0073774E">
      <w:pPr>
        <w:pStyle w:val="BBTitle"/>
        <w:tabs>
          <w:tab w:val="left" w:pos="4990"/>
        </w:tabs>
      </w:pPr>
      <w:r w:rsidRPr="006A36C2">
        <w:rPr>
          <w:bCs/>
        </w:rPr>
        <w:t xml:space="preserve">Rapport global sur le </w:t>
      </w:r>
      <w:r w:rsidRPr="006A36C2">
        <w:rPr>
          <w:rFonts w:eastAsia="Times New Roman"/>
          <w:lang w:eastAsia="en-US"/>
        </w:rPr>
        <w:t>Programme</w:t>
      </w:r>
      <w:r w:rsidRPr="006A36C2">
        <w:rPr>
          <w:bCs/>
        </w:rPr>
        <w:t xml:space="preserve"> international spécifique visant à soutenir le renforcement des capacités et</w:t>
      </w:r>
      <w:r w:rsidR="00D86AF9" w:rsidRPr="006A36C2">
        <w:rPr>
          <w:bCs/>
        </w:rPr>
        <w:t> </w:t>
      </w:r>
      <w:r w:rsidRPr="006A36C2">
        <w:rPr>
          <w:bCs/>
        </w:rPr>
        <w:t>l</w:t>
      </w:r>
      <w:r w:rsidR="008D631F" w:rsidRPr="006A36C2">
        <w:rPr>
          <w:bCs/>
        </w:rPr>
        <w:t>’</w:t>
      </w:r>
      <w:r w:rsidRPr="006A36C2">
        <w:rPr>
          <w:bCs/>
        </w:rPr>
        <w:t>assistance</w:t>
      </w:r>
      <w:r w:rsidR="00D86AF9" w:rsidRPr="006A36C2">
        <w:rPr>
          <w:bCs/>
        </w:rPr>
        <w:t> </w:t>
      </w:r>
      <w:r w:rsidRPr="006A36C2">
        <w:rPr>
          <w:bCs/>
        </w:rPr>
        <w:t>technique</w:t>
      </w:r>
    </w:p>
    <w:p w14:paraId="31BF1E15" w14:textId="77777777" w:rsidR="00FF1D0E" w:rsidRPr="006A36C2" w:rsidRDefault="00FF1D0E" w:rsidP="00FF1D0E">
      <w:pPr>
        <w:pStyle w:val="CH2"/>
      </w:pPr>
      <w:r w:rsidRPr="006A36C2">
        <w:tab/>
      </w:r>
      <w:r w:rsidRPr="006A36C2">
        <w:tab/>
      </w:r>
      <w:r w:rsidRPr="006A36C2">
        <w:rPr>
          <w:bCs/>
        </w:rPr>
        <w:t>Note du secrétariat</w:t>
      </w:r>
    </w:p>
    <w:p w14:paraId="0BF1E3AC" w14:textId="5CF621B0" w:rsidR="00FF1D0E" w:rsidRPr="006A36C2" w:rsidRDefault="00CC6BA2" w:rsidP="0073774E">
      <w:pPr>
        <w:pStyle w:val="CH1"/>
        <w:tabs>
          <w:tab w:val="left" w:pos="4990"/>
        </w:tabs>
      </w:pPr>
      <w:bookmarkStart w:id="9" w:name="_Hlk192252242"/>
      <w:r w:rsidRPr="006A36C2">
        <w:tab/>
      </w:r>
      <w:r w:rsidR="0073774E" w:rsidRPr="006A36C2">
        <w:t>I.</w:t>
      </w:r>
      <w:r w:rsidR="00FF1D0E" w:rsidRPr="006A36C2">
        <w:tab/>
      </w:r>
      <w:r w:rsidR="00FF1D0E" w:rsidRPr="006A36C2">
        <w:rPr>
          <w:rFonts w:eastAsia="Times New Roman"/>
          <w:lang w:eastAsia="en-US"/>
        </w:rPr>
        <w:t>Introduction</w:t>
      </w:r>
    </w:p>
    <w:bookmarkEnd w:id="9"/>
    <w:p w14:paraId="59B8015E" w14:textId="0DF85295" w:rsidR="00FF1D0E" w:rsidRPr="006A36C2" w:rsidRDefault="00FF1D0E" w:rsidP="00FF1D0E">
      <w:pPr>
        <w:pStyle w:val="Normalnumber"/>
        <w:numPr>
          <w:ilvl w:val="0"/>
          <w:numId w:val="17"/>
        </w:numPr>
        <w:tabs>
          <w:tab w:val="left" w:pos="624"/>
        </w:tabs>
        <w:snapToGrid w:val="0"/>
        <w:ind w:left="1247" w:firstLine="0"/>
      </w:pPr>
      <w:r w:rsidRPr="006A36C2">
        <w:t>La présente note fournit des informations sur la mise en œuvre de la décision MC-5/11 relative</w:t>
      </w:r>
      <w:r w:rsidR="009E2DF9" w:rsidRPr="006A36C2">
        <w:t> </w:t>
      </w:r>
      <w:r w:rsidRPr="006A36C2">
        <w:t>à l</w:t>
      </w:r>
      <w:r w:rsidR="008D631F" w:rsidRPr="006A36C2">
        <w:t>’</w:t>
      </w:r>
      <w:r w:rsidRPr="006A36C2">
        <w:t>examen du mécanisme de financement de la Convention de Minamata sur le mercure, que</w:t>
      </w:r>
      <w:r w:rsidR="009E2DF9" w:rsidRPr="006A36C2">
        <w:t> </w:t>
      </w:r>
      <w:r w:rsidRPr="006A36C2">
        <w:t>la Conférence des Parties à la Convention a adoptée à sa cinquième réunion. On trouvera notamment dans la présente note le rapport global du secrétariat sur la deuxième composante du mécanisme de financement</w:t>
      </w:r>
      <w:r w:rsidRPr="006A36C2">
        <w:rPr>
          <w:rStyle w:val="FootnoteReference"/>
        </w:rPr>
        <w:footnoteReference w:id="3"/>
      </w:r>
      <w:r w:rsidRPr="006A36C2">
        <w:t>, à savoir le Programme international spécifique visant à soutenir le renforcement des capacités et l</w:t>
      </w:r>
      <w:r w:rsidR="008D631F" w:rsidRPr="006A36C2">
        <w:t>’</w:t>
      </w:r>
      <w:r w:rsidRPr="006A36C2">
        <w:t>assistance technique, dont la Conférence des Parties est saisie pour</w:t>
      </w:r>
      <w:r w:rsidR="009E2DF9" w:rsidRPr="006A36C2">
        <w:t> </w:t>
      </w:r>
      <w:r w:rsidRPr="006A36C2">
        <w:t>examen à sa sixième</w:t>
      </w:r>
      <w:r w:rsidR="0073774E" w:rsidRPr="006A36C2">
        <w:t> </w:t>
      </w:r>
      <w:r w:rsidRPr="006A36C2">
        <w:t>réunion.</w:t>
      </w:r>
    </w:p>
    <w:p w14:paraId="031962B9" w14:textId="5444698F" w:rsidR="00FF1D0E" w:rsidRPr="006A36C2" w:rsidRDefault="00FF1D0E" w:rsidP="00FF1D0E">
      <w:pPr>
        <w:pStyle w:val="Normalnumber"/>
        <w:numPr>
          <w:ilvl w:val="0"/>
          <w:numId w:val="17"/>
        </w:numPr>
        <w:tabs>
          <w:tab w:val="left" w:pos="624"/>
        </w:tabs>
        <w:snapToGrid w:val="0"/>
        <w:ind w:left="1247" w:firstLine="0"/>
      </w:pPr>
      <w:r w:rsidRPr="006A36C2">
        <w:t xml:space="preserve">La présente note doit être lue en regard du document UNEP/MC/COP.6/INF/15, dans lequel figurent les rapports des neuvième et </w:t>
      </w:r>
      <w:proofErr w:type="gramStart"/>
      <w:r w:rsidRPr="006A36C2">
        <w:t>dixième réunions</w:t>
      </w:r>
      <w:proofErr w:type="gramEnd"/>
      <w:r w:rsidRPr="006A36C2">
        <w:t xml:space="preserve"> du Conseil d</w:t>
      </w:r>
      <w:r w:rsidR="008D631F" w:rsidRPr="006A36C2">
        <w:t>’</w:t>
      </w:r>
      <w:r w:rsidRPr="006A36C2">
        <w:t>administration du Programme international spécifique.</w:t>
      </w:r>
    </w:p>
    <w:p w14:paraId="7FECF213" w14:textId="77777777" w:rsidR="00FF1D0E" w:rsidRPr="006A36C2" w:rsidRDefault="00FF1D0E" w:rsidP="00FF1D0E">
      <w:pPr>
        <w:pStyle w:val="Normalnumber"/>
        <w:numPr>
          <w:ilvl w:val="0"/>
          <w:numId w:val="17"/>
        </w:numPr>
        <w:tabs>
          <w:tab w:val="left" w:pos="624"/>
        </w:tabs>
        <w:snapToGrid w:val="0"/>
        <w:ind w:left="1247" w:firstLine="0"/>
      </w:pPr>
      <w:r w:rsidRPr="006A36C2">
        <w:t>Un projet de décision sur les deux composantes du mécanisme de financement est reproduit dans le document UNEP/MC/COP.6/9 pour examen par la Conférence des Parties.</w:t>
      </w:r>
    </w:p>
    <w:p w14:paraId="400FBCD0" w14:textId="5E1A85AB" w:rsidR="00FF1D0E" w:rsidRPr="006A36C2" w:rsidRDefault="00FF1D0E" w:rsidP="0073774E">
      <w:pPr>
        <w:pStyle w:val="CH1"/>
        <w:tabs>
          <w:tab w:val="left" w:pos="4990"/>
        </w:tabs>
      </w:pPr>
      <w:r w:rsidRPr="006A36C2">
        <w:lastRenderedPageBreak/>
        <w:tab/>
      </w:r>
      <w:r w:rsidR="0073774E" w:rsidRPr="006A36C2">
        <w:rPr>
          <w:bCs/>
        </w:rPr>
        <w:t>II.</w:t>
      </w:r>
      <w:r w:rsidR="00CC6BA2" w:rsidRPr="006A36C2">
        <w:tab/>
      </w:r>
      <w:r w:rsidRPr="006A36C2">
        <w:rPr>
          <w:bCs/>
        </w:rPr>
        <w:t xml:space="preserve">Soutien fourni par le </w:t>
      </w:r>
      <w:r w:rsidRPr="006A36C2">
        <w:rPr>
          <w:rFonts w:eastAsia="Times New Roman"/>
          <w:lang w:eastAsia="en-US"/>
        </w:rPr>
        <w:t>secrétariat</w:t>
      </w:r>
      <w:r w:rsidRPr="006A36C2">
        <w:rPr>
          <w:bCs/>
        </w:rPr>
        <w:t xml:space="preserve"> de la Convention de Minamata sur le mercure au Programme international spécifique</w:t>
      </w:r>
    </w:p>
    <w:p w14:paraId="36CB5659" w14:textId="691FC613" w:rsidR="00FF1D0E" w:rsidRPr="006A36C2" w:rsidRDefault="00FF1D0E" w:rsidP="00DD1308">
      <w:pPr>
        <w:pStyle w:val="Normalnumber"/>
        <w:keepNext/>
        <w:keepLines/>
        <w:numPr>
          <w:ilvl w:val="0"/>
          <w:numId w:val="17"/>
        </w:numPr>
        <w:tabs>
          <w:tab w:val="left" w:pos="624"/>
        </w:tabs>
        <w:snapToGrid w:val="0"/>
        <w:ind w:left="1247" w:firstLine="0"/>
      </w:pPr>
      <w:r w:rsidRPr="006A36C2">
        <w:t>Le secrétariat de la Convention de Minamata sur le mercure administre le Programme international spécifique en menant les activités suivantes</w:t>
      </w:r>
      <w:r w:rsidR="00487DD1" w:rsidRPr="006A36C2">
        <w:t> :</w:t>
      </w:r>
    </w:p>
    <w:p w14:paraId="31BC658E" w14:textId="0D00C1D5" w:rsidR="00FF1D0E" w:rsidRPr="006A36C2" w:rsidRDefault="00BC3B17" w:rsidP="00DD1308">
      <w:pPr>
        <w:pStyle w:val="Normalnumber"/>
        <w:keepNext/>
        <w:keepLines/>
        <w:numPr>
          <w:ilvl w:val="0"/>
          <w:numId w:val="16"/>
        </w:numPr>
        <w:tabs>
          <w:tab w:val="left" w:pos="624"/>
        </w:tabs>
        <w:ind w:left="1247" w:firstLine="624"/>
      </w:pPr>
      <w:r w:rsidRPr="006A36C2">
        <w:rPr>
          <w:i/>
          <w:iCs/>
        </w:rPr>
        <w:t>Soutien</w:t>
      </w:r>
      <w:r w:rsidR="00FF1D0E" w:rsidRPr="006A36C2">
        <w:rPr>
          <w:i/>
          <w:iCs/>
        </w:rPr>
        <w:t xml:space="preserve"> au fonctionnement du Conseil d</w:t>
      </w:r>
      <w:r w:rsidR="008D631F" w:rsidRPr="006A36C2">
        <w:rPr>
          <w:i/>
          <w:iCs/>
        </w:rPr>
        <w:t>’</w:t>
      </w:r>
      <w:r w:rsidR="00FF1D0E" w:rsidRPr="006A36C2">
        <w:rPr>
          <w:i/>
          <w:iCs/>
        </w:rPr>
        <w:t>administration.</w:t>
      </w:r>
      <w:r w:rsidR="00FF1D0E" w:rsidRPr="006A36C2">
        <w:t xml:space="preserve"> Le secrétariat a organisé et élaboré la documentation en vue des neuvième et </w:t>
      </w:r>
      <w:proofErr w:type="gramStart"/>
      <w:r w:rsidR="00FF1D0E" w:rsidRPr="006A36C2">
        <w:t>dixième réunions</w:t>
      </w:r>
      <w:proofErr w:type="gramEnd"/>
      <w:r w:rsidR="00FF1D0E" w:rsidRPr="006A36C2">
        <w:t xml:space="preserve"> du Conseil d</w:t>
      </w:r>
      <w:r w:rsidR="008D631F" w:rsidRPr="006A36C2">
        <w:t>’</w:t>
      </w:r>
      <w:r w:rsidR="00FF1D0E" w:rsidRPr="006A36C2">
        <w:t>administration, qui se sont tenues, respectivement, les 15 et 16 avril 2024 en ligne, et du 22 au 24 janvier 2025 à Genève. De plus amples informations sur les travaux du Conseil d</w:t>
      </w:r>
      <w:r w:rsidR="008D631F" w:rsidRPr="006A36C2">
        <w:t>’</w:t>
      </w:r>
      <w:r w:rsidR="00FF1D0E" w:rsidRPr="006A36C2">
        <w:t>administration figurent dans la section III de la présente note</w:t>
      </w:r>
      <w:r w:rsidR="00FB4D19" w:rsidRPr="006A36C2">
        <w:t> ;</w:t>
      </w:r>
    </w:p>
    <w:p w14:paraId="2390CE88" w14:textId="6AF1A7DC" w:rsidR="00FF1D0E" w:rsidRPr="006A36C2" w:rsidRDefault="00FF1D0E" w:rsidP="00FF1D0E">
      <w:pPr>
        <w:pStyle w:val="Normalnumber"/>
        <w:numPr>
          <w:ilvl w:val="0"/>
          <w:numId w:val="16"/>
        </w:numPr>
        <w:tabs>
          <w:tab w:val="left" w:pos="624"/>
        </w:tabs>
        <w:ind w:left="1247" w:firstLine="624"/>
      </w:pPr>
      <w:r w:rsidRPr="006A36C2">
        <w:rPr>
          <w:i/>
          <w:iCs/>
        </w:rPr>
        <w:t>Lancement des cycles de dépôt de demandes au titre du Programme international spécifique et examen de ces dernières.</w:t>
      </w:r>
      <w:r w:rsidRPr="006A36C2">
        <w:t xml:space="preserve"> Par suite de la décision du Conseil d</w:t>
      </w:r>
      <w:r w:rsidR="008D631F" w:rsidRPr="006A36C2">
        <w:t>’</w:t>
      </w:r>
      <w:r w:rsidRPr="006A36C2">
        <w:t>administration adoptée à</w:t>
      </w:r>
      <w:r w:rsidR="006A5AD2" w:rsidRPr="006A36C2">
        <w:t> </w:t>
      </w:r>
      <w:r w:rsidRPr="006A36C2">
        <w:t>sa neuvième réunion, le secrétariat a lancé avec succès le quatrième cycle de dépôt de demandes en</w:t>
      </w:r>
      <w:r w:rsidR="006A5AD2" w:rsidRPr="006A36C2">
        <w:t> </w:t>
      </w:r>
      <w:r w:rsidRPr="006A36C2">
        <w:t>avril 2024. Au cours de la procédure de soumission, le secrétariat a tenu des webinaires dans différentes langues et différents fuseaux horaires et a fourni une assistance technique aux auteur(</w:t>
      </w:r>
      <w:proofErr w:type="spellStart"/>
      <w:r w:rsidRPr="006A36C2">
        <w:t>rice</w:t>
      </w:r>
      <w:proofErr w:type="spellEnd"/>
      <w:r w:rsidRPr="006A36C2">
        <w:t>)s des demandes qui en ont exprimé le besoin. Le secrétariat a vérifié la recevabilité et l</w:t>
      </w:r>
      <w:r w:rsidR="008D631F" w:rsidRPr="006A36C2">
        <w:t>’</w:t>
      </w:r>
      <w:r w:rsidRPr="006A36C2">
        <w:t>exhaustivité de chaque demande reçue et a convoqué l</w:t>
      </w:r>
      <w:r w:rsidR="008D631F" w:rsidRPr="006A36C2">
        <w:t>’</w:t>
      </w:r>
      <w:r w:rsidRPr="006A36C2">
        <w:t xml:space="preserve">équipe spéciale </w:t>
      </w:r>
      <w:proofErr w:type="spellStart"/>
      <w:r w:rsidRPr="006A36C2">
        <w:t>intersecrétariats</w:t>
      </w:r>
      <w:proofErr w:type="spellEnd"/>
      <w:r w:rsidRPr="006A36C2">
        <w:t>, composée de représentant(e)s du Fonds pour l</w:t>
      </w:r>
      <w:r w:rsidR="008D631F" w:rsidRPr="006A36C2">
        <w:t>’</w:t>
      </w:r>
      <w:r w:rsidRPr="006A36C2">
        <w:t>environnement mondial, du Programme spécial d</w:t>
      </w:r>
      <w:r w:rsidR="008D631F" w:rsidRPr="006A36C2">
        <w:t>’</w:t>
      </w:r>
      <w:r w:rsidRPr="006A36C2">
        <w:t>appui au renforcement institutionnel pour le groupe des produits chimiques et du Partenariat mondial sur le mercure, ainsi que de fonctionnaires du secrétariat, afin de contribuer à l</w:t>
      </w:r>
      <w:r w:rsidR="008D631F" w:rsidRPr="006A36C2">
        <w:t>’</w:t>
      </w:r>
      <w:r w:rsidRPr="006A36C2">
        <w:t xml:space="preserve">examen technique des demandes. Par la suite, le secrétariat a </w:t>
      </w:r>
      <w:r w:rsidR="00DB3E49" w:rsidRPr="006A36C2">
        <w:t>formulé</w:t>
      </w:r>
      <w:r w:rsidRPr="006A36C2">
        <w:t xml:space="preserve"> des observations techniques </w:t>
      </w:r>
      <w:r w:rsidR="00DB3E49" w:rsidRPr="006A36C2">
        <w:t>sur l</w:t>
      </w:r>
      <w:r w:rsidRPr="006A36C2">
        <w:t>es 30</w:t>
      </w:r>
      <w:r w:rsidR="00407B45" w:rsidRPr="006A36C2">
        <w:t> </w:t>
      </w:r>
      <w:r w:rsidRPr="006A36C2">
        <w:t xml:space="preserve">propositions de projets recevables qui avaient été déposées et, après la soumission de propositions révisées, a établi </w:t>
      </w:r>
      <w:r w:rsidR="00DB3E49" w:rsidRPr="006A36C2">
        <w:t>une</w:t>
      </w:r>
      <w:r w:rsidRPr="006A36C2">
        <w:t xml:space="preserve"> évaluation approfondie des 29</w:t>
      </w:r>
      <w:r w:rsidR="00150E2E" w:rsidRPr="006A36C2">
        <w:t> </w:t>
      </w:r>
      <w:r w:rsidRPr="006A36C2">
        <w:t>demandes recevables. Les évaluations se fondaient sur les critères établis par</w:t>
      </w:r>
      <w:r w:rsidR="00532DE9" w:rsidRPr="006A36C2">
        <w:t> </w:t>
      </w:r>
      <w:r w:rsidRPr="006A36C2">
        <w:t>le</w:t>
      </w:r>
      <w:r w:rsidR="00532DE9" w:rsidRPr="006A36C2">
        <w:t> </w:t>
      </w:r>
      <w:r w:rsidRPr="006A36C2">
        <w:t>Conseil d</w:t>
      </w:r>
      <w:r w:rsidR="008D631F" w:rsidRPr="006A36C2">
        <w:t>’</w:t>
      </w:r>
      <w:r w:rsidRPr="006A36C2">
        <w:t xml:space="preserve">administration, ont été intégrées aux observations écrites communiquées par le secrétariat du Programme spécial et leur version finale a été </w:t>
      </w:r>
      <w:r w:rsidR="00F0257B" w:rsidRPr="006A36C2">
        <w:t>achevée</w:t>
      </w:r>
      <w:r w:rsidRPr="006A36C2">
        <w:t xml:space="preserve"> à temps pour la dixième réunion du</w:t>
      </w:r>
      <w:r w:rsidR="00532DE9" w:rsidRPr="006A36C2">
        <w:t> </w:t>
      </w:r>
      <w:r w:rsidRPr="006A36C2">
        <w:t xml:space="preserve">Conseil de direction. </w:t>
      </w:r>
      <w:r w:rsidR="00F0257B" w:rsidRPr="006A36C2">
        <w:t>Le secrétariat a communiqué</w:t>
      </w:r>
      <w:r w:rsidRPr="006A36C2">
        <w:t xml:space="preserve"> la décision du Conseil d</w:t>
      </w:r>
      <w:r w:rsidR="008D631F" w:rsidRPr="006A36C2">
        <w:t>’</w:t>
      </w:r>
      <w:r w:rsidRPr="006A36C2">
        <w:t xml:space="preserve">administration </w:t>
      </w:r>
      <w:r w:rsidR="00F0257B" w:rsidRPr="006A36C2">
        <w:t>quant</w:t>
      </w:r>
      <w:r w:rsidRPr="006A36C2">
        <w:t xml:space="preserve"> aux projets qui bénéficieraient d</w:t>
      </w:r>
      <w:r w:rsidR="008D631F" w:rsidRPr="006A36C2">
        <w:t>’</w:t>
      </w:r>
      <w:r w:rsidRPr="006A36C2">
        <w:t>un financement</w:t>
      </w:r>
      <w:r w:rsidR="00F0257B" w:rsidRPr="006A36C2">
        <w:t xml:space="preserve"> </w:t>
      </w:r>
      <w:r w:rsidRPr="006A36C2">
        <w:t xml:space="preserve">à </w:t>
      </w:r>
      <w:proofErr w:type="spellStart"/>
      <w:r w:rsidRPr="006A36C2">
        <w:t>tou</w:t>
      </w:r>
      <w:proofErr w:type="spellEnd"/>
      <w:r w:rsidRPr="006A36C2">
        <w:t>(te)s les auteur(</w:t>
      </w:r>
      <w:proofErr w:type="spellStart"/>
      <w:r w:rsidRPr="006A36C2">
        <w:t>rice</w:t>
      </w:r>
      <w:proofErr w:type="spellEnd"/>
      <w:r w:rsidRPr="006A36C2">
        <w:t xml:space="preserve">)s des demandes, a collaboré avec </w:t>
      </w:r>
      <w:proofErr w:type="gramStart"/>
      <w:r w:rsidRPr="006A36C2">
        <w:t>les auteur</w:t>
      </w:r>
      <w:proofErr w:type="gramEnd"/>
      <w:r w:rsidRPr="006A36C2">
        <w:t>(</w:t>
      </w:r>
      <w:proofErr w:type="spellStart"/>
      <w:r w:rsidRPr="006A36C2">
        <w:t>rice</w:t>
      </w:r>
      <w:proofErr w:type="spellEnd"/>
      <w:r w:rsidRPr="006A36C2">
        <w:t>)s des projets retenus pour affiner leurs descriptifs de projet et a rédigé les accords juridiques relatifs aux projets</w:t>
      </w:r>
      <w:r w:rsidR="00F16384" w:rsidRPr="006A36C2">
        <w:t> ;</w:t>
      </w:r>
    </w:p>
    <w:p w14:paraId="054FF800" w14:textId="08D30EFA" w:rsidR="00FF1D0E" w:rsidRPr="006A36C2" w:rsidRDefault="00FF1D0E" w:rsidP="00FF1D0E">
      <w:pPr>
        <w:pStyle w:val="Normalnumber"/>
        <w:numPr>
          <w:ilvl w:val="0"/>
          <w:numId w:val="16"/>
        </w:numPr>
        <w:tabs>
          <w:tab w:val="left" w:pos="624"/>
        </w:tabs>
        <w:ind w:left="1247" w:firstLine="624"/>
      </w:pPr>
      <w:r w:rsidRPr="006A36C2">
        <w:rPr>
          <w:i/>
          <w:iCs/>
        </w:rPr>
        <w:t>Administration du fonds d</w:t>
      </w:r>
      <w:r w:rsidR="008D631F" w:rsidRPr="006A36C2">
        <w:rPr>
          <w:i/>
          <w:iCs/>
        </w:rPr>
        <w:t>’</w:t>
      </w:r>
      <w:r w:rsidRPr="006A36C2">
        <w:rPr>
          <w:i/>
          <w:iCs/>
        </w:rPr>
        <w:t>affectation spéciale particulier.</w:t>
      </w:r>
      <w:r w:rsidRPr="006A36C2">
        <w:t xml:space="preserve"> Le secrétariat a géré les contributions au fonds d</w:t>
      </w:r>
      <w:r w:rsidR="008D631F" w:rsidRPr="006A36C2">
        <w:t>’</w:t>
      </w:r>
      <w:r w:rsidRPr="006A36C2">
        <w:t>affectation spéciale particulier et leur décaissement conformément aux procédures du Programme des Nations Unies pour l</w:t>
      </w:r>
      <w:r w:rsidR="008D631F" w:rsidRPr="006A36C2">
        <w:t>’</w:t>
      </w:r>
      <w:r w:rsidRPr="006A36C2">
        <w:t>environnement (PNUE), y compris la documentation relative à tous les accords de subvention, modifications, rapports et décaissements dans</w:t>
      </w:r>
      <w:r w:rsidR="004A52B6" w:rsidRPr="006A36C2">
        <w:t> </w:t>
      </w:r>
      <w:proofErr w:type="spellStart"/>
      <w:r w:rsidRPr="006A36C2">
        <w:t>Umoja</w:t>
      </w:r>
      <w:proofErr w:type="spellEnd"/>
      <w:r w:rsidR="004A52B6" w:rsidRPr="006A36C2">
        <w:t> ;</w:t>
      </w:r>
    </w:p>
    <w:p w14:paraId="67E9BB24" w14:textId="33AEB99C" w:rsidR="00FF1D0E" w:rsidRPr="006A36C2" w:rsidRDefault="00BC3B17" w:rsidP="00FF1D0E">
      <w:pPr>
        <w:pStyle w:val="Normalnumber"/>
        <w:numPr>
          <w:ilvl w:val="0"/>
          <w:numId w:val="16"/>
        </w:numPr>
        <w:tabs>
          <w:tab w:val="left" w:pos="624"/>
        </w:tabs>
        <w:ind w:left="1247" w:firstLine="624"/>
      </w:pPr>
      <w:r w:rsidRPr="006A36C2">
        <w:rPr>
          <w:i/>
          <w:iCs/>
        </w:rPr>
        <w:t>Soutien</w:t>
      </w:r>
      <w:r w:rsidR="00FF1D0E" w:rsidRPr="006A36C2">
        <w:rPr>
          <w:i/>
          <w:iCs/>
        </w:rPr>
        <w:t xml:space="preserve"> à la mise en œuvre et au suivi des projets approuvés.</w:t>
      </w:r>
      <w:r w:rsidR="00FF1D0E" w:rsidRPr="006A36C2">
        <w:t xml:space="preserve"> Le secrétariat a appuyé et suivi la mise en œuvre des 24</w:t>
      </w:r>
      <w:r w:rsidR="00150E2E" w:rsidRPr="006A36C2">
        <w:t> </w:t>
      </w:r>
      <w:r w:rsidR="00FF1D0E" w:rsidRPr="006A36C2">
        <w:t xml:space="preserve">projets approuvés </w:t>
      </w:r>
      <w:r w:rsidR="00551270" w:rsidRPr="006A36C2">
        <w:t>dans le cadre</w:t>
      </w:r>
      <w:r w:rsidR="00FF1D0E" w:rsidRPr="006A36C2">
        <w:t xml:space="preserve"> des trois premiers cycles de dépôt de demandes. L</w:t>
      </w:r>
      <w:r w:rsidR="008D631F" w:rsidRPr="006A36C2">
        <w:t>’</w:t>
      </w:r>
      <w:r w:rsidR="00FF1D0E" w:rsidRPr="006A36C2">
        <w:t>assistance fournie aux partenaires des projets couvre l</w:t>
      </w:r>
      <w:r w:rsidR="008D631F" w:rsidRPr="006A36C2">
        <w:t>’</w:t>
      </w:r>
      <w:r w:rsidR="00FF1D0E" w:rsidRPr="006A36C2">
        <w:t>ensemble du cycle de vie des projets, y compris la rédaction des accords juridiques relatifs aux projets et de leurs modifications, ainsi que la coordination de la procédure de signature</w:t>
      </w:r>
      <w:r w:rsidR="00487DD1" w:rsidRPr="006A36C2">
        <w:t> ;</w:t>
      </w:r>
      <w:r w:rsidR="00FF1D0E" w:rsidRPr="006A36C2">
        <w:t xml:space="preserve"> l</w:t>
      </w:r>
      <w:r w:rsidR="008D631F" w:rsidRPr="006A36C2">
        <w:t>’</w:t>
      </w:r>
      <w:r w:rsidR="00FF1D0E" w:rsidRPr="006A36C2">
        <w:t>examen et l</w:t>
      </w:r>
      <w:r w:rsidR="008D631F" w:rsidRPr="006A36C2">
        <w:t>’</w:t>
      </w:r>
      <w:r w:rsidR="00FF1D0E" w:rsidRPr="006A36C2">
        <w:t>approbation des rapports semestriels et finaux sur l</w:t>
      </w:r>
      <w:r w:rsidR="008D631F" w:rsidRPr="006A36C2">
        <w:t>’</w:t>
      </w:r>
      <w:r w:rsidR="00FF1D0E" w:rsidRPr="006A36C2">
        <w:t>état d</w:t>
      </w:r>
      <w:r w:rsidR="008D631F" w:rsidRPr="006A36C2">
        <w:t>’</w:t>
      </w:r>
      <w:r w:rsidR="00FF1D0E" w:rsidRPr="006A36C2">
        <w:t xml:space="preserve">avancement des projets et les dépenses, </w:t>
      </w:r>
      <w:r w:rsidR="007F3278" w:rsidRPr="006A36C2">
        <w:t>l</w:t>
      </w:r>
      <w:r w:rsidR="00FF1D0E" w:rsidRPr="006A36C2">
        <w:t xml:space="preserve">es inventaires des équipements, </w:t>
      </w:r>
      <w:r w:rsidR="007F3278" w:rsidRPr="006A36C2">
        <w:t>l</w:t>
      </w:r>
      <w:r w:rsidR="00FF1D0E" w:rsidRPr="006A36C2">
        <w:t>es rapports d</w:t>
      </w:r>
      <w:r w:rsidR="008D631F" w:rsidRPr="006A36C2">
        <w:t>’</w:t>
      </w:r>
      <w:r w:rsidR="00FF1D0E" w:rsidRPr="006A36C2">
        <w:t>audit des comptes et des résultats des projets soumis au secrétariat</w:t>
      </w:r>
      <w:r w:rsidR="00487DD1" w:rsidRPr="006A36C2">
        <w:t> ;</w:t>
      </w:r>
      <w:r w:rsidR="00FF1D0E" w:rsidRPr="006A36C2">
        <w:t xml:space="preserve"> le</w:t>
      </w:r>
      <w:r w:rsidR="00040FDC" w:rsidRPr="006A36C2">
        <w:t> </w:t>
      </w:r>
      <w:r w:rsidR="00FF1D0E" w:rsidRPr="006A36C2">
        <w:t>décaissement des fonds par tranches et la coordination des procédures de remboursement du solde des projets</w:t>
      </w:r>
      <w:r w:rsidR="00487DD1" w:rsidRPr="006A36C2">
        <w:t> ;</w:t>
      </w:r>
      <w:r w:rsidR="00FF1D0E" w:rsidRPr="006A36C2">
        <w:t xml:space="preserve"> la clôture des projets achevés</w:t>
      </w:r>
      <w:r w:rsidR="00F06AEB" w:rsidRPr="006A36C2">
        <w:t> ;</w:t>
      </w:r>
      <w:r w:rsidR="00FF1D0E" w:rsidRPr="006A36C2">
        <w:t xml:space="preserve"> </w:t>
      </w:r>
    </w:p>
    <w:p w14:paraId="0CBD3530" w14:textId="65327FE4" w:rsidR="00FF1D0E" w:rsidRPr="006A36C2" w:rsidRDefault="00FF1D0E" w:rsidP="00FF1D0E">
      <w:pPr>
        <w:pStyle w:val="Normalnumber"/>
        <w:numPr>
          <w:ilvl w:val="0"/>
          <w:numId w:val="16"/>
        </w:numPr>
        <w:tabs>
          <w:tab w:val="left" w:pos="624"/>
        </w:tabs>
        <w:ind w:left="1247" w:firstLine="624"/>
        <w:rPr>
          <w:color w:val="000000"/>
          <w:shd w:val="clear" w:color="auto" w:fill="FFFFFF"/>
        </w:rPr>
      </w:pPr>
      <w:r w:rsidRPr="006A36C2">
        <w:rPr>
          <w:i/>
          <w:iCs/>
        </w:rPr>
        <w:t>Mobilisation des ressources, reconnaissance des donateurs et établissement des rapports au titre du fonds d</w:t>
      </w:r>
      <w:r w:rsidR="008D631F" w:rsidRPr="006A36C2">
        <w:rPr>
          <w:i/>
          <w:iCs/>
        </w:rPr>
        <w:t>’</w:t>
      </w:r>
      <w:r w:rsidRPr="006A36C2">
        <w:rPr>
          <w:i/>
          <w:iCs/>
        </w:rPr>
        <w:t>affectation spéciale particulier.</w:t>
      </w:r>
      <w:r w:rsidRPr="006A36C2">
        <w:t xml:space="preserve"> Le secrétariat gère tous les aspects de la collecte de fonds et de l</w:t>
      </w:r>
      <w:r w:rsidR="008D631F" w:rsidRPr="006A36C2">
        <w:t>’</w:t>
      </w:r>
      <w:r w:rsidRPr="006A36C2">
        <w:t>établissement de rapports au titre du fonds d</w:t>
      </w:r>
      <w:r w:rsidR="008D631F" w:rsidRPr="006A36C2">
        <w:t>’</w:t>
      </w:r>
      <w:r w:rsidRPr="006A36C2">
        <w:t>affectation spéciale particulier. Afin de mieux faire connaître le Programme international spécifique et d</w:t>
      </w:r>
      <w:r w:rsidR="008D631F" w:rsidRPr="006A36C2">
        <w:t>’</w:t>
      </w:r>
      <w:r w:rsidRPr="006A36C2">
        <w:t>encourager le versement de contributions au fonds d</w:t>
      </w:r>
      <w:r w:rsidR="008D631F" w:rsidRPr="006A36C2">
        <w:t>’</w:t>
      </w:r>
      <w:r w:rsidRPr="006A36C2">
        <w:t>affectation spéciale particulier, le secrétariat communique des informations sur les travaux mené</w:t>
      </w:r>
      <w:r w:rsidR="009913AE" w:rsidRPr="006A36C2">
        <w:t>s</w:t>
      </w:r>
      <w:r w:rsidRPr="006A36C2">
        <w:t xml:space="preserve"> par le Programme dans le cadre de tous ses engagements, réunions et webinaires pertinents. Le secrétariat gère la réception des contributions au fonds d</w:t>
      </w:r>
      <w:r w:rsidR="008D631F" w:rsidRPr="006A36C2">
        <w:t>’</w:t>
      </w:r>
      <w:r w:rsidRPr="006A36C2">
        <w:t>affectation spéciale particulier tout en répondant aux besoins individuels des donateurs en matière de documentation et de rapports. Les donateurs sont mis en exergue sur le site Web de la Convention et dans les publications pertinentes</w:t>
      </w:r>
      <w:r w:rsidRPr="006A36C2">
        <w:rPr>
          <w:rStyle w:val="FootnoteReference"/>
        </w:rPr>
        <w:footnoteReference w:id="4"/>
      </w:r>
      <w:r w:rsidR="00EA1A5E" w:rsidRPr="006A36C2">
        <w:t> ;</w:t>
      </w:r>
    </w:p>
    <w:p w14:paraId="51AE357F" w14:textId="635B3948" w:rsidR="00FF1D0E" w:rsidRPr="006A36C2" w:rsidRDefault="00FF1D0E" w:rsidP="00FF1D0E">
      <w:pPr>
        <w:pStyle w:val="Normalnumber"/>
        <w:numPr>
          <w:ilvl w:val="0"/>
          <w:numId w:val="16"/>
        </w:numPr>
        <w:tabs>
          <w:tab w:val="left" w:pos="624"/>
        </w:tabs>
        <w:ind w:left="1247" w:firstLine="624"/>
      </w:pPr>
      <w:r w:rsidRPr="006A36C2">
        <w:rPr>
          <w:i/>
          <w:iCs/>
        </w:rPr>
        <w:t>Communication et information.</w:t>
      </w:r>
      <w:r w:rsidRPr="006A36C2">
        <w:t xml:space="preserve"> Le secrétariat a amélioré et mis à jour la page </w:t>
      </w:r>
      <w:r w:rsidR="00AF334D" w:rsidRPr="006A36C2">
        <w:t>consacrée au</w:t>
      </w:r>
      <w:r w:rsidRPr="006A36C2">
        <w:t xml:space="preserve"> Programme international spécifique sur le site Web de la Convention de Minamata sur le mercure, par la création d</w:t>
      </w:r>
      <w:r w:rsidR="008D631F" w:rsidRPr="006A36C2">
        <w:t>’</w:t>
      </w:r>
      <w:r w:rsidRPr="006A36C2">
        <w:t xml:space="preserve">un nouvel onglet qui contient toutes les informations relatives au quatrième cycle de </w:t>
      </w:r>
      <w:r w:rsidRPr="006A36C2">
        <w:lastRenderedPageBreak/>
        <w:t>dépôt de demandes</w:t>
      </w:r>
      <w:r w:rsidRPr="006A36C2">
        <w:rPr>
          <w:rStyle w:val="FootnoteReference"/>
        </w:rPr>
        <w:footnoteReference w:id="5"/>
      </w:r>
      <w:r w:rsidRPr="006A36C2">
        <w:t xml:space="preserve">. Par ailleurs, le secrétariat a mis au point un tableau de bord avec le logiciel Microsoft </w:t>
      </w:r>
      <w:proofErr w:type="spellStart"/>
      <w:r w:rsidRPr="006A36C2">
        <w:t>PowerBI</w:t>
      </w:r>
      <w:proofErr w:type="spellEnd"/>
      <w:r w:rsidRPr="006A36C2">
        <w:rPr>
          <w:rStyle w:val="FootnoteReference"/>
        </w:rPr>
        <w:footnoteReference w:id="6"/>
      </w:r>
      <w:r w:rsidRPr="006A36C2">
        <w:t xml:space="preserve"> et a modernisé sa base de données relatives aux projets, y compris les projets du Programme international spécifique et du Fonds pour l</w:t>
      </w:r>
      <w:r w:rsidR="008D631F" w:rsidRPr="006A36C2">
        <w:t>’</w:t>
      </w:r>
      <w:r w:rsidRPr="006A36C2">
        <w:t>environnement mondial</w:t>
      </w:r>
      <w:r w:rsidRPr="006A36C2">
        <w:rPr>
          <w:rStyle w:val="FootnoteReference"/>
        </w:rPr>
        <w:footnoteReference w:id="7"/>
      </w:r>
      <w:r w:rsidRPr="006A36C2">
        <w:t xml:space="preserve">. Le secrétariat a également organisé plusieurs manifestations de sensibilisation en ligne. </w:t>
      </w:r>
    </w:p>
    <w:p w14:paraId="234738C8" w14:textId="040F6D76" w:rsidR="00FF1D0E" w:rsidRPr="006A36C2" w:rsidRDefault="00FF1D0E" w:rsidP="00FF1D0E">
      <w:pPr>
        <w:pStyle w:val="Normalnumber"/>
        <w:numPr>
          <w:ilvl w:val="0"/>
          <w:numId w:val="17"/>
        </w:numPr>
        <w:tabs>
          <w:tab w:val="left" w:pos="624"/>
        </w:tabs>
        <w:snapToGrid w:val="0"/>
        <w:ind w:left="1247" w:firstLine="0"/>
      </w:pPr>
      <w:r w:rsidRPr="006A36C2">
        <w:t>L</w:t>
      </w:r>
      <w:r w:rsidR="008D631F" w:rsidRPr="006A36C2">
        <w:t>’</w:t>
      </w:r>
      <w:r w:rsidRPr="006A36C2">
        <w:t>intérêt accordé au Programme international spécifique n</w:t>
      </w:r>
      <w:r w:rsidR="008D631F" w:rsidRPr="006A36C2">
        <w:t>’</w:t>
      </w:r>
      <w:r w:rsidRPr="006A36C2">
        <w:t>a cessé de croître depuis sa création, 36</w:t>
      </w:r>
      <w:r w:rsidR="009A564D" w:rsidRPr="006A36C2">
        <w:t> </w:t>
      </w:r>
      <w:r w:rsidRPr="006A36C2">
        <w:t xml:space="preserve">demandes ayant été soumises </w:t>
      </w:r>
      <w:r w:rsidR="0059648E" w:rsidRPr="006A36C2">
        <w:t>dans le cadre</w:t>
      </w:r>
      <w:r w:rsidRPr="006A36C2">
        <w:t xml:space="preserve"> du quatrième cycle de dépôt de demandes (2024-2025) contre</w:t>
      </w:r>
      <w:r w:rsidR="00F42EE8" w:rsidRPr="006A36C2">
        <w:t> </w:t>
      </w:r>
      <w:r w:rsidRPr="006A36C2">
        <w:t xml:space="preserve">19 </w:t>
      </w:r>
      <w:r w:rsidR="0059648E" w:rsidRPr="006A36C2">
        <w:t>dans le cadre</w:t>
      </w:r>
      <w:r w:rsidRPr="006A36C2">
        <w:t xml:space="preserve"> du premier cycle</w:t>
      </w:r>
      <w:r w:rsidR="00A0754B" w:rsidRPr="006A36C2">
        <w:t>,</w:t>
      </w:r>
      <w:r w:rsidRPr="006A36C2">
        <w:t xml:space="preserve"> tenu en 2018. Le secrétariat a continué d</w:t>
      </w:r>
      <w:r w:rsidR="008D631F" w:rsidRPr="006A36C2">
        <w:t>’</w:t>
      </w:r>
      <w:r w:rsidRPr="006A36C2">
        <w:t>affiner les opérations et d</w:t>
      </w:r>
      <w:r w:rsidR="008D631F" w:rsidRPr="006A36C2">
        <w:t>’</w:t>
      </w:r>
      <w:r w:rsidRPr="006A36C2">
        <w:t>en améliorer l</w:t>
      </w:r>
      <w:r w:rsidR="008D631F" w:rsidRPr="006A36C2">
        <w:t>’</w:t>
      </w:r>
      <w:r w:rsidRPr="006A36C2">
        <w:t>efficacité pour pouvoir faire face au nombre croissant de demandes et de projets bénéficiant d</w:t>
      </w:r>
      <w:r w:rsidR="008D631F" w:rsidRPr="006A36C2">
        <w:t>’</w:t>
      </w:r>
      <w:r w:rsidRPr="006A36C2">
        <w:t>un financement, tout en maintenant des normes élevées de responsabilité fiduciaire, conformément aux procédures du PNUE.</w:t>
      </w:r>
    </w:p>
    <w:p w14:paraId="7E5A1CDB" w14:textId="52C46F47" w:rsidR="00FF1D0E" w:rsidRPr="006A36C2" w:rsidRDefault="00FF1D0E" w:rsidP="0073774E">
      <w:pPr>
        <w:pStyle w:val="CH1"/>
        <w:tabs>
          <w:tab w:val="left" w:pos="4990"/>
        </w:tabs>
      </w:pPr>
      <w:r w:rsidRPr="006A36C2">
        <w:tab/>
      </w:r>
      <w:r w:rsidR="0073774E" w:rsidRPr="006A36C2">
        <w:t>III.</w:t>
      </w:r>
      <w:r w:rsidR="00CC6BA2" w:rsidRPr="006A36C2">
        <w:tab/>
      </w:r>
      <w:r w:rsidRPr="006A36C2">
        <w:rPr>
          <w:rFonts w:eastAsia="Times New Roman"/>
          <w:lang w:eastAsia="en-US"/>
        </w:rPr>
        <w:t>Travaux</w:t>
      </w:r>
      <w:r w:rsidRPr="006A36C2">
        <w:rPr>
          <w:bCs/>
        </w:rPr>
        <w:t xml:space="preserve"> menés par le Conseil d</w:t>
      </w:r>
      <w:r w:rsidR="008D631F" w:rsidRPr="006A36C2">
        <w:rPr>
          <w:bCs/>
        </w:rPr>
        <w:t>’</w:t>
      </w:r>
      <w:r w:rsidRPr="006A36C2">
        <w:rPr>
          <w:bCs/>
        </w:rPr>
        <w:t>administration du Programme international spécifique depuis la cinquième réunion de</w:t>
      </w:r>
      <w:r w:rsidR="0073774E" w:rsidRPr="006A36C2">
        <w:rPr>
          <w:bCs/>
        </w:rPr>
        <w:t> </w:t>
      </w:r>
      <w:r w:rsidRPr="006A36C2">
        <w:rPr>
          <w:bCs/>
        </w:rPr>
        <w:t>la</w:t>
      </w:r>
      <w:r w:rsidR="0073774E" w:rsidRPr="006A36C2">
        <w:rPr>
          <w:bCs/>
        </w:rPr>
        <w:t> </w:t>
      </w:r>
      <w:r w:rsidRPr="006A36C2">
        <w:rPr>
          <w:bCs/>
        </w:rPr>
        <w:t>Conférence des Parties</w:t>
      </w:r>
    </w:p>
    <w:p w14:paraId="6211F358" w14:textId="5C6F58BC" w:rsidR="00FF1D0E" w:rsidRPr="006A36C2" w:rsidRDefault="00FF1D0E" w:rsidP="00FF1D0E">
      <w:pPr>
        <w:pStyle w:val="Normalnumber"/>
        <w:numPr>
          <w:ilvl w:val="0"/>
          <w:numId w:val="17"/>
        </w:numPr>
        <w:tabs>
          <w:tab w:val="left" w:pos="624"/>
        </w:tabs>
        <w:snapToGrid w:val="0"/>
        <w:ind w:left="1247" w:firstLine="0"/>
      </w:pPr>
      <w:r w:rsidRPr="006A36C2">
        <w:t>Le Conseil d</w:t>
      </w:r>
      <w:r w:rsidR="008D631F" w:rsidRPr="006A36C2">
        <w:t>’</w:t>
      </w:r>
      <w:r w:rsidRPr="006A36C2">
        <w:t>administration est composé de 10</w:t>
      </w:r>
      <w:r w:rsidR="00144DB5" w:rsidRPr="006A36C2">
        <w:t> </w:t>
      </w:r>
      <w:r w:rsidRPr="006A36C2">
        <w:t>membres issus des Parties. Chacun des cinq</w:t>
      </w:r>
      <w:r w:rsidR="0073774E" w:rsidRPr="006A36C2">
        <w:t> </w:t>
      </w:r>
      <w:r w:rsidRPr="006A36C2">
        <w:t>groupes régionaux des Nations Unies nomme deux membres par l</w:t>
      </w:r>
      <w:r w:rsidR="008D631F" w:rsidRPr="006A36C2">
        <w:t>’</w:t>
      </w:r>
      <w:r w:rsidRPr="006A36C2">
        <w:t>intermédiaire de ses représentant(e)s au sein du Bureau. À sa cinquième réunion, la Conférence des Parties a confirmé la nomination des membres suivants du Conseil d</w:t>
      </w:r>
      <w:r w:rsidR="008D631F" w:rsidRPr="006A36C2">
        <w:t>’</w:t>
      </w:r>
      <w:r w:rsidRPr="006A36C2">
        <w:t>administration</w:t>
      </w:r>
      <w:r w:rsidR="00487DD1" w:rsidRPr="006A36C2">
        <w:t> :</w:t>
      </w:r>
    </w:p>
    <w:p w14:paraId="65B1657C" w14:textId="014C7EDB" w:rsidR="00FF1D0E" w:rsidRPr="006A36C2" w:rsidRDefault="00FF1D0E" w:rsidP="00FF1D0E">
      <w:pPr>
        <w:pStyle w:val="Normalnumber"/>
        <w:numPr>
          <w:ilvl w:val="0"/>
          <w:numId w:val="18"/>
        </w:numPr>
        <w:tabs>
          <w:tab w:val="left" w:pos="624"/>
        </w:tabs>
        <w:ind w:left="1247" w:firstLine="624"/>
      </w:pPr>
      <w:r w:rsidRPr="006A36C2">
        <w:rPr>
          <w:i/>
          <w:iCs/>
        </w:rPr>
        <w:t>Pour les États d</w:t>
      </w:r>
      <w:r w:rsidR="008D631F" w:rsidRPr="006A36C2">
        <w:rPr>
          <w:i/>
          <w:iCs/>
        </w:rPr>
        <w:t>’</w:t>
      </w:r>
      <w:r w:rsidRPr="006A36C2">
        <w:rPr>
          <w:i/>
          <w:iCs/>
        </w:rPr>
        <w:t>Afrique</w:t>
      </w:r>
      <w:r w:rsidR="00487DD1" w:rsidRPr="006A36C2">
        <w:t> :</w:t>
      </w:r>
      <w:r w:rsidRPr="006A36C2">
        <w:t xml:space="preserve"> Liliane </w:t>
      </w:r>
      <w:proofErr w:type="spellStart"/>
      <w:r w:rsidRPr="006A36C2">
        <w:t>Randrianomenjanahary</w:t>
      </w:r>
      <w:proofErr w:type="spellEnd"/>
      <w:r w:rsidRPr="006A36C2">
        <w:t xml:space="preserve"> (Madagascar) et </w:t>
      </w:r>
      <w:proofErr w:type="spellStart"/>
      <w:r w:rsidRPr="006A36C2">
        <w:t>Obed</w:t>
      </w:r>
      <w:proofErr w:type="spellEnd"/>
      <w:r w:rsidRPr="006A36C2">
        <w:t xml:space="preserve"> </w:t>
      </w:r>
      <w:proofErr w:type="spellStart"/>
      <w:r w:rsidRPr="006A36C2">
        <w:t>Meringo</w:t>
      </w:r>
      <w:proofErr w:type="spellEnd"/>
      <w:r w:rsidRPr="006A36C2">
        <w:t xml:space="preserve"> </w:t>
      </w:r>
      <w:proofErr w:type="spellStart"/>
      <w:r w:rsidRPr="006A36C2">
        <w:t>Baloyi</w:t>
      </w:r>
      <w:proofErr w:type="spellEnd"/>
      <w:r w:rsidRPr="006A36C2">
        <w:t xml:space="preserve"> (Afrique du Sud)</w:t>
      </w:r>
      <w:r w:rsidR="00487DD1" w:rsidRPr="006A36C2">
        <w:t> ;</w:t>
      </w:r>
    </w:p>
    <w:p w14:paraId="7799D7EC" w14:textId="77777777" w:rsidR="00242161" w:rsidRPr="006A36C2" w:rsidRDefault="00242161" w:rsidP="00242161">
      <w:pPr>
        <w:pStyle w:val="Normalnumber"/>
        <w:numPr>
          <w:ilvl w:val="0"/>
          <w:numId w:val="18"/>
        </w:numPr>
        <w:tabs>
          <w:tab w:val="left" w:pos="624"/>
        </w:tabs>
        <w:ind w:left="1247" w:firstLine="624"/>
      </w:pPr>
      <w:r w:rsidRPr="006A36C2">
        <w:rPr>
          <w:i/>
          <w:iCs/>
        </w:rPr>
        <w:t>Pour les États d’Asie et du Pacifique</w:t>
      </w:r>
      <w:r w:rsidRPr="006A36C2">
        <w:t xml:space="preserve"> : Luay Sadeq </w:t>
      </w:r>
      <w:proofErr w:type="spellStart"/>
      <w:r w:rsidRPr="006A36C2">
        <w:t>Almukhtar</w:t>
      </w:r>
      <w:proofErr w:type="spellEnd"/>
      <w:r w:rsidRPr="006A36C2">
        <w:t xml:space="preserve"> (Iraq) et </w:t>
      </w:r>
      <w:proofErr w:type="spellStart"/>
      <w:r w:rsidRPr="006A36C2">
        <w:t>Wasantha</w:t>
      </w:r>
      <w:proofErr w:type="spellEnd"/>
      <w:r w:rsidRPr="006A36C2">
        <w:t xml:space="preserve"> </w:t>
      </w:r>
      <w:proofErr w:type="spellStart"/>
      <w:r w:rsidRPr="006A36C2">
        <w:t>Dissanayake</w:t>
      </w:r>
      <w:proofErr w:type="spellEnd"/>
      <w:r w:rsidRPr="006A36C2">
        <w:t xml:space="preserve"> (Sri Lanka) ;</w:t>
      </w:r>
    </w:p>
    <w:p w14:paraId="485A7101" w14:textId="644B8265" w:rsidR="00490EF9" w:rsidRPr="006A36C2" w:rsidRDefault="00490EF9" w:rsidP="00490EF9">
      <w:pPr>
        <w:pStyle w:val="Normalnumber"/>
        <w:numPr>
          <w:ilvl w:val="0"/>
          <w:numId w:val="18"/>
        </w:numPr>
        <w:tabs>
          <w:tab w:val="left" w:pos="624"/>
        </w:tabs>
        <w:ind w:left="1247" w:firstLine="624"/>
      </w:pPr>
      <w:r w:rsidRPr="006A36C2">
        <w:rPr>
          <w:i/>
          <w:iCs/>
        </w:rPr>
        <w:t>Pour les États d’Europe orientale</w:t>
      </w:r>
      <w:r w:rsidRPr="006A36C2">
        <w:t xml:space="preserve"> : Mario </w:t>
      </w:r>
      <w:proofErr w:type="spellStart"/>
      <w:r w:rsidRPr="006A36C2">
        <w:t>Vujić</w:t>
      </w:r>
      <w:proofErr w:type="spellEnd"/>
      <w:r w:rsidRPr="006A36C2">
        <w:t xml:space="preserve"> (Croatie) et Suzana Andonova (Macédoine du Nord).</w:t>
      </w:r>
    </w:p>
    <w:p w14:paraId="6BD6A2E7" w14:textId="43518154" w:rsidR="00DD39EE" w:rsidRPr="006A36C2" w:rsidRDefault="00DD39EE" w:rsidP="00DD39EE">
      <w:pPr>
        <w:pStyle w:val="Normalnumber"/>
        <w:numPr>
          <w:ilvl w:val="0"/>
          <w:numId w:val="18"/>
        </w:numPr>
        <w:tabs>
          <w:tab w:val="left" w:pos="624"/>
        </w:tabs>
        <w:ind w:left="1247" w:firstLine="624"/>
      </w:pPr>
      <w:r w:rsidRPr="006A36C2">
        <w:rPr>
          <w:i/>
          <w:iCs/>
        </w:rPr>
        <w:t>Pour les États d’Amérique latine et des Caraïbes</w:t>
      </w:r>
      <w:r w:rsidRPr="006A36C2">
        <w:t xml:space="preserve"> : Ana Cristina </w:t>
      </w:r>
      <w:proofErr w:type="spellStart"/>
      <w:r w:rsidRPr="006A36C2">
        <w:t>Linhares</w:t>
      </w:r>
      <w:proofErr w:type="spellEnd"/>
      <w:r w:rsidRPr="006A36C2">
        <w:t xml:space="preserve"> (Brésil) et Michelle Astwood (Guyana) ;</w:t>
      </w:r>
    </w:p>
    <w:p w14:paraId="1740969C" w14:textId="12B58DE8" w:rsidR="002F6BA6" w:rsidRPr="006A36C2" w:rsidRDefault="002F6BA6" w:rsidP="002F6BA6">
      <w:pPr>
        <w:pStyle w:val="Normalnumber"/>
        <w:numPr>
          <w:ilvl w:val="0"/>
          <w:numId w:val="18"/>
        </w:numPr>
        <w:tabs>
          <w:tab w:val="left" w:pos="624"/>
        </w:tabs>
        <w:ind w:left="1247" w:firstLine="624"/>
      </w:pPr>
      <w:r w:rsidRPr="006A36C2">
        <w:rPr>
          <w:i/>
          <w:iCs/>
        </w:rPr>
        <w:t>Pour les États d’Europe occidentale et autres États</w:t>
      </w:r>
      <w:r w:rsidRPr="006A36C2">
        <w:t> : Rafael Zubrzycki (Allemagne) et Andrew Clark (États-Unis d’Amérique)</w:t>
      </w:r>
      <w:r w:rsidR="009E2DF9" w:rsidRPr="006A36C2">
        <w:t>.</w:t>
      </w:r>
    </w:p>
    <w:p w14:paraId="43CDEAD2" w14:textId="61F623DC" w:rsidR="00FF1D0E" w:rsidRPr="006A36C2" w:rsidRDefault="00FF1D0E" w:rsidP="00FF1D0E">
      <w:pPr>
        <w:pStyle w:val="Normalnumber"/>
        <w:numPr>
          <w:ilvl w:val="0"/>
          <w:numId w:val="17"/>
        </w:numPr>
        <w:tabs>
          <w:tab w:val="left" w:pos="624"/>
        </w:tabs>
        <w:snapToGrid w:val="0"/>
        <w:ind w:left="1247" w:firstLine="0"/>
      </w:pPr>
      <w:r w:rsidRPr="006A36C2">
        <w:t xml:space="preserve">En avril 2024, </w:t>
      </w:r>
      <w:proofErr w:type="spellStart"/>
      <w:r w:rsidRPr="006A36C2">
        <w:t>Rathnappuli</w:t>
      </w:r>
      <w:proofErr w:type="spellEnd"/>
      <w:r w:rsidRPr="006A36C2">
        <w:t xml:space="preserve"> </w:t>
      </w:r>
      <w:proofErr w:type="spellStart"/>
      <w:r w:rsidRPr="006A36C2">
        <w:t>Hewa</w:t>
      </w:r>
      <w:proofErr w:type="spellEnd"/>
      <w:r w:rsidRPr="006A36C2">
        <w:t xml:space="preserve"> </w:t>
      </w:r>
      <w:proofErr w:type="spellStart"/>
      <w:r w:rsidRPr="006A36C2">
        <w:t>Mynattuge</w:t>
      </w:r>
      <w:proofErr w:type="spellEnd"/>
      <w:r w:rsidRPr="006A36C2">
        <w:t xml:space="preserve"> </w:t>
      </w:r>
      <w:proofErr w:type="spellStart"/>
      <w:r w:rsidRPr="006A36C2">
        <w:t>Pathmalatha</w:t>
      </w:r>
      <w:proofErr w:type="spellEnd"/>
      <w:r w:rsidRPr="006A36C2">
        <w:t xml:space="preserve"> Abeykoon (Sri Lanka) a été désignée pour remplacer </w:t>
      </w:r>
      <w:proofErr w:type="spellStart"/>
      <w:r w:rsidRPr="006A36C2">
        <w:t>Wasantha</w:t>
      </w:r>
      <w:proofErr w:type="spellEnd"/>
      <w:r w:rsidRPr="006A36C2">
        <w:t xml:space="preserve"> </w:t>
      </w:r>
      <w:proofErr w:type="spellStart"/>
      <w:r w:rsidRPr="006A36C2">
        <w:t>Dissanayake</w:t>
      </w:r>
      <w:proofErr w:type="spellEnd"/>
      <w:r w:rsidRPr="006A36C2">
        <w:t xml:space="preserve"> (Sri Lanka) et siéger au Conseil d</w:t>
      </w:r>
      <w:r w:rsidR="008D631F" w:rsidRPr="006A36C2">
        <w:t>’</w:t>
      </w:r>
      <w:r w:rsidRPr="006A36C2">
        <w:t xml:space="preserve">administration pour la durée restante de son mandat. </w:t>
      </w:r>
    </w:p>
    <w:p w14:paraId="4DB64717" w14:textId="43C049F9" w:rsidR="00FF1D0E" w:rsidRPr="006A36C2" w:rsidRDefault="00FF1D0E" w:rsidP="00FF1D0E">
      <w:pPr>
        <w:pStyle w:val="Normalnumber"/>
        <w:numPr>
          <w:ilvl w:val="0"/>
          <w:numId w:val="17"/>
        </w:numPr>
        <w:tabs>
          <w:tab w:val="left" w:pos="624"/>
        </w:tabs>
        <w:snapToGrid w:val="0"/>
        <w:ind w:left="1247" w:firstLine="0"/>
      </w:pPr>
      <w:r w:rsidRPr="006A36C2">
        <w:t>À sa neuvième réunion, le Conseil d</w:t>
      </w:r>
      <w:r w:rsidR="008D631F" w:rsidRPr="006A36C2">
        <w:t>’</w:t>
      </w:r>
      <w:r w:rsidRPr="006A36C2">
        <w:t xml:space="preserve">administration a élu </w:t>
      </w:r>
      <w:proofErr w:type="spellStart"/>
      <w:r w:rsidRPr="006A36C2">
        <w:t>Obed</w:t>
      </w:r>
      <w:proofErr w:type="spellEnd"/>
      <w:r w:rsidRPr="006A36C2">
        <w:t xml:space="preserve"> </w:t>
      </w:r>
      <w:proofErr w:type="spellStart"/>
      <w:r w:rsidRPr="006A36C2">
        <w:t>Meringo</w:t>
      </w:r>
      <w:proofErr w:type="spellEnd"/>
      <w:r w:rsidRPr="006A36C2">
        <w:t xml:space="preserve"> </w:t>
      </w:r>
      <w:proofErr w:type="spellStart"/>
      <w:r w:rsidRPr="006A36C2">
        <w:t>Baloyi</w:t>
      </w:r>
      <w:proofErr w:type="spellEnd"/>
      <w:r w:rsidRPr="006A36C2">
        <w:t xml:space="preserve"> (Afrique</w:t>
      </w:r>
      <w:r w:rsidR="0073774E" w:rsidRPr="006A36C2">
        <w:t> </w:t>
      </w:r>
      <w:r w:rsidRPr="006A36C2">
        <w:t>du</w:t>
      </w:r>
      <w:r w:rsidR="0073774E" w:rsidRPr="006A36C2">
        <w:t> </w:t>
      </w:r>
      <w:r w:rsidRPr="006A36C2">
        <w:t>Sud) et Andrew Clark (États-Unis d</w:t>
      </w:r>
      <w:r w:rsidR="008D631F" w:rsidRPr="006A36C2">
        <w:t>’</w:t>
      </w:r>
      <w:r w:rsidRPr="006A36C2">
        <w:t xml:space="preserve">Amérique) en tant que Coprésidents pour le mandat en cours. </w:t>
      </w:r>
    </w:p>
    <w:p w14:paraId="64D21E29" w14:textId="2D551CF8" w:rsidR="00FF1D0E" w:rsidRPr="006A36C2" w:rsidRDefault="00FF1D0E" w:rsidP="00FF1D0E">
      <w:pPr>
        <w:pStyle w:val="Normalnumber"/>
        <w:numPr>
          <w:ilvl w:val="0"/>
          <w:numId w:val="17"/>
        </w:numPr>
        <w:tabs>
          <w:tab w:val="left" w:pos="624"/>
        </w:tabs>
        <w:snapToGrid w:val="0"/>
        <w:ind w:left="1247" w:firstLine="0"/>
      </w:pPr>
      <w:r w:rsidRPr="006A36C2">
        <w:t>À sa neuvième réunion, le Conseil d</w:t>
      </w:r>
      <w:r w:rsidR="008D631F" w:rsidRPr="006A36C2">
        <w:t>’</w:t>
      </w:r>
      <w:r w:rsidRPr="006A36C2">
        <w:t xml:space="preserve">administration était saisi pour examen du rapport annuel du secrétariat pour 2024 </w:t>
      </w:r>
      <w:r w:rsidR="00275224" w:rsidRPr="006A36C2">
        <w:t>sur</w:t>
      </w:r>
      <w:r w:rsidRPr="006A36C2">
        <w:t xml:space="preserve"> les opérations du Programme international spécifique,</w:t>
      </w:r>
      <w:r w:rsidR="00777411" w:rsidRPr="006A36C2">
        <w:t xml:space="preserve"> qui</w:t>
      </w:r>
      <w:r w:rsidRPr="006A36C2">
        <w:t xml:space="preserve"> comporta</w:t>
      </w:r>
      <w:r w:rsidR="00777411" w:rsidRPr="006A36C2">
        <w:t>i</w:t>
      </w:r>
      <w:r w:rsidRPr="006A36C2">
        <w:t>t une mise à jour des contributions au fonds d</w:t>
      </w:r>
      <w:r w:rsidR="008D631F" w:rsidRPr="006A36C2">
        <w:t>’</w:t>
      </w:r>
      <w:r w:rsidRPr="006A36C2">
        <w:t>affectation spéciale particulier reçues et annoncées, ainsi que des dépenses effectuées. Le Conseil d</w:t>
      </w:r>
      <w:r w:rsidR="008D631F" w:rsidRPr="006A36C2">
        <w:t>’</w:t>
      </w:r>
      <w:r w:rsidRPr="006A36C2">
        <w:t>administration a décidé de lancer le quatrième cycle de dépôt de demandes et a examiné les recommandations tirées de l</w:t>
      </w:r>
      <w:r w:rsidR="008D631F" w:rsidRPr="006A36C2">
        <w:t>’</w:t>
      </w:r>
      <w:r w:rsidRPr="006A36C2">
        <w:t xml:space="preserve">évaluation à mi-parcours du Programme international spécifique qui lui étaient adressées au sujet du lancement du quatrième cycle. </w:t>
      </w:r>
    </w:p>
    <w:p w14:paraId="6BDBFECE" w14:textId="62BDF76C" w:rsidR="00FF1D0E" w:rsidRPr="006A36C2" w:rsidRDefault="00FF1D0E" w:rsidP="00FF1D0E">
      <w:pPr>
        <w:pStyle w:val="Normalnumber"/>
        <w:numPr>
          <w:ilvl w:val="0"/>
          <w:numId w:val="17"/>
        </w:numPr>
        <w:tabs>
          <w:tab w:val="left" w:pos="624"/>
        </w:tabs>
        <w:snapToGrid w:val="0"/>
        <w:ind w:left="1247" w:firstLine="0"/>
      </w:pPr>
      <w:r w:rsidRPr="006A36C2">
        <w:t>La dixième réunion du Conseil d</w:t>
      </w:r>
      <w:r w:rsidR="008D631F" w:rsidRPr="006A36C2">
        <w:t>’</w:t>
      </w:r>
      <w:r w:rsidRPr="006A36C2">
        <w:t>administration s</w:t>
      </w:r>
      <w:r w:rsidR="008D631F" w:rsidRPr="006A36C2">
        <w:t>’</w:t>
      </w:r>
      <w:r w:rsidRPr="006A36C2">
        <w:t>est tenue du 22 au 24 janvier 2025, à Genève. Lors de cette réunion, le Conseil d</w:t>
      </w:r>
      <w:r w:rsidR="008D631F" w:rsidRPr="006A36C2">
        <w:t>’</w:t>
      </w:r>
      <w:r w:rsidRPr="006A36C2">
        <w:t>administration s</w:t>
      </w:r>
      <w:r w:rsidR="008D631F" w:rsidRPr="006A36C2">
        <w:t>’</w:t>
      </w:r>
      <w:r w:rsidRPr="006A36C2">
        <w:t>est penché, entre autres, sur le rapport annuel du secrétariat sur les opérations du Programme spécifique international, l</w:t>
      </w:r>
      <w:r w:rsidR="008D631F" w:rsidRPr="006A36C2">
        <w:t>’</w:t>
      </w:r>
      <w:r w:rsidRPr="006A36C2">
        <w:t>état du fonds d</w:t>
      </w:r>
      <w:r w:rsidR="008D631F" w:rsidRPr="006A36C2">
        <w:t>’</w:t>
      </w:r>
      <w:r w:rsidRPr="006A36C2">
        <w:t>affectation spéciale particulier, le projet de cadre de la troisième étude du mécanisme de financement et un point du secrétariat sur le projet d</w:t>
      </w:r>
      <w:r w:rsidR="008D631F" w:rsidRPr="006A36C2">
        <w:t>’</w:t>
      </w:r>
      <w:r w:rsidRPr="006A36C2">
        <w:t>analyse des besoins de financement prévus et des besoins en personnel connexes pour la seconde moitié de la période initiale du Programme international spécifique. Le Conseil d</w:t>
      </w:r>
      <w:r w:rsidR="008D631F" w:rsidRPr="006A36C2">
        <w:t>’</w:t>
      </w:r>
      <w:r w:rsidRPr="006A36C2">
        <w:t>administration a examiné les 29</w:t>
      </w:r>
      <w:r w:rsidR="0073774E" w:rsidRPr="006A36C2">
        <w:t> </w:t>
      </w:r>
      <w:r w:rsidRPr="006A36C2">
        <w:t>demandes recevables soumises dans le cadre du quatrième cycle de dépôt de demandes et a approuvé le financement de 10</w:t>
      </w:r>
      <w:r w:rsidR="0073774E" w:rsidRPr="006A36C2">
        <w:t> </w:t>
      </w:r>
      <w:r w:rsidRPr="006A36C2">
        <w:t>projets.</w:t>
      </w:r>
    </w:p>
    <w:p w14:paraId="71CB24F6" w14:textId="658D262E" w:rsidR="00FF1D0E" w:rsidRPr="006A36C2" w:rsidRDefault="00CC6BA2" w:rsidP="0073774E">
      <w:pPr>
        <w:pStyle w:val="CH1"/>
        <w:tabs>
          <w:tab w:val="left" w:pos="4990"/>
        </w:tabs>
        <w:rPr>
          <w:b w:val="0"/>
        </w:rPr>
      </w:pPr>
      <w:r w:rsidRPr="006A36C2">
        <w:rPr>
          <w:bCs/>
        </w:rPr>
        <w:tab/>
      </w:r>
      <w:r w:rsidR="0073774E" w:rsidRPr="006A36C2">
        <w:rPr>
          <w:bCs/>
        </w:rPr>
        <w:t>IV.</w:t>
      </w:r>
      <w:r w:rsidR="00FF1D0E" w:rsidRPr="006A36C2">
        <w:tab/>
      </w:r>
      <w:r w:rsidR="00FF1D0E" w:rsidRPr="006A36C2">
        <w:rPr>
          <w:bCs/>
        </w:rPr>
        <w:t xml:space="preserve">État </w:t>
      </w:r>
      <w:r w:rsidR="00FF1D0E" w:rsidRPr="006A36C2">
        <w:rPr>
          <w:rFonts w:eastAsia="Times New Roman"/>
          <w:lang w:eastAsia="en-US"/>
        </w:rPr>
        <w:t>de</w:t>
      </w:r>
      <w:r w:rsidR="00FF1D0E" w:rsidRPr="006A36C2">
        <w:rPr>
          <w:bCs/>
        </w:rPr>
        <w:t xml:space="preserve"> la mise en œuvre des projets approuvés au titre du</w:t>
      </w:r>
      <w:r w:rsidR="0073774E" w:rsidRPr="006A36C2">
        <w:rPr>
          <w:bCs/>
        </w:rPr>
        <w:t> </w:t>
      </w:r>
      <w:r w:rsidR="00FF1D0E" w:rsidRPr="006A36C2">
        <w:rPr>
          <w:bCs/>
        </w:rPr>
        <w:t>Programme international spécifique</w:t>
      </w:r>
    </w:p>
    <w:p w14:paraId="1955E296" w14:textId="7CB485C8" w:rsidR="00FF1D0E" w:rsidRPr="006A36C2" w:rsidRDefault="00FF1D0E" w:rsidP="00FF1D0E">
      <w:pPr>
        <w:pStyle w:val="Normalnumber"/>
        <w:numPr>
          <w:ilvl w:val="0"/>
          <w:numId w:val="17"/>
        </w:numPr>
        <w:tabs>
          <w:tab w:val="left" w:pos="624"/>
        </w:tabs>
        <w:snapToGrid w:val="0"/>
        <w:ind w:left="1247" w:firstLine="0"/>
      </w:pPr>
      <w:r w:rsidRPr="006A36C2">
        <w:t>Lors du quatrième cycle de dépôt de demandes (2024-2025), le Conseil d</w:t>
      </w:r>
      <w:r w:rsidR="008D631F" w:rsidRPr="006A36C2">
        <w:t>’</w:t>
      </w:r>
      <w:r w:rsidRPr="006A36C2">
        <w:t>administration a approuvé 10</w:t>
      </w:r>
      <w:r w:rsidR="009B121F" w:rsidRPr="006A36C2">
        <w:t> </w:t>
      </w:r>
      <w:r w:rsidRPr="006A36C2">
        <w:t>projets pour un budget global de 2 104 630 dollars (2 378 231 dollars, dont 13 % de dépenses d</w:t>
      </w:r>
      <w:r w:rsidR="008D631F" w:rsidRPr="006A36C2">
        <w:t>’</w:t>
      </w:r>
      <w:r w:rsidRPr="006A36C2">
        <w:t>appui au programme). Les projets approuvés et leurs budgets étaient les suivants</w:t>
      </w:r>
      <w:r w:rsidR="00487DD1" w:rsidRPr="006A36C2">
        <w:t> :</w:t>
      </w:r>
    </w:p>
    <w:p w14:paraId="0EE259A8" w14:textId="3362B004" w:rsidR="00FF1D0E" w:rsidRPr="006A36C2" w:rsidRDefault="00FF1D0E" w:rsidP="00FF1D0E">
      <w:pPr>
        <w:pStyle w:val="Normalnumber"/>
        <w:numPr>
          <w:ilvl w:val="0"/>
          <w:numId w:val="19"/>
        </w:numPr>
        <w:tabs>
          <w:tab w:val="left" w:pos="624"/>
        </w:tabs>
        <w:ind w:left="1247" w:firstLine="624"/>
      </w:pPr>
      <w:r w:rsidRPr="006A36C2">
        <w:rPr>
          <w:i/>
          <w:iCs/>
        </w:rPr>
        <w:t>Brésil</w:t>
      </w:r>
      <w:r w:rsidR="00487DD1" w:rsidRPr="006A36C2">
        <w:rPr>
          <w:i/>
          <w:iCs/>
        </w:rPr>
        <w:t> :</w:t>
      </w:r>
      <w:r w:rsidRPr="006A36C2">
        <w:t xml:space="preserve"> extraction minière artisanale et à petite échelle d</w:t>
      </w:r>
      <w:r w:rsidR="008D631F" w:rsidRPr="006A36C2">
        <w:t>’</w:t>
      </w:r>
      <w:r w:rsidRPr="006A36C2">
        <w:t>or</w:t>
      </w:r>
      <w:r w:rsidR="00487DD1" w:rsidRPr="006A36C2">
        <w:t> :</w:t>
      </w:r>
      <w:r w:rsidRPr="006A36C2">
        <w:t xml:space="preserve"> aspects sanitaires et environnementaux de l</w:t>
      </w:r>
      <w:r w:rsidR="008D631F" w:rsidRPr="006A36C2">
        <w:t>’</w:t>
      </w:r>
      <w:r w:rsidRPr="006A36C2">
        <w:t>utilisation du mercure (250 000 dollars)</w:t>
      </w:r>
      <w:r w:rsidR="00487DD1" w:rsidRPr="006A36C2">
        <w:t> ;</w:t>
      </w:r>
      <w:r w:rsidRPr="006A36C2">
        <w:t xml:space="preserve"> </w:t>
      </w:r>
    </w:p>
    <w:p w14:paraId="1CA65FDD" w14:textId="4E5EB817" w:rsidR="001D4160" w:rsidRPr="006A36C2" w:rsidRDefault="001D4160" w:rsidP="001D4160">
      <w:pPr>
        <w:pStyle w:val="Normalnumber"/>
        <w:numPr>
          <w:ilvl w:val="0"/>
          <w:numId w:val="19"/>
        </w:numPr>
        <w:tabs>
          <w:tab w:val="left" w:pos="624"/>
        </w:tabs>
        <w:ind w:left="1247" w:firstLine="624"/>
      </w:pPr>
      <w:r w:rsidRPr="006A36C2">
        <w:rPr>
          <w:i/>
          <w:iCs/>
        </w:rPr>
        <w:t>Tchad :</w:t>
      </w:r>
      <w:r w:rsidRPr="006A36C2">
        <w:t xml:space="preserve"> contrôle du commerce du mercure et des produits contenant du mercure ajouté (230 000 dollars) ; </w:t>
      </w:r>
    </w:p>
    <w:p w14:paraId="4792C4CA" w14:textId="61ED4A00" w:rsidR="00FF1D0E" w:rsidRPr="006A36C2" w:rsidRDefault="00FF1D0E" w:rsidP="00FF1D0E">
      <w:pPr>
        <w:pStyle w:val="Normalnumber"/>
        <w:numPr>
          <w:ilvl w:val="0"/>
          <w:numId w:val="19"/>
        </w:numPr>
        <w:tabs>
          <w:tab w:val="left" w:pos="624"/>
        </w:tabs>
        <w:ind w:left="1247" w:firstLine="624"/>
      </w:pPr>
      <w:r w:rsidRPr="006A36C2">
        <w:rPr>
          <w:i/>
          <w:iCs/>
        </w:rPr>
        <w:t>Djibouti</w:t>
      </w:r>
      <w:r w:rsidR="00487DD1" w:rsidRPr="006A36C2">
        <w:rPr>
          <w:i/>
          <w:iCs/>
        </w:rPr>
        <w:t> :</w:t>
      </w:r>
      <w:r w:rsidRPr="006A36C2">
        <w:t xml:space="preserve"> renforcement du cadre juridique et institutionnel </w:t>
      </w:r>
      <w:r w:rsidR="00275224" w:rsidRPr="006A36C2">
        <w:t>pour la</w:t>
      </w:r>
      <w:r w:rsidRPr="006A36C2">
        <w:t xml:space="preserve"> gestion écologiquement rationnelle du mercure et des déchets contenant du mercure (201 000 dollars)</w:t>
      </w:r>
      <w:r w:rsidR="00487DD1" w:rsidRPr="006A36C2">
        <w:t> ;</w:t>
      </w:r>
      <w:r w:rsidRPr="006A36C2">
        <w:t xml:space="preserve"> </w:t>
      </w:r>
    </w:p>
    <w:p w14:paraId="6494534B" w14:textId="1CC18FF9" w:rsidR="00FF1D0E" w:rsidRPr="006A36C2" w:rsidRDefault="00FF1D0E" w:rsidP="00FF1D0E">
      <w:pPr>
        <w:pStyle w:val="Normalnumber"/>
        <w:numPr>
          <w:ilvl w:val="0"/>
          <w:numId w:val="19"/>
        </w:numPr>
        <w:tabs>
          <w:tab w:val="left" w:pos="624"/>
        </w:tabs>
        <w:ind w:left="1247" w:firstLine="624"/>
      </w:pPr>
      <w:r w:rsidRPr="006A36C2">
        <w:rPr>
          <w:i/>
          <w:iCs/>
        </w:rPr>
        <w:t>Érythrée</w:t>
      </w:r>
      <w:r w:rsidR="00487DD1" w:rsidRPr="006A36C2">
        <w:rPr>
          <w:i/>
          <w:iCs/>
        </w:rPr>
        <w:t> :</w:t>
      </w:r>
      <w:r w:rsidRPr="006A36C2">
        <w:t xml:space="preserve"> renforcement des capacités nationales pour sensibiliser aux effets sanitaires et environnementaux de l</w:t>
      </w:r>
      <w:r w:rsidR="008D631F" w:rsidRPr="006A36C2">
        <w:t>’</w:t>
      </w:r>
      <w:r w:rsidRPr="006A36C2">
        <w:t>utilisation du mercure dans les activités d</w:t>
      </w:r>
      <w:r w:rsidR="008D631F" w:rsidRPr="006A36C2">
        <w:t>’</w:t>
      </w:r>
      <w:r w:rsidRPr="006A36C2">
        <w:t>extraction minière artisanale et à petite échelle d</w:t>
      </w:r>
      <w:r w:rsidR="008D631F" w:rsidRPr="006A36C2">
        <w:t>’</w:t>
      </w:r>
      <w:r w:rsidRPr="006A36C2">
        <w:t>or (85 000 dollars)</w:t>
      </w:r>
      <w:r w:rsidR="00487DD1" w:rsidRPr="006A36C2">
        <w:t> ;</w:t>
      </w:r>
      <w:r w:rsidRPr="006A36C2">
        <w:t xml:space="preserve"> </w:t>
      </w:r>
    </w:p>
    <w:p w14:paraId="294C6340" w14:textId="29C981AC" w:rsidR="00FF1D0E" w:rsidRPr="006A36C2" w:rsidRDefault="00FF1D0E" w:rsidP="00FF1D0E">
      <w:pPr>
        <w:pStyle w:val="Normalnumber"/>
        <w:numPr>
          <w:ilvl w:val="0"/>
          <w:numId w:val="19"/>
        </w:numPr>
        <w:tabs>
          <w:tab w:val="left" w:pos="624"/>
        </w:tabs>
        <w:ind w:left="1247" w:firstLine="624"/>
      </w:pPr>
      <w:r w:rsidRPr="006A36C2">
        <w:rPr>
          <w:i/>
          <w:iCs/>
        </w:rPr>
        <w:t>Géorgie</w:t>
      </w:r>
      <w:r w:rsidR="00487DD1" w:rsidRPr="006A36C2">
        <w:rPr>
          <w:i/>
          <w:iCs/>
        </w:rPr>
        <w:t> :</w:t>
      </w:r>
      <w:r w:rsidRPr="006A36C2">
        <w:t xml:space="preserve"> renforcement des capacités nationales et de la gestion des connaissances </w:t>
      </w:r>
      <w:r w:rsidR="00275224" w:rsidRPr="006A36C2">
        <w:t xml:space="preserve">pour le </w:t>
      </w:r>
      <w:r w:rsidRPr="006A36C2">
        <w:t>respect des dispositions de la Convention de Minamata sur le mercure (244 000 dollars)</w:t>
      </w:r>
      <w:r w:rsidR="00487DD1" w:rsidRPr="006A36C2">
        <w:t> ;</w:t>
      </w:r>
      <w:r w:rsidRPr="006A36C2">
        <w:t xml:space="preserve"> </w:t>
      </w:r>
    </w:p>
    <w:p w14:paraId="72886384" w14:textId="748E0825" w:rsidR="00FF1D0E" w:rsidRPr="006A36C2" w:rsidRDefault="00FF1D0E" w:rsidP="00FF1D0E">
      <w:pPr>
        <w:pStyle w:val="Normalnumber"/>
        <w:numPr>
          <w:ilvl w:val="0"/>
          <w:numId w:val="19"/>
        </w:numPr>
        <w:tabs>
          <w:tab w:val="left" w:pos="624"/>
        </w:tabs>
        <w:ind w:left="1247" w:firstLine="624"/>
      </w:pPr>
      <w:r w:rsidRPr="006A36C2">
        <w:rPr>
          <w:i/>
          <w:iCs/>
        </w:rPr>
        <w:t>Madagascar</w:t>
      </w:r>
      <w:r w:rsidR="00487DD1" w:rsidRPr="006A36C2">
        <w:rPr>
          <w:i/>
          <w:iCs/>
        </w:rPr>
        <w:t> :</w:t>
      </w:r>
      <w:r w:rsidRPr="006A36C2">
        <w:t xml:space="preserve"> renforcement des capacités de Madagascar pour la mise en œuvre de la Convention de Minamata sur le mercure et la gestion des produits contenant du mercure (244 000 dollars)</w:t>
      </w:r>
      <w:r w:rsidR="00487DD1" w:rsidRPr="006A36C2">
        <w:t> ;</w:t>
      </w:r>
      <w:r w:rsidRPr="006A36C2">
        <w:t xml:space="preserve"> </w:t>
      </w:r>
    </w:p>
    <w:p w14:paraId="755EB3EA" w14:textId="69A0FAEE" w:rsidR="00FF1D0E" w:rsidRPr="006A36C2" w:rsidRDefault="00FF1D0E" w:rsidP="00FF1D0E">
      <w:pPr>
        <w:pStyle w:val="Normalnumber"/>
        <w:numPr>
          <w:ilvl w:val="0"/>
          <w:numId w:val="19"/>
        </w:numPr>
        <w:tabs>
          <w:tab w:val="left" w:pos="624"/>
        </w:tabs>
        <w:ind w:left="1247" w:firstLine="624"/>
      </w:pPr>
      <w:r w:rsidRPr="006A36C2">
        <w:rPr>
          <w:i/>
          <w:iCs/>
        </w:rPr>
        <w:t>Monténégro</w:t>
      </w:r>
      <w:r w:rsidR="00487DD1" w:rsidRPr="006A36C2">
        <w:rPr>
          <w:i/>
          <w:iCs/>
        </w:rPr>
        <w:t> :</w:t>
      </w:r>
      <w:r w:rsidRPr="006A36C2">
        <w:t xml:space="preserve"> possibilités de développement pour la dépollution de l</w:t>
      </w:r>
      <w:r w:rsidR="008D631F" w:rsidRPr="006A36C2">
        <w:t>’</w:t>
      </w:r>
      <w:r w:rsidRPr="006A36C2">
        <w:t xml:space="preserve">ancien site </w:t>
      </w:r>
      <w:r w:rsidR="00275224" w:rsidRPr="006A36C2">
        <w:t>d</w:t>
      </w:r>
      <w:r w:rsidR="008D631F" w:rsidRPr="006A36C2">
        <w:t>’</w:t>
      </w:r>
      <w:r w:rsidR="00275224" w:rsidRPr="006A36C2">
        <w:t xml:space="preserve">extraction minière de métaux </w:t>
      </w:r>
      <w:r w:rsidRPr="006A36C2">
        <w:t xml:space="preserve">de </w:t>
      </w:r>
      <w:proofErr w:type="spellStart"/>
      <w:r w:rsidRPr="006A36C2">
        <w:t>Brskovo</w:t>
      </w:r>
      <w:proofErr w:type="spellEnd"/>
      <w:r w:rsidRPr="006A36C2">
        <w:t xml:space="preserve"> contaminé par du mercure (247 980 dollars)</w:t>
      </w:r>
      <w:r w:rsidR="00487DD1" w:rsidRPr="006A36C2">
        <w:t> ;</w:t>
      </w:r>
      <w:r w:rsidRPr="006A36C2">
        <w:t xml:space="preserve"> </w:t>
      </w:r>
    </w:p>
    <w:p w14:paraId="4D2906AD" w14:textId="1E8CB93F" w:rsidR="00FF1D0E" w:rsidRPr="006A36C2" w:rsidRDefault="00FF1D0E" w:rsidP="00FF1D0E">
      <w:pPr>
        <w:pStyle w:val="Normalnumber"/>
        <w:numPr>
          <w:ilvl w:val="0"/>
          <w:numId w:val="19"/>
        </w:numPr>
        <w:tabs>
          <w:tab w:val="left" w:pos="624"/>
        </w:tabs>
        <w:ind w:left="1247" w:firstLine="624"/>
      </w:pPr>
      <w:r w:rsidRPr="006A36C2">
        <w:rPr>
          <w:i/>
          <w:iCs/>
        </w:rPr>
        <w:t>Sri Lanka</w:t>
      </w:r>
      <w:r w:rsidR="00487DD1" w:rsidRPr="006A36C2">
        <w:rPr>
          <w:i/>
          <w:iCs/>
        </w:rPr>
        <w:t> :</w:t>
      </w:r>
      <w:r w:rsidRPr="006A36C2">
        <w:t xml:space="preserve"> fourniture d</w:t>
      </w:r>
      <w:r w:rsidR="008D631F" w:rsidRPr="006A36C2">
        <w:t>’</w:t>
      </w:r>
      <w:r w:rsidRPr="006A36C2">
        <w:t>une solution intégrée écologiquement rationnelle pour la gestion des déchets constitués de mercure ou de composés du mercure, en contenant ou contaminés par ces substances qui sont générés par les procédés de fabrication des médicaments ayurvédiques, afin de protéger la santé humaine et l</w:t>
      </w:r>
      <w:r w:rsidR="008D631F" w:rsidRPr="006A36C2">
        <w:t>’</w:t>
      </w:r>
      <w:r w:rsidRPr="006A36C2">
        <w:t>environnement – étude détaillée par le Sri Lanka (197 650 dollars)</w:t>
      </w:r>
      <w:r w:rsidR="00487DD1" w:rsidRPr="006A36C2">
        <w:t> ;</w:t>
      </w:r>
    </w:p>
    <w:p w14:paraId="0A373A28" w14:textId="23B5E832" w:rsidR="001D4160" w:rsidRPr="006A36C2" w:rsidRDefault="001D4160" w:rsidP="001D4160">
      <w:pPr>
        <w:pStyle w:val="Normalnumber"/>
        <w:numPr>
          <w:ilvl w:val="0"/>
          <w:numId w:val="19"/>
        </w:numPr>
        <w:tabs>
          <w:tab w:val="left" w:pos="624"/>
        </w:tabs>
        <w:ind w:left="1247" w:firstLine="624"/>
      </w:pPr>
      <w:r w:rsidRPr="006A36C2">
        <w:rPr>
          <w:i/>
          <w:iCs/>
        </w:rPr>
        <w:t>République-Unie de Tanzanie :</w:t>
      </w:r>
      <w:r w:rsidRPr="006A36C2">
        <w:t xml:space="preserve"> renforcement des capacités nationales pour la mise en œuvre de la Convention de Minamata sur le mercure (211 000 dollars) ;</w:t>
      </w:r>
    </w:p>
    <w:p w14:paraId="13E882BB" w14:textId="2ECC4DF1" w:rsidR="00FF1D0E" w:rsidRPr="006A36C2" w:rsidRDefault="00FF1D0E" w:rsidP="00FF1D0E">
      <w:pPr>
        <w:pStyle w:val="Normalnumber"/>
        <w:numPr>
          <w:ilvl w:val="0"/>
          <w:numId w:val="19"/>
        </w:numPr>
        <w:tabs>
          <w:tab w:val="left" w:pos="624"/>
        </w:tabs>
        <w:ind w:left="1247" w:firstLine="624"/>
      </w:pPr>
      <w:r w:rsidRPr="006A36C2">
        <w:rPr>
          <w:i/>
          <w:iCs/>
        </w:rPr>
        <w:t>Zimbabwe</w:t>
      </w:r>
      <w:r w:rsidR="00487DD1" w:rsidRPr="006A36C2">
        <w:rPr>
          <w:i/>
          <w:iCs/>
        </w:rPr>
        <w:t> :</w:t>
      </w:r>
      <w:r w:rsidRPr="006A36C2">
        <w:t xml:space="preserve"> atténuation des émissions et des rejets de mercure provenant des centrales électriques à combustion de charbon au Zimbabwe afin de respecter les obligations au titre de l</w:t>
      </w:r>
      <w:r w:rsidR="008D631F" w:rsidRPr="006A36C2">
        <w:t>’</w:t>
      </w:r>
      <w:r w:rsidRPr="006A36C2">
        <w:t>article</w:t>
      </w:r>
      <w:r w:rsidR="00893D5A" w:rsidRPr="006A36C2">
        <w:t> </w:t>
      </w:r>
      <w:r w:rsidRPr="006A36C2">
        <w:t>8 de la Convention de Minamata sur le mercure (194 000 dollars).</w:t>
      </w:r>
    </w:p>
    <w:p w14:paraId="59EBFF19" w14:textId="77777777" w:rsidR="00FF1D0E" w:rsidRPr="006A36C2" w:rsidRDefault="00FF1D0E" w:rsidP="00FF1D0E">
      <w:pPr>
        <w:pStyle w:val="Normalnumber"/>
        <w:numPr>
          <w:ilvl w:val="0"/>
          <w:numId w:val="17"/>
        </w:numPr>
        <w:tabs>
          <w:tab w:val="left" w:pos="624"/>
        </w:tabs>
        <w:snapToGrid w:val="0"/>
        <w:ind w:left="1247" w:firstLine="0"/>
      </w:pPr>
      <w:r w:rsidRPr="006A36C2">
        <w:t>Le secrétariat collabore avec chaque Gouvernement pour mettre au point les descriptifs des projets approuvés et préparer les accords juridiques à signer, afin que le décaissement des fonds alloués aux projets puisse commencer.</w:t>
      </w:r>
    </w:p>
    <w:p w14:paraId="4DA640A4" w14:textId="14B0A166" w:rsidR="00FF1D0E" w:rsidRPr="006A36C2" w:rsidRDefault="00FF1D0E" w:rsidP="00FF1D0E">
      <w:pPr>
        <w:pStyle w:val="Normalnumber"/>
        <w:numPr>
          <w:ilvl w:val="0"/>
          <w:numId w:val="17"/>
        </w:numPr>
        <w:tabs>
          <w:tab w:val="left" w:pos="624"/>
        </w:tabs>
        <w:snapToGrid w:val="0"/>
        <w:ind w:left="1247" w:firstLine="0"/>
      </w:pPr>
      <w:r w:rsidRPr="006A36C2">
        <w:t>Lors du troisième cycle de</w:t>
      </w:r>
      <w:r w:rsidR="00DD5595" w:rsidRPr="006A36C2">
        <w:t xml:space="preserve"> dépôt de</w:t>
      </w:r>
      <w:r w:rsidRPr="006A36C2">
        <w:t xml:space="preserve"> demandes (2020-2021), le Conseil d</w:t>
      </w:r>
      <w:r w:rsidR="008D631F" w:rsidRPr="006A36C2">
        <w:t>’</w:t>
      </w:r>
      <w:r w:rsidRPr="006A36C2">
        <w:t>administration a approuvé les neuf projets suivants pour un budget global de 2 193 842 dollars (2 479 041 dollars, dont 13 % de dépenses d</w:t>
      </w:r>
      <w:r w:rsidR="008D631F" w:rsidRPr="006A36C2">
        <w:t>’</w:t>
      </w:r>
      <w:r w:rsidRPr="006A36C2">
        <w:t>appui au programme)</w:t>
      </w:r>
      <w:r w:rsidR="00487DD1" w:rsidRPr="006A36C2">
        <w:t> :</w:t>
      </w:r>
    </w:p>
    <w:p w14:paraId="7E0AB641" w14:textId="3C42DA9A" w:rsidR="00FF1D0E" w:rsidRPr="006A36C2" w:rsidRDefault="00FF1D0E" w:rsidP="00FF1D0E">
      <w:pPr>
        <w:pStyle w:val="Normalnumber"/>
        <w:numPr>
          <w:ilvl w:val="0"/>
          <w:numId w:val="20"/>
        </w:numPr>
        <w:tabs>
          <w:tab w:val="left" w:pos="624"/>
        </w:tabs>
        <w:ind w:left="1247" w:firstLine="624"/>
      </w:pPr>
      <w:r w:rsidRPr="006A36C2">
        <w:rPr>
          <w:i/>
          <w:iCs/>
        </w:rPr>
        <w:t>Burundi</w:t>
      </w:r>
      <w:r w:rsidR="00487DD1" w:rsidRPr="006A36C2">
        <w:t> :</w:t>
      </w:r>
      <w:r w:rsidRPr="006A36C2">
        <w:t xml:space="preserve"> soutien au renforcement des capacités aux fins de la mise en œuvre de la Convention de Minamata sur le mercure (250 000 dollars)</w:t>
      </w:r>
      <w:r w:rsidR="00487DD1" w:rsidRPr="006A36C2">
        <w:t> ;</w:t>
      </w:r>
      <w:r w:rsidRPr="006A36C2">
        <w:t xml:space="preserve"> </w:t>
      </w:r>
    </w:p>
    <w:p w14:paraId="7BFEE447" w14:textId="6236C4A7" w:rsidR="00FF1D0E" w:rsidRPr="006A36C2" w:rsidRDefault="00FF1D0E" w:rsidP="00FF1D0E">
      <w:pPr>
        <w:pStyle w:val="Normalnumber"/>
        <w:numPr>
          <w:ilvl w:val="0"/>
          <w:numId w:val="20"/>
        </w:numPr>
        <w:tabs>
          <w:tab w:val="left" w:pos="624"/>
        </w:tabs>
        <w:ind w:left="1247" w:firstLine="624"/>
      </w:pPr>
      <w:r w:rsidRPr="006A36C2">
        <w:rPr>
          <w:i/>
          <w:iCs/>
        </w:rPr>
        <w:t>Cuba</w:t>
      </w:r>
      <w:r w:rsidR="00487DD1" w:rsidRPr="006A36C2">
        <w:t> :</w:t>
      </w:r>
      <w:r w:rsidRPr="006A36C2">
        <w:t xml:space="preserve"> amélioration de l</w:t>
      </w:r>
      <w:r w:rsidR="008D631F" w:rsidRPr="006A36C2">
        <w:t>’</w:t>
      </w:r>
      <w:r w:rsidRPr="006A36C2">
        <w:t>information sur les inventaires de l</w:t>
      </w:r>
      <w:r w:rsidR="008D631F" w:rsidRPr="006A36C2">
        <w:t>’</w:t>
      </w:r>
      <w:r w:rsidRPr="006A36C2">
        <w:t>utilisation du mercure et </w:t>
      </w:r>
      <w:r w:rsidR="00DD5595" w:rsidRPr="006A36C2">
        <w:t>le</w:t>
      </w:r>
      <w:r w:rsidRPr="006A36C2">
        <w:t xml:space="preserve"> cycle environnemental à Cuba, à l</w:t>
      </w:r>
      <w:r w:rsidR="008D631F" w:rsidRPr="006A36C2">
        <w:t>’</w:t>
      </w:r>
      <w:r w:rsidRPr="006A36C2">
        <w:t>appui de la mise en œuvre de la Convention de Minamata sur le mercure (249 210 dollars)</w:t>
      </w:r>
      <w:r w:rsidR="00487DD1" w:rsidRPr="006A36C2">
        <w:t> ;</w:t>
      </w:r>
      <w:r w:rsidRPr="006A36C2">
        <w:t xml:space="preserve"> </w:t>
      </w:r>
    </w:p>
    <w:p w14:paraId="7C8883FB" w14:textId="63711BDF" w:rsidR="00FF1D0E" w:rsidRPr="006A36C2" w:rsidRDefault="00FF1D0E" w:rsidP="00FF1D0E">
      <w:pPr>
        <w:pStyle w:val="Normalnumber"/>
        <w:numPr>
          <w:ilvl w:val="0"/>
          <w:numId w:val="20"/>
        </w:numPr>
        <w:tabs>
          <w:tab w:val="left" w:pos="624"/>
        </w:tabs>
        <w:ind w:left="1247" w:firstLine="624"/>
      </w:pPr>
      <w:r w:rsidRPr="006A36C2">
        <w:rPr>
          <w:i/>
          <w:iCs/>
        </w:rPr>
        <w:t>Gabon</w:t>
      </w:r>
      <w:r w:rsidR="00487DD1" w:rsidRPr="006A36C2">
        <w:rPr>
          <w:i/>
          <w:iCs/>
        </w:rPr>
        <w:t> :</w:t>
      </w:r>
      <w:r w:rsidRPr="006A36C2">
        <w:t xml:space="preserve"> facilitation du renforcement des capacités au moyen d</w:t>
      </w:r>
      <w:r w:rsidR="008D631F" w:rsidRPr="006A36C2">
        <w:t>’</w:t>
      </w:r>
      <w:r w:rsidRPr="006A36C2">
        <w:t>une assistance technologique et du transfert de technologies pour le suivi et la gestion du mercure en Afrique centrale (249 500 dollars)</w:t>
      </w:r>
      <w:r w:rsidR="00487DD1" w:rsidRPr="006A36C2">
        <w:t> ;</w:t>
      </w:r>
      <w:r w:rsidRPr="006A36C2">
        <w:t xml:space="preserve"> </w:t>
      </w:r>
    </w:p>
    <w:p w14:paraId="1C3C2EB2" w14:textId="1840A547" w:rsidR="00FF1D0E" w:rsidRPr="006A36C2" w:rsidRDefault="00FF1D0E" w:rsidP="00FF1D0E">
      <w:pPr>
        <w:pStyle w:val="Normalnumber"/>
        <w:numPr>
          <w:ilvl w:val="0"/>
          <w:numId w:val="20"/>
        </w:numPr>
        <w:tabs>
          <w:tab w:val="left" w:pos="624"/>
        </w:tabs>
        <w:ind w:left="1247" w:firstLine="624"/>
      </w:pPr>
      <w:r w:rsidRPr="006A36C2">
        <w:rPr>
          <w:i/>
          <w:iCs/>
        </w:rPr>
        <w:t>Inde</w:t>
      </w:r>
      <w:r w:rsidR="00487DD1" w:rsidRPr="006A36C2">
        <w:rPr>
          <w:i/>
          <w:iCs/>
        </w:rPr>
        <w:t> :</w:t>
      </w:r>
      <w:r w:rsidRPr="006A36C2">
        <w:t xml:space="preserve"> </w:t>
      </w:r>
      <w:r w:rsidR="00DD5595" w:rsidRPr="006A36C2">
        <w:t>élaboration</w:t>
      </w:r>
      <w:r w:rsidRPr="006A36C2">
        <w:t xml:space="preserve"> d</w:t>
      </w:r>
      <w:r w:rsidR="008D631F" w:rsidRPr="006A36C2">
        <w:t>’</w:t>
      </w:r>
      <w:r w:rsidRPr="006A36C2">
        <w:t>un cadre institutionnel et réglementaire pour la mise en œuvre de la Convention de Minamata sur le mercure en Inde (240 000 dollars)</w:t>
      </w:r>
      <w:r w:rsidR="00487DD1" w:rsidRPr="006A36C2">
        <w:t> ;</w:t>
      </w:r>
      <w:r w:rsidRPr="006A36C2">
        <w:t xml:space="preserve"> </w:t>
      </w:r>
    </w:p>
    <w:p w14:paraId="4BD8158A" w14:textId="2C40038C" w:rsidR="00FF1D0E" w:rsidRPr="006A36C2" w:rsidRDefault="00FF1D0E" w:rsidP="00FF1D0E">
      <w:pPr>
        <w:pStyle w:val="Normalnumber"/>
        <w:numPr>
          <w:ilvl w:val="0"/>
          <w:numId w:val="20"/>
        </w:numPr>
        <w:tabs>
          <w:tab w:val="left" w:pos="624"/>
        </w:tabs>
        <w:ind w:left="1247" w:firstLine="624"/>
      </w:pPr>
      <w:r w:rsidRPr="006A36C2">
        <w:rPr>
          <w:i/>
          <w:iCs/>
        </w:rPr>
        <w:t>Iran (République islamique d</w:t>
      </w:r>
      <w:r w:rsidR="008D631F" w:rsidRPr="006A36C2">
        <w:rPr>
          <w:i/>
          <w:iCs/>
        </w:rPr>
        <w:t>’</w:t>
      </w:r>
      <w:r w:rsidRPr="006A36C2">
        <w:rPr>
          <w:i/>
          <w:iCs/>
        </w:rPr>
        <w:t>)</w:t>
      </w:r>
      <w:r w:rsidR="00487DD1" w:rsidRPr="006A36C2">
        <w:t> :</w:t>
      </w:r>
      <w:r w:rsidRPr="006A36C2">
        <w:t xml:space="preserve"> amélioration du programme de renforcement des capacités pour le remplacement des lampes contenant du mercure en République islamique d</w:t>
      </w:r>
      <w:r w:rsidR="008D631F" w:rsidRPr="006A36C2">
        <w:t>’</w:t>
      </w:r>
      <w:r w:rsidRPr="006A36C2">
        <w:t>Iran (238 000 dollars)</w:t>
      </w:r>
      <w:r w:rsidR="00487DD1" w:rsidRPr="006A36C2">
        <w:t> ;</w:t>
      </w:r>
      <w:r w:rsidRPr="006A36C2">
        <w:t xml:space="preserve"> </w:t>
      </w:r>
    </w:p>
    <w:p w14:paraId="3BBF35C9" w14:textId="36F8FF81" w:rsidR="00FF1D0E" w:rsidRPr="006A36C2" w:rsidRDefault="00FF1D0E" w:rsidP="00FF1D0E">
      <w:pPr>
        <w:pStyle w:val="Normalnumber"/>
        <w:numPr>
          <w:ilvl w:val="0"/>
          <w:numId w:val="20"/>
        </w:numPr>
        <w:tabs>
          <w:tab w:val="left" w:pos="624"/>
        </w:tabs>
        <w:ind w:left="1247" w:firstLine="624"/>
      </w:pPr>
      <w:r w:rsidRPr="006A36C2">
        <w:rPr>
          <w:i/>
          <w:iCs/>
        </w:rPr>
        <w:t>Jordanie</w:t>
      </w:r>
      <w:r w:rsidR="00487DD1" w:rsidRPr="006A36C2">
        <w:rPr>
          <w:i/>
          <w:iCs/>
        </w:rPr>
        <w:t> :</w:t>
      </w:r>
      <w:r w:rsidRPr="006A36C2">
        <w:t xml:space="preserve"> gestion écologiquement rationnelle des déchets contenant du mercure et réduction de l</w:t>
      </w:r>
      <w:r w:rsidR="008D631F" w:rsidRPr="006A36C2">
        <w:t>’</w:t>
      </w:r>
      <w:r w:rsidRPr="006A36C2">
        <w:t>utilisation des produits contenant du mercure en Jordanie (250 000 dollars)</w:t>
      </w:r>
      <w:r w:rsidR="00487DD1" w:rsidRPr="006A36C2">
        <w:t> ;</w:t>
      </w:r>
      <w:r w:rsidRPr="006A36C2">
        <w:t xml:space="preserve"> </w:t>
      </w:r>
    </w:p>
    <w:p w14:paraId="317F3404" w14:textId="607985C5" w:rsidR="00FF1D0E" w:rsidRPr="006A36C2" w:rsidRDefault="00FF1D0E" w:rsidP="00FF1D0E">
      <w:pPr>
        <w:pStyle w:val="Normalnumber"/>
        <w:numPr>
          <w:ilvl w:val="0"/>
          <w:numId w:val="20"/>
        </w:numPr>
        <w:tabs>
          <w:tab w:val="left" w:pos="624"/>
        </w:tabs>
        <w:ind w:left="1247" w:firstLine="624"/>
      </w:pPr>
      <w:r w:rsidRPr="006A36C2">
        <w:rPr>
          <w:i/>
          <w:iCs/>
        </w:rPr>
        <w:t>Macédoine du Nord</w:t>
      </w:r>
      <w:r w:rsidR="00487DD1" w:rsidRPr="006A36C2">
        <w:t> :</w:t>
      </w:r>
      <w:r w:rsidRPr="006A36C2">
        <w:t xml:space="preserve"> renforcement des capacités nationales pour la mise en œuvre de la Convention de Minamata sur le mercure, notamment par l</w:t>
      </w:r>
      <w:r w:rsidR="008D631F" w:rsidRPr="006A36C2">
        <w:t>’</w:t>
      </w:r>
      <w:r w:rsidRPr="006A36C2">
        <w:t>élaboration d</w:t>
      </w:r>
      <w:r w:rsidR="008D631F" w:rsidRPr="006A36C2">
        <w:t>’</w:t>
      </w:r>
      <w:r w:rsidRPr="006A36C2">
        <w:t>une stratégie d</w:t>
      </w:r>
      <w:r w:rsidR="008D631F" w:rsidRPr="006A36C2">
        <w:t>’</w:t>
      </w:r>
      <w:r w:rsidRPr="006A36C2">
        <w:t>évaluation des sites contaminés par du mercure (248 500 dollars)</w:t>
      </w:r>
      <w:r w:rsidR="00487DD1" w:rsidRPr="006A36C2">
        <w:t> ;</w:t>
      </w:r>
      <w:r w:rsidRPr="006A36C2">
        <w:t xml:space="preserve"> </w:t>
      </w:r>
    </w:p>
    <w:p w14:paraId="77FB48AE" w14:textId="78EFAC84" w:rsidR="00FF1D0E" w:rsidRPr="006A36C2" w:rsidRDefault="00FF1D0E" w:rsidP="00FF1D0E">
      <w:pPr>
        <w:pStyle w:val="Normalnumber"/>
        <w:numPr>
          <w:ilvl w:val="0"/>
          <w:numId w:val="20"/>
        </w:numPr>
        <w:tabs>
          <w:tab w:val="left" w:pos="624"/>
        </w:tabs>
        <w:ind w:left="1247" w:firstLine="624"/>
      </w:pPr>
      <w:r w:rsidRPr="006A36C2">
        <w:rPr>
          <w:i/>
          <w:iCs/>
        </w:rPr>
        <w:t>Rwanda</w:t>
      </w:r>
      <w:r w:rsidR="00487DD1" w:rsidRPr="006A36C2">
        <w:rPr>
          <w:i/>
          <w:iCs/>
        </w:rPr>
        <w:t> :</w:t>
      </w:r>
      <w:r w:rsidRPr="006A36C2">
        <w:t xml:space="preserve"> renforcement des capacités institutionnelles à l</w:t>
      </w:r>
      <w:r w:rsidR="008D631F" w:rsidRPr="006A36C2">
        <w:t>’</w:t>
      </w:r>
      <w:r w:rsidRPr="006A36C2">
        <w:t>appui de la mise en œuvre de la Convention de Minamata sur le mercure par le Rwanda (220 000 dollars)</w:t>
      </w:r>
      <w:r w:rsidR="00487DD1" w:rsidRPr="006A36C2">
        <w:t> ;</w:t>
      </w:r>
      <w:r w:rsidRPr="006A36C2">
        <w:t xml:space="preserve"> </w:t>
      </w:r>
    </w:p>
    <w:p w14:paraId="7E202322" w14:textId="7629D41D" w:rsidR="00FF1D0E" w:rsidRPr="006A36C2" w:rsidRDefault="00FF1D0E" w:rsidP="00FF1D0E">
      <w:pPr>
        <w:pStyle w:val="Normalnumber"/>
        <w:numPr>
          <w:ilvl w:val="0"/>
          <w:numId w:val="20"/>
        </w:numPr>
        <w:tabs>
          <w:tab w:val="left" w:pos="624"/>
        </w:tabs>
        <w:ind w:left="1247" w:firstLine="624"/>
      </w:pPr>
      <w:r w:rsidRPr="006A36C2">
        <w:rPr>
          <w:i/>
          <w:iCs/>
        </w:rPr>
        <w:t>Sénégal</w:t>
      </w:r>
      <w:r w:rsidR="00487DD1" w:rsidRPr="006A36C2">
        <w:rPr>
          <w:i/>
          <w:iCs/>
        </w:rPr>
        <w:t> :</w:t>
      </w:r>
      <w:r w:rsidRPr="006A36C2">
        <w:t xml:space="preserve"> renforcement du cadre juridique et des capacités institutionnelles des pays de la Communauté économique des États de l</w:t>
      </w:r>
      <w:r w:rsidR="008D631F" w:rsidRPr="006A36C2">
        <w:t>’</w:t>
      </w:r>
      <w:r w:rsidRPr="006A36C2">
        <w:t>Afrique de l</w:t>
      </w:r>
      <w:r w:rsidR="008D631F" w:rsidRPr="006A36C2">
        <w:t>’</w:t>
      </w:r>
      <w:r w:rsidRPr="006A36C2">
        <w:t>Ouest (Burkina Faso, Sénégal et Togo) pour la mise en œuvre des articles 3 et 4 de la Convention de Minamata sur le mercure (248 632 dollars).</w:t>
      </w:r>
    </w:p>
    <w:p w14:paraId="31F0CD28" w14:textId="25B1F93B" w:rsidR="00FF1D0E" w:rsidRPr="006A36C2" w:rsidRDefault="00FF1D0E" w:rsidP="00FF1D0E">
      <w:pPr>
        <w:pStyle w:val="Normalnumber"/>
        <w:numPr>
          <w:ilvl w:val="0"/>
          <w:numId w:val="17"/>
        </w:numPr>
        <w:tabs>
          <w:tab w:val="left" w:pos="624"/>
        </w:tabs>
        <w:snapToGrid w:val="0"/>
        <w:ind w:left="1247" w:firstLine="0"/>
      </w:pPr>
      <w:r w:rsidRPr="006A36C2">
        <w:t>Les neuf accords juridiques relatifs aux projets approuvés dans le cadre du troisième cycle ont été signés et leur mise en œuvre est en cours. À ce jour, quatre projets ont fait l</w:t>
      </w:r>
      <w:r w:rsidR="008D631F" w:rsidRPr="006A36C2">
        <w:t>’</w:t>
      </w:r>
      <w:r w:rsidRPr="006A36C2">
        <w:t>objet d</w:t>
      </w:r>
      <w:r w:rsidR="008D631F" w:rsidRPr="006A36C2">
        <w:t>’</w:t>
      </w:r>
      <w:r w:rsidRPr="006A36C2">
        <w:t>une demande de prolongation sans frais. Six des neuf projets approuvés dans le cadre du troisième cycle devraient être clôturés en 2025.</w:t>
      </w:r>
    </w:p>
    <w:p w14:paraId="7DFB5078" w14:textId="3ED57246" w:rsidR="00FF1D0E" w:rsidRPr="006A36C2" w:rsidRDefault="00FF1D0E" w:rsidP="00FF1D0E">
      <w:pPr>
        <w:pStyle w:val="Normalnumber"/>
        <w:numPr>
          <w:ilvl w:val="0"/>
          <w:numId w:val="17"/>
        </w:numPr>
        <w:tabs>
          <w:tab w:val="left" w:pos="624"/>
        </w:tabs>
        <w:snapToGrid w:val="0"/>
        <w:ind w:left="1247" w:firstLine="0"/>
      </w:pPr>
      <w:r w:rsidRPr="006A36C2">
        <w:t xml:space="preserve">Lors du deuxième cycle de </w:t>
      </w:r>
      <w:r w:rsidR="000D0058" w:rsidRPr="006A36C2">
        <w:t xml:space="preserve">dépôt de </w:t>
      </w:r>
      <w:r w:rsidRPr="006A36C2">
        <w:t>demandes (2019), le Conseil d</w:t>
      </w:r>
      <w:r w:rsidR="008D631F" w:rsidRPr="006A36C2">
        <w:t>’</w:t>
      </w:r>
      <w:r w:rsidRPr="006A36C2">
        <w:t>administration a approuvé les 10</w:t>
      </w:r>
      <w:r w:rsidR="00811777" w:rsidRPr="006A36C2">
        <w:t> </w:t>
      </w:r>
      <w:r w:rsidRPr="006A36C2">
        <w:t>projets suivants pour un budget global de 1 977 564 dollars (2 234 647 dollars, dont 13 % de dépenses d</w:t>
      </w:r>
      <w:r w:rsidR="008D631F" w:rsidRPr="006A36C2">
        <w:t>’</w:t>
      </w:r>
      <w:r w:rsidRPr="006A36C2">
        <w:t>appui au programme)</w:t>
      </w:r>
      <w:r w:rsidR="00487DD1" w:rsidRPr="006A36C2">
        <w:t> :</w:t>
      </w:r>
    </w:p>
    <w:p w14:paraId="2D4AFCBD" w14:textId="04F1D757" w:rsidR="00FF1D0E" w:rsidRPr="006A36C2" w:rsidRDefault="00FF1D0E" w:rsidP="00FF1D0E">
      <w:pPr>
        <w:pStyle w:val="Normalnumber"/>
        <w:numPr>
          <w:ilvl w:val="0"/>
          <w:numId w:val="21"/>
        </w:numPr>
        <w:tabs>
          <w:tab w:val="left" w:pos="624"/>
        </w:tabs>
        <w:ind w:left="1247" w:firstLine="624"/>
      </w:pPr>
      <w:r w:rsidRPr="006A36C2">
        <w:rPr>
          <w:i/>
          <w:iCs/>
        </w:rPr>
        <w:t>Antigua-et-Barbuda</w:t>
      </w:r>
      <w:r w:rsidR="00487DD1" w:rsidRPr="006A36C2">
        <w:t> :</w:t>
      </w:r>
      <w:r w:rsidRPr="006A36C2">
        <w:t xml:space="preserve"> facilitation du renforcement des capacités au moyen d</w:t>
      </w:r>
      <w:r w:rsidR="008D631F" w:rsidRPr="006A36C2">
        <w:t>’</w:t>
      </w:r>
      <w:r w:rsidRPr="006A36C2">
        <w:t xml:space="preserve">une assistance technique et du transfert de technologies </w:t>
      </w:r>
      <w:r w:rsidR="00F01DAD" w:rsidRPr="006A36C2">
        <w:t>pour</w:t>
      </w:r>
      <w:r w:rsidRPr="006A36C2">
        <w:t xml:space="preserve"> la gestion du mercure dans les Caraïbes (210 000 dollars)</w:t>
      </w:r>
      <w:r w:rsidR="00487DD1" w:rsidRPr="006A36C2">
        <w:t> ;</w:t>
      </w:r>
      <w:r w:rsidRPr="006A36C2">
        <w:t xml:space="preserve"> </w:t>
      </w:r>
    </w:p>
    <w:p w14:paraId="30CE9CED" w14:textId="07098D13" w:rsidR="00FF1D0E" w:rsidRPr="006A36C2" w:rsidRDefault="00FF1D0E" w:rsidP="00FF1D0E">
      <w:pPr>
        <w:pStyle w:val="Normalnumber"/>
        <w:numPr>
          <w:ilvl w:val="0"/>
          <w:numId w:val="21"/>
        </w:numPr>
        <w:tabs>
          <w:tab w:val="left" w:pos="624"/>
        </w:tabs>
        <w:ind w:left="1247" w:firstLine="624"/>
      </w:pPr>
      <w:r w:rsidRPr="006A36C2">
        <w:rPr>
          <w:i/>
          <w:iCs/>
        </w:rPr>
        <w:t>Équateur</w:t>
      </w:r>
      <w:r w:rsidR="00487DD1" w:rsidRPr="006A36C2">
        <w:rPr>
          <w:i/>
          <w:iCs/>
        </w:rPr>
        <w:t> :</w:t>
      </w:r>
      <w:r w:rsidRPr="006A36C2">
        <w:t xml:space="preserve"> renforcement des capacités </w:t>
      </w:r>
      <w:r w:rsidR="001B6194" w:rsidRPr="006A36C2">
        <w:t>pour</w:t>
      </w:r>
      <w:r w:rsidRPr="006A36C2">
        <w:t xml:space="preserve"> la mise en œuvre de la Convention de Minamata sur le mercure en Équateur (250 000 dollars)</w:t>
      </w:r>
      <w:r w:rsidR="00487DD1" w:rsidRPr="006A36C2">
        <w:t> ;</w:t>
      </w:r>
      <w:r w:rsidRPr="006A36C2">
        <w:t xml:space="preserve"> </w:t>
      </w:r>
    </w:p>
    <w:p w14:paraId="016707C5" w14:textId="5D69F12B" w:rsidR="00FF1D0E" w:rsidRPr="006A36C2" w:rsidRDefault="00FF1D0E" w:rsidP="00FF1D0E">
      <w:pPr>
        <w:pStyle w:val="Normalnumber"/>
        <w:numPr>
          <w:ilvl w:val="0"/>
          <w:numId w:val="21"/>
        </w:numPr>
        <w:tabs>
          <w:tab w:val="left" w:pos="624"/>
        </w:tabs>
        <w:ind w:left="1247" w:firstLine="624"/>
      </w:pPr>
      <w:r w:rsidRPr="006A36C2">
        <w:rPr>
          <w:i/>
          <w:iCs/>
        </w:rPr>
        <w:t>Ghana</w:t>
      </w:r>
      <w:r w:rsidR="00487DD1" w:rsidRPr="006A36C2">
        <w:rPr>
          <w:i/>
          <w:iCs/>
        </w:rPr>
        <w:t> :</w:t>
      </w:r>
      <w:r w:rsidRPr="006A36C2">
        <w:t xml:space="preserve"> renforcement du secteur de la santé au Ghana </w:t>
      </w:r>
      <w:r w:rsidR="001B6194" w:rsidRPr="006A36C2">
        <w:t xml:space="preserve">pour </w:t>
      </w:r>
      <w:r w:rsidRPr="006A36C2">
        <w:t>la mise en œuvre de la Convention de Minamata sur le mercure (250 000 dollars)</w:t>
      </w:r>
      <w:r w:rsidR="00487DD1" w:rsidRPr="006A36C2">
        <w:t> ;</w:t>
      </w:r>
      <w:r w:rsidRPr="006A36C2">
        <w:t xml:space="preserve"> </w:t>
      </w:r>
    </w:p>
    <w:p w14:paraId="68A1B19C" w14:textId="684E3D24" w:rsidR="00FF1D0E" w:rsidRPr="006A36C2" w:rsidRDefault="00FF1D0E" w:rsidP="00FF1D0E">
      <w:pPr>
        <w:pStyle w:val="Normalnumber"/>
        <w:numPr>
          <w:ilvl w:val="0"/>
          <w:numId w:val="21"/>
        </w:numPr>
        <w:tabs>
          <w:tab w:val="left" w:pos="624"/>
        </w:tabs>
        <w:ind w:left="1247" w:firstLine="624"/>
      </w:pPr>
      <w:r w:rsidRPr="006A36C2">
        <w:rPr>
          <w:i/>
          <w:iCs/>
        </w:rPr>
        <w:t>Indonésie</w:t>
      </w:r>
      <w:r w:rsidR="00487DD1" w:rsidRPr="006A36C2">
        <w:rPr>
          <w:i/>
          <w:iCs/>
        </w:rPr>
        <w:t> :</w:t>
      </w:r>
      <w:r w:rsidRPr="006A36C2">
        <w:t xml:space="preserve"> amélioration du contrôle des risques sanitaires associés à une exposition au mercure sur les sites d</w:t>
      </w:r>
      <w:r w:rsidR="008D631F" w:rsidRPr="006A36C2">
        <w:t>’</w:t>
      </w:r>
      <w:r w:rsidRPr="006A36C2">
        <w:t>extraction minière artisanale et à petite échelle d</w:t>
      </w:r>
      <w:r w:rsidR="008D631F" w:rsidRPr="006A36C2">
        <w:t>’</w:t>
      </w:r>
      <w:r w:rsidRPr="006A36C2">
        <w:t>or et dans les zones environnantes par le développement du modèle de l</w:t>
      </w:r>
      <w:r w:rsidR="008D631F" w:rsidRPr="006A36C2">
        <w:t>’</w:t>
      </w:r>
      <w:r w:rsidRPr="006A36C2">
        <w:t>approche participative (143 340 dollars)</w:t>
      </w:r>
      <w:r w:rsidR="00487DD1" w:rsidRPr="006A36C2">
        <w:t> ;</w:t>
      </w:r>
      <w:r w:rsidRPr="006A36C2">
        <w:t xml:space="preserve"> </w:t>
      </w:r>
    </w:p>
    <w:p w14:paraId="1E278B7C" w14:textId="07C3DE83" w:rsidR="00FF1D0E" w:rsidRPr="006A36C2" w:rsidRDefault="00FF1D0E" w:rsidP="00FF1D0E">
      <w:pPr>
        <w:pStyle w:val="Normalnumber"/>
        <w:numPr>
          <w:ilvl w:val="0"/>
          <w:numId w:val="21"/>
        </w:numPr>
        <w:tabs>
          <w:tab w:val="left" w:pos="624"/>
        </w:tabs>
        <w:ind w:left="1247" w:firstLine="624"/>
      </w:pPr>
      <w:r w:rsidRPr="006A36C2">
        <w:rPr>
          <w:i/>
          <w:iCs/>
        </w:rPr>
        <w:t>Iran (République islamique d</w:t>
      </w:r>
      <w:r w:rsidR="008D631F" w:rsidRPr="006A36C2">
        <w:rPr>
          <w:i/>
          <w:iCs/>
        </w:rPr>
        <w:t>’</w:t>
      </w:r>
      <w:r w:rsidRPr="006A36C2">
        <w:rPr>
          <w:i/>
          <w:iCs/>
        </w:rPr>
        <w:t>)</w:t>
      </w:r>
      <w:r w:rsidR="00487DD1" w:rsidRPr="006A36C2">
        <w:rPr>
          <w:i/>
          <w:iCs/>
        </w:rPr>
        <w:t> :</w:t>
      </w:r>
      <w:r w:rsidRPr="006A36C2">
        <w:t xml:space="preserve"> renforcement des capacités </w:t>
      </w:r>
      <w:r w:rsidR="00FD6F56" w:rsidRPr="006A36C2">
        <w:t xml:space="preserve">pour </w:t>
      </w:r>
      <w:r w:rsidRPr="006A36C2">
        <w:t>une mise en œuvre efficace de la Convention de Minamata sur le mercure, notamment en ce qui concerne l</w:t>
      </w:r>
      <w:r w:rsidR="008D631F" w:rsidRPr="006A36C2">
        <w:t>’</w:t>
      </w:r>
      <w:r w:rsidRPr="006A36C2">
        <w:t>inventaire du mercure (149 800 dollars)</w:t>
      </w:r>
      <w:r w:rsidR="00487DD1" w:rsidRPr="006A36C2">
        <w:t> ;</w:t>
      </w:r>
      <w:r w:rsidRPr="006A36C2">
        <w:t xml:space="preserve"> </w:t>
      </w:r>
    </w:p>
    <w:p w14:paraId="6E1EE2DE" w14:textId="07A49F9B" w:rsidR="00FF1D0E" w:rsidRPr="006A36C2" w:rsidRDefault="00FF1D0E" w:rsidP="00FF1D0E">
      <w:pPr>
        <w:pStyle w:val="Normalnumber"/>
        <w:numPr>
          <w:ilvl w:val="0"/>
          <w:numId w:val="21"/>
        </w:numPr>
        <w:tabs>
          <w:tab w:val="left" w:pos="624"/>
        </w:tabs>
        <w:ind w:left="1247" w:firstLine="624"/>
      </w:pPr>
      <w:r w:rsidRPr="006A36C2">
        <w:rPr>
          <w:i/>
          <w:iCs/>
        </w:rPr>
        <w:t>Nigéria</w:t>
      </w:r>
      <w:r w:rsidR="00487DD1" w:rsidRPr="006A36C2">
        <w:rPr>
          <w:i/>
          <w:iCs/>
        </w:rPr>
        <w:t> :</w:t>
      </w:r>
      <w:r w:rsidRPr="006A36C2">
        <w:t xml:space="preserve"> renforcement des capacités </w:t>
      </w:r>
      <w:r w:rsidR="00CF3B3B" w:rsidRPr="006A36C2">
        <w:t>pour</w:t>
      </w:r>
      <w:r w:rsidRPr="006A36C2">
        <w:t xml:space="preserve"> la mise en œuvre de la Convention de Minamata sur le mercure au Nigéria (250 000 dollars)</w:t>
      </w:r>
      <w:r w:rsidR="00487DD1" w:rsidRPr="006A36C2">
        <w:t> ;</w:t>
      </w:r>
      <w:r w:rsidRPr="006A36C2">
        <w:t xml:space="preserve"> </w:t>
      </w:r>
    </w:p>
    <w:p w14:paraId="31F26226" w14:textId="576C498B" w:rsidR="00FF1D0E" w:rsidRPr="006A36C2" w:rsidRDefault="00FF1D0E" w:rsidP="00FF1D0E">
      <w:pPr>
        <w:pStyle w:val="Normalnumber"/>
        <w:numPr>
          <w:ilvl w:val="0"/>
          <w:numId w:val="21"/>
        </w:numPr>
        <w:tabs>
          <w:tab w:val="left" w:pos="624"/>
        </w:tabs>
        <w:ind w:left="1247" w:firstLine="624"/>
      </w:pPr>
      <w:r w:rsidRPr="006A36C2">
        <w:rPr>
          <w:i/>
          <w:iCs/>
        </w:rPr>
        <w:t>Pérou</w:t>
      </w:r>
      <w:r w:rsidR="00487DD1" w:rsidRPr="006A36C2">
        <w:rPr>
          <w:i/>
          <w:iCs/>
        </w:rPr>
        <w:t> :</w:t>
      </w:r>
      <w:r w:rsidRPr="006A36C2">
        <w:t xml:space="preserve"> renforcement des capacités de contrôle des émissions et des rejets de mercure (126 000 dollars)</w:t>
      </w:r>
      <w:r w:rsidR="00487DD1" w:rsidRPr="006A36C2">
        <w:t> ;</w:t>
      </w:r>
      <w:r w:rsidRPr="006A36C2">
        <w:t xml:space="preserve"> </w:t>
      </w:r>
    </w:p>
    <w:p w14:paraId="3AAC1D41" w14:textId="510550C3" w:rsidR="00FF1D0E" w:rsidRPr="006A36C2" w:rsidRDefault="00FF1D0E" w:rsidP="00FF1D0E">
      <w:pPr>
        <w:pStyle w:val="Normalnumber"/>
        <w:numPr>
          <w:ilvl w:val="0"/>
          <w:numId w:val="21"/>
        </w:numPr>
        <w:tabs>
          <w:tab w:val="left" w:pos="624"/>
        </w:tabs>
        <w:ind w:left="1247" w:firstLine="624"/>
      </w:pPr>
      <w:r w:rsidRPr="006A36C2">
        <w:rPr>
          <w:i/>
          <w:iCs/>
        </w:rPr>
        <w:t>République de Moldova</w:t>
      </w:r>
      <w:r w:rsidR="00487DD1" w:rsidRPr="006A36C2">
        <w:rPr>
          <w:i/>
          <w:iCs/>
        </w:rPr>
        <w:t> :</w:t>
      </w:r>
      <w:r w:rsidRPr="006A36C2">
        <w:t xml:space="preserve"> fourniture d</w:t>
      </w:r>
      <w:r w:rsidR="008D631F" w:rsidRPr="006A36C2">
        <w:t>’</w:t>
      </w:r>
      <w:r w:rsidRPr="006A36C2">
        <w:t>un appui après la ratification de la Convention de Minamata sur le mercure en vue d</w:t>
      </w:r>
      <w:r w:rsidR="008D631F" w:rsidRPr="006A36C2">
        <w:t>’</w:t>
      </w:r>
      <w:r w:rsidRPr="006A36C2">
        <w:t>un renforcement des capacités d</w:t>
      </w:r>
      <w:r w:rsidR="008D631F" w:rsidRPr="006A36C2">
        <w:t>’</w:t>
      </w:r>
      <w:r w:rsidRPr="006A36C2">
        <w:t>élimination progressive et de la réduction des risques associés au mercure (219 765 dollars)</w:t>
      </w:r>
      <w:r w:rsidR="00487DD1" w:rsidRPr="006A36C2">
        <w:t> ;</w:t>
      </w:r>
      <w:r w:rsidRPr="006A36C2">
        <w:t xml:space="preserve"> </w:t>
      </w:r>
    </w:p>
    <w:p w14:paraId="77EB0B18" w14:textId="6F8873B4" w:rsidR="00FF1D0E" w:rsidRPr="006A36C2" w:rsidRDefault="00FF1D0E" w:rsidP="00FF1D0E">
      <w:pPr>
        <w:pStyle w:val="Normalnumber"/>
        <w:numPr>
          <w:ilvl w:val="0"/>
          <w:numId w:val="21"/>
        </w:numPr>
        <w:tabs>
          <w:tab w:val="left" w:pos="624"/>
        </w:tabs>
        <w:ind w:left="1247" w:firstLine="624"/>
      </w:pPr>
      <w:r w:rsidRPr="006A36C2">
        <w:rPr>
          <w:i/>
          <w:iCs/>
        </w:rPr>
        <w:t>Sri Lanka</w:t>
      </w:r>
      <w:r w:rsidR="00487DD1" w:rsidRPr="006A36C2">
        <w:rPr>
          <w:i/>
          <w:iCs/>
        </w:rPr>
        <w:t> :</w:t>
      </w:r>
      <w:r w:rsidRPr="006A36C2">
        <w:t xml:space="preserve"> renforcement des capacités nationales </w:t>
      </w:r>
      <w:r w:rsidR="00FD6F56" w:rsidRPr="006A36C2">
        <w:t>pour</w:t>
      </w:r>
      <w:r w:rsidRPr="006A36C2">
        <w:t xml:space="preserve"> l</w:t>
      </w:r>
      <w:r w:rsidR="008D631F" w:rsidRPr="006A36C2">
        <w:t>’</w:t>
      </w:r>
      <w:r w:rsidRPr="006A36C2">
        <w:t>élimination progressive des produits contenant du mercure ajouté et la gestion écologiquement rationnelle des déchets contenant du mercure (178 659 dollars)</w:t>
      </w:r>
      <w:r w:rsidR="00487DD1" w:rsidRPr="006A36C2">
        <w:t> ;</w:t>
      </w:r>
      <w:r w:rsidRPr="006A36C2">
        <w:t xml:space="preserve"> </w:t>
      </w:r>
    </w:p>
    <w:p w14:paraId="0F1598AC" w14:textId="0F00F5BE" w:rsidR="00FF1D0E" w:rsidRPr="006A36C2" w:rsidRDefault="00FF1D0E" w:rsidP="00FF1D0E">
      <w:pPr>
        <w:pStyle w:val="Normalnumber"/>
        <w:numPr>
          <w:ilvl w:val="0"/>
          <w:numId w:val="21"/>
        </w:numPr>
        <w:tabs>
          <w:tab w:val="left" w:pos="624"/>
        </w:tabs>
        <w:ind w:left="1247" w:firstLine="624"/>
      </w:pPr>
      <w:r w:rsidRPr="006A36C2">
        <w:rPr>
          <w:i/>
          <w:iCs/>
        </w:rPr>
        <w:t>Zambie</w:t>
      </w:r>
      <w:r w:rsidR="00487DD1" w:rsidRPr="006A36C2">
        <w:rPr>
          <w:i/>
          <w:iCs/>
        </w:rPr>
        <w:t> :</w:t>
      </w:r>
      <w:r w:rsidRPr="006A36C2">
        <w:t xml:space="preserve"> renforcement des capacités institutionnelles de la Zambie aux fins du respect de ses obligations au titre de la Convention de Minamata sur le mercure par la réduction de la présence de mercure au sein des populations vulnérables conformément aux articles 16 et 18 (200 000 dollars).</w:t>
      </w:r>
    </w:p>
    <w:p w14:paraId="4A8EC930" w14:textId="77777777" w:rsidR="00FF1D0E" w:rsidRPr="006A36C2" w:rsidRDefault="00FF1D0E" w:rsidP="00FF1D0E">
      <w:pPr>
        <w:pStyle w:val="Normalnumber"/>
        <w:numPr>
          <w:ilvl w:val="0"/>
          <w:numId w:val="17"/>
        </w:numPr>
        <w:tabs>
          <w:tab w:val="left" w:pos="624"/>
        </w:tabs>
        <w:snapToGrid w:val="0"/>
        <w:ind w:left="1247" w:firstLine="0"/>
      </w:pPr>
      <w:r w:rsidRPr="006A36C2">
        <w:t xml:space="preserve">Tous les projets approuvés dans le cadre du deuxième cycle ont été menés à bien. </w:t>
      </w:r>
    </w:p>
    <w:p w14:paraId="62C913F2" w14:textId="0413C23F" w:rsidR="00FF1D0E" w:rsidRPr="006A36C2" w:rsidRDefault="00C507B2" w:rsidP="00FF1D0E">
      <w:pPr>
        <w:pStyle w:val="Normalnumber"/>
        <w:numPr>
          <w:ilvl w:val="0"/>
          <w:numId w:val="17"/>
        </w:numPr>
        <w:tabs>
          <w:tab w:val="left" w:pos="624"/>
        </w:tabs>
        <w:snapToGrid w:val="0"/>
        <w:ind w:left="1247" w:firstLine="0"/>
      </w:pPr>
      <w:r w:rsidRPr="006A36C2">
        <w:t xml:space="preserve">Lors du premier cycle de </w:t>
      </w:r>
      <w:r w:rsidR="009773F0" w:rsidRPr="006A36C2">
        <w:t xml:space="preserve">dépôt de </w:t>
      </w:r>
      <w:r w:rsidRPr="006A36C2">
        <w:t>demandes (2018), le Conseil d</w:t>
      </w:r>
      <w:r w:rsidR="008D631F" w:rsidRPr="006A36C2">
        <w:t>’</w:t>
      </w:r>
      <w:r w:rsidRPr="006A36C2">
        <w:t>administration a approuvé les cinq</w:t>
      </w:r>
      <w:r w:rsidR="00D85439" w:rsidRPr="006A36C2">
        <w:t> </w:t>
      </w:r>
      <w:r w:rsidRPr="006A36C2">
        <w:t>projets suivants pour un budget global de 961 663 dollars (1 086 679 dollars, dont 13 % de dépenses d</w:t>
      </w:r>
      <w:r w:rsidR="008D631F" w:rsidRPr="006A36C2">
        <w:t>’</w:t>
      </w:r>
      <w:r w:rsidRPr="006A36C2">
        <w:t>appui au programme)</w:t>
      </w:r>
      <w:r w:rsidR="00487DD1" w:rsidRPr="006A36C2">
        <w:t> :</w:t>
      </w:r>
      <w:r w:rsidRPr="006A36C2">
        <w:t xml:space="preserve"> </w:t>
      </w:r>
    </w:p>
    <w:p w14:paraId="570F1F20" w14:textId="2002A8DF" w:rsidR="00FF1D0E" w:rsidRPr="006A36C2" w:rsidRDefault="00FF1D0E" w:rsidP="00FF1D0E">
      <w:pPr>
        <w:pStyle w:val="Normalnumber"/>
        <w:numPr>
          <w:ilvl w:val="0"/>
          <w:numId w:val="22"/>
        </w:numPr>
        <w:tabs>
          <w:tab w:val="left" w:pos="624"/>
        </w:tabs>
        <w:ind w:left="1247" w:firstLine="624"/>
      </w:pPr>
      <w:r w:rsidRPr="006A36C2">
        <w:rPr>
          <w:i/>
          <w:iCs/>
        </w:rPr>
        <w:t>Argentine</w:t>
      </w:r>
      <w:r w:rsidR="00487DD1" w:rsidRPr="006A36C2">
        <w:rPr>
          <w:i/>
          <w:iCs/>
        </w:rPr>
        <w:t> :</w:t>
      </w:r>
      <w:r w:rsidRPr="006A36C2">
        <w:t xml:space="preserve"> programme de renforcement des capacités pour la mise en œuvre de la Convention de Minamata sur le mercure (250 000 dollars)</w:t>
      </w:r>
      <w:r w:rsidR="00487DD1" w:rsidRPr="006A36C2">
        <w:t> ;</w:t>
      </w:r>
      <w:r w:rsidRPr="006A36C2">
        <w:t xml:space="preserve"> </w:t>
      </w:r>
    </w:p>
    <w:p w14:paraId="7A2A0442" w14:textId="2CAFCAD8" w:rsidR="00FF1D0E" w:rsidRPr="006A36C2" w:rsidRDefault="00FF1D0E" w:rsidP="00FF1D0E">
      <w:pPr>
        <w:pStyle w:val="Normalnumber"/>
        <w:numPr>
          <w:ilvl w:val="0"/>
          <w:numId w:val="22"/>
        </w:numPr>
        <w:tabs>
          <w:tab w:val="left" w:pos="624"/>
        </w:tabs>
        <w:ind w:left="1247" w:firstLine="624"/>
      </w:pPr>
      <w:r w:rsidRPr="006A36C2">
        <w:rPr>
          <w:i/>
          <w:iCs/>
        </w:rPr>
        <w:t>Arménie</w:t>
      </w:r>
      <w:r w:rsidR="00487DD1" w:rsidRPr="006A36C2">
        <w:rPr>
          <w:i/>
          <w:iCs/>
        </w:rPr>
        <w:t> :</w:t>
      </w:r>
      <w:r w:rsidRPr="006A36C2">
        <w:t xml:space="preserve"> renforcement des capacités pour </w:t>
      </w:r>
      <w:r w:rsidR="00C32C7F" w:rsidRPr="006A36C2">
        <w:t>promouvoir</w:t>
      </w:r>
      <w:r w:rsidRPr="006A36C2">
        <w:t xml:space="preserve"> l</w:t>
      </w:r>
      <w:r w:rsidR="008D631F" w:rsidRPr="006A36C2">
        <w:t>’</w:t>
      </w:r>
      <w:r w:rsidRPr="006A36C2">
        <w:t>élimination progressive des produits contenant du mercure ajouté (lampes) (162 000 dollars)</w:t>
      </w:r>
      <w:r w:rsidR="00487DD1" w:rsidRPr="006A36C2">
        <w:t> ;</w:t>
      </w:r>
      <w:r w:rsidRPr="006A36C2">
        <w:t xml:space="preserve"> </w:t>
      </w:r>
    </w:p>
    <w:p w14:paraId="38F25EEC" w14:textId="61942F78" w:rsidR="00FF1D0E" w:rsidRPr="006A36C2" w:rsidRDefault="00FF1D0E" w:rsidP="00FF1D0E">
      <w:pPr>
        <w:pStyle w:val="Normalnumber"/>
        <w:numPr>
          <w:ilvl w:val="0"/>
          <w:numId w:val="22"/>
        </w:numPr>
        <w:tabs>
          <w:tab w:val="left" w:pos="624"/>
        </w:tabs>
        <w:ind w:left="1247" w:firstLine="624"/>
      </w:pPr>
      <w:r w:rsidRPr="006A36C2">
        <w:rPr>
          <w:i/>
          <w:iCs/>
        </w:rPr>
        <w:t>Bénin</w:t>
      </w:r>
      <w:r w:rsidR="00487DD1" w:rsidRPr="006A36C2">
        <w:rPr>
          <w:i/>
          <w:iCs/>
        </w:rPr>
        <w:t> :</w:t>
      </w:r>
      <w:r w:rsidRPr="006A36C2">
        <w:t xml:space="preserve"> amélioration du cadre de gestion des produits et déchets contenant du mercure (249 113 dollars)</w:t>
      </w:r>
      <w:r w:rsidR="00487DD1" w:rsidRPr="006A36C2">
        <w:t> ;</w:t>
      </w:r>
      <w:r w:rsidRPr="006A36C2">
        <w:t xml:space="preserve"> </w:t>
      </w:r>
    </w:p>
    <w:p w14:paraId="453062D2" w14:textId="6C4239AE" w:rsidR="00FF1D0E" w:rsidRPr="006A36C2" w:rsidRDefault="00FF1D0E" w:rsidP="00FF1D0E">
      <w:pPr>
        <w:pStyle w:val="Normalnumber"/>
        <w:numPr>
          <w:ilvl w:val="0"/>
          <w:numId w:val="22"/>
        </w:numPr>
        <w:tabs>
          <w:tab w:val="left" w:pos="624"/>
        </w:tabs>
        <w:ind w:left="1247" w:firstLine="624"/>
      </w:pPr>
      <w:r w:rsidRPr="006A36C2">
        <w:rPr>
          <w:i/>
          <w:iCs/>
        </w:rPr>
        <w:t>Iran (République islamique d</w:t>
      </w:r>
      <w:r w:rsidR="008D631F" w:rsidRPr="006A36C2">
        <w:rPr>
          <w:i/>
          <w:iCs/>
        </w:rPr>
        <w:t>’</w:t>
      </w:r>
      <w:r w:rsidRPr="006A36C2">
        <w:rPr>
          <w:i/>
          <w:iCs/>
        </w:rPr>
        <w:t>)</w:t>
      </w:r>
      <w:r w:rsidR="00487DD1" w:rsidRPr="006A36C2">
        <w:t> :</w:t>
      </w:r>
      <w:r w:rsidRPr="006A36C2">
        <w:t xml:space="preserve"> mise en place d</w:t>
      </w:r>
      <w:r w:rsidR="008D631F" w:rsidRPr="006A36C2">
        <w:t>’</w:t>
      </w:r>
      <w:r w:rsidRPr="006A36C2">
        <w:t>une gestion conforme à la Convention de Minamata sur le mercure dans les usines de chlore-alcali de l</w:t>
      </w:r>
      <w:r w:rsidR="008D631F" w:rsidRPr="006A36C2">
        <w:t>’</w:t>
      </w:r>
      <w:r w:rsidRPr="006A36C2">
        <w:t>industrie pétrochimique (100 000 dollars)</w:t>
      </w:r>
      <w:r w:rsidR="00487DD1" w:rsidRPr="006A36C2">
        <w:t> ;</w:t>
      </w:r>
      <w:r w:rsidRPr="006A36C2">
        <w:t xml:space="preserve"> </w:t>
      </w:r>
    </w:p>
    <w:p w14:paraId="6C4BD905" w14:textId="69E05E2C" w:rsidR="00FF1D0E" w:rsidRPr="006A36C2" w:rsidRDefault="00FF1D0E" w:rsidP="00FF1D0E">
      <w:pPr>
        <w:pStyle w:val="Normalnumber"/>
        <w:numPr>
          <w:ilvl w:val="0"/>
          <w:numId w:val="22"/>
        </w:numPr>
        <w:tabs>
          <w:tab w:val="left" w:pos="624"/>
        </w:tabs>
        <w:ind w:left="1247" w:firstLine="624"/>
      </w:pPr>
      <w:r w:rsidRPr="006A36C2">
        <w:rPr>
          <w:i/>
          <w:iCs/>
        </w:rPr>
        <w:t>Lesotho</w:t>
      </w:r>
      <w:r w:rsidR="00487DD1" w:rsidRPr="006A36C2">
        <w:rPr>
          <w:i/>
          <w:iCs/>
        </w:rPr>
        <w:t> :</w:t>
      </w:r>
      <w:r w:rsidRPr="006A36C2">
        <w:t xml:space="preserve"> renforcement des capacités institutionnelles en vue de l</w:t>
      </w:r>
      <w:r w:rsidR="008D631F" w:rsidRPr="006A36C2">
        <w:t>’</w:t>
      </w:r>
      <w:r w:rsidRPr="006A36C2">
        <w:t>élaboration d</w:t>
      </w:r>
      <w:r w:rsidR="008D631F" w:rsidRPr="006A36C2">
        <w:t>’</w:t>
      </w:r>
      <w:r w:rsidRPr="006A36C2">
        <w:t>une stratégie d</w:t>
      </w:r>
      <w:r w:rsidR="008D631F" w:rsidRPr="006A36C2">
        <w:t>’</w:t>
      </w:r>
      <w:r w:rsidRPr="006A36C2">
        <w:t>élimination et de réduction progressives des produits contenant du mercure ajouté au Lesotho (200 550 dollars).</w:t>
      </w:r>
    </w:p>
    <w:p w14:paraId="34D180A4" w14:textId="171D29B3" w:rsidR="00FF1D0E" w:rsidRPr="006A36C2" w:rsidRDefault="00FF1D0E" w:rsidP="00FF1D0E">
      <w:pPr>
        <w:pStyle w:val="Normalnumber"/>
        <w:numPr>
          <w:ilvl w:val="0"/>
          <w:numId w:val="17"/>
        </w:numPr>
        <w:tabs>
          <w:tab w:val="left" w:pos="4082"/>
        </w:tabs>
        <w:snapToGrid w:val="0"/>
        <w:ind w:left="1247" w:firstLine="0"/>
      </w:pPr>
      <w:r w:rsidRPr="006A36C2">
        <w:t>Tous les projets approuvés dans le cadre du premier cycle ont été menés à bien. Le secrétariat a</w:t>
      </w:r>
      <w:r w:rsidR="001A0413" w:rsidRPr="006A36C2">
        <w:t> </w:t>
      </w:r>
      <w:r w:rsidRPr="006A36C2">
        <w:t xml:space="preserve">engagé des consultant(e)s pour mener les évaluations finales de quatre des projets financés dans le cadre du premier cycle, conformément aux budgets arrêtés pour les projets. </w:t>
      </w:r>
    </w:p>
    <w:p w14:paraId="6440D5BD" w14:textId="41FEACDC" w:rsidR="00FF1D0E" w:rsidRPr="006A36C2" w:rsidRDefault="00FF1D0E" w:rsidP="0073774E">
      <w:pPr>
        <w:pStyle w:val="CH1"/>
        <w:tabs>
          <w:tab w:val="left" w:pos="4990"/>
        </w:tabs>
      </w:pPr>
      <w:r w:rsidRPr="006A36C2">
        <w:tab/>
      </w:r>
      <w:r w:rsidR="0073774E" w:rsidRPr="006A36C2">
        <w:rPr>
          <w:bCs/>
        </w:rPr>
        <w:t>V.</w:t>
      </w:r>
      <w:r w:rsidR="00CC6BA2" w:rsidRPr="006A36C2">
        <w:tab/>
      </w:r>
      <w:r w:rsidRPr="006A36C2">
        <w:rPr>
          <w:bCs/>
        </w:rPr>
        <w:t xml:space="preserve">État des </w:t>
      </w:r>
      <w:r w:rsidRPr="006A36C2">
        <w:rPr>
          <w:rFonts w:eastAsia="Times New Roman"/>
          <w:lang w:eastAsia="en-US"/>
        </w:rPr>
        <w:t>contributions</w:t>
      </w:r>
      <w:r w:rsidRPr="006A36C2">
        <w:rPr>
          <w:bCs/>
        </w:rPr>
        <w:t xml:space="preserve"> au fonds d</w:t>
      </w:r>
      <w:r w:rsidR="008D631F" w:rsidRPr="006A36C2">
        <w:rPr>
          <w:bCs/>
        </w:rPr>
        <w:t>’</w:t>
      </w:r>
      <w:r w:rsidRPr="006A36C2">
        <w:rPr>
          <w:bCs/>
        </w:rPr>
        <w:t>affectation spéciale particulier</w:t>
      </w:r>
      <w:r w:rsidRPr="006A36C2">
        <w:t xml:space="preserve"> </w:t>
      </w:r>
    </w:p>
    <w:p w14:paraId="26549C69" w14:textId="3A10CA45" w:rsidR="00FF1D0E" w:rsidRPr="006A36C2" w:rsidRDefault="00FF1D0E" w:rsidP="00FF1D0E">
      <w:pPr>
        <w:pStyle w:val="Normalnumber"/>
        <w:numPr>
          <w:ilvl w:val="0"/>
          <w:numId w:val="17"/>
        </w:numPr>
        <w:tabs>
          <w:tab w:val="left" w:pos="624"/>
        </w:tabs>
        <w:snapToGrid w:val="0"/>
        <w:ind w:left="1247" w:firstLine="0"/>
      </w:pPr>
      <w:r w:rsidRPr="006A36C2">
        <w:t>Depuis la création du fonds d</w:t>
      </w:r>
      <w:r w:rsidR="008D631F" w:rsidRPr="006A36C2">
        <w:t>’</w:t>
      </w:r>
      <w:r w:rsidRPr="006A36C2">
        <w:t>affectation spéciale particulier en 2018, des contributions et des annonces de contributions ont été reçues de l</w:t>
      </w:r>
      <w:r w:rsidR="008D631F" w:rsidRPr="006A36C2">
        <w:t>’</w:t>
      </w:r>
      <w:r w:rsidRPr="006A36C2">
        <w:t>Allemagne, de l</w:t>
      </w:r>
      <w:r w:rsidR="008D631F" w:rsidRPr="006A36C2">
        <w:t>’</w:t>
      </w:r>
      <w:r w:rsidRPr="006A36C2">
        <w:t>Autriche, du Danemark, des États-Unis d</w:t>
      </w:r>
      <w:r w:rsidR="008D631F" w:rsidRPr="006A36C2">
        <w:t>’</w:t>
      </w:r>
      <w:r w:rsidRPr="006A36C2">
        <w:t>Amérique, de la France, de la Norvège, du Royaume des Pays-Bas, du Royaume-Uni de Grande</w:t>
      </w:r>
      <w:r w:rsidR="0073774E" w:rsidRPr="006A36C2">
        <w:noBreakHyphen/>
      </w:r>
      <w:r w:rsidRPr="006A36C2">
        <w:t>Bretagne et d</w:t>
      </w:r>
      <w:r w:rsidR="008D631F" w:rsidRPr="006A36C2">
        <w:t>’</w:t>
      </w:r>
      <w:r w:rsidRPr="006A36C2">
        <w:t>Irlande du Nord, de la Suède et de la Suisse, comme indiqué dans le tableau ci</w:t>
      </w:r>
      <w:r w:rsidR="0073774E" w:rsidRPr="006A36C2">
        <w:noBreakHyphen/>
      </w:r>
      <w:r w:rsidRPr="006A36C2">
        <w:t xml:space="preserve">après. </w:t>
      </w:r>
    </w:p>
    <w:p w14:paraId="17013F70" w14:textId="124C8B27" w:rsidR="00FF1D0E" w:rsidRPr="006A36C2" w:rsidRDefault="00F66B29" w:rsidP="00FF1D0E">
      <w:pPr>
        <w:pStyle w:val="Titletable"/>
        <w:spacing w:before="240"/>
      </w:pPr>
      <w:r w:rsidRPr="006A36C2">
        <w:t>Contributions et annonces de contributions au fonds d</w:t>
      </w:r>
      <w:r w:rsidR="008D631F" w:rsidRPr="006A36C2">
        <w:t>’</w:t>
      </w:r>
      <w:r w:rsidRPr="006A36C2">
        <w:t xml:space="preserve">affectation spéciale particulier reçues depuis la création du Programme international spécifique </w:t>
      </w:r>
    </w:p>
    <w:p w14:paraId="25EB769E" w14:textId="69F680C6" w:rsidR="00FF1D0E" w:rsidRPr="006A36C2" w:rsidRDefault="00FF1D0E" w:rsidP="00FF1D0E">
      <w:pPr>
        <w:pStyle w:val="Normal-pool"/>
        <w:keepNext/>
        <w:keepLines/>
        <w:spacing w:after="60"/>
        <w:ind w:left="1247"/>
        <w:rPr>
          <w:rFonts w:eastAsia="Calibri"/>
          <w:color w:val="000000" w:themeColor="text1"/>
          <w:sz w:val="18"/>
          <w:szCs w:val="18"/>
        </w:rPr>
      </w:pPr>
      <w:r w:rsidRPr="006A36C2">
        <w:rPr>
          <w:sz w:val="18"/>
          <w:szCs w:val="18"/>
        </w:rPr>
        <w:t>(</w:t>
      </w:r>
      <w:proofErr w:type="gramStart"/>
      <w:r w:rsidRPr="006A36C2">
        <w:rPr>
          <w:sz w:val="18"/>
          <w:szCs w:val="18"/>
        </w:rPr>
        <w:t>en</w:t>
      </w:r>
      <w:proofErr w:type="gramEnd"/>
      <w:r w:rsidRPr="006A36C2">
        <w:rPr>
          <w:sz w:val="18"/>
          <w:szCs w:val="18"/>
        </w:rPr>
        <w:t xml:space="preserve"> dollars des États-Unis, au 28 mai 2025)</w:t>
      </w:r>
    </w:p>
    <w:tbl>
      <w:tblPr>
        <w:tblW w:w="8080" w:type="dxa"/>
        <w:tblInd w:w="1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827"/>
      </w:tblGrid>
      <w:tr w:rsidR="00FF1D0E" w:rsidRPr="006A36C2" w14:paraId="660AF6E2" w14:textId="77777777" w:rsidTr="00D43CA6">
        <w:trPr>
          <w:trHeight w:val="184"/>
        </w:trPr>
        <w:tc>
          <w:tcPr>
            <w:tcW w:w="4253" w:type="dxa"/>
            <w:tcBorders>
              <w:top w:val="single" w:sz="6" w:space="0" w:color="auto"/>
              <w:left w:val="nil"/>
              <w:bottom w:val="single" w:sz="12" w:space="0" w:color="auto"/>
              <w:right w:val="nil"/>
            </w:tcBorders>
            <w:shd w:val="clear" w:color="auto" w:fill="FFFFFF" w:themeFill="background1"/>
            <w:vAlign w:val="bottom"/>
            <w:hideMark/>
          </w:tcPr>
          <w:p w14:paraId="55325773" w14:textId="77777777" w:rsidR="00FF1D0E" w:rsidRPr="006A36C2" w:rsidRDefault="00FF1D0E" w:rsidP="00D43CA6">
            <w:pPr>
              <w:pStyle w:val="Normal-pool-Table"/>
              <w:ind w:left="57"/>
              <w:rPr>
                <w:i/>
                <w:iCs/>
                <w:sz w:val="24"/>
                <w:szCs w:val="24"/>
              </w:rPr>
            </w:pPr>
            <w:r w:rsidRPr="006A36C2">
              <w:rPr>
                <w:i/>
                <w:iCs/>
                <w:color w:val="000000"/>
              </w:rPr>
              <w:t>Donateur</w:t>
            </w:r>
            <w:r w:rsidRPr="006A36C2">
              <w:rPr>
                <w:color w:val="000000"/>
              </w:rPr>
              <w:t xml:space="preserve"> </w:t>
            </w:r>
          </w:p>
        </w:tc>
        <w:tc>
          <w:tcPr>
            <w:tcW w:w="3827" w:type="dxa"/>
            <w:tcBorders>
              <w:top w:val="single" w:sz="6" w:space="0" w:color="auto"/>
              <w:left w:val="nil"/>
              <w:bottom w:val="single" w:sz="12" w:space="0" w:color="auto"/>
              <w:right w:val="nil"/>
            </w:tcBorders>
            <w:shd w:val="clear" w:color="auto" w:fill="FFFFFF" w:themeFill="background1"/>
            <w:vAlign w:val="bottom"/>
            <w:hideMark/>
          </w:tcPr>
          <w:p w14:paraId="0751BEA2" w14:textId="77777777" w:rsidR="00FF1D0E" w:rsidRPr="006A36C2" w:rsidRDefault="00FF1D0E" w:rsidP="00D43CA6">
            <w:pPr>
              <w:pStyle w:val="Normal-pool-Table"/>
              <w:jc w:val="right"/>
              <w:rPr>
                <w:i/>
                <w:iCs/>
                <w:sz w:val="24"/>
                <w:szCs w:val="24"/>
              </w:rPr>
            </w:pPr>
            <w:r w:rsidRPr="006A36C2">
              <w:rPr>
                <w:i/>
                <w:iCs/>
                <w:color w:val="000000"/>
              </w:rPr>
              <w:t>Montant total des contributions annoncées/reçues</w:t>
            </w:r>
            <w:r w:rsidRPr="006A36C2">
              <w:rPr>
                <w:color w:val="000000"/>
              </w:rPr>
              <w:t xml:space="preserve"> </w:t>
            </w:r>
          </w:p>
        </w:tc>
      </w:tr>
      <w:tr w:rsidR="00445050" w:rsidRPr="006A36C2" w14:paraId="28B9F1BB" w14:textId="77777777" w:rsidTr="00D43CA6">
        <w:trPr>
          <w:trHeight w:val="50"/>
        </w:trPr>
        <w:tc>
          <w:tcPr>
            <w:tcW w:w="4253" w:type="dxa"/>
            <w:tcBorders>
              <w:top w:val="nil"/>
              <w:left w:val="nil"/>
              <w:bottom w:val="nil"/>
              <w:right w:val="nil"/>
            </w:tcBorders>
            <w:vAlign w:val="bottom"/>
          </w:tcPr>
          <w:p w14:paraId="7BA5782E" w14:textId="1587E3C7" w:rsidR="00445050" w:rsidRPr="006A36C2" w:rsidRDefault="00445050" w:rsidP="00445050">
            <w:pPr>
              <w:pStyle w:val="Normal-pool-Table"/>
              <w:ind w:left="57"/>
              <w:rPr>
                <w:color w:val="000000"/>
              </w:rPr>
            </w:pPr>
            <w:r w:rsidRPr="006A36C2">
              <w:rPr>
                <w:color w:val="000000"/>
              </w:rPr>
              <w:t xml:space="preserve">Allemagne </w:t>
            </w:r>
          </w:p>
        </w:tc>
        <w:tc>
          <w:tcPr>
            <w:tcW w:w="3827" w:type="dxa"/>
            <w:tcBorders>
              <w:top w:val="nil"/>
              <w:left w:val="nil"/>
              <w:bottom w:val="nil"/>
              <w:right w:val="nil"/>
            </w:tcBorders>
            <w:vAlign w:val="bottom"/>
          </w:tcPr>
          <w:p w14:paraId="1600689C" w14:textId="1939F4D4" w:rsidR="00445050" w:rsidRPr="006A36C2" w:rsidRDefault="00445050" w:rsidP="00445050">
            <w:pPr>
              <w:pStyle w:val="Normal-pool-Table"/>
              <w:jc w:val="right"/>
              <w:rPr>
                <w:color w:val="000000"/>
              </w:rPr>
            </w:pPr>
            <w:r w:rsidRPr="006A36C2">
              <w:rPr>
                <w:color w:val="000000"/>
              </w:rPr>
              <w:t xml:space="preserve">1 118 927 </w:t>
            </w:r>
          </w:p>
        </w:tc>
      </w:tr>
      <w:tr w:rsidR="00445050" w:rsidRPr="006A36C2" w14:paraId="144D94CB" w14:textId="77777777" w:rsidTr="00D43CA6">
        <w:trPr>
          <w:trHeight w:val="50"/>
        </w:trPr>
        <w:tc>
          <w:tcPr>
            <w:tcW w:w="4253" w:type="dxa"/>
            <w:tcBorders>
              <w:top w:val="nil"/>
              <w:left w:val="nil"/>
              <w:bottom w:val="nil"/>
              <w:right w:val="nil"/>
            </w:tcBorders>
            <w:vAlign w:val="bottom"/>
          </w:tcPr>
          <w:p w14:paraId="51C32648" w14:textId="36372A05" w:rsidR="00445050" w:rsidRPr="006A36C2" w:rsidRDefault="00445050" w:rsidP="00445050">
            <w:pPr>
              <w:pStyle w:val="Normal-pool-Table"/>
              <w:ind w:left="57"/>
              <w:rPr>
                <w:color w:val="000000"/>
              </w:rPr>
            </w:pPr>
            <w:r w:rsidRPr="006A36C2">
              <w:rPr>
                <w:color w:val="000000"/>
              </w:rPr>
              <w:t>Autriche</w:t>
            </w:r>
          </w:p>
        </w:tc>
        <w:tc>
          <w:tcPr>
            <w:tcW w:w="3827" w:type="dxa"/>
            <w:tcBorders>
              <w:top w:val="nil"/>
              <w:left w:val="nil"/>
              <w:bottom w:val="nil"/>
              <w:right w:val="nil"/>
            </w:tcBorders>
            <w:vAlign w:val="bottom"/>
          </w:tcPr>
          <w:p w14:paraId="46A0724B" w14:textId="7D53E432" w:rsidR="00445050" w:rsidRPr="006A36C2" w:rsidRDefault="00445050" w:rsidP="00445050">
            <w:pPr>
              <w:pStyle w:val="Normal-pool-Table"/>
              <w:jc w:val="right"/>
              <w:rPr>
                <w:color w:val="000000"/>
              </w:rPr>
            </w:pPr>
            <w:r w:rsidRPr="006A36C2">
              <w:rPr>
                <w:color w:val="000000"/>
              </w:rPr>
              <w:t xml:space="preserve">505 194 </w:t>
            </w:r>
          </w:p>
        </w:tc>
      </w:tr>
      <w:tr w:rsidR="00FF1D0E" w:rsidRPr="006A36C2" w14:paraId="1A97D3FE" w14:textId="77777777" w:rsidTr="00D43CA6">
        <w:trPr>
          <w:trHeight w:val="50"/>
        </w:trPr>
        <w:tc>
          <w:tcPr>
            <w:tcW w:w="4253" w:type="dxa"/>
            <w:tcBorders>
              <w:top w:val="nil"/>
              <w:left w:val="nil"/>
              <w:bottom w:val="nil"/>
              <w:right w:val="nil"/>
            </w:tcBorders>
            <w:vAlign w:val="bottom"/>
            <w:hideMark/>
          </w:tcPr>
          <w:p w14:paraId="2DC75EC9" w14:textId="50ECA661" w:rsidR="00FF1D0E" w:rsidRPr="006A36C2" w:rsidRDefault="00FF1D0E" w:rsidP="00D43CA6">
            <w:pPr>
              <w:pStyle w:val="Normal-pool-Table"/>
              <w:ind w:left="57"/>
            </w:pPr>
            <w:r w:rsidRPr="006A36C2">
              <w:rPr>
                <w:color w:val="000000"/>
              </w:rPr>
              <w:t>Danemark</w:t>
            </w:r>
          </w:p>
        </w:tc>
        <w:tc>
          <w:tcPr>
            <w:tcW w:w="3827" w:type="dxa"/>
            <w:tcBorders>
              <w:top w:val="nil"/>
              <w:left w:val="nil"/>
              <w:bottom w:val="nil"/>
              <w:right w:val="nil"/>
            </w:tcBorders>
            <w:vAlign w:val="bottom"/>
            <w:hideMark/>
          </w:tcPr>
          <w:p w14:paraId="548C048F" w14:textId="77777777" w:rsidR="00FF1D0E" w:rsidRPr="006A36C2" w:rsidRDefault="00FF1D0E" w:rsidP="00D43CA6">
            <w:pPr>
              <w:pStyle w:val="Normal-pool-Table"/>
              <w:jc w:val="right"/>
              <w:rPr>
                <w:sz w:val="24"/>
                <w:szCs w:val="24"/>
              </w:rPr>
            </w:pPr>
            <w:r w:rsidRPr="006A36C2">
              <w:rPr>
                <w:color w:val="000000"/>
              </w:rPr>
              <w:t xml:space="preserve">175 748 </w:t>
            </w:r>
          </w:p>
        </w:tc>
      </w:tr>
      <w:tr w:rsidR="00A32B0E" w:rsidRPr="006A36C2" w14:paraId="51931D75" w14:textId="77777777" w:rsidTr="00D43CA6">
        <w:trPr>
          <w:trHeight w:val="50"/>
        </w:trPr>
        <w:tc>
          <w:tcPr>
            <w:tcW w:w="4253" w:type="dxa"/>
            <w:tcBorders>
              <w:top w:val="nil"/>
              <w:left w:val="nil"/>
              <w:bottom w:val="nil"/>
              <w:right w:val="nil"/>
            </w:tcBorders>
            <w:vAlign w:val="bottom"/>
          </w:tcPr>
          <w:p w14:paraId="5DC49D72" w14:textId="5B5682A1" w:rsidR="00A32B0E" w:rsidRPr="006A36C2" w:rsidRDefault="00A32B0E" w:rsidP="00A32B0E">
            <w:pPr>
              <w:pStyle w:val="Normal-pool-Table"/>
              <w:ind w:left="57"/>
              <w:rPr>
                <w:color w:val="000000"/>
              </w:rPr>
            </w:pPr>
            <w:r w:rsidRPr="006A36C2">
              <w:rPr>
                <w:color w:val="000000"/>
              </w:rPr>
              <w:t xml:space="preserve">États-Unis d’Amérique </w:t>
            </w:r>
          </w:p>
        </w:tc>
        <w:tc>
          <w:tcPr>
            <w:tcW w:w="3827" w:type="dxa"/>
            <w:tcBorders>
              <w:top w:val="nil"/>
              <w:left w:val="nil"/>
              <w:bottom w:val="nil"/>
              <w:right w:val="nil"/>
            </w:tcBorders>
            <w:vAlign w:val="bottom"/>
          </w:tcPr>
          <w:p w14:paraId="5AD8FDF2" w14:textId="20DE3049" w:rsidR="00A32B0E" w:rsidRPr="006A36C2" w:rsidRDefault="00A32B0E" w:rsidP="00A32B0E">
            <w:pPr>
              <w:pStyle w:val="Normal-pool-Table"/>
              <w:jc w:val="right"/>
              <w:rPr>
                <w:color w:val="000000"/>
              </w:rPr>
            </w:pPr>
            <w:r w:rsidRPr="006A36C2">
              <w:rPr>
                <w:color w:val="000000"/>
              </w:rPr>
              <w:t xml:space="preserve">853 083 </w:t>
            </w:r>
          </w:p>
        </w:tc>
      </w:tr>
      <w:tr w:rsidR="00FF1D0E" w:rsidRPr="006A36C2" w14:paraId="4EA0E80A" w14:textId="77777777" w:rsidTr="00D43CA6">
        <w:trPr>
          <w:trHeight w:val="50"/>
        </w:trPr>
        <w:tc>
          <w:tcPr>
            <w:tcW w:w="4253" w:type="dxa"/>
            <w:tcBorders>
              <w:top w:val="nil"/>
              <w:left w:val="nil"/>
              <w:bottom w:val="nil"/>
              <w:right w:val="nil"/>
            </w:tcBorders>
            <w:vAlign w:val="bottom"/>
            <w:hideMark/>
          </w:tcPr>
          <w:p w14:paraId="4DAC7C48" w14:textId="77777777" w:rsidR="00FF1D0E" w:rsidRPr="006A36C2" w:rsidRDefault="00FF1D0E" w:rsidP="00D43CA6">
            <w:pPr>
              <w:pStyle w:val="Normal-pool-Table"/>
              <w:ind w:left="57"/>
            </w:pPr>
            <w:r w:rsidRPr="006A36C2">
              <w:rPr>
                <w:color w:val="000000"/>
              </w:rPr>
              <w:t xml:space="preserve">France </w:t>
            </w:r>
          </w:p>
        </w:tc>
        <w:tc>
          <w:tcPr>
            <w:tcW w:w="3827" w:type="dxa"/>
            <w:tcBorders>
              <w:top w:val="nil"/>
              <w:left w:val="nil"/>
              <w:bottom w:val="nil"/>
              <w:right w:val="nil"/>
            </w:tcBorders>
            <w:vAlign w:val="bottom"/>
            <w:hideMark/>
          </w:tcPr>
          <w:p w14:paraId="6D28BB28" w14:textId="77777777" w:rsidR="00FF1D0E" w:rsidRPr="006A36C2" w:rsidRDefault="00FF1D0E" w:rsidP="00D43CA6">
            <w:pPr>
              <w:pStyle w:val="Normal-pool-Table"/>
              <w:jc w:val="right"/>
              <w:rPr>
                <w:sz w:val="24"/>
                <w:szCs w:val="24"/>
              </w:rPr>
            </w:pPr>
            <w:r w:rsidRPr="006A36C2">
              <w:rPr>
                <w:color w:val="000000"/>
              </w:rPr>
              <w:t xml:space="preserve">324 144 </w:t>
            </w:r>
          </w:p>
        </w:tc>
      </w:tr>
      <w:tr w:rsidR="00A32B0E" w:rsidRPr="006A36C2" w14:paraId="67FDC9F5" w14:textId="77777777" w:rsidTr="00D43CA6">
        <w:trPr>
          <w:trHeight w:val="50"/>
        </w:trPr>
        <w:tc>
          <w:tcPr>
            <w:tcW w:w="4253" w:type="dxa"/>
            <w:tcBorders>
              <w:top w:val="nil"/>
              <w:left w:val="nil"/>
              <w:bottom w:val="nil"/>
              <w:right w:val="nil"/>
            </w:tcBorders>
            <w:vAlign w:val="bottom"/>
          </w:tcPr>
          <w:p w14:paraId="60D1AFD0" w14:textId="71723A55" w:rsidR="00A32B0E" w:rsidRPr="006A36C2" w:rsidRDefault="00A32B0E" w:rsidP="00A32B0E">
            <w:pPr>
              <w:pStyle w:val="Normal-pool-Table"/>
              <w:ind w:left="57"/>
              <w:rPr>
                <w:color w:val="000000"/>
              </w:rPr>
            </w:pPr>
            <w:r w:rsidRPr="006A36C2">
              <w:rPr>
                <w:color w:val="000000"/>
              </w:rPr>
              <w:t xml:space="preserve">Norvège </w:t>
            </w:r>
          </w:p>
        </w:tc>
        <w:tc>
          <w:tcPr>
            <w:tcW w:w="3827" w:type="dxa"/>
            <w:tcBorders>
              <w:top w:val="nil"/>
              <w:left w:val="nil"/>
              <w:bottom w:val="nil"/>
              <w:right w:val="nil"/>
            </w:tcBorders>
            <w:vAlign w:val="bottom"/>
          </w:tcPr>
          <w:p w14:paraId="6752A12B" w14:textId="4634C172" w:rsidR="00A32B0E" w:rsidRPr="006A36C2" w:rsidRDefault="00A32B0E" w:rsidP="00A32B0E">
            <w:pPr>
              <w:pStyle w:val="Normal-pool-Table"/>
              <w:jc w:val="right"/>
              <w:rPr>
                <w:color w:val="000000"/>
              </w:rPr>
            </w:pPr>
            <w:r w:rsidRPr="006A36C2">
              <w:rPr>
                <w:color w:val="000000"/>
              </w:rPr>
              <w:t xml:space="preserve">2 748 661 </w:t>
            </w:r>
          </w:p>
        </w:tc>
      </w:tr>
      <w:tr w:rsidR="00FF1D0E" w:rsidRPr="006A36C2" w14:paraId="2B9C36C6" w14:textId="77777777" w:rsidTr="00D43CA6">
        <w:trPr>
          <w:trHeight w:val="159"/>
        </w:trPr>
        <w:tc>
          <w:tcPr>
            <w:tcW w:w="4253" w:type="dxa"/>
            <w:tcBorders>
              <w:top w:val="nil"/>
              <w:left w:val="nil"/>
              <w:bottom w:val="nil"/>
              <w:right w:val="nil"/>
            </w:tcBorders>
            <w:vAlign w:val="bottom"/>
            <w:hideMark/>
          </w:tcPr>
          <w:p w14:paraId="52696957" w14:textId="77777777" w:rsidR="00FF1D0E" w:rsidRPr="006A36C2" w:rsidRDefault="00FF1D0E" w:rsidP="00D43CA6">
            <w:pPr>
              <w:pStyle w:val="Normal-pool-Table"/>
              <w:ind w:left="57"/>
            </w:pPr>
            <w:r w:rsidRPr="006A36C2">
              <w:rPr>
                <w:color w:val="000000"/>
              </w:rPr>
              <w:t xml:space="preserve">Pays-Bas (Royaume des) </w:t>
            </w:r>
          </w:p>
        </w:tc>
        <w:tc>
          <w:tcPr>
            <w:tcW w:w="3827" w:type="dxa"/>
            <w:tcBorders>
              <w:top w:val="nil"/>
              <w:left w:val="nil"/>
              <w:bottom w:val="nil"/>
              <w:right w:val="nil"/>
            </w:tcBorders>
            <w:vAlign w:val="bottom"/>
            <w:hideMark/>
          </w:tcPr>
          <w:p w14:paraId="30FB1688" w14:textId="77777777" w:rsidR="00FF1D0E" w:rsidRPr="006A36C2" w:rsidRDefault="00FF1D0E" w:rsidP="00D43CA6">
            <w:pPr>
              <w:pStyle w:val="Normal-pool-Table"/>
              <w:jc w:val="right"/>
              <w:rPr>
                <w:sz w:val="24"/>
                <w:szCs w:val="24"/>
              </w:rPr>
            </w:pPr>
            <w:r w:rsidRPr="006A36C2">
              <w:rPr>
                <w:color w:val="000000"/>
              </w:rPr>
              <w:t xml:space="preserve">331 193 </w:t>
            </w:r>
          </w:p>
        </w:tc>
      </w:tr>
      <w:tr w:rsidR="00A32B0E" w:rsidRPr="006A36C2" w14:paraId="15A5B6C1" w14:textId="77777777" w:rsidTr="00D43CA6">
        <w:trPr>
          <w:trHeight w:val="159"/>
        </w:trPr>
        <w:tc>
          <w:tcPr>
            <w:tcW w:w="4253" w:type="dxa"/>
            <w:tcBorders>
              <w:top w:val="nil"/>
              <w:left w:val="nil"/>
              <w:bottom w:val="nil"/>
              <w:right w:val="nil"/>
            </w:tcBorders>
            <w:vAlign w:val="bottom"/>
          </w:tcPr>
          <w:p w14:paraId="726221D8" w14:textId="19C4881B" w:rsidR="00A32B0E" w:rsidRPr="006A36C2" w:rsidRDefault="00A32B0E" w:rsidP="00A32B0E">
            <w:pPr>
              <w:pStyle w:val="Normal-pool-Table"/>
              <w:ind w:left="57"/>
              <w:rPr>
                <w:color w:val="000000"/>
              </w:rPr>
            </w:pPr>
            <w:r w:rsidRPr="006A36C2">
              <w:rPr>
                <w:color w:val="000000"/>
              </w:rPr>
              <w:t xml:space="preserve">Royaume-Uni de Grande-Bretagne et d’Irlande du Nord </w:t>
            </w:r>
          </w:p>
        </w:tc>
        <w:tc>
          <w:tcPr>
            <w:tcW w:w="3827" w:type="dxa"/>
            <w:tcBorders>
              <w:top w:val="nil"/>
              <w:left w:val="nil"/>
              <w:bottom w:val="nil"/>
              <w:right w:val="nil"/>
            </w:tcBorders>
            <w:vAlign w:val="bottom"/>
          </w:tcPr>
          <w:p w14:paraId="39B952AE" w14:textId="23A636A6" w:rsidR="00A32B0E" w:rsidRPr="006A36C2" w:rsidRDefault="00A32B0E" w:rsidP="00A32B0E">
            <w:pPr>
              <w:pStyle w:val="Normal-pool-Table"/>
              <w:jc w:val="right"/>
              <w:rPr>
                <w:color w:val="000000"/>
              </w:rPr>
            </w:pPr>
            <w:r w:rsidRPr="006A36C2">
              <w:rPr>
                <w:color w:val="000000"/>
              </w:rPr>
              <w:t xml:space="preserve">305 235 </w:t>
            </w:r>
          </w:p>
        </w:tc>
      </w:tr>
      <w:tr w:rsidR="00FF1D0E" w:rsidRPr="006A36C2" w14:paraId="70ABCA0A" w14:textId="77777777" w:rsidTr="00D43CA6">
        <w:trPr>
          <w:trHeight w:val="50"/>
        </w:trPr>
        <w:tc>
          <w:tcPr>
            <w:tcW w:w="4253" w:type="dxa"/>
            <w:tcBorders>
              <w:top w:val="nil"/>
              <w:left w:val="nil"/>
              <w:bottom w:val="nil"/>
              <w:right w:val="nil"/>
            </w:tcBorders>
            <w:vAlign w:val="bottom"/>
            <w:hideMark/>
          </w:tcPr>
          <w:p w14:paraId="6A8BA0F4" w14:textId="77777777" w:rsidR="00FF1D0E" w:rsidRPr="006A36C2" w:rsidRDefault="00FF1D0E" w:rsidP="00D43CA6">
            <w:pPr>
              <w:pStyle w:val="Normal-pool-Table"/>
              <w:ind w:left="57"/>
            </w:pPr>
            <w:r w:rsidRPr="006A36C2">
              <w:rPr>
                <w:color w:val="000000"/>
              </w:rPr>
              <w:t xml:space="preserve">Suède </w:t>
            </w:r>
          </w:p>
        </w:tc>
        <w:tc>
          <w:tcPr>
            <w:tcW w:w="3827" w:type="dxa"/>
            <w:tcBorders>
              <w:top w:val="nil"/>
              <w:left w:val="nil"/>
              <w:bottom w:val="nil"/>
              <w:right w:val="nil"/>
            </w:tcBorders>
            <w:vAlign w:val="bottom"/>
            <w:hideMark/>
          </w:tcPr>
          <w:p w14:paraId="09AA9892" w14:textId="77777777" w:rsidR="00FF1D0E" w:rsidRPr="006A36C2" w:rsidRDefault="00FF1D0E" w:rsidP="00D43CA6">
            <w:pPr>
              <w:pStyle w:val="Normal-pool-Table"/>
              <w:jc w:val="right"/>
              <w:rPr>
                <w:sz w:val="24"/>
                <w:szCs w:val="24"/>
              </w:rPr>
            </w:pPr>
            <w:r w:rsidRPr="006A36C2">
              <w:rPr>
                <w:color w:val="000000"/>
              </w:rPr>
              <w:t xml:space="preserve">844 663 </w:t>
            </w:r>
          </w:p>
        </w:tc>
      </w:tr>
      <w:tr w:rsidR="00FF1D0E" w:rsidRPr="006A36C2" w14:paraId="1547E35C" w14:textId="77777777" w:rsidTr="00D43CA6">
        <w:trPr>
          <w:trHeight w:val="50"/>
        </w:trPr>
        <w:tc>
          <w:tcPr>
            <w:tcW w:w="4253" w:type="dxa"/>
            <w:tcBorders>
              <w:top w:val="nil"/>
              <w:left w:val="nil"/>
              <w:bottom w:val="nil"/>
              <w:right w:val="nil"/>
            </w:tcBorders>
            <w:vAlign w:val="bottom"/>
            <w:hideMark/>
          </w:tcPr>
          <w:p w14:paraId="0972D9E5" w14:textId="77777777" w:rsidR="00FF1D0E" w:rsidRPr="006A36C2" w:rsidRDefault="00FF1D0E" w:rsidP="00D43CA6">
            <w:pPr>
              <w:pStyle w:val="Normal-pool-Table"/>
              <w:ind w:left="57"/>
            </w:pPr>
            <w:r w:rsidRPr="006A36C2">
              <w:rPr>
                <w:color w:val="000000"/>
              </w:rPr>
              <w:t xml:space="preserve">Suisse </w:t>
            </w:r>
          </w:p>
        </w:tc>
        <w:tc>
          <w:tcPr>
            <w:tcW w:w="3827" w:type="dxa"/>
            <w:tcBorders>
              <w:top w:val="nil"/>
              <w:left w:val="nil"/>
              <w:bottom w:val="nil"/>
              <w:right w:val="nil"/>
            </w:tcBorders>
            <w:vAlign w:val="bottom"/>
            <w:hideMark/>
          </w:tcPr>
          <w:p w14:paraId="161DEE33" w14:textId="77777777" w:rsidR="00FF1D0E" w:rsidRPr="006A36C2" w:rsidRDefault="00FF1D0E" w:rsidP="00D43CA6">
            <w:pPr>
              <w:pStyle w:val="Normal-pool-Table"/>
              <w:jc w:val="right"/>
              <w:rPr>
                <w:sz w:val="24"/>
                <w:szCs w:val="24"/>
              </w:rPr>
            </w:pPr>
            <w:r w:rsidRPr="006A36C2">
              <w:rPr>
                <w:color w:val="000000"/>
              </w:rPr>
              <w:t>1 243 145</w:t>
            </w:r>
          </w:p>
        </w:tc>
      </w:tr>
      <w:tr w:rsidR="00FF1D0E" w:rsidRPr="006A36C2" w14:paraId="3B1549E2" w14:textId="77777777" w:rsidTr="00D43CA6">
        <w:trPr>
          <w:trHeight w:val="35"/>
        </w:trPr>
        <w:tc>
          <w:tcPr>
            <w:tcW w:w="4253" w:type="dxa"/>
            <w:tcBorders>
              <w:top w:val="single" w:sz="6" w:space="0" w:color="auto"/>
              <w:left w:val="nil"/>
              <w:bottom w:val="single" w:sz="12" w:space="0" w:color="auto"/>
              <w:right w:val="nil"/>
            </w:tcBorders>
            <w:vAlign w:val="bottom"/>
            <w:hideMark/>
          </w:tcPr>
          <w:p w14:paraId="761A2216" w14:textId="19B4A0D9" w:rsidR="00FF1D0E" w:rsidRPr="006A36C2" w:rsidRDefault="00FF1D0E" w:rsidP="00D43CA6">
            <w:pPr>
              <w:pStyle w:val="Normal-pool-Table"/>
              <w:ind w:left="57"/>
              <w:rPr>
                <w:sz w:val="24"/>
                <w:szCs w:val="24"/>
              </w:rPr>
            </w:pPr>
            <w:r w:rsidRPr="006A36C2">
              <w:rPr>
                <w:b/>
                <w:bCs/>
                <w:color w:val="000000"/>
              </w:rPr>
              <w:t>Total</w:t>
            </w:r>
          </w:p>
        </w:tc>
        <w:tc>
          <w:tcPr>
            <w:tcW w:w="3827" w:type="dxa"/>
            <w:tcBorders>
              <w:top w:val="single" w:sz="6" w:space="0" w:color="auto"/>
              <w:left w:val="nil"/>
              <w:bottom w:val="single" w:sz="12" w:space="0" w:color="auto"/>
              <w:right w:val="nil"/>
            </w:tcBorders>
            <w:vAlign w:val="bottom"/>
            <w:hideMark/>
          </w:tcPr>
          <w:p w14:paraId="639A8CB8" w14:textId="77777777" w:rsidR="00FF1D0E" w:rsidRPr="006A36C2" w:rsidRDefault="00FF1D0E" w:rsidP="00D43CA6">
            <w:pPr>
              <w:pStyle w:val="Normal-pool-Table"/>
              <w:jc w:val="right"/>
              <w:rPr>
                <w:sz w:val="24"/>
                <w:szCs w:val="24"/>
              </w:rPr>
            </w:pPr>
            <w:r w:rsidRPr="006A36C2">
              <w:rPr>
                <w:b/>
                <w:bCs/>
                <w:color w:val="000000"/>
              </w:rPr>
              <w:t>8 449 992</w:t>
            </w:r>
            <w:r w:rsidRPr="006A36C2">
              <w:rPr>
                <w:color w:val="000000"/>
              </w:rPr>
              <w:t xml:space="preserve"> </w:t>
            </w:r>
          </w:p>
        </w:tc>
      </w:tr>
    </w:tbl>
    <w:p w14:paraId="7A2B6F86" w14:textId="77777777" w:rsidR="00FF1D0E" w:rsidRPr="006A36C2" w:rsidRDefault="00FF1D0E" w:rsidP="00FF1D0E">
      <w:pPr>
        <w:rPr>
          <w:sz w:val="10"/>
          <w:szCs w:val="10"/>
        </w:rPr>
      </w:pPr>
      <w:r w:rsidRPr="006A36C2">
        <w:rPr>
          <w:sz w:val="10"/>
          <w:szCs w:val="10"/>
        </w:rPr>
        <w:br w:type="page"/>
      </w:r>
    </w:p>
    <w:p w14:paraId="6F626243" w14:textId="2EE5D9CA" w:rsidR="00FF1D0E" w:rsidRPr="006A36C2" w:rsidRDefault="00FF1D0E" w:rsidP="00FF1D0E">
      <w:pPr>
        <w:pStyle w:val="Titlefigure"/>
      </w:pPr>
      <w:r w:rsidRPr="006A36C2">
        <w:rPr>
          <w:bCs/>
        </w:rPr>
        <w:t>Contributions au quatrième cycle de dépôt de demandes (en dollars des États-Unis)</w:t>
      </w:r>
    </w:p>
    <w:p w14:paraId="73AB05A5" w14:textId="33554957" w:rsidR="00EC2C26" w:rsidRPr="006A36C2" w:rsidRDefault="00BC7825" w:rsidP="00292223">
      <w:pPr>
        <w:pStyle w:val="Normal-pool"/>
        <w:jc w:val="center"/>
      </w:pPr>
      <w:r w:rsidRPr="006A36C2">
        <w:rPr>
          <w:noProof/>
          <w14:ligatures w14:val="standardContextual"/>
        </w:rPr>
        <mc:AlternateContent>
          <mc:Choice Requires="cx1">
            <w:drawing>
              <wp:inline distT="0" distB="0" distL="0" distR="0" wp14:anchorId="69EB648C" wp14:editId="1EE328B3">
                <wp:extent cx="6260123" cy="3692770"/>
                <wp:effectExtent l="0" t="0" r="7620" b="3175"/>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sdtfl="http://schemas.microsoft.com/office/word/2024/wordml/sdtformatlock" xmlns:w16du="http://schemas.microsoft.com/office/word/2023/wordml/word16du">
            <w:drawing>
              <wp:inline distT="0" distB="0" distL="0" distR="0" wp14:anchorId="69EB648C" wp14:editId="1EE328B3">
                <wp:extent cx="6260123" cy="3692770"/>
                <wp:effectExtent l="0" t="0" r="7620" b="3175"/>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18891924" name="Chart 1">
                          <a:extLst>
                            <a:ext uri="{FF2B5EF4-FFF2-40B4-BE49-F238E27FC236}">
                              <a16:creationId xmlns:a16="http://schemas.microsoft.com/office/drawing/2014/main" id="{BD04D6E6-76F7-452A-8363-E025B7903261}"/>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6259830" cy="3692525"/>
                        </a:xfrm>
                        <a:prstGeom prst="rect">
                          <a:avLst/>
                        </a:prstGeom>
                      </pic:spPr>
                    </pic:pic>
                  </a:graphicData>
                </a:graphic>
              </wp:inline>
            </w:drawing>
          </mc:Fallback>
        </mc:AlternateContent>
      </w:r>
    </w:p>
    <w:p w14:paraId="7036A594" w14:textId="77777777" w:rsidR="00EC2C26" w:rsidRPr="006A36C2" w:rsidRDefault="00EC2C26" w:rsidP="0032404B">
      <w:pPr>
        <w:pStyle w:val="Normal-pool"/>
      </w:pPr>
    </w:p>
    <w:p w14:paraId="242F33AE" w14:textId="417F72C7" w:rsidR="00FF1D0E" w:rsidRPr="006A36C2" w:rsidRDefault="00FF1D0E" w:rsidP="00FF1D0E">
      <w:pPr>
        <w:pStyle w:val="Normalnumber"/>
        <w:numPr>
          <w:ilvl w:val="0"/>
          <w:numId w:val="17"/>
        </w:numPr>
        <w:tabs>
          <w:tab w:val="left" w:pos="624"/>
        </w:tabs>
        <w:snapToGrid w:val="0"/>
        <w:ind w:left="1247" w:firstLine="0"/>
      </w:pPr>
      <w:r w:rsidRPr="006A36C2">
        <w:t>Les contributions au fonds d</w:t>
      </w:r>
      <w:r w:rsidR="008D631F" w:rsidRPr="006A36C2">
        <w:t>’</w:t>
      </w:r>
      <w:r w:rsidRPr="006A36C2">
        <w:t>affectation spéciale particulier servent principalement à subventionner des projets choisis et approuvés par le Conseil d</w:t>
      </w:r>
      <w:r w:rsidR="008D631F" w:rsidRPr="006A36C2">
        <w:t>’</w:t>
      </w:r>
      <w:r w:rsidRPr="006A36C2">
        <w:t>administration qui sont menés sous l</w:t>
      </w:r>
      <w:r w:rsidR="008D631F" w:rsidRPr="006A36C2">
        <w:t>’</w:t>
      </w:r>
      <w:r w:rsidRPr="006A36C2">
        <w:t>impulsion des pays. Comme indiqué dans la décision MC-1/6, elles couvrent également les dépenses afférentes aux réunions et aux travaux du Conseil d</w:t>
      </w:r>
      <w:r w:rsidR="008D631F" w:rsidRPr="006A36C2">
        <w:t>’</w:t>
      </w:r>
      <w:r w:rsidRPr="006A36C2">
        <w:t xml:space="preserve">administration et au fonctionnement du Programme international spécifique. </w:t>
      </w:r>
    </w:p>
    <w:p w14:paraId="41DE5D6C" w14:textId="5691B5B3" w:rsidR="00FF1D0E" w:rsidRPr="006A36C2" w:rsidRDefault="006E55F5" w:rsidP="00FF1D0E">
      <w:pPr>
        <w:pStyle w:val="Normalnumber"/>
        <w:numPr>
          <w:ilvl w:val="0"/>
          <w:numId w:val="17"/>
        </w:numPr>
        <w:tabs>
          <w:tab w:val="left" w:pos="624"/>
        </w:tabs>
        <w:snapToGrid w:val="0"/>
        <w:ind w:left="1247" w:firstLine="0"/>
      </w:pPr>
      <w:r w:rsidRPr="006A36C2">
        <w:t>La figure ci-dessus montre les contributions reçues au titre du quatrième cycle de dépôt de demandes, par pays. Au 24 juin 2025, la France s</w:t>
      </w:r>
      <w:r w:rsidR="008D631F" w:rsidRPr="006A36C2">
        <w:t>’</w:t>
      </w:r>
      <w:r w:rsidRPr="006A36C2">
        <w:t>était engagée à verser 100 000 euros au titre du cinquième cycle de dépôt de demandes. La réception de contributions régulières au fonds d</w:t>
      </w:r>
      <w:r w:rsidR="008D631F" w:rsidRPr="006A36C2">
        <w:t>’</w:t>
      </w:r>
      <w:r w:rsidRPr="006A36C2">
        <w:t>affectation spéciale particulier est essentielle pour que le secrétariat soit en mesure de lancer un cinquième cycle de dépôt de demandes, afin d</w:t>
      </w:r>
      <w:r w:rsidR="008D631F" w:rsidRPr="006A36C2">
        <w:t>’</w:t>
      </w:r>
      <w:r w:rsidRPr="006A36C2">
        <w:t>aider les Parties à mettre en œuvre la Convention.</w:t>
      </w:r>
    </w:p>
    <w:p w14:paraId="0AB2CF74" w14:textId="77777777" w:rsidR="00FF1D0E" w:rsidRPr="006A36C2" w:rsidRDefault="00FF1D0E" w:rsidP="00FF1D0E">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FF1D0E" w:rsidRPr="006A36C2" w14:paraId="7601B6C4" w14:textId="77777777" w:rsidTr="004251E9">
        <w:tc>
          <w:tcPr>
            <w:tcW w:w="1897" w:type="dxa"/>
          </w:tcPr>
          <w:p w14:paraId="08CD591B" w14:textId="77777777" w:rsidR="00FF1D0E" w:rsidRPr="006A36C2" w:rsidRDefault="00FF1D0E">
            <w:pPr>
              <w:pStyle w:val="Normal-pool"/>
              <w:spacing w:before="520"/>
            </w:pPr>
          </w:p>
        </w:tc>
        <w:tc>
          <w:tcPr>
            <w:tcW w:w="1897" w:type="dxa"/>
          </w:tcPr>
          <w:p w14:paraId="48E00A9E" w14:textId="77777777" w:rsidR="00FF1D0E" w:rsidRPr="006A36C2" w:rsidRDefault="00FF1D0E">
            <w:pPr>
              <w:pStyle w:val="Normal-pool"/>
              <w:spacing w:before="520"/>
            </w:pPr>
          </w:p>
        </w:tc>
        <w:tc>
          <w:tcPr>
            <w:tcW w:w="1897" w:type="dxa"/>
            <w:tcBorders>
              <w:bottom w:val="single" w:sz="4" w:space="0" w:color="auto"/>
            </w:tcBorders>
          </w:tcPr>
          <w:p w14:paraId="560436E0" w14:textId="77777777" w:rsidR="00FF1D0E" w:rsidRPr="006A36C2" w:rsidRDefault="00FF1D0E">
            <w:pPr>
              <w:pStyle w:val="Normal-pool"/>
              <w:spacing w:before="520"/>
            </w:pPr>
          </w:p>
        </w:tc>
        <w:tc>
          <w:tcPr>
            <w:tcW w:w="1897" w:type="dxa"/>
          </w:tcPr>
          <w:p w14:paraId="7ABA034B" w14:textId="77777777" w:rsidR="00FF1D0E" w:rsidRPr="006A36C2" w:rsidRDefault="00FF1D0E">
            <w:pPr>
              <w:pStyle w:val="Normal-pool"/>
              <w:spacing w:before="520"/>
            </w:pPr>
          </w:p>
        </w:tc>
        <w:tc>
          <w:tcPr>
            <w:tcW w:w="1898" w:type="dxa"/>
          </w:tcPr>
          <w:p w14:paraId="4D1D3EDE" w14:textId="77777777" w:rsidR="00FF1D0E" w:rsidRPr="006A36C2" w:rsidRDefault="00FF1D0E">
            <w:pPr>
              <w:pStyle w:val="Normal-pool"/>
              <w:spacing w:before="520"/>
            </w:pPr>
          </w:p>
        </w:tc>
      </w:tr>
    </w:tbl>
    <w:p w14:paraId="3ACD8187" w14:textId="55B305FD" w:rsidR="00FF1D0E" w:rsidRPr="006A36C2" w:rsidRDefault="00FF1D0E" w:rsidP="00FF1D0E">
      <w:pPr>
        <w:pStyle w:val="Normal-pool"/>
      </w:pPr>
    </w:p>
    <w:sectPr w:rsidR="00FF1D0E" w:rsidRPr="006A36C2" w:rsidSect="0073774E">
      <w:headerReference w:type="even" r:id="rId14"/>
      <w:headerReference w:type="default" r:id="rId15"/>
      <w:footerReference w:type="even" r:id="rId16"/>
      <w:footerReference w:type="defaul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AEAA" w14:textId="77777777" w:rsidR="00203BAB" w:rsidRPr="0073774E" w:rsidRDefault="00203BAB" w:rsidP="00035D73">
      <w:r w:rsidRPr="0073774E">
        <w:separator/>
      </w:r>
    </w:p>
  </w:endnote>
  <w:endnote w:type="continuationSeparator" w:id="0">
    <w:p w14:paraId="1B58E4B5" w14:textId="77777777" w:rsidR="00203BAB" w:rsidRPr="0073774E" w:rsidRDefault="00203BAB" w:rsidP="00035D73">
      <w:r w:rsidRPr="0073774E">
        <w:continuationSeparator/>
      </w:r>
    </w:p>
  </w:endnote>
  <w:endnote w:type="continuationNotice" w:id="1">
    <w:p w14:paraId="1B70A0E5" w14:textId="77777777" w:rsidR="00203BAB" w:rsidRPr="0073774E" w:rsidRDefault="00203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306BC710" w:rsidR="00035D73" w:rsidRPr="0073774E" w:rsidRDefault="0073774E" w:rsidP="0073774E">
    <w:pPr>
      <w:pStyle w:val="Footer-pool"/>
    </w:pPr>
    <w:r w:rsidRPr="0073774E">
      <w:fldChar w:fldCharType="begin"/>
    </w:r>
    <w:r w:rsidRPr="0073774E">
      <w:instrText xml:space="preserve"> PAGE </w:instrText>
    </w:r>
    <w:r w:rsidRPr="0073774E">
      <w:fldChar w:fldCharType="separate"/>
    </w:r>
    <w:r w:rsidRPr="0073774E">
      <w:rPr>
        <w:noProof/>
      </w:rPr>
      <w:t>1</w:t>
    </w:r>
    <w:r w:rsidRPr="0073774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76E202A" w:rsidR="00035D73" w:rsidRPr="0073774E" w:rsidRDefault="0073774E" w:rsidP="0073774E">
    <w:pPr>
      <w:pStyle w:val="Footer-pool"/>
      <w:jc w:val="right"/>
    </w:pPr>
    <w:r w:rsidRPr="0073774E">
      <w:fldChar w:fldCharType="begin"/>
    </w:r>
    <w:r w:rsidRPr="0073774E">
      <w:instrText xml:space="preserve"> PAGE \* MERGEFORMAT </w:instrText>
    </w:r>
    <w:r w:rsidRPr="0073774E">
      <w:fldChar w:fldCharType="separate"/>
    </w:r>
    <w:r w:rsidRPr="0073774E">
      <w:rPr>
        <w:noProof/>
      </w:rPr>
      <w:t>1</w:t>
    </w:r>
    <w:r w:rsidRPr="0073774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338D8096" w:rsidR="00035D73" w:rsidRPr="0073774E" w:rsidRDefault="0073774E" w:rsidP="0073774E">
    <w:pPr>
      <w:pStyle w:val="Footer-jobnumber"/>
    </w:pPr>
    <w:bookmarkStart w:id="10" w:name="FooterJobDate"/>
    <w:r>
      <w:t>K2510939[F]</w:t>
    </w:r>
    <w:r>
      <w:tab/>
    </w:r>
    <w:r w:rsidR="00DE296E">
      <w:t>0109</w:t>
    </w:r>
    <w:r w:rsidRPr="0073774E">
      <w:rPr>
        <w:lang w:val="en-GB"/>
      </w:rP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CC3A" w14:textId="77777777" w:rsidR="00203BAB" w:rsidRPr="0073774E" w:rsidRDefault="00203BAB" w:rsidP="0073774E">
      <w:pPr>
        <w:pStyle w:val="Footnote-Separator"/>
        <w:ind w:left="624"/>
      </w:pPr>
      <w:r w:rsidRPr="0073774E">
        <w:separator/>
      </w:r>
    </w:p>
  </w:footnote>
  <w:footnote w:type="continuationSeparator" w:id="0">
    <w:p w14:paraId="12262B6D" w14:textId="77777777" w:rsidR="00203BAB" w:rsidRPr="0073774E" w:rsidRDefault="00203BAB" w:rsidP="0073774E">
      <w:pPr>
        <w:pStyle w:val="Footnote-Separator"/>
      </w:pPr>
      <w:r w:rsidRPr="0073774E">
        <w:continuationSeparator/>
      </w:r>
    </w:p>
  </w:footnote>
  <w:footnote w:type="continuationNotice" w:id="1">
    <w:p w14:paraId="4977523E" w14:textId="77777777" w:rsidR="00203BAB" w:rsidRPr="0073774E" w:rsidRDefault="00203BAB" w:rsidP="0073774E">
      <w:pPr>
        <w:pStyle w:val="ASpacer"/>
      </w:pPr>
    </w:p>
  </w:footnote>
  <w:footnote w:id="2">
    <w:p w14:paraId="11E77D58" w14:textId="47F1F0A7" w:rsidR="0073774E" w:rsidRPr="0073774E" w:rsidRDefault="0073774E" w:rsidP="0073774E">
      <w:pPr>
        <w:pStyle w:val="Footnote-Text"/>
      </w:pPr>
      <w:r w:rsidRPr="0073774E">
        <w:rPr>
          <w:rStyle w:val="FootnoteReference"/>
          <w:sz w:val="18"/>
          <w:vertAlign w:val="baseline"/>
        </w:rPr>
        <w:t>*</w:t>
      </w:r>
      <w:r w:rsidRPr="0073774E">
        <w:t xml:space="preserve"> UNEP/MC/COP.6/1</w:t>
      </w:r>
      <w:r w:rsidR="00DE296E">
        <w:t>/Rev.1</w:t>
      </w:r>
      <w:r w:rsidRPr="0073774E">
        <w:t>.</w:t>
      </w:r>
    </w:p>
  </w:footnote>
  <w:footnote w:id="3">
    <w:p w14:paraId="54D3FDB7" w14:textId="19AFA272" w:rsidR="00FF1D0E" w:rsidRPr="0073774E" w:rsidRDefault="0073774E" w:rsidP="0073774E">
      <w:pPr>
        <w:pStyle w:val="Footnote-Text"/>
      </w:pPr>
      <w:r w:rsidRPr="0073774E">
        <w:rPr>
          <w:rStyle w:val="FootnoteReference"/>
        </w:rPr>
        <w:footnoteRef/>
      </w:r>
      <w:r w:rsidR="00FF1D0E" w:rsidRPr="0073774E">
        <w:t xml:space="preserve"> Le document UNEP/MC/COP.6/10 aborde des questions relatives à la première composante du mécanisme de financement, à savoir la Caisse du Fonds pour l</w:t>
      </w:r>
      <w:r w:rsidR="00487DD1" w:rsidRPr="0073774E">
        <w:t>’</w:t>
      </w:r>
      <w:r w:rsidR="00FF1D0E" w:rsidRPr="0073774E">
        <w:t>environnement mondial.</w:t>
      </w:r>
    </w:p>
  </w:footnote>
  <w:footnote w:id="4">
    <w:p w14:paraId="63B92E0C" w14:textId="1260BD6E" w:rsidR="00FF1D0E" w:rsidRPr="0073774E" w:rsidRDefault="0073774E" w:rsidP="00B100EB">
      <w:pPr>
        <w:pStyle w:val="Footnote-Text"/>
        <w:spacing w:before="40"/>
      </w:pPr>
      <w:r w:rsidRPr="0073774E">
        <w:rPr>
          <w:rStyle w:val="FootnoteReference"/>
        </w:rPr>
        <w:footnoteRef/>
      </w:r>
      <w:r w:rsidR="00FF1D0E" w:rsidRPr="0073774E">
        <w:t xml:space="preserve"> Voir à l</w:t>
      </w:r>
      <w:r w:rsidR="00487DD1" w:rsidRPr="0073774E">
        <w:t>’</w:t>
      </w:r>
      <w:r w:rsidR="00FF1D0E" w:rsidRPr="0073774E">
        <w:t>adresse suivante</w:t>
      </w:r>
      <w:r w:rsidR="00487DD1" w:rsidRPr="0073774E">
        <w:t> :</w:t>
      </w:r>
      <w:r w:rsidR="00FF1D0E" w:rsidRPr="0073774E">
        <w:t xml:space="preserve"> </w:t>
      </w:r>
      <w:hyperlink r:id="rId1" w:history="1">
        <w:r w:rsidR="00C17E4C" w:rsidRPr="0073774E">
          <w:rPr>
            <w:rStyle w:val="Hyperlink"/>
          </w:rPr>
          <w:t>https://minamataconvention.org/fr/implementation/specific-international-programme/donors</w:t>
        </w:r>
      </w:hyperlink>
      <w:r w:rsidR="00FF1D0E" w:rsidRPr="0073774E">
        <w:t>.</w:t>
      </w:r>
      <w:hyperlink r:id="rId2" w:history="1"/>
    </w:p>
  </w:footnote>
  <w:footnote w:id="5">
    <w:p w14:paraId="52285C1F" w14:textId="3A2360B3" w:rsidR="00FF1D0E" w:rsidRPr="0073774E" w:rsidRDefault="0073774E" w:rsidP="00B100EB">
      <w:pPr>
        <w:pStyle w:val="Footnote-Text"/>
        <w:spacing w:before="40"/>
      </w:pPr>
      <w:r w:rsidRPr="0073774E">
        <w:rPr>
          <w:rStyle w:val="FootnoteReference"/>
        </w:rPr>
        <w:footnoteRef/>
      </w:r>
      <w:r w:rsidR="00FF1D0E" w:rsidRPr="0073774E">
        <w:t xml:space="preserve"> </w:t>
      </w:r>
      <w:hyperlink r:id="rId3" w:history="1">
        <w:r w:rsidR="00C17E4C" w:rsidRPr="0073774E">
          <w:rPr>
            <w:rStyle w:val="Hyperlink"/>
          </w:rPr>
          <w:t>https://minamataconvention.org/fr/implementation/specific-international-programme/fourth-round</w:t>
        </w:r>
      </w:hyperlink>
      <w:r w:rsidR="00FF1D0E" w:rsidRPr="0073774E">
        <w:t>.</w:t>
      </w:r>
      <w:hyperlink r:id="rId4" w:history="1"/>
    </w:p>
  </w:footnote>
  <w:footnote w:id="6">
    <w:p w14:paraId="71630253" w14:textId="21EEFE56" w:rsidR="00FF1D0E" w:rsidRPr="0073774E" w:rsidRDefault="0073774E" w:rsidP="00B100EB">
      <w:pPr>
        <w:pStyle w:val="Footnote-Text"/>
        <w:spacing w:before="40"/>
      </w:pPr>
      <w:r w:rsidRPr="0073774E">
        <w:rPr>
          <w:rStyle w:val="FootnoteReference"/>
        </w:rPr>
        <w:footnoteRef/>
      </w:r>
      <w:r w:rsidR="00FF1D0E" w:rsidRPr="0073774E">
        <w:t xml:space="preserve"> Voir à l</w:t>
      </w:r>
      <w:r w:rsidR="00487DD1" w:rsidRPr="0073774E">
        <w:t>’</w:t>
      </w:r>
      <w:r w:rsidR="00FF1D0E" w:rsidRPr="0073774E">
        <w:t>adresse suivante</w:t>
      </w:r>
      <w:r w:rsidR="00487DD1" w:rsidRPr="0073774E">
        <w:t> :</w:t>
      </w:r>
      <w:r w:rsidR="00FF1D0E" w:rsidRPr="0073774E">
        <w:t xml:space="preserve"> </w:t>
      </w:r>
      <w:hyperlink r:id="rId5" w:history="1">
        <w:r w:rsidR="00C17E4C" w:rsidRPr="0073774E">
          <w:rPr>
            <w:rStyle w:val="Hyperlink"/>
          </w:rPr>
          <w:t>https://minamataconvention.org/fr/implementation/specific-international-programme/dashboard</w:t>
        </w:r>
      </w:hyperlink>
      <w:r w:rsidR="00FF1D0E" w:rsidRPr="0073774E">
        <w:t>.</w:t>
      </w:r>
      <w:hyperlink r:id="rId6" w:history="1"/>
    </w:p>
  </w:footnote>
  <w:footnote w:id="7">
    <w:p w14:paraId="7E5D2E06" w14:textId="2337E85B" w:rsidR="00FF1D0E" w:rsidRPr="0073774E" w:rsidRDefault="0073774E" w:rsidP="0073774E">
      <w:pPr>
        <w:pStyle w:val="Footnote-Text"/>
      </w:pPr>
      <w:r w:rsidRPr="0073774E">
        <w:rPr>
          <w:rStyle w:val="FootnoteReference"/>
        </w:rPr>
        <w:footnoteRef/>
      </w:r>
      <w:r w:rsidR="00FF1D0E" w:rsidRPr="0073774E">
        <w:t xml:space="preserve"> Voir à l</w:t>
      </w:r>
      <w:r w:rsidR="00487DD1" w:rsidRPr="0073774E">
        <w:t>’</w:t>
      </w:r>
      <w:r w:rsidR="00FF1D0E" w:rsidRPr="0073774E">
        <w:t>adresse suivante</w:t>
      </w:r>
      <w:r w:rsidR="00487DD1" w:rsidRPr="0073774E">
        <w:t> :</w:t>
      </w:r>
      <w:r w:rsidR="00FF1D0E" w:rsidRPr="0073774E">
        <w:t xml:space="preserve"> </w:t>
      </w:r>
      <w:hyperlink r:id="rId7" w:history="1">
        <w:r w:rsidR="0059648E" w:rsidRPr="0073774E">
          <w:rPr>
            <w:rStyle w:val="Hyperlink"/>
          </w:rPr>
          <w:t>https://minamataconvention.org/fr/node/10286</w:t>
        </w:r>
      </w:hyperlink>
      <w:r w:rsidR="00FF1D0E" w:rsidRPr="0073774E">
        <w:t>.</w:t>
      </w:r>
      <w:hyperlink r:id="rId8"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72B86651" w:rsidR="00035D73" w:rsidRPr="0073774E" w:rsidRDefault="0073774E" w:rsidP="0073774E">
    <w:pPr>
      <w:pStyle w:val="Header-pool"/>
    </w:pPr>
    <w:r w:rsidRPr="0073774E">
      <w:rPr>
        <w:noProof/>
      </w:rPr>
      <w:fldChar w:fldCharType="begin"/>
    </w:r>
    <w:r w:rsidRPr="0073774E">
      <w:rPr>
        <w:noProof/>
      </w:rPr>
      <w:instrText xml:space="preserve"> StyleRef A_Symbol </w:instrText>
    </w:r>
    <w:r w:rsidRPr="0073774E">
      <w:rPr>
        <w:noProof/>
      </w:rPr>
      <w:fldChar w:fldCharType="separate"/>
    </w:r>
    <w:r w:rsidR="00DE296E">
      <w:rPr>
        <w:noProof/>
      </w:rPr>
      <w:t>UNEP/MC/COP.6/11</w:t>
    </w:r>
    <w:r w:rsidRPr="0073774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7F693567" w:rsidR="00035D73" w:rsidRPr="0073774E" w:rsidRDefault="0073774E" w:rsidP="0073774E">
    <w:pPr>
      <w:pStyle w:val="Header-pool"/>
      <w:jc w:val="right"/>
    </w:pPr>
    <w:r w:rsidRPr="0073774E">
      <w:rPr>
        <w:noProof/>
      </w:rPr>
      <w:fldChar w:fldCharType="begin"/>
    </w:r>
    <w:r w:rsidRPr="0073774E">
      <w:rPr>
        <w:noProof/>
      </w:rPr>
      <w:instrText xml:space="preserve"> StyleRef A_Symbol </w:instrText>
    </w:r>
    <w:r w:rsidRPr="0073774E">
      <w:rPr>
        <w:noProof/>
      </w:rPr>
      <w:fldChar w:fldCharType="separate"/>
    </w:r>
    <w:r w:rsidR="00DE296E">
      <w:rPr>
        <w:noProof/>
      </w:rPr>
      <w:t>UNEP/MC/COP.6/11</w:t>
    </w:r>
    <w:r w:rsidRPr="0073774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8B562E"/>
    <w:multiLevelType w:val="hybridMultilevel"/>
    <w:tmpl w:val="2C88EBF8"/>
    <w:lvl w:ilvl="0" w:tplc="A2CE4184">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3"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29EA2150"/>
    <w:multiLevelType w:val="hybridMultilevel"/>
    <w:tmpl w:val="E8AEFD76"/>
    <w:lvl w:ilvl="0" w:tplc="6D7237CC">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F8D7FF6"/>
    <w:multiLevelType w:val="hybridMultilevel"/>
    <w:tmpl w:val="848C92F8"/>
    <w:lvl w:ilvl="0" w:tplc="0409000F">
      <w:start w:val="1"/>
      <w:numFmt w:val="decimal"/>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35CB78E7"/>
    <w:multiLevelType w:val="hybridMultilevel"/>
    <w:tmpl w:val="5CA8F376"/>
    <w:lvl w:ilvl="0" w:tplc="72628B16">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2" w15:restartNumberingAfterBreak="0">
    <w:nsid w:val="393A1E9B"/>
    <w:multiLevelType w:val="hybridMultilevel"/>
    <w:tmpl w:val="81ECDC18"/>
    <w:lvl w:ilvl="0" w:tplc="BD2AABA8">
      <w:start w:val="1"/>
      <w:numFmt w:val="lowerLetter"/>
      <w:lvlText w:val="%1)"/>
      <w:lvlJc w:val="left"/>
      <w:pPr>
        <w:ind w:left="893" w:hanging="360"/>
      </w:pPr>
      <w:rPr>
        <w:rFonts w:hint="default"/>
      </w:rPr>
    </w:lvl>
    <w:lvl w:ilvl="1" w:tplc="100C0019">
      <w:start w:val="1"/>
      <w:numFmt w:val="lowerLetter"/>
      <w:lvlText w:val="%2."/>
      <w:lvlJc w:val="left"/>
      <w:pPr>
        <w:ind w:left="1613" w:hanging="360"/>
      </w:pPr>
    </w:lvl>
    <w:lvl w:ilvl="2" w:tplc="100C001B" w:tentative="1">
      <w:start w:val="1"/>
      <w:numFmt w:val="lowerRoman"/>
      <w:lvlText w:val="%3."/>
      <w:lvlJc w:val="right"/>
      <w:pPr>
        <w:ind w:left="2333" w:hanging="180"/>
      </w:pPr>
    </w:lvl>
    <w:lvl w:ilvl="3" w:tplc="100C000F" w:tentative="1">
      <w:start w:val="1"/>
      <w:numFmt w:val="decimal"/>
      <w:lvlText w:val="%4."/>
      <w:lvlJc w:val="left"/>
      <w:pPr>
        <w:ind w:left="3053" w:hanging="360"/>
      </w:pPr>
    </w:lvl>
    <w:lvl w:ilvl="4" w:tplc="100C0019" w:tentative="1">
      <w:start w:val="1"/>
      <w:numFmt w:val="lowerLetter"/>
      <w:lvlText w:val="%5."/>
      <w:lvlJc w:val="left"/>
      <w:pPr>
        <w:ind w:left="3773" w:hanging="360"/>
      </w:pPr>
    </w:lvl>
    <w:lvl w:ilvl="5" w:tplc="100C001B" w:tentative="1">
      <w:start w:val="1"/>
      <w:numFmt w:val="lowerRoman"/>
      <w:lvlText w:val="%6."/>
      <w:lvlJc w:val="right"/>
      <w:pPr>
        <w:ind w:left="4493" w:hanging="180"/>
      </w:pPr>
    </w:lvl>
    <w:lvl w:ilvl="6" w:tplc="100C000F" w:tentative="1">
      <w:start w:val="1"/>
      <w:numFmt w:val="decimal"/>
      <w:lvlText w:val="%7."/>
      <w:lvlJc w:val="left"/>
      <w:pPr>
        <w:ind w:left="5213" w:hanging="360"/>
      </w:pPr>
    </w:lvl>
    <w:lvl w:ilvl="7" w:tplc="100C0019" w:tentative="1">
      <w:start w:val="1"/>
      <w:numFmt w:val="lowerLetter"/>
      <w:lvlText w:val="%8."/>
      <w:lvlJc w:val="left"/>
      <w:pPr>
        <w:ind w:left="5933" w:hanging="360"/>
      </w:pPr>
    </w:lvl>
    <w:lvl w:ilvl="8" w:tplc="100C001B" w:tentative="1">
      <w:start w:val="1"/>
      <w:numFmt w:val="lowerRoman"/>
      <w:lvlText w:val="%9."/>
      <w:lvlJc w:val="right"/>
      <w:pPr>
        <w:ind w:left="6653" w:hanging="180"/>
      </w:pPr>
    </w:lvl>
  </w:abstractNum>
  <w:abstractNum w:abstractNumId="23" w15:restartNumberingAfterBreak="0">
    <w:nsid w:val="3A187CA9"/>
    <w:multiLevelType w:val="hybridMultilevel"/>
    <w:tmpl w:val="91BA326A"/>
    <w:lvl w:ilvl="0" w:tplc="29CCC1EC">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4" w15:restartNumberingAfterBreak="0">
    <w:nsid w:val="40900C77"/>
    <w:multiLevelType w:val="hybridMultilevel"/>
    <w:tmpl w:val="5EFC7D60"/>
    <w:lvl w:ilvl="0" w:tplc="3B9C55C6">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5"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6"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7"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8" w15:restartNumberingAfterBreak="0">
    <w:nsid w:val="62291BF8"/>
    <w:multiLevelType w:val="multilevel"/>
    <w:tmpl w:val="1CA2EF82"/>
    <w:numStyleLink w:val="Normallist"/>
  </w:abstractNum>
  <w:abstractNum w:abstractNumId="29"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0" w15:restartNumberingAfterBreak="0">
    <w:nsid w:val="764221F4"/>
    <w:multiLevelType w:val="hybridMultilevel"/>
    <w:tmpl w:val="9CF034E8"/>
    <w:lvl w:ilvl="0" w:tplc="FB76893C">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31"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5"/>
  </w:num>
  <w:num w:numId="2" w16cid:durableId="1242644713">
    <w:abstractNumId w:val="29"/>
  </w:num>
  <w:num w:numId="3" w16cid:durableId="1933662228">
    <w:abstractNumId w:val="19"/>
  </w:num>
  <w:num w:numId="4" w16cid:durableId="1991909117">
    <w:abstractNumId w:val="11"/>
  </w:num>
  <w:num w:numId="5" w16cid:durableId="1138956019">
    <w:abstractNumId w:val="14"/>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075006139">
    <w:abstractNumId w:val="22"/>
  </w:num>
  <w:num w:numId="17" w16cid:durableId="456608139">
    <w:abstractNumId w:val="18"/>
  </w:num>
  <w:num w:numId="18" w16cid:durableId="1267881763">
    <w:abstractNumId w:val="30"/>
  </w:num>
  <w:num w:numId="19" w16cid:durableId="413094655">
    <w:abstractNumId w:val="21"/>
  </w:num>
  <w:num w:numId="20" w16cid:durableId="1937907965">
    <w:abstractNumId w:val="12"/>
  </w:num>
  <w:num w:numId="21" w16cid:durableId="1019116208">
    <w:abstractNumId w:val="23"/>
  </w:num>
  <w:num w:numId="22" w16cid:durableId="1516920085">
    <w:abstractNumId w:val="24"/>
  </w:num>
  <w:num w:numId="23" w16cid:durableId="246812190">
    <w:abstractNumId w:val="17"/>
  </w:num>
  <w:num w:numId="24" w16cid:durableId="1626504287">
    <w:abstractNumId w:val="15"/>
  </w:num>
  <w:num w:numId="25" w16cid:durableId="499194188">
    <w:abstractNumId w:val="20"/>
  </w:num>
  <w:num w:numId="26" w16cid:durableId="1702246126">
    <w:abstractNumId w:val="28"/>
  </w:num>
  <w:num w:numId="27" w16cid:durableId="258760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054750">
    <w:abstractNumId w:val="26"/>
  </w:num>
  <w:num w:numId="29" w16cid:durableId="2008628561">
    <w:abstractNumId w:val="27"/>
  </w:num>
  <w:num w:numId="30" w16cid:durableId="1445953522">
    <w:abstractNumId w:val="10"/>
  </w:num>
  <w:num w:numId="31" w16cid:durableId="20368823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0081516">
    <w:abstractNumId w:val="16"/>
  </w:num>
  <w:num w:numId="33" w16cid:durableId="737441382">
    <w:abstractNumId w:val="13"/>
  </w:num>
  <w:num w:numId="34" w16cid:durableId="972612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25EE5"/>
    <w:rsid w:val="00026CD9"/>
    <w:rsid w:val="00035D73"/>
    <w:rsid w:val="00040FDC"/>
    <w:rsid w:val="000721B7"/>
    <w:rsid w:val="00075166"/>
    <w:rsid w:val="000834DC"/>
    <w:rsid w:val="00094AC8"/>
    <w:rsid w:val="000A27A4"/>
    <w:rsid w:val="000A6B20"/>
    <w:rsid w:val="000B7D74"/>
    <w:rsid w:val="000D0058"/>
    <w:rsid w:val="000D4703"/>
    <w:rsid w:val="000E7CF7"/>
    <w:rsid w:val="000F2CC2"/>
    <w:rsid w:val="000F58FD"/>
    <w:rsid w:val="0010594C"/>
    <w:rsid w:val="001109B1"/>
    <w:rsid w:val="00115D7B"/>
    <w:rsid w:val="00120444"/>
    <w:rsid w:val="00127669"/>
    <w:rsid w:val="00144DB5"/>
    <w:rsid w:val="0015008E"/>
    <w:rsid w:val="00150E2E"/>
    <w:rsid w:val="00154296"/>
    <w:rsid w:val="00161E4F"/>
    <w:rsid w:val="00172352"/>
    <w:rsid w:val="001A0413"/>
    <w:rsid w:val="001A7D77"/>
    <w:rsid w:val="001B2E9B"/>
    <w:rsid w:val="001B6194"/>
    <w:rsid w:val="001B7488"/>
    <w:rsid w:val="001C1FEA"/>
    <w:rsid w:val="001D4160"/>
    <w:rsid w:val="001E0E53"/>
    <w:rsid w:val="001E16AD"/>
    <w:rsid w:val="001E2AEA"/>
    <w:rsid w:val="001E63E1"/>
    <w:rsid w:val="001F0046"/>
    <w:rsid w:val="001F6DC4"/>
    <w:rsid w:val="00203BAB"/>
    <w:rsid w:val="00204069"/>
    <w:rsid w:val="00207266"/>
    <w:rsid w:val="002104D7"/>
    <w:rsid w:val="00221E2E"/>
    <w:rsid w:val="00236DC5"/>
    <w:rsid w:val="00242161"/>
    <w:rsid w:val="002423A3"/>
    <w:rsid w:val="0025040A"/>
    <w:rsid w:val="0026041D"/>
    <w:rsid w:val="0026465F"/>
    <w:rsid w:val="00275224"/>
    <w:rsid w:val="00292223"/>
    <w:rsid w:val="00293924"/>
    <w:rsid w:val="002A206E"/>
    <w:rsid w:val="002B385A"/>
    <w:rsid w:val="002D5051"/>
    <w:rsid w:val="002E3B3E"/>
    <w:rsid w:val="002E4A14"/>
    <w:rsid w:val="002E67C4"/>
    <w:rsid w:val="002E7F87"/>
    <w:rsid w:val="002F6BA6"/>
    <w:rsid w:val="003071B0"/>
    <w:rsid w:val="0031249F"/>
    <w:rsid w:val="00314596"/>
    <w:rsid w:val="00321731"/>
    <w:rsid w:val="00321BA4"/>
    <w:rsid w:val="00323D27"/>
    <w:rsid w:val="0032404B"/>
    <w:rsid w:val="00336A18"/>
    <w:rsid w:val="00344753"/>
    <w:rsid w:val="003558CD"/>
    <w:rsid w:val="0037103B"/>
    <w:rsid w:val="00375A6A"/>
    <w:rsid w:val="00380897"/>
    <w:rsid w:val="00392D7E"/>
    <w:rsid w:val="003A4518"/>
    <w:rsid w:val="003A532B"/>
    <w:rsid w:val="003A7517"/>
    <w:rsid w:val="003E12DC"/>
    <w:rsid w:val="003F0E5B"/>
    <w:rsid w:val="003F2759"/>
    <w:rsid w:val="003F7001"/>
    <w:rsid w:val="00403B33"/>
    <w:rsid w:val="00407B45"/>
    <w:rsid w:val="0041279A"/>
    <w:rsid w:val="00413A40"/>
    <w:rsid w:val="0041461A"/>
    <w:rsid w:val="004162EA"/>
    <w:rsid w:val="00417B4C"/>
    <w:rsid w:val="0042071B"/>
    <w:rsid w:val="004251E9"/>
    <w:rsid w:val="004355FD"/>
    <w:rsid w:val="00436FCD"/>
    <w:rsid w:val="00440685"/>
    <w:rsid w:val="004408EC"/>
    <w:rsid w:val="00445050"/>
    <w:rsid w:val="00452A41"/>
    <w:rsid w:val="00457FFD"/>
    <w:rsid w:val="00462419"/>
    <w:rsid w:val="00463A93"/>
    <w:rsid w:val="00464D18"/>
    <w:rsid w:val="00476FFD"/>
    <w:rsid w:val="00487DD1"/>
    <w:rsid w:val="00490EF9"/>
    <w:rsid w:val="00495455"/>
    <w:rsid w:val="004973C9"/>
    <w:rsid w:val="004A52B6"/>
    <w:rsid w:val="004A5D85"/>
    <w:rsid w:val="004B5E55"/>
    <w:rsid w:val="004C1349"/>
    <w:rsid w:val="004C3015"/>
    <w:rsid w:val="004C4DA0"/>
    <w:rsid w:val="004D0CF2"/>
    <w:rsid w:val="004E48F1"/>
    <w:rsid w:val="005031A4"/>
    <w:rsid w:val="005125F5"/>
    <w:rsid w:val="00531DF8"/>
    <w:rsid w:val="00532DE9"/>
    <w:rsid w:val="00536523"/>
    <w:rsid w:val="00545280"/>
    <w:rsid w:val="00551270"/>
    <w:rsid w:val="00562DBA"/>
    <w:rsid w:val="00584A2B"/>
    <w:rsid w:val="0059648E"/>
    <w:rsid w:val="005A2770"/>
    <w:rsid w:val="005B3726"/>
    <w:rsid w:val="005D2B6F"/>
    <w:rsid w:val="005D3579"/>
    <w:rsid w:val="005D76F9"/>
    <w:rsid w:val="005E0A90"/>
    <w:rsid w:val="005E0D7A"/>
    <w:rsid w:val="005E561A"/>
    <w:rsid w:val="005E6751"/>
    <w:rsid w:val="005F1BA0"/>
    <w:rsid w:val="00601569"/>
    <w:rsid w:val="00625F32"/>
    <w:rsid w:val="00626349"/>
    <w:rsid w:val="00632E50"/>
    <w:rsid w:val="00653DB5"/>
    <w:rsid w:val="00664C96"/>
    <w:rsid w:val="00674457"/>
    <w:rsid w:val="00675187"/>
    <w:rsid w:val="00680A10"/>
    <w:rsid w:val="00682690"/>
    <w:rsid w:val="00684C92"/>
    <w:rsid w:val="006944EE"/>
    <w:rsid w:val="006A0130"/>
    <w:rsid w:val="006A3087"/>
    <w:rsid w:val="006A36C2"/>
    <w:rsid w:val="006A5AD2"/>
    <w:rsid w:val="006A65E6"/>
    <w:rsid w:val="006D1BC2"/>
    <w:rsid w:val="006D7F4A"/>
    <w:rsid w:val="006E55F5"/>
    <w:rsid w:val="006F06B2"/>
    <w:rsid w:val="00702D36"/>
    <w:rsid w:val="007112C8"/>
    <w:rsid w:val="00715765"/>
    <w:rsid w:val="0073774E"/>
    <w:rsid w:val="007463B9"/>
    <w:rsid w:val="00751F83"/>
    <w:rsid w:val="00760831"/>
    <w:rsid w:val="00777411"/>
    <w:rsid w:val="00781F8F"/>
    <w:rsid w:val="00784DF8"/>
    <w:rsid w:val="00791985"/>
    <w:rsid w:val="007B113D"/>
    <w:rsid w:val="007B7998"/>
    <w:rsid w:val="007C39F5"/>
    <w:rsid w:val="007C3D2A"/>
    <w:rsid w:val="007C5BDC"/>
    <w:rsid w:val="007E5108"/>
    <w:rsid w:val="007F3278"/>
    <w:rsid w:val="00803F33"/>
    <w:rsid w:val="0080428F"/>
    <w:rsid w:val="00811777"/>
    <w:rsid w:val="00812E06"/>
    <w:rsid w:val="00817CDC"/>
    <w:rsid w:val="00820F10"/>
    <w:rsid w:val="008227A1"/>
    <w:rsid w:val="0082515C"/>
    <w:rsid w:val="0084263F"/>
    <w:rsid w:val="00844318"/>
    <w:rsid w:val="008448AD"/>
    <w:rsid w:val="00845DD1"/>
    <w:rsid w:val="008466BB"/>
    <w:rsid w:val="008549CC"/>
    <w:rsid w:val="00865683"/>
    <w:rsid w:val="00867AC7"/>
    <w:rsid w:val="00875069"/>
    <w:rsid w:val="00881F77"/>
    <w:rsid w:val="00886FB2"/>
    <w:rsid w:val="0089319D"/>
    <w:rsid w:val="00893D5A"/>
    <w:rsid w:val="0089511D"/>
    <w:rsid w:val="008B24A7"/>
    <w:rsid w:val="008B4F78"/>
    <w:rsid w:val="008B5E65"/>
    <w:rsid w:val="008B6DBD"/>
    <w:rsid w:val="008D631F"/>
    <w:rsid w:val="008E1F10"/>
    <w:rsid w:val="008F254D"/>
    <w:rsid w:val="008F5031"/>
    <w:rsid w:val="008F7DA4"/>
    <w:rsid w:val="00900D06"/>
    <w:rsid w:val="009037A5"/>
    <w:rsid w:val="00907084"/>
    <w:rsid w:val="009143CB"/>
    <w:rsid w:val="009165C1"/>
    <w:rsid w:val="009208CF"/>
    <w:rsid w:val="009233BE"/>
    <w:rsid w:val="00926193"/>
    <w:rsid w:val="009336E9"/>
    <w:rsid w:val="009443D7"/>
    <w:rsid w:val="00957531"/>
    <w:rsid w:val="00960EF8"/>
    <w:rsid w:val="009632FB"/>
    <w:rsid w:val="00975D32"/>
    <w:rsid w:val="009773F0"/>
    <w:rsid w:val="00990D32"/>
    <w:rsid w:val="009913AE"/>
    <w:rsid w:val="00991490"/>
    <w:rsid w:val="00996425"/>
    <w:rsid w:val="009A564D"/>
    <w:rsid w:val="009B121F"/>
    <w:rsid w:val="009D1BD4"/>
    <w:rsid w:val="009D1EC5"/>
    <w:rsid w:val="009E2DF9"/>
    <w:rsid w:val="009F1B88"/>
    <w:rsid w:val="00A024FB"/>
    <w:rsid w:val="00A0754B"/>
    <w:rsid w:val="00A16B23"/>
    <w:rsid w:val="00A31654"/>
    <w:rsid w:val="00A32B0E"/>
    <w:rsid w:val="00A33322"/>
    <w:rsid w:val="00A35441"/>
    <w:rsid w:val="00A379D2"/>
    <w:rsid w:val="00A37ED7"/>
    <w:rsid w:val="00A446B6"/>
    <w:rsid w:val="00A56CCC"/>
    <w:rsid w:val="00A60CEC"/>
    <w:rsid w:val="00A7218A"/>
    <w:rsid w:val="00A93903"/>
    <w:rsid w:val="00AA5C4F"/>
    <w:rsid w:val="00AB57CB"/>
    <w:rsid w:val="00AE3465"/>
    <w:rsid w:val="00AF334D"/>
    <w:rsid w:val="00B04634"/>
    <w:rsid w:val="00B100EB"/>
    <w:rsid w:val="00B156C1"/>
    <w:rsid w:val="00B15C20"/>
    <w:rsid w:val="00B242E1"/>
    <w:rsid w:val="00B404FF"/>
    <w:rsid w:val="00B41556"/>
    <w:rsid w:val="00B435F2"/>
    <w:rsid w:val="00B506E5"/>
    <w:rsid w:val="00B60795"/>
    <w:rsid w:val="00B8479D"/>
    <w:rsid w:val="00B93068"/>
    <w:rsid w:val="00BA4CAB"/>
    <w:rsid w:val="00BA69C8"/>
    <w:rsid w:val="00BB0191"/>
    <w:rsid w:val="00BB08AF"/>
    <w:rsid w:val="00BC3B17"/>
    <w:rsid w:val="00BC46E8"/>
    <w:rsid w:val="00BC7464"/>
    <w:rsid w:val="00BC7825"/>
    <w:rsid w:val="00BD14E5"/>
    <w:rsid w:val="00BD4A61"/>
    <w:rsid w:val="00BF0AAF"/>
    <w:rsid w:val="00BF23DB"/>
    <w:rsid w:val="00BF3779"/>
    <w:rsid w:val="00BF6767"/>
    <w:rsid w:val="00BF7EEF"/>
    <w:rsid w:val="00C05759"/>
    <w:rsid w:val="00C064F4"/>
    <w:rsid w:val="00C16A4C"/>
    <w:rsid w:val="00C17E4C"/>
    <w:rsid w:val="00C327F6"/>
    <w:rsid w:val="00C32C7F"/>
    <w:rsid w:val="00C34B6E"/>
    <w:rsid w:val="00C446AB"/>
    <w:rsid w:val="00C47294"/>
    <w:rsid w:val="00C507B2"/>
    <w:rsid w:val="00C54285"/>
    <w:rsid w:val="00C567E7"/>
    <w:rsid w:val="00C6237A"/>
    <w:rsid w:val="00C760FE"/>
    <w:rsid w:val="00C769B1"/>
    <w:rsid w:val="00C76E10"/>
    <w:rsid w:val="00C833CD"/>
    <w:rsid w:val="00C84FD3"/>
    <w:rsid w:val="00C850DD"/>
    <w:rsid w:val="00C902CD"/>
    <w:rsid w:val="00C9242E"/>
    <w:rsid w:val="00C95979"/>
    <w:rsid w:val="00CB5337"/>
    <w:rsid w:val="00CB7EB2"/>
    <w:rsid w:val="00CC6BA2"/>
    <w:rsid w:val="00CD38C0"/>
    <w:rsid w:val="00CD6122"/>
    <w:rsid w:val="00CE1582"/>
    <w:rsid w:val="00CE69A6"/>
    <w:rsid w:val="00CF08E3"/>
    <w:rsid w:val="00CF3B3B"/>
    <w:rsid w:val="00CF4286"/>
    <w:rsid w:val="00D11068"/>
    <w:rsid w:val="00D24161"/>
    <w:rsid w:val="00D2654D"/>
    <w:rsid w:val="00D30343"/>
    <w:rsid w:val="00D407CE"/>
    <w:rsid w:val="00D43AF7"/>
    <w:rsid w:val="00D43BD3"/>
    <w:rsid w:val="00D43CA6"/>
    <w:rsid w:val="00D43FE0"/>
    <w:rsid w:val="00D85439"/>
    <w:rsid w:val="00D86AF9"/>
    <w:rsid w:val="00D903EF"/>
    <w:rsid w:val="00D92449"/>
    <w:rsid w:val="00D948A8"/>
    <w:rsid w:val="00DA1394"/>
    <w:rsid w:val="00DB38E2"/>
    <w:rsid w:val="00DB3E49"/>
    <w:rsid w:val="00DC0670"/>
    <w:rsid w:val="00DC56AD"/>
    <w:rsid w:val="00DC7034"/>
    <w:rsid w:val="00DD1308"/>
    <w:rsid w:val="00DD39EE"/>
    <w:rsid w:val="00DD5595"/>
    <w:rsid w:val="00DE296E"/>
    <w:rsid w:val="00DE3700"/>
    <w:rsid w:val="00DE647A"/>
    <w:rsid w:val="00DF0003"/>
    <w:rsid w:val="00DF634C"/>
    <w:rsid w:val="00E009D6"/>
    <w:rsid w:val="00E07C17"/>
    <w:rsid w:val="00E14DBF"/>
    <w:rsid w:val="00E40CA5"/>
    <w:rsid w:val="00E60E59"/>
    <w:rsid w:val="00E67EA8"/>
    <w:rsid w:val="00E71997"/>
    <w:rsid w:val="00EA0D88"/>
    <w:rsid w:val="00EA1A5E"/>
    <w:rsid w:val="00EC0C22"/>
    <w:rsid w:val="00EC2C26"/>
    <w:rsid w:val="00ED78D5"/>
    <w:rsid w:val="00ED7ED7"/>
    <w:rsid w:val="00EE1223"/>
    <w:rsid w:val="00EE74DA"/>
    <w:rsid w:val="00F01DAD"/>
    <w:rsid w:val="00F0257B"/>
    <w:rsid w:val="00F06AEB"/>
    <w:rsid w:val="00F078B8"/>
    <w:rsid w:val="00F16384"/>
    <w:rsid w:val="00F24445"/>
    <w:rsid w:val="00F31D27"/>
    <w:rsid w:val="00F33316"/>
    <w:rsid w:val="00F33645"/>
    <w:rsid w:val="00F42EE8"/>
    <w:rsid w:val="00F454C7"/>
    <w:rsid w:val="00F456FA"/>
    <w:rsid w:val="00F45FD8"/>
    <w:rsid w:val="00F56428"/>
    <w:rsid w:val="00F66B29"/>
    <w:rsid w:val="00F7048E"/>
    <w:rsid w:val="00F73F11"/>
    <w:rsid w:val="00F9293B"/>
    <w:rsid w:val="00F95A1C"/>
    <w:rsid w:val="00F97752"/>
    <w:rsid w:val="00FA0841"/>
    <w:rsid w:val="00FB4D19"/>
    <w:rsid w:val="00FD6F56"/>
    <w:rsid w:val="00FE3096"/>
    <w:rsid w:val="00FF1D0E"/>
    <w:rsid w:val="00FF2E6B"/>
    <w:rsid w:val="650C5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DF0902C4-75FD-48B8-99E9-9C791CE3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4E"/>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rsid w:val="0073774E"/>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3774E"/>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3774E"/>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3774E"/>
    <w:pPr>
      <w:numPr>
        <w:numId w:val="34"/>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3774E"/>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3774E"/>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3774E"/>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3774E"/>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3774E"/>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74E"/>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73774E"/>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73774E"/>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73774E"/>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73774E"/>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73774E"/>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73774E"/>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73774E"/>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73774E"/>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fr-FR"/>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fr-FR"/>
    </w:rPr>
  </w:style>
  <w:style w:type="character" w:styleId="PageNumber">
    <w:name w:val="page number"/>
    <w:semiHidden/>
    <w:rsid w:val="0073774E"/>
    <w:rPr>
      <w:rFonts w:ascii="Times New Roman" w:hAnsi="Times New Roman"/>
      <w:b/>
      <w:sz w:val="18"/>
      <w:lang w:val="fr-FR"/>
    </w:rPr>
  </w:style>
  <w:style w:type="table" w:customStyle="1" w:styleId="Tabledocright">
    <w:name w:val="Table_doc_right"/>
    <w:basedOn w:val="TableNormal"/>
    <w:rsid w:val="0073774E"/>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3774E"/>
    <w:pPr>
      <w:ind w:left="1000"/>
    </w:pPr>
    <w:rPr>
      <w:sz w:val="18"/>
      <w:szCs w:val="18"/>
    </w:rPr>
  </w:style>
  <w:style w:type="paragraph" w:styleId="TOC7">
    <w:name w:val="toc 7"/>
    <w:basedOn w:val="Normal"/>
    <w:next w:val="Normal"/>
    <w:autoRedefine/>
    <w:semiHidden/>
    <w:rsid w:val="0073774E"/>
    <w:pPr>
      <w:ind w:left="1200"/>
    </w:pPr>
    <w:rPr>
      <w:sz w:val="18"/>
      <w:szCs w:val="18"/>
    </w:rPr>
  </w:style>
  <w:style w:type="paragraph" w:styleId="TOC8">
    <w:name w:val="toc 8"/>
    <w:basedOn w:val="Normal"/>
    <w:next w:val="Normal"/>
    <w:autoRedefine/>
    <w:semiHidden/>
    <w:rsid w:val="0073774E"/>
    <w:pPr>
      <w:ind w:left="1400"/>
    </w:pPr>
    <w:rPr>
      <w:sz w:val="18"/>
      <w:szCs w:val="18"/>
    </w:rPr>
  </w:style>
  <w:style w:type="paragraph" w:styleId="TOC9">
    <w:name w:val="toc 9"/>
    <w:basedOn w:val="Normal"/>
    <w:next w:val="Normal"/>
    <w:autoRedefine/>
    <w:semiHidden/>
    <w:rsid w:val="0073774E"/>
    <w:pPr>
      <w:ind w:left="1600"/>
    </w:pPr>
    <w:rPr>
      <w:sz w:val="18"/>
      <w:szCs w:val="18"/>
    </w:rPr>
  </w:style>
  <w:style w:type="paragraph" w:customStyle="1" w:styleId="Titlefigure">
    <w:name w:val="Title_figure"/>
    <w:basedOn w:val="Titletable"/>
    <w:next w:val="NormalNonumber"/>
    <w:rsid w:val="0073774E"/>
    <w:rPr>
      <w:bCs w:val="0"/>
    </w:rPr>
  </w:style>
  <w:style w:type="paragraph" w:styleId="TableofFigures">
    <w:name w:val="table of figures"/>
    <w:basedOn w:val="Normal"/>
    <w:next w:val="Normal"/>
    <w:autoRedefine/>
    <w:semiHidden/>
    <w:rsid w:val="0073774E"/>
    <w:pPr>
      <w:ind w:left="1814" w:hanging="567"/>
    </w:pPr>
  </w:style>
  <w:style w:type="paragraph" w:customStyle="1" w:styleId="CH1">
    <w:name w:val="CH1"/>
    <w:basedOn w:val="Normal-pool"/>
    <w:next w:val="CH2"/>
    <w:qFormat/>
    <w:rsid w:val="0073774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3774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3774E"/>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73774E"/>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3774E"/>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
    <w:next w:val="Normal"/>
    <w:rsid w:val="0073774E"/>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73774E"/>
    <w:pPr>
      <w:pBdr>
        <w:bottom w:val="single" w:sz="4" w:space="1" w:color="auto"/>
      </w:pBdr>
      <w:tabs>
        <w:tab w:val="center" w:pos="4536"/>
        <w:tab w:val="right" w:pos="9072"/>
      </w:tabs>
      <w:spacing w:after="120"/>
    </w:pPr>
    <w:rPr>
      <w:b/>
      <w:sz w:val="18"/>
    </w:rPr>
  </w:style>
  <w:style w:type="character" w:styleId="FootnoteReference">
    <w:name w:val="footnote reference"/>
    <w:rsid w:val="0073774E"/>
    <w:rPr>
      <w:rFonts w:ascii="Times New Roman" w:hAnsi="Times New Roman"/>
      <w:color w:val="auto"/>
      <w:sz w:val="20"/>
      <w:szCs w:val="18"/>
      <w:vertAlign w:val="superscript"/>
      <w:lang w:val="fr-FR"/>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3774E"/>
    <w:pPr>
      <w:keepNext/>
      <w:keepLines/>
      <w:suppressAutoHyphens/>
    </w:pPr>
    <w:rPr>
      <w:b/>
    </w:rPr>
  </w:style>
  <w:style w:type="paragraph" w:customStyle="1" w:styleId="AATitle2">
    <w:name w:val="AA_Title2"/>
    <w:basedOn w:val="AATitle"/>
    <w:qFormat/>
    <w:rsid w:val="0073774E"/>
    <w:pPr>
      <w:keepNext w:val="0"/>
      <w:keepLines w:val="0"/>
      <w:spacing w:before="120" w:after="120"/>
    </w:pPr>
  </w:style>
  <w:style w:type="paragraph" w:customStyle="1" w:styleId="BBTitle">
    <w:name w:val="BB_Title"/>
    <w:basedOn w:val="Normal-pool"/>
    <w:qFormat/>
    <w:rsid w:val="0073774E"/>
    <w:pPr>
      <w:keepNext/>
      <w:keepLines/>
      <w:suppressAutoHyphens/>
      <w:spacing w:before="320" w:after="240"/>
      <w:ind w:left="1247" w:right="567"/>
    </w:pPr>
    <w:rPr>
      <w:b/>
      <w:sz w:val="28"/>
      <w:szCs w:val="28"/>
    </w:rPr>
  </w:style>
  <w:style w:type="paragraph" w:customStyle="1" w:styleId="CH4">
    <w:name w:val="CH4"/>
    <w:basedOn w:val="Normal-pool"/>
    <w:next w:val="Normalnumber"/>
    <w:rsid w:val="0073774E"/>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73774E"/>
    <w:pPr>
      <w:tabs>
        <w:tab w:val="clear" w:pos="1247"/>
        <w:tab w:val="clear" w:pos="1814"/>
        <w:tab w:val="clear" w:pos="2381"/>
        <w:tab w:val="clear" w:pos="2948"/>
        <w:tab w:val="clear" w:pos="3515"/>
        <w:tab w:val="center" w:pos="4513"/>
        <w:tab w:val="right" w:pos="9026"/>
      </w:tabs>
    </w:pPr>
  </w:style>
  <w:style w:type="character" w:customStyle="1" w:styleId="HeaderChar">
    <w:name w:val="Header Char"/>
    <w:basedOn w:val="DefaultParagraphFont"/>
    <w:link w:val="Header"/>
    <w:uiPriority w:val="99"/>
    <w:semiHidden/>
    <w:rsid w:val="0073774E"/>
    <w:rPr>
      <w:rFonts w:ascii="Times New Roman" w:eastAsia="Times New Roman" w:hAnsi="Times New Roman" w:cs="Times New Roman"/>
      <w:kern w:val="0"/>
      <w:sz w:val="20"/>
      <w:szCs w:val="20"/>
      <w:lang w:val="fr-FR" w:eastAsia="en-US"/>
      <w14:ligatures w14:val="none"/>
    </w:rPr>
  </w:style>
  <w:style w:type="character" w:styleId="Hyperlink">
    <w:name w:val="Hyperlink"/>
    <w:basedOn w:val="DefaultParagraphFont"/>
    <w:uiPriority w:val="99"/>
    <w:rsid w:val="0073774E"/>
    <w:rPr>
      <w:color w:val="0000FF"/>
      <w:u w:val="none"/>
      <w:lang w:val="fr-FR"/>
    </w:rPr>
  </w:style>
  <w:style w:type="numbering" w:customStyle="1" w:styleId="Normallist">
    <w:name w:val="Normal_list"/>
    <w:basedOn w:val="NoList"/>
    <w:rsid w:val="0073774E"/>
    <w:pPr>
      <w:numPr>
        <w:numId w:val="1"/>
      </w:numPr>
    </w:pPr>
  </w:style>
  <w:style w:type="paragraph" w:customStyle="1" w:styleId="NormalNonumber">
    <w:name w:val="Normal_No_number"/>
    <w:basedOn w:val="Normal-pool"/>
    <w:qFormat/>
    <w:rsid w:val="0073774E"/>
    <w:pPr>
      <w:spacing w:after="120"/>
      <w:ind w:left="1247"/>
    </w:pPr>
  </w:style>
  <w:style w:type="paragraph" w:customStyle="1" w:styleId="Normalnumber">
    <w:name w:val="Normal_number"/>
    <w:basedOn w:val="Normal"/>
    <w:link w:val="NormalnumberChar"/>
    <w:qFormat/>
    <w:rsid w:val="0073774E"/>
    <w:pPr>
      <w:numPr>
        <w:numId w:val="31"/>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73774E"/>
    <w:pPr>
      <w:keepNext/>
      <w:keepLines/>
      <w:suppressAutoHyphens/>
      <w:spacing w:after="60"/>
      <w:ind w:left="1247"/>
    </w:pPr>
    <w:rPr>
      <w:b/>
      <w:bCs/>
    </w:rPr>
  </w:style>
  <w:style w:type="paragraph" w:styleId="TOC1">
    <w:name w:val="toc 1"/>
    <w:basedOn w:val="Normal"/>
    <w:next w:val="Normal"/>
    <w:autoRedefine/>
    <w:uiPriority w:val="39"/>
    <w:unhideWhenUsed/>
    <w:rsid w:val="0073774E"/>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73774E"/>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73774E"/>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73774E"/>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73774E"/>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73774E"/>
    <w:rPr>
      <w:b/>
      <w:bCs/>
      <w:sz w:val="28"/>
      <w:szCs w:val="22"/>
    </w:rPr>
  </w:style>
  <w:style w:type="paragraph" w:customStyle="1" w:styleId="ZZAnxtitle">
    <w:name w:val="ZZ_Anx_title"/>
    <w:basedOn w:val="Normal-pool"/>
    <w:rsid w:val="0073774E"/>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3774E"/>
    <w:pPr>
      <w:spacing w:before="40" w:after="40"/>
    </w:pPr>
    <w:rPr>
      <w:sz w:val="18"/>
    </w:rPr>
  </w:style>
  <w:style w:type="paragraph" w:customStyle="1" w:styleId="Footnote-Text">
    <w:name w:val="Footnote-Text"/>
    <w:basedOn w:val="Normal-pool"/>
    <w:rsid w:val="0073774E"/>
    <w:pPr>
      <w:spacing w:before="20" w:after="40"/>
      <w:ind w:left="1247"/>
    </w:pPr>
    <w:rPr>
      <w:sz w:val="18"/>
    </w:rPr>
  </w:style>
  <w:style w:type="paragraph" w:customStyle="1" w:styleId="AConvName">
    <w:name w:val="A_ConvName"/>
    <w:basedOn w:val="Normal-pool"/>
    <w:next w:val="Normal-pool"/>
    <w:rsid w:val="0073774E"/>
    <w:pPr>
      <w:tabs>
        <w:tab w:val="clear" w:pos="1247"/>
      </w:tabs>
      <w:spacing w:before="120" w:after="240"/>
    </w:pPr>
    <w:rPr>
      <w:rFonts w:ascii="Arial" w:hAnsi="Arial"/>
      <w:b/>
      <w:sz w:val="28"/>
    </w:rPr>
  </w:style>
  <w:style w:type="paragraph" w:customStyle="1" w:styleId="ASymbol">
    <w:name w:val="A_Symbol"/>
    <w:basedOn w:val="Normal-pool"/>
    <w:rsid w:val="0073774E"/>
    <w:pPr>
      <w:tabs>
        <w:tab w:val="clear" w:pos="1247"/>
      </w:tabs>
    </w:pPr>
  </w:style>
  <w:style w:type="paragraph" w:customStyle="1" w:styleId="AText">
    <w:name w:val="A_Text"/>
    <w:basedOn w:val="Normal-pool"/>
    <w:rsid w:val="0073774E"/>
    <w:pPr>
      <w:spacing w:before="120"/>
    </w:pPr>
  </w:style>
  <w:style w:type="paragraph" w:customStyle="1" w:styleId="ATwoLetters">
    <w:name w:val="A_TwoLetters"/>
    <w:basedOn w:val="Normal-pool"/>
    <w:next w:val="Normal-pool"/>
    <w:rsid w:val="0073774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3774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fr-FR" w:eastAsia="en-US"/>
      <w14:ligatures w14:val="none"/>
    </w:rPr>
  </w:style>
  <w:style w:type="character" w:styleId="CommentReference">
    <w:name w:val="annotation reference"/>
    <w:basedOn w:val="DefaultParagraphFont"/>
    <w:semiHidden/>
    <w:unhideWhenUsed/>
    <w:rsid w:val="0073774E"/>
    <w:rPr>
      <w:sz w:val="16"/>
      <w:szCs w:val="16"/>
      <w:lang w:val="fr-FR"/>
    </w:rPr>
  </w:style>
  <w:style w:type="paragraph" w:styleId="CommentText">
    <w:name w:val="annotation text"/>
    <w:basedOn w:val="Normal"/>
    <w:link w:val="CommentTextChar"/>
    <w:unhideWhenUsed/>
    <w:rsid w:val="0073774E"/>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73774E"/>
    <w:rPr>
      <w:rFonts w:ascii="Times New Roman" w:eastAsia="Times New Roman" w:hAnsi="Times New Roman" w:cs="Times New Roman"/>
      <w:kern w:val="0"/>
      <w:sz w:val="20"/>
      <w:szCs w:val="20"/>
      <w:lang w:val="fr-FR" w:eastAsia="en-US"/>
      <w14:ligatures w14:val="none"/>
    </w:rPr>
  </w:style>
  <w:style w:type="paragraph" w:styleId="CommentSubject">
    <w:name w:val="annotation subject"/>
    <w:basedOn w:val="CommentText"/>
    <w:next w:val="CommentText"/>
    <w:link w:val="CommentSubjectChar"/>
    <w:semiHidden/>
    <w:unhideWhenUsed/>
    <w:rsid w:val="0073774E"/>
    <w:rPr>
      <w:b/>
      <w:bCs/>
    </w:rPr>
  </w:style>
  <w:style w:type="character" w:customStyle="1" w:styleId="CommentSubjectChar">
    <w:name w:val="Comment Subject Char"/>
    <w:basedOn w:val="CommentTextChar"/>
    <w:link w:val="CommentSubject"/>
    <w:semiHidden/>
    <w:rsid w:val="0073774E"/>
    <w:rPr>
      <w:rFonts w:ascii="Times New Roman" w:eastAsia="Times New Roman" w:hAnsi="Times New Roman" w:cs="Times New Roman"/>
      <w:b/>
      <w:bCs/>
      <w:kern w:val="0"/>
      <w:sz w:val="20"/>
      <w:szCs w:val="20"/>
      <w:lang w:val="fr-FR" w:eastAsia="en-US"/>
      <w14:ligatures w14:val="none"/>
    </w:rPr>
  </w:style>
  <w:style w:type="character" w:styleId="FollowedHyperlink">
    <w:name w:val="FollowedHyperlink"/>
    <w:uiPriority w:val="99"/>
    <w:semiHidden/>
    <w:rsid w:val="0073774E"/>
    <w:rPr>
      <w:color w:val="0000FF"/>
      <w:u w:val="none"/>
      <w:lang w:val="fr-FR"/>
    </w:rPr>
  </w:style>
  <w:style w:type="character" w:customStyle="1" w:styleId="FooterChar">
    <w:name w:val="Footer Char"/>
    <w:basedOn w:val="DefaultParagraphFont"/>
    <w:link w:val="Footer"/>
    <w:uiPriority w:val="99"/>
    <w:rsid w:val="0073774E"/>
    <w:rPr>
      <w:rFonts w:ascii="Times New Roman" w:eastAsia="Times New Roman" w:hAnsi="Times New Roman" w:cs="Times New Roman"/>
      <w:kern w:val="0"/>
      <w:sz w:val="20"/>
      <w:szCs w:val="20"/>
      <w:lang w:val="fr-FR"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val="fr-FR" w:eastAsia="en-US"/>
      <w14:ligatures w14:val="none"/>
    </w:rPr>
  </w:style>
  <w:style w:type="character" w:customStyle="1" w:styleId="NormalnumberChar">
    <w:name w:val="Normal_number Char"/>
    <w:link w:val="Normalnumber"/>
    <w:rsid w:val="0073774E"/>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035D73"/>
    <w:rPr>
      <w:color w:val="808080"/>
      <w:lang w:val="fr-FR"/>
    </w:rPr>
  </w:style>
  <w:style w:type="table" w:styleId="TableGrid">
    <w:name w:val="Table Grid"/>
    <w:basedOn w:val="TableNormal"/>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3774E"/>
    <w:pPr>
      <w:spacing w:before="120" w:after="240"/>
    </w:pPr>
    <w:rPr>
      <w:rFonts w:eastAsia="Times New Roman"/>
    </w:rPr>
  </w:style>
  <w:style w:type="character" w:customStyle="1" w:styleId="ALogoChar">
    <w:name w:val="A_Logo Char"/>
    <w:basedOn w:val="DefaultParagraphFont"/>
    <w:link w:val="ALogo"/>
    <w:rsid w:val="0073774E"/>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73774E"/>
    <w:rPr>
      <w:rFonts w:eastAsia="Times New Roman"/>
      <w:sz w:val="2"/>
    </w:rPr>
  </w:style>
  <w:style w:type="character" w:customStyle="1" w:styleId="ASpacerChar">
    <w:name w:val="A_Spacer Char"/>
    <w:basedOn w:val="DefaultParagraphFont"/>
    <w:link w:val="ASpacer"/>
    <w:rsid w:val="0073774E"/>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73774E"/>
  </w:style>
  <w:style w:type="character" w:styleId="UnresolvedMention">
    <w:name w:val="Unresolved Mention"/>
    <w:basedOn w:val="DefaultParagraphFont"/>
    <w:uiPriority w:val="99"/>
    <w:semiHidden/>
    <w:rsid w:val="00035D73"/>
    <w:rPr>
      <w:color w:val="605E5C"/>
      <w:shd w:val="clear" w:color="auto" w:fill="E1DFDD"/>
      <w:lang w:val="fr-FR"/>
    </w:rPr>
  </w:style>
  <w:style w:type="paragraph" w:customStyle="1" w:styleId="ANormal">
    <w:name w:val="A_Normal"/>
    <w:basedOn w:val="Normal-pool"/>
    <w:qFormat/>
    <w:rsid w:val="0073774E"/>
    <w:rPr>
      <w:rFonts w:eastAsia="Times New Roman"/>
    </w:rPr>
  </w:style>
  <w:style w:type="paragraph" w:customStyle="1" w:styleId="AText0">
    <w:name w:val="A_Text0"/>
    <w:basedOn w:val="AText"/>
    <w:next w:val="Normal-pool"/>
    <w:qFormat/>
    <w:rsid w:val="0073774E"/>
    <w:pPr>
      <w:spacing w:before="0" w:after="120"/>
    </w:pPr>
    <w:rPr>
      <w:rFonts w:eastAsia="Times New Roman"/>
    </w:rPr>
  </w:style>
  <w:style w:type="paragraph" w:styleId="Footer">
    <w:name w:val="footer"/>
    <w:basedOn w:val="Normal"/>
    <w:link w:val="FooterChar"/>
    <w:uiPriority w:val="99"/>
    <w:rsid w:val="0073774E"/>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035D73"/>
    <w:rPr>
      <w:rFonts w:ascii="Times New Roman" w:eastAsia="Times New Roman" w:hAnsi="Times New Roman" w:cs="Times New Roman"/>
      <w:b/>
      <w:kern w:val="0"/>
      <w:sz w:val="18"/>
      <w:szCs w:val="20"/>
      <w:lang w:val="fr-FR" w:eastAsia="en-US"/>
      <w14:ligatures w14:val="none"/>
    </w:rPr>
  </w:style>
  <w:style w:type="paragraph" w:customStyle="1" w:styleId="Normal-pool">
    <w:name w:val="Normal-pool"/>
    <w:link w:val="Normal-poolChar"/>
    <w:qFormat/>
    <w:rsid w:val="0073774E"/>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customStyle="1" w:styleId="Footer-jobnumber">
    <w:name w:val="Footer-jobnumber"/>
    <w:basedOn w:val="Normal-pool"/>
    <w:qFormat/>
    <w:rsid w:val="0073774E"/>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3774E"/>
    <w:pPr>
      <w:spacing w:before="60"/>
    </w:pPr>
    <w:rPr>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fr-FR"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qFormat/>
    <w:rsid w:val="00035D73"/>
    <w:rPr>
      <w:b/>
      <w:bCs/>
      <w:i/>
      <w:iCs/>
      <w:spacing w:val="5"/>
      <w:lang w:val="fr-FR"/>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qFormat/>
    <w:rsid w:val="00035D73"/>
    <w:rPr>
      <w:i/>
      <w:iCs/>
      <w:lang w:val="fr-FR"/>
    </w:rPr>
  </w:style>
  <w:style w:type="character" w:styleId="EndnoteReference">
    <w:name w:val="endnote reference"/>
    <w:basedOn w:val="DefaultParagraphFont"/>
    <w:uiPriority w:val="99"/>
    <w:semiHidden/>
    <w:unhideWhenUsed/>
    <w:rsid w:val="00035D73"/>
    <w:rPr>
      <w:vertAlign w:val="superscript"/>
      <w:lang w:val="fr-FR"/>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semiHidden/>
    <w:rsid w:val="0073774E"/>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035D73"/>
    <w:rPr>
      <w:rFonts w:ascii="Times New Roman" w:eastAsia="Times New Roman" w:hAnsi="Times New Roman" w:cs="Times New Roman"/>
      <w:kern w:val="0"/>
      <w:sz w:val="18"/>
      <w:szCs w:val="20"/>
      <w:lang w:val="fr-FR"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fr-FR"/>
    </w:rPr>
  </w:style>
  <w:style w:type="character" w:styleId="HTMLAcronym">
    <w:name w:val="HTML Acronym"/>
    <w:basedOn w:val="DefaultParagraphFont"/>
    <w:uiPriority w:val="99"/>
    <w:semiHidden/>
    <w:unhideWhenUsed/>
    <w:rsid w:val="00035D73"/>
    <w:rPr>
      <w:lang w:val="fr-FR"/>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035D73"/>
    <w:rPr>
      <w:i/>
      <w:iCs/>
      <w:lang w:val="fr-FR"/>
    </w:rPr>
  </w:style>
  <w:style w:type="character" w:styleId="HTMLCode">
    <w:name w:val="HTML Code"/>
    <w:basedOn w:val="DefaultParagraphFont"/>
    <w:uiPriority w:val="99"/>
    <w:semiHidden/>
    <w:unhideWhenUsed/>
    <w:rsid w:val="00035D73"/>
    <w:rPr>
      <w:rFonts w:ascii="Consolas" w:hAnsi="Consolas"/>
      <w:sz w:val="20"/>
      <w:szCs w:val="20"/>
      <w:lang w:val="fr-FR"/>
    </w:rPr>
  </w:style>
  <w:style w:type="character" w:styleId="HTMLDefinition">
    <w:name w:val="HTML Definition"/>
    <w:basedOn w:val="DefaultParagraphFont"/>
    <w:uiPriority w:val="99"/>
    <w:semiHidden/>
    <w:unhideWhenUsed/>
    <w:rsid w:val="00035D73"/>
    <w:rPr>
      <w:i/>
      <w:iCs/>
      <w:lang w:val="fr-FR"/>
    </w:rPr>
  </w:style>
  <w:style w:type="character" w:styleId="HTMLKeyboard">
    <w:name w:val="HTML Keyboard"/>
    <w:basedOn w:val="DefaultParagraphFont"/>
    <w:uiPriority w:val="99"/>
    <w:semiHidden/>
    <w:unhideWhenUsed/>
    <w:rsid w:val="00035D73"/>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fr-FR"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fr-FR"/>
    </w:rPr>
  </w:style>
  <w:style w:type="character" w:styleId="HTMLTypewriter">
    <w:name w:val="HTML Typewriter"/>
    <w:basedOn w:val="DefaultParagraphFont"/>
    <w:uiPriority w:val="99"/>
    <w:semiHidden/>
    <w:unhideWhenUsed/>
    <w:rsid w:val="00035D73"/>
    <w:rPr>
      <w:rFonts w:ascii="Consolas" w:hAnsi="Consolas"/>
      <w:sz w:val="20"/>
      <w:szCs w:val="20"/>
      <w:lang w:val="fr-FR"/>
    </w:rPr>
  </w:style>
  <w:style w:type="character" w:styleId="HTMLVariable">
    <w:name w:val="HTML Variable"/>
    <w:basedOn w:val="DefaultParagraphFont"/>
    <w:uiPriority w:val="99"/>
    <w:semiHidden/>
    <w:unhideWhenUsed/>
    <w:rsid w:val="00035D73"/>
    <w:rPr>
      <w:i/>
      <w:iCs/>
      <w:lang w:val="fr-FR"/>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fr-FR"/>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semiHidden/>
    <w:rsid w:val="0073774E"/>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val="fr-FR"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fr-FR"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fr-FR"/>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fr-FR"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fr-FR"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035D73"/>
    <w:rPr>
      <w:u w:val="dotted"/>
      <w:lang w:val="fr-FR"/>
    </w:rPr>
  </w:style>
  <w:style w:type="character" w:styleId="SmartLink">
    <w:name w:val="Smart Link"/>
    <w:basedOn w:val="DefaultParagraphFont"/>
    <w:uiPriority w:val="99"/>
    <w:semiHidden/>
    <w:unhideWhenUsed/>
    <w:rsid w:val="00035D73"/>
    <w:rPr>
      <w:color w:val="0000FF"/>
      <w:u w:val="single"/>
      <w:shd w:val="clear" w:color="auto" w:fill="F3F2F1"/>
      <w:lang w:val="fr-FR"/>
    </w:rPr>
  </w:style>
  <w:style w:type="character" w:styleId="Strong">
    <w:name w:val="Strong"/>
    <w:basedOn w:val="DefaultParagraphFont"/>
    <w:uiPriority w:val="22"/>
    <w:qFormat/>
    <w:rsid w:val="00035D73"/>
    <w:rPr>
      <w:b/>
      <w:bCs/>
      <w:lang w:val="fr-FR"/>
    </w:rPr>
  </w:style>
  <w:style w:type="character" w:styleId="SubtleEmphasis">
    <w:name w:val="Subtle Emphasis"/>
    <w:basedOn w:val="DefaultParagraphFont"/>
    <w:uiPriority w:val="19"/>
    <w:qFormat/>
    <w:rsid w:val="00035D73"/>
    <w:rPr>
      <w:i/>
      <w:iCs/>
      <w:color w:val="404040" w:themeColor="text1" w:themeTint="BF"/>
      <w:lang w:val="fr-FR"/>
    </w:rPr>
  </w:style>
  <w:style w:type="character" w:styleId="SubtleReference">
    <w:name w:val="Subtle Reference"/>
    <w:basedOn w:val="DefaultParagraphFont"/>
    <w:uiPriority w:val="31"/>
    <w:qFormat/>
    <w:rsid w:val="00035D73"/>
    <w:rPr>
      <w:smallCaps/>
      <w:color w:val="5A5A5A" w:themeColor="text1" w:themeTint="A5"/>
      <w:lang w:val="fr-FR"/>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FF1D0E"/>
    <w:rPr>
      <w:rFonts w:ascii="Times New Roman" w:eastAsia="SimSun" w:hAnsi="Times New Roman" w:cs="Times New Roman"/>
      <w:kern w:val="0"/>
      <w:sz w:val="20"/>
      <w:szCs w:val="20"/>
      <w:lang w:val="fr-FR"/>
      <w14:ligatures w14:val="none"/>
    </w:rPr>
  </w:style>
  <w:style w:type="character" w:customStyle="1" w:styleId="CH2Char">
    <w:name w:val="CH2 Char"/>
    <w:link w:val="CH2"/>
    <w:rsid w:val="00FF1D0E"/>
    <w:rPr>
      <w:rFonts w:ascii="Times New Roman" w:eastAsia="SimSun" w:hAnsi="Times New Roman" w:cs="Times New Roman"/>
      <w:b/>
      <w:kern w:val="0"/>
      <w:lang w:val="fr-FR"/>
      <w14:ligatures w14:val="none"/>
    </w:rPr>
  </w:style>
  <w:style w:type="paragraph" w:styleId="Revision">
    <w:name w:val="Revision"/>
    <w:hidden/>
    <w:uiPriority w:val="99"/>
    <w:semiHidden/>
    <w:rsid w:val="001E0E53"/>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4/relationships/chartEx" Target="charts/chartEx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projects/list" TargetMode="External"/><Relationship Id="rId3" Type="http://schemas.openxmlformats.org/officeDocument/2006/relationships/hyperlink" Target="https://minamataconvention.org/fr/implementation/specific-international-programme/fourth-round" TargetMode="External"/><Relationship Id="rId7" Type="http://schemas.openxmlformats.org/officeDocument/2006/relationships/hyperlink" Target="https://minamataconvention.org/fr/node/10286" TargetMode="External"/><Relationship Id="rId2" Type="http://schemas.openxmlformats.org/officeDocument/2006/relationships/hyperlink" Target="https://minamataconvention.org/en/implementation/specific-international-programme/donors" TargetMode="External"/><Relationship Id="rId1" Type="http://schemas.openxmlformats.org/officeDocument/2006/relationships/hyperlink" Target="https://minamataconvention.org/fr/implementation/specific-international-programme/donors" TargetMode="External"/><Relationship Id="rId6" Type="http://schemas.openxmlformats.org/officeDocument/2006/relationships/hyperlink" Target="https://minamataconvention.org/en/implementation/specific-international-programme/dashboard" TargetMode="External"/><Relationship Id="rId5" Type="http://schemas.openxmlformats.org/officeDocument/2006/relationships/hyperlink" Target="https://minamataconvention.org/fr/implementation/specific-international-programme/dashboard" TargetMode="External"/><Relationship Id="rId4" Type="http://schemas.openxmlformats.org/officeDocument/2006/relationships/hyperlink" Target="https://minamataconvention.org/en/implementation/specific-international-programme/fourth-round"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Sheet1!$A$2:$A$17</cx:f>
        <cx:lvl ptCount="16">
          <cx:pt idx="0">Norvège</cx:pt>
          <cx:pt idx="1">Suisse</cx:pt>
          <cx:pt idx="2">Suède</cx:pt>
          <cx:pt idx="3">États-Unis</cx:pt>
          <cx:pt idx="4">Autriche</cx:pt>
          <cx:pt idx="5">Royaume-Uni</cx:pt>
          <cx:pt idx="6">Allemagne</cx:pt>
          <cx:pt idx="7">Pays-Bas</cx:pt>
          <cx:pt idx="8">Danemark</cx:pt>
          <cx:pt idx="9">France</cx:pt>
        </cx:lvl>
        <cx:lvl ptCount="0"/>
        <cx:lvl ptCount="0"/>
      </cx:strDim>
      <cx:numDim type="size">
        <cx:f>Sheet1!$B$2:$B$17</cx:f>
        <cx:lvl ptCount="16" formatCode="_(&quot;$&quot;* # ##0,00_);_(&quot;$&quot;* \(# ##0,00\);_(&quot;$&quot;* &quot;-&quot;??_);_(@_)">
          <cx:pt idx="0">110522</cx:pt>
          <cx:pt idx="1">128276</cx:pt>
          <cx:pt idx="2">193673</cx:pt>
          <cx:pt idx="3">480075</cx:pt>
          <cx:pt idx="4">184721</cx:pt>
          <cx:pt idx="5">95235</cx:pt>
          <cx:pt idx="6">643718</cx:pt>
          <cx:pt idx="7">172826</cx:pt>
          <cx:pt idx="8">50992</cx:pt>
          <cx:pt idx="9">214133</cx:pt>
        </cx:lvl>
      </cx:numDim>
    </cx:data>
  </cx:chartData>
  <cx:chart>
    <cx:plotArea>
      <cx:plotAreaRegion>
        <cx:series layoutId="treemap" uniqueId="{7A651AD2-3A04-437C-A0CD-5584D5507A16}">
          <cx:tx>
            <cx:txData>
              <cx:f>Sheet1!$B$1</cx:f>
              <cx:v>Series1</cx:v>
            </cx:txData>
          </cx:tx>
          <cx:dataPt idx="0">
            <cx:spPr>
              <a:solidFill>
                <a:srgbClr val="E2B900"/>
              </a:solidFill>
              <a:effectLst>
                <a:outerShdw blurRad="50800" dist="50800" dir="600000" algn="ctr" rotWithShape="0">
                  <a:srgbClr val="000000">
                    <a:alpha val="43137"/>
                  </a:srgbClr>
                </a:outerShdw>
              </a:effectLst>
            </cx:spPr>
          </cx:dataPt>
          <cx:dataPt idx="1">
            <cx:spPr>
              <a:solidFill>
                <a:srgbClr val="3D3555"/>
              </a:solidFill>
              <a:effectLst>
                <a:outerShdw blurRad="50800" dist="50800" sx="1000" sy="1000" algn="ctr" rotWithShape="0">
                  <a:srgbClr val="000000">
                    <a:alpha val="43137"/>
                  </a:srgbClr>
                </a:outerShdw>
              </a:effectLst>
            </cx:spPr>
          </cx:dataPt>
          <cx:dataPt idx="2">
            <cx:spPr>
              <a:solidFill>
                <a:srgbClr val="709C9D"/>
              </a:solidFill>
            </cx:spPr>
          </cx:dataPt>
          <cx:dataPt idx="3">
            <cx:spPr>
              <a:solidFill>
                <a:srgbClr val="00807F"/>
              </a:solidFill>
            </cx:spPr>
          </cx:dataPt>
          <cx:dataPt idx="4">
            <cx:spPr>
              <a:solidFill>
                <a:srgbClr val="20AAE1"/>
              </a:solidFill>
            </cx:spPr>
          </cx:dataPt>
          <cx:dataPt idx="5">
            <cx:spPr>
              <a:solidFill>
                <a:srgbClr val="C88F42"/>
              </a:solidFill>
            </cx:spPr>
          </cx:dataPt>
          <cx:dataPt idx="6">
            <cx:spPr>
              <a:solidFill>
                <a:srgbClr val="7AD6EB"/>
              </a:solidFill>
            </cx:spPr>
          </cx:dataPt>
          <cx:dataPt idx="7">
            <cx:spPr>
              <a:solidFill>
                <a:srgbClr val="19907F"/>
              </a:solidFill>
            </cx:spPr>
          </cx:dataPt>
          <cx:dataPt idx="8">
            <cx:spPr>
              <a:solidFill>
                <a:srgbClr val="BDDC5B"/>
              </a:solidFill>
            </cx:spPr>
          </cx:dataPt>
          <cx:dataPt idx="9">
            <cx:spPr>
              <a:solidFill>
                <a:srgbClr val="2B5068"/>
              </a:solidFill>
            </cx:spPr>
          </cx:dataPt>
          <cx:dataLabels pos="inEnd">
            <cx:numFmt formatCode="_($* #,##0_);_($* (#,##0);_($* &quot;-&quot;_);_(@_)" sourceLinked="0"/>
            <cx:txPr>
              <a:bodyPr vertOverflow="overflow" horzOverflow="overflow" wrap="square" lIns="0" tIns="0" rIns="0" bIns="0"/>
              <a:lstStyle/>
              <a:p>
                <a:pPr algn="ctr" rtl="0">
                  <a:defRPr sz="800" b="1"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800" b="1">
                  <a:latin typeface="Times New Roman" panose="02020603050405020304" pitchFamily="18" charset="0"/>
                  <a:ea typeface="Roboto" pitchFamily="2" charset="0"/>
                  <a:cs typeface="Times New Roman" panose="02020603050405020304" pitchFamily="18" charset="0"/>
                </a:endParaRPr>
              </a:p>
            </cx:txPr>
            <cx:visibility seriesName="0" categoryName="1" value="1"/>
            <cx:separator>
</cx:separator>
            <cx:dataLabel idx="0">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Norvège
 $110,522 </a:t>
                  </a:r>
                </a:p>
              </cx:txPr>
              <cx:visibility seriesName="0" categoryName="1" value="1"/>
              <cx:separator>
</cx:separator>
            </cx:dataLabel>
            <cx:dataLabel idx="1">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Suisse
 $128,276 </a:t>
                  </a:r>
                </a:p>
              </cx:txPr>
              <cx:visibility seriesName="0" categoryName="1" value="1"/>
              <cx:separator>
</cx:separator>
            </cx:dataLabel>
            <cx:dataLabel idx="2">
              <cx:numFmt formatCode="_($* #,##0_);_($* (#,##0);_($* &quot;-&quot;_);_(@_)" sourceLinked="0"/>
              <cx:txPr>
                <a:bodyPr vertOverflow="overflow" horzOverflow="overflow" wrap="square" lIns="0" tIns="0" rIns="0" bIns="0"/>
                <a:lstStyle/>
                <a:p>
                  <a:pPr algn="ctr" rtl="0">
                    <a:defRPr sz="700">
                      <a:latin typeface="Times New Roman" panose="02020603050405020304" pitchFamily="18" charset="0"/>
                      <a:ea typeface="Times New Roman" panose="02020603050405020304" pitchFamily="18" charset="0"/>
                      <a:cs typeface="Times New Roman" panose="02020603050405020304" pitchFamily="18" charset="0"/>
                    </a:defRPr>
                  </a:pPr>
                  <a:r>
                    <a:rPr lang="en-US" sz="700" b="1">
                      <a:latin typeface="Times New Roman" panose="02020603050405020304" pitchFamily="18" charset="0"/>
                      <a:ea typeface="Roboto" pitchFamily="2" charset="0"/>
                      <a:cs typeface="Times New Roman" panose="02020603050405020304" pitchFamily="18" charset="0"/>
                    </a:rPr>
                    <a:t>Suède
 $193,673 </a:t>
                  </a:r>
                </a:p>
              </cx:txPr>
              <cx:visibility seriesName="0" categoryName="1" value="1"/>
              <cx:separator>
</cx:separator>
            </cx:dataLabel>
            <cx:dataLabel idx="3">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États-Unis
 $480,075 </a:t>
                  </a:r>
                </a:p>
              </cx:txPr>
              <cx:visibility seriesName="0" categoryName="1" value="1"/>
              <cx:separator>
</cx:separator>
            </cx:dataLabel>
            <cx:dataLabel idx="4">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Autriche
 $184,721 </a:t>
                  </a:r>
                </a:p>
              </cx:txPr>
              <cx:visibility seriesName="0" categoryName="1" value="1"/>
              <cx:separator>
</cx:separator>
            </cx:dataLabel>
            <cx:dataLabel idx="5">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Royaume-Uni
 $95,235 </a:t>
                  </a:r>
                </a:p>
              </cx:txPr>
              <cx:visibility seriesName="0" categoryName="1" value="1"/>
              <cx:separator>
</cx:separator>
            </cx:dataLabel>
            <cx:dataLabel idx="6">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Allemagne
 $643,718 </a:t>
                  </a:r>
                </a:p>
              </cx:txPr>
              <cx:visibility seriesName="0" categoryName="1" value="1"/>
              <cx:separator>
</cx:separator>
            </cx:dataLabel>
            <cx:dataLabel idx="7">
              <cx:numFmt formatCode="_($* #,##0_);_($* (#,##0);_($* &quot;-&quot;_);_(@_)" sourceLinked="0"/>
              <cx:txPr>
                <a:bodyPr vertOverflow="overflow" horzOverflow="overflow" wrap="square" lIns="0" tIns="0" rIns="0" bIns="0"/>
                <a:lstStyle/>
                <a:p>
                  <a:pPr algn="ctr" rtl="0">
                    <a:defRPr sz="800" spc="0" baseline="0"/>
                  </a:pPr>
                  <a:r>
                    <a:rPr lang="en-US" sz="800" b="1" spc="0" baseline="0">
                      <a:latin typeface="Times New Roman" panose="02020603050405020304" pitchFamily="18" charset="0"/>
                      <a:ea typeface="Roboto" pitchFamily="2" charset="0"/>
                      <a:cs typeface="Times New Roman" panose="02020603050405020304" pitchFamily="18" charset="0"/>
                    </a:rPr>
                    <a:t>Pays-Bas
 $172,826 </a:t>
                  </a:r>
                </a:p>
              </cx:txPr>
              <cx:visibility seriesName="0" categoryName="1" value="1"/>
              <cx:separator>
</cx:separator>
            </cx:dataLabel>
            <cx:dataLabel idx="8">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Danemark
 $50,992 </a:t>
                  </a:r>
                </a:p>
              </cx:txPr>
              <cx:visibility seriesName="0" categoryName="1" value="1"/>
              <cx:separator>
</cx:separator>
            </cx:dataLabel>
            <cx:dataLabel idx="9">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France
 $214,133 </a:t>
                  </a:r>
                </a:p>
              </cx:txPr>
              <cx:visibility seriesName="0" categoryName="1" value="1"/>
              <cx:separator>
</cx:separator>
            </cx:dataLabel>
          </cx:dataLabels>
          <cx:dataId val="0"/>
          <cx:layoutPr>
            <cx:parentLabelLayout val="none"/>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F1A7E1A2-D55F-4D67-9AC3-3A54E421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2E18777B-0A97-43F5-9976-7627E81070B3}">
  <ds:schemaRefs>
    <ds:schemaRef ds:uri="http://schemas.microsoft.com/office/infopath/2007/PartnerControls"/>
    <ds:schemaRef ds:uri="http://schemas.openxmlformats.org/package/2006/metadata/core-properties"/>
    <ds:schemaRef ds:uri="http://purl.org/dc/elements/1.1/"/>
    <ds:schemaRef ds:uri="http://purl.org/dc/dcmitype/"/>
    <ds:schemaRef ds:uri="25a4600d-fc45-4aed-ad1e-9b44b590e5cc"/>
    <ds:schemaRef ds:uri="http://schemas.microsoft.com/office/2006/metadata/properties"/>
    <ds:schemaRef ds:uri="http://www.w3.org/XML/1998/namespace"/>
    <ds:schemaRef ds:uri="http://schemas.microsoft.com/office/2006/documentManagement/types"/>
    <ds:schemaRef ds:uri="985ec44e-1bab-4c0b-9df0-6ba128686fc9"/>
    <ds:schemaRef ds:uri="786100a8-bbaa-48b6-aa10-6d2082f346b4"/>
    <ds:schemaRef ds:uri="http://purl.org/dc/terms/"/>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3091</Words>
  <Characters>17623</Characters>
  <Application>Microsoft Office Word</Application>
  <DocSecurity>0</DocSecurity>
  <PresentationFormat/>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My Linh Doan</cp:lastModifiedBy>
  <cp:revision>4</cp:revision>
  <cp:lastPrinted>2025-08-26T06:42:00Z</cp:lastPrinted>
  <dcterms:created xsi:type="dcterms:W3CDTF">2025-08-26T06:42:00Z</dcterms:created>
  <dcterms:modified xsi:type="dcterms:W3CDTF">2025-09-02T14:02:00Z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