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Ex1.xml" ContentType="application/vnd.ms-office.chartex+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96" w:type="dxa"/>
        <w:tblLayout w:type="fixed"/>
        <w:tblLook w:val="0000" w:firstRow="0" w:lastRow="0" w:firstColumn="0" w:lastColumn="0" w:noHBand="0" w:noVBand="0"/>
      </w:tblPr>
      <w:tblGrid>
        <w:gridCol w:w="1559"/>
        <w:gridCol w:w="6520"/>
        <w:gridCol w:w="1417"/>
      </w:tblGrid>
      <w:tr w:rsidR="00035D73" w:rsidRPr="00035D73" w14:paraId="3458F379" w14:textId="77777777" w:rsidTr="00035D73">
        <w:trPr>
          <w:trHeight w:val="850"/>
        </w:trPr>
        <w:tc>
          <w:tcPr>
            <w:tcW w:w="1559" w:type="dxa"/>
          </w:tcPr>
          <w:p w14:paraId="22E6004B" w14:textId="75C80C0E" w:rsidR="00035D73" w:rsidRPr="00035D73" w:rsidRDefault="00035D73" w:rsidP="00035D73">
            <w:pPr>
              <w:pStyle w:val="AUnitedNations"/>
            </w:pPr>
            <w:r w:rsidRPr="00035D73">
              <w:t xml:space="preserve">UNITED </w:t>
            </w:r>
            <w:r w:rsidRPr="00035D73">
              <w:br/>
              <w:t>NATIONS</w:t>
            </w:r>
          </w:p>
        </w:tc>
        <w:tc>
          <w:tcPr>
            <w:tcW w:w="6520" w:type="dxa"/>
          </w:tcPr>
          <w:p w14:paraId="6CA5F763" w14:textId="76984332" w:rsidR="00035D73" w:rsidRPr="00035D73" w:rsidRDefault="00035D73" w:rsidP="00035D73">
            <w:pPr>
              <w:pStyle w:val="Normal-pool"/>
            </w:pPr>
            <w:r w:rsidRPr="00035D73">
              <w:rPr>
                <w:noProof/>
                <w14:ligatures w14:val="standardContextual"/>
              </w:rPr>
              <w:drawing>
                <wp:anchor distT="0" distB="0" distL="114300" distR="114300" simplePos="0" relativeHeight="251658240" behindDoc="0" locked="0" layoutInCell="1" allowOverlap="1" wp14:anchorId="4A56C0D6" wp14:editId="5FDA5F1C">
                  <wp:simplePos x="0" y="0"/>
                  <wp:positionH relativeFrom="column">
                    <wp:posOffset>5292</wp:posOffset>
                  </wp:positionH>
                  <wp:positionV relativeFrom="paragraph">
                    <wp:posOffset>-212</wp:posOffset>
                  </wp:positionV>
                  <wp:extent cx="1269153" cy="573559"/>
                  <wp:effectExtent l="0" t="0" r="7620" b="0"/>
                  <wp:wrapNone/>
                  <wp:docPr id="210986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631" name=""/>
                          <pic:cNvPicPr/>
                        </pic:nvPicPr>
                        <pic:blipFill>
                          <a:blip r:embed="rId10">
                            <a:extLst>
                              <a:ext uri="{28A0092B-C50C-407E-A947-70E740481C1C}">
                                <a14:useLocalDpi xmlns:a14="http://schemas.microsoft.com/office/drawing/2010/main" val="0"/>
                              </a:ext>
                            </a:extLst>
                          </a:blip>
                          <a:stretch>
                            <a:fillRect/>
                          </a:stretch>
                        </pic:blipFill>
                        <pic:spPr>
                          <a:xfrm>
                            <a:off x="0" y="0"/>
                            <a:ext cx="1269153" cy="573559"/>
                          </a:xfrm>
                          <a:prstGeom prst="rect">
                            <a:avLst/>
                          </a:prstGeom>
                        </pic:spPr>
                      </pic:pic>
                    </a:graphicData>
                  </a:graphic>
                </wp:anchor>
              </w:drawing>
            </w:r>
          </w:p>
        </w:tc>
        <w:tc>
          <w:tcPr>
            <w:tcW w:w="1417" w:type="dxa"/>
          </w:tcPr>
          <w:p w14:paraId="36108F5F" w14:textId="77777777" w:rsidR="00035D73" w:rsidRPr="00035D73" w:rsidRDefault="00035D73" w:rsidP="00035D73">
            <w:pPr>
              <w:pStyle w:val="Normal-pool"/>
            </w:pPr>
          </w:p>
        </w:tc>
      </w:tr>
    </w:tbl>
    <w:p w14:paraId="47DA12C6" w14:textId="77777777" w:rsidR="009443D7" w:rsidRPr="00035D73" w:rsidRDefault="009443D7" w:rsidP="00035D73">
      <w:pPr>
        <w:pStyle w:val="ASpacer"/>
      </w:pPr>
    </w:p>
    <w:tbl>
      <w:tblPr>
        <w:tblW w:w="9496" w:type="dxa"/>
        <w:tblLook w:val="0000" w:firstRow="0" w:lastRow="0" w:firstColumn="0" w:lastColumn="0" w:noHBand="0" w:noVBand="0"/>
      </w:tblPr>
      <w:tblGrid>
        <w:gridCol w:w="6378"/>
        <w:gridCol w:w="3118"/>
      </w:tblGrid>
      <w:tr w:rsidR="00035D73" w:rsidRPr="00035D73" w14:paraId="183F7A3F" w14:textId="77777777" w:rsidTr="00417B4C">
        <w:trPr>
          <w:trHeight w:val="340"/>
        </w:trPr>
        <w:tc>
          <w:tcPr>
            <w:tcW w:w="3358" w:type="pct"/>
            <w:vAlign w:val="bottom"/>
          </w:tcPr>
          <w:p w14:paraId="572F64A5" w14:textId="77777777" w:rsidR="00035D73" w:rsidRPr="00035D73" w:rsidRDefault="00035D73" w:rsidP="00035D73">
            <w:pPr>
              <w:pStyle w:val="Normal-pool"/>
            </w:pPr>
          </w:p>
        </w:tc>
        <w:tc>
          <w:tcPr>
            <w:tcW w:w="1642" w:type="pct"/>
            <w:noWrap/>
            <w:vAlign w:val="bottom"/>
          </w:tcPr>
          <w:p w14:paraId="5034E4EF" w14:textId="230893DA" w:rsidR="00035D73" w:rsidRPr="00035D73" w:rsidRDefault="00035D73" w:rsidP="00035D73">
            <w:pPr>
              <w:pStyle w:val="ASymbol"/>
            </w:pPr>
            <w:r w:rsidRPr="00035D73">
              <w:rPr>
                <w:b/>
                <w:sz w:val="28"/>
              </w:rPr>
              <w:t>UNEP</w:t>
            </w:r>
            <w:r w:rsidRPr="00035D73">
              <w:t>/MC/COP.</w:t>
            </w:r>
            <w:bookmarkStart w:id="0" w:name="Symbol1A"/>
            <w:r w:rsidRPr="00035D73">
              <w:t>6</w:t>
            </w:r>
            <w:bookmarkStart w:id="1" w:name="Symbol1B"/>
            <w:bookmarkEnd w:id="0"/>
            <w:r w:rsidR="003F0E5B">
              <w:t>/11</w:t>
            </w:r>
            <w:bookmarkEnd w:id="1"/>
          </w:p>
        </w:tc>
      </w:tr>
    </w:tbl>
    <w:p w14:paraId="2D0643CB" w14:textId="77777777" w:rsidR="00035D73" w:rsidRPr="00035D73" w:rsidRDefault="00035D73" w:rsidP="00035D73">
      <w:pPr>
        <w:pStyle w:val="ASpacer"/>
      </w:pPr>
    </w:p>
    <w:tbl>
      <w:tblPr>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35D73" w:rsidRPr="00035D73" w14:paraId="42EC19F5" w14:textId="77777777" w:rsidTr="00035D73">
        <w:trPr>
          <w:trHeight w:val="2098"/>
        </w:trPr>
        <w:tc>
          <w:tcPr>
            <w:tcW w:w="3685" w:type="dxa"/>
          </w:tcPr>
          <w:p w14:paraId="651BBC9F" w14:textId="0F041D94" w:rsidR="00035D73" w:rsidRPr="00035D73" w:rsidRDefault="00035D73" w:rsidP="00035D73">
            <w:pPr>
              <w:pStyle w:val="ALogo"/>
            </w:pPr>
            <w:r w:rsidRPr="00035D73">
              <w:rPr>
                <w:noProof/>
                <w14:ligatures w14:val="standardContextual"/>
              </w:rPr>
              <w:drawing>
                <wp:inline distT="0" distB="0" distL="0" distR="0" wp14:anchorId="2BEF7555" wp14:editId="1B317B93">
                  <wp:extent cx="2202815" cy="1028700"/>
                  <wp:effectExtent l="0" t="0" r="6985" b="0"/>
                  <wp:docPr id="1618947519" name="Picture 2"/>
                  <wp:cNvGraphicFramePr/>
                  <a:graphic xmlns:a="http://schemas.openxmlformats.org/drawingml/2006/main">
                    <a:graphicData uri="http://schemas.openxmlformats.org/drawingml/2006/picture">
                      <pic:pic xmlns:pic="http://schemas.openxmlformats.org/drawingml/2006/picture">
                        <pic:nvPicPr>
                          <pic:cNvPr id="1618947519"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r w:rsidRPr="00035D73">
              <w:t xml:space="preserve"> </w:t>
            </w:r>
          </w:p>
          <w:p w14:paraId="097A3DBD" w14:textId="6BA99DE8" w:rsidR="00035D73" w:rsidRPr="00035D73" w:rsidRDefault="00035D73" w:rsidP="00035D73">
            <w:pPr>
              <w:pStyle w:val="ALogo"/>
            </w:pPr>
          </w:p>
        </w:tc>
        <w:tc>
          <w:tcPr>
            <w:tcW w:w="2693" w:type="dxa"/>
          </w:tcPr>
          <w:p w14:paraId="319F2CE4" w14:textId="77777777" w:rsidR="00035D73" w:rsidRPr="00035D73" w:rsidRDefault="00035D73" w:rsidP="00035D73">
            <w:pPr>
              <w:pStyle w:val="Normal-pool"/>
            </w:pPr>
          </w:p>
        </w:tc>
        <w:tc>
          <w:tcPr>
            <w:tcW w:w="3118" w:type="dxa"/>
          </w:tcPr>
          <w:p w14:paraId="35F2F81A" w14:textId="39E3A8A4" w:rsidR="00035D73" w:rsidRPr="00035D73" w:rsidRDefault="00035D73" w:rsidP="00035D73">
            <w:pPr>
              <w:pStyle w:val="AText"/>
            </w:pPr>
            <w:r w:rsidRPr="00035D73">
              <w:t xml:space="preserve">Distr.: </w:t>
            </w:r>
            <w:bookmarkStart w:id="2" w:name="Distribution"/>
            <w:r w:rsidR="003F0E5B">
              <w:t>General</w:t>
            </w:r>
            <w:bookmarkEnd w:id="2"/>
            <w:r w:rsidRPr="00035D73">
              <w:t xml:space="preserve"> </w:t>
            </w:r>
          </w:p>
          <w:p w14:paraId="2409D175" w14:textId="6220B8C5" w:rsidR="00035D73" w:rsidRPr="00035D73" w:rsidRDefault="003F0E5B" w:rsidP="00035D73">
            <w:pPr>
              <w:pStyle w:val="AText0"/>
            </w:pPr>
            <w:bookmarkStart w:id="3" w:name="DistributionDate"/>
            <w:r>
              <w:t>3 July 2025</w:t>
            </w:r>
            <w:bookmarkEnd w:id="3"/>
            <w:r w:rsidR="00035D73" w:rsidRPr="00035D73">
              <w:t xml:space="preserve"> </w:t>
            </w:r>
          </w:p>
          <w:p w14:paraId="4289FE43" w14:textId="27C96D9F" w:rsidR="00035D73" w:rsidRPr="00035D73" w:rsidRDefault="00035D73" w:rsidP="00035D73">
            <w:pPr>
              <w:pStyle w:val="AText"/>
            </w:pPr>
            <w:bookmarkStart w:id="4" w:name="DistributionLang"/>
            <w:r w:rsidRPr="00035D73">
              <w:t>Original: English</w:t>
            </w:r>
            <w:bookmarkEnd w:id="4"/>
          </w:p>
        </w:tc>
      </w:tr>
    </w:tbl>
    <w:p w14:paraId="26D3A770" w14:textId="77777777" w:rsidR="00035D73" w:rsidRPr="00035D73" w:rsidRDefault="00035D73" w:rsidP="00035D73">
      <w:pPr>
        <w:pStyle w:val="ASpacer"/>
      </w:pPr>
    </w:p>
    <w:tbl>
      <w:tblPr>
        <w:tblW w:w="9496" w:type="dxa"/>
        <w:tblLayout w:type="fixed"/>
        <w:tblCellMar>
          <w:left w:w="0" w:type="dxa"/>
          <w:right w:w="0" w:type="dxa"/>
        </w:tblCellMar>
        <w:tblLook w:val="0000" w:firstRow="0" w:lastRow="0" w:firstColumn="0" w:lastColumn="0" w:noHBand="0" w:noVBand="0"/>
      </w:tblPr>
      <w:tblGrid>
        <w:gridCol w:w="5301"/>
        <w:gridCol w:w="4195"/>
      </w:tblGrid>
      <w:tr w:rsidR="00035D73" w:rsidRPr="00035D73" w14:paraId="36BD4EC6" w14:textId="77777777" w:rsidTr="00035D73">
        <w:trPr>
          <w:trHeight w:val="57"/>
        </w:trPr>
        <w:tc>
          <w:tcPr>
            <w:tcW w:w="5301" w:type="dxa"/>
          </w:tcPr>
          <w:p w14:paraId="4BC4822C" w14:textId="77777777" w:rsidR="00035D73" w:rsidRPr="00035D73" w:rsidRDefault="00035D73" w:rsidP="00035D73">
            <w:pPr>
              <w:pStyle w:val="AATitle"/>
            </w:pPr>
            <w:bookmarkStart w:id="5" w:name="CorNot1Text"/>
            <w:r w:rsidRPr="00035D73">
              <w:t xml:space="preserve">Conference of the Parties to the </w:t>
            </w:r>
            <w:r w:rsidRPr="00035D73">
              <w:br/>
              <w:t xml:space="preserve">Minamata Convention on Mercury </w:t>
            </w:r>
          </w:p>
          <w:p w14:paraId="00E49D0B" w14:textId="6637AD70" w:rsidR="00035D73" w:rsidRPr="00035D73" w:rsidRDefault="00035D73" w:rsidP="00035D73">
            <w:pPr>
              <w:pStyle w:val="AATitle"/>
            </w:pPr>
            <w:r w:rsidRPr="00035D73">
              <w:t>Sixth meeting</w:t>
            </w:r>
            <w:bookmarkEnd w:id="5"/>
            <w:r w:rsidRPr="00035D73">
              <w:t xml:space="preserve"> </w:t>
            </w:r>
          </w:p>
          <w:p w14:paraId="0ACCD764" w14:textId="4F3A83D8" w:rsidR="00035D73" w:rsidRPr="00035D73" w:rsidRDefault="00035D73" w:rsidP="00035D73">
            <w:pPr>
              <w:pStyle w:val="AATitle1"/>
            </w:pPr>
            <w:bookmarkStart w:id="6" w:name="CorNot1VenueDate"/>
            <w:r w:rsidRPr="00035D73">
              <w:t>Geneva, 3–7 November 2025</w:t>
            </w:r>
            <w:bookmarkEnd w:id="6"/>
            <w:r w:rsidRPr="00035D73">
              <w:t xml:space="preserve"> </w:t>
            </w:r>
          </w:p>
          <w:p w14:paraId="2AEEDA16" w14:textId="6D5D40BB" w:rsidR="00035D73" w:rsidRPr="00035D73" w:rsidRDefault="003F0E5B" w:rsidP="00035D73">
            <w:pPr>
              <w:pStyle w:val="AATitle1"/>
            </w:pPr>
            <w:bookmarkStart w:id="7" w:name="CorNot1AgItem"/>
            <w:r>
              <w:t>Item 4 (e) (ii) of the provisional agenda</w:t>
            </w:r>
            <w:bookmarkEnd w:id="7"/>
            <w:r w:rsidR="00562DBA" w:rsidRPr="00562DBA">
              <w:rPr>
                <w:rStyle w:val="FootnoteReference"/>
                <w:noProof/>
                <w:vertAlign w:val="baseline"/>
              </w:rPr>
              <w:footnoteReference w:customMarkFollows="1" w:id="2"/>
              <w:t>*</w:t>
            </w:r>
            <w:r w:rsidR="00035D73" w:rsidRPr="00035D73">
              <w:t xml:space="preserve"> </w:t>
            </w:r>
          </w:p>
          <w:p w14:paraId="515809EC" w14:textId="3C591F1A" w:rsidR="00035D73" w:rsidRPr="00035D73" w:rsidRDefault="002E3B3E" w:rsidP="00035D73">
            <w:pPr>
              <w:pStyle w:val="AATitle2"/>
            </w:pPr>
            <w:bookmarkStart w:id="8" w:name="CorNot1AgTitle"/>
            <w:r w:rsidRPr="00436FCD">
              <w:t>Matters for consideration or action by t</w:t>
            </w:r>
            <w:r w:rsidR="002A206E" w:rsidRPr="00436FCD">
              <w:t>he Conference of the Parties: f</w:t>
            </w:r>
            <w:r w:rsidR="003F0E5B" w:rsidRPr="00436FCD">
              <w:t>inancial resources and mechanism: Specific International Programme to Support Capacity-Building and Technical Assistance</w:t>
            </w:r>
            <w:bookmarkEnd w:id="8"/>
            <w:r w:rsidR="00035D73" w:rsidRPr="00035D73">
              <w:t xml:space="preserve"> </w:t>
            </w:r>
          </w:p>
        </w:tc>
        <w:tc>
          <w:tcPr>
            <w:tcW w:w="4195" w:type="dxa"/>
          </w:tcPr>
          <w:p w14:paraId="398176F4" w14:textId="77777777" w:rsidR="00035D73" w:rsidRPr="00035D73" w:rsidRDefault="00035D73" w:rsidP="00035D73">
            <w:pPr>
              <w:pStyle w:val="Normal-pool"/>
            </w:pPr>
          </w:p>
        </w:tc>
      </w:tr>
    </w:tbl>
    <w:p w14:paraId="5EEFD4AF" w14:textId="77777777" w:rsidR="00FF1D0E" w:rsidRPr="006A5E4C" w:rsidRDefault="00FF1D0E" w:rsidP="00FF1D0E">
      <w:pPr>
        <w:pStyle w:val="BBTitle"/>
        <w:rPr>
          <w:noProof/>
        </w:rPr>
      </w:pPr>
      <w:r w:rsidRPr="00FF19E8">
        <w:rPr>
          <w:noProof/>
        </w:rPr>
        <w:t>Overall report on the Specific International Programme to Support Capacity-Building and Technical Assistance</w:t>
      </w:r>
    </w:p>
    <w:p w14:paraId="31BF1E15" w14:textId="77777777" w:rsidR="00FF1D0E" w:rsidRPr="006A5E4C" w:rsidRDefault="00FF1D0E" w:rsidP="00FF1D0E">
      <w:pPr>
        <w:pStyle w:val="CH2"/>
        <w:rPr>
          <w:noProof/>
        </w:rPr>
      </w:pPr>
      <w:r>
        <w:rPr>
          <w:noProof/>
        </w:rPr>
        <w:tab/>
      </w:r>
      <w:r>
        <w:rPr>
          <w:noProof/>
        </w:rPr>
        <w:tab/>
      </w:r>
      <w:r w:rsidRPr="006A5E4C">
        <w:rPr>
          <w:noProof/>
        </w:rPr>
        <w:t xml:space="preserve">Note by the </w:t>
      </w:r>
      <w:r w:rsidRPr="00A24939">
        <w:t>secretariat</w:t>
      </w:r>
    </w:p>
    <w:p w14:paraId="0BF1E3AC" w14:textId="77777777" w:rsidR="00FF1D0E" w:rsidRPr="00A24939" w:rsidRDefault="00FF1D0E" w:rsidP="00FF1D0E">
      <w:pPr>
        <w:pStyle w:val="CH1"/>
      </w:pPr>
      <w:bookmarkStart w:id="9" w:name="_Hlk192252242"/>
      <w:r>
        <w:tab/>
        <w:t>I.</w:t>
      </w:r>
      <w:r>
        <w:tab/>
      </w:r>
      <w:r w:rsidRPr="00A24939">
        <w:t>Introduction</w:t>
      </w:r>
    </w:p>
    <w:bookmarkEnd w:id="9"/>
    <w:p w14:paraId="59B8015E" w14:textId="59390B1F" w:rsidR="00FF1D0E" w:rsidRPr="006A5E4C" w:rsidRDefault="00FF1D0E" w:rsidP="00FF1D0E">
      <w:pPr>
        <w:pStyle w:val="Normalnumber"/>
        <w:numPr>
          <w:ilvl w:val="0"/>
          <w:numId w:val="17"/>
        </w:numPr>
        <w:tabs>
          <w:tab w:val="left" w:pos="624"/>
        </w:tabs>
        <w:snapToGrid w:val="0"/>
        <w:ind w:left="1247" w:firstLine="0"/>
        <w:rPr>
          <w:noProof/>
        </w:rPr>
      </w:pPr>
      <w:r w:rsidRPr="00E144BD">
        <w:rPr>
          <w:noProof/>
        </w:rPr>
        <w:t>The present note provides information on the implementation of decision M</w:t>
      </w:r>
      <w:r>
        <w:rPr>
          <w:noProof/>
        </w:rPr>
        <w:t>C</w:t>
      </w:r>
      <w:r w:rsidRPr="00E144BD">
        <w:rPr>
          <w:noProof/>
        </w:rPr>
        <w:t>-5/11</w:t>
      </w:r>
      <w:r w:rsidR="00960EF8">
        <w:rPr>
          <w:noProof/>
        </w:rPr>
        <w:t>,</w:t>
      </w:r>
      <w:r w:rsidRPr="00E144BD">
        <w:rPr>
          <w:noProof/>
        </w:rPr>
        <w:t xml:space="preserve"> on the review of the financial mechanism</w:t>
      </w:r>
      <w:r w:rsidR="00094AC8">
        <w:rPr>
          <w:noProof/>
        </w:rPr>
        <w:t xml:space="preserve"> of the Minamata Convention on Mercury</w:t>
      </w:r>
      <w:r w:rsidRPr="00E144BD">
        <w:rPr>
          <w:noProof/>
        </w:rPr>
        <w:t xml:space="preserve">, which the Conference of the Parties to the Convention </w:t>
      </w:r>
      <w:r w:rsidR="009208CF">
        <w:rPr>
          <w:noProof/>
        </w:rPr>
        <w:t xml:space="preserve">adopted </w:t>
      </w:r>
      <w:r w:rsidRPr="00E144BD">
        <w:rPr>
          <w:noProof/>
        </w:rPr>
        <w:t xml:space="preserve">at its fifth meeting. In particular, the </w:t>
      </w:r>
      <w:r w:rsidRPr="00772771">
        <w:rPr>
          <w:noProof/>
        </w:rPr>
        <w:t>present note sets out the secretariat’s overall report on the second component of the financial mechanism,</w:t>
      </w:r>
      <w:r>
        <w:rPr>
          <w:rStyle w:val="FootnoteReference"/>
          <w:noProof/>
        </w:rPr>
        <w:footnoteReference w:id="3"/>
      </w:r>
      <w:r w:rsidRPr="00772771">
        <w:rPr>
          <w:noProof/>
        </w:rPr>
        <w:t xml:space="preserve"> namely the Specific International Programme to Support Capacity-Building and Technical Assistance, for consideration by the Conference of the Parties at its </w:t>
      </w:r>
      <w:r>
        <w:rPr>
          <w:noProof/>
        </w:rPr>
        <w:t>sixth</w:t>
      </w:r>
      <w:r w:rsidRPr="00772771">
        <w:rPr>
          <w:noProof/>
        </w:rPr>
        <w:t xml:space="preserve"> meeting.</w:t>
      </w:r>
    </w:p>
    <w:p w14:paraId="031962B9" w14:textId="022F9368" w:rsidR="00FF1D0E" w:rsidRDefault="00FF1D0E" w:rsidP="00FF1D0E">
      <w:pPr>
        <w:pStyle w:val="Normalnumber"/>
        <w:numPr>
          <w:ilvl w:val="0"/>
          <w:numId w:val="17"/>
        </w:numPr>
        <w:tabs>
          <w:tab w:val="left" w:pos="624"/>
        </w:tabs>
        <w:snapToGrid w:val="0"/>
        <w:ind w:left="1247" w:firstLine="0"/>
        <w:rPr>
          <w:noProof/>
        </w:rPr>
      </w:pPr>
      <w:r w:rsidRPr="00EA2B1A">
        <w:rPr>
          <w:noProof/>
        </w:rPr>
        <w:t xml:space="preserve">The note is to be read in conjunction with document </w:t>
      </w:r>
      <w:r w:rsidRPr="00875069">
        <w:rPr>
          <w:noProof/>
        </w:rPr>
        <w:t>UNEP/MC/COP.6/INF/15</w:t>
      </w:r>
      <w:r w:rsidRPr="00EA2B1A">
        <w:rPr>
          <w:noProof/>
        </w:rPr>
        <w:t xml:space="preserve">, </w:t>
      </w:r>
      <w:r w:rsidR="00D43FE0">
        <w:rPr>
          <w:noProof/>
        </w:rPr>
        <w:t>in w</w:t>
      </w:r>
      <w:r w:rsidR="00F454C7">
        <w:rPr>
          <w:noProof/>
        </w:rPr>
        <w:t xml:space="preserve">hich </w:t>
      </w:r>
      <w:r>
        <w:rPr>
          <w:noProof/>
        </w:rPr>
        <w:t>the</w:t>
      </w:r>
      <w:r w:rsidRPr="00EA2B1A">
        <w:rPr>
          <w:noProof/>
        </w:rPr>
        <w:t xml:space="preserve"> reports of the ninth and tenth meetings of the Governing Board of the Specific International Programme</w:t>
      </w:r>
      <w:r w:rsidR="00D43FE0">
        <w:rPr>
          <w:noProof/>
        </w:rPr>
        <w:t xml:space="preserve"> are set out</w:t>
      </w:r>
      <w:r w:rsidRPr="00EA2B1A">
        <w:rPr>
          <w:noProof/>
        </w:rPr>
        <w:t>.</w:t>
      </w:r>
    </w:p>
    <w:p w14:paraId="7FECF213" w14:textId="77777777" w:rsidR="00FF1D0E" w:rsidRPr="00EA2B1A" w:rsidRDefault="00FF1D0E" w:rsidP="00FF1D0E">
      <w:pPr>
        <w:pStyle w:val="Normalnumber"/>
        <w:numPr>
          <w:ilvl w:val="0"/>
          <w:numId w:val="17"/>
        </w:numPr>
        <w:tabs>
          <w:tab w:val="left" w:pos="624"/>
        </w:tabs>
        <w:snapToGrid w:val="0"/>
        <w:ind w:left="1247" w:firstLine="0"/>
        <w:rPr>
          <w:noProof/>
        </w:rPr>
      </w:pPr>
      <w:r w:rsidRPr="00E144BD">
        <w:rPr>
          <w:noProof/>
        </w:rPr>
        <w:t>A draft decision, related to both components of the financial mechanism, is set out in document UNEP/MC/COP.6/9 for the consideration of the Conference of the Parties.</w:t>
      </w:r>
    </w:p>
    <w:p w14:paraId="400FBCD0" w14:textId="687A8F31" w:rsidR="00FF1D0E" w:rsidRPr="00A24939" w:rsidRDefault="00FF1D0E" w:rsidP="00FF1D0E">
      <w:pPr>
        <w:pStyle w:val="CH1"/>
      </w:pPr>
      <w:r>
        <w:tab/>
        <w:t>II.</w:t>
      </w:r>
      <w:r>
        <w:tab/>
      </w:r>
      <w:r w:rsidRPr="00A24939">
        <w:t xml:space="preserve">Support provided by the secretariat of the Minamata Convention </w:t>
      </w:r>
      <w:r w:rsidR="00323D27">
        <w:t xml:space="preserve">on Mercury </w:t>
      </w:r>
      <w:r w:rsidRPr="00A24939">
        <w:t>to the Specific International Programme</w:t>
      </w:r>
    </w:p>
    <w:p w14:paraId="36CB5659" w14:textId="7D7A87FA" w:rsidR="00FF1D0E" w:rsidRDefault="00FF1D0E" w:rsidP="00FF1D0E">
      <w:pPr>
        <w:pStyle w:val="Normalnumber"/>
        <w:numPr>
          <w:ilvl w:val="0"/>
          <w:numId w:val="17"/>
        </w:numPr>
        <w:tabs>
          <w:tab w:val="left" w:pos="624"/>
        </w:tabs>
        <w:snapToGrid w:val="0"/>
        <w:ind w:left="1247" w:firstLine="0"/>
        <w:rPr>
          <w:noProof/>
        </w:rPr>
      </w:pPr>
      <w:r>
        <w:rPr>
          <w:noProof/>
        </w:rPr>
        <w:t>T</w:t>
      </w:r>
      <w:r w:rsidRPr="00F81854">
        <w:rPr>
          <w:noProof/>
        </w:rPr>
        <w:t xml:space="preserve">he secretariat of the Minamata Convention </w:t>
      </w:r>
      <w:r w:rsidR="001E16AD">
        <w:rPr>
          <w:noProof/>
        </w:rPr>
        <w:t xml:space="preserve">on Mercury </w:t>
      </w:r>
      <w:r w:rsidRPr="00F81854">
        <w:rPr>
          <w:noProof/>
        </w:rPr>
        <w:t>administers the Specific International Programme through the following ongoing activities:</w:t>
      </w:r>
    </w:p>
    <w:p w14:paraId="31BC658E" w14:textId="1F6434D0" w:rsidR="00FF1D0E" w:rsidRPr="00154296" w:rsidRDefault="00FF1D0E" w:rsidP="00FF1D0E">
      <w:pPr>
        <w:pStyle w:val="Normalnumber"/>
        <w:numPr>
          <w:ilvl w:val="0"/>
          <w:numId w:val="16"/>
        </w:numPr>
        <w:tabs>
          <w:tab w:val="left" w:pos="624"/>
        </w:tabs>
        <w:ind w:left="1247" w:firstLine="624"/>
        <w:rPr>
          <w:noProof/>
        </w:rPr>
      </w:pPr>
      <w:r w:rsidRPr="00436FCD">
        <w:rPr>
          <w:i/>
          <w:iCs/>
          <w:noProof/>
        </w:rPr>
        <w:t>Support for the operations of the Governing Board</w:t>
      </w:r>
      <w:r w:rsidR="00452A41">
        <w:rPr>
          <w:i/>
          <w:iCs/>
          <w:noProof/>
        </w:rPr>
        <w:t>.</w:t>
      </w:r>
      <w:r w:rsidRPr="00CE1582">
        <w:rPr>
          <w:i/>
          <w:iCs/>
          <w:noProof/>
        </w:rPr>
        <w:t xml:space="preserve"> </w:t>
      </w:r>
      <w:r w:rsidRPr="00872874">
        <w:rPr>
          <w:noProof/>
        </w:rPr>
        <w:t xml:space="preserve">The secretariat </w:t>
      </w:r>
      <w:r>
        <w:rPr>
          <w:noProof/>
        </w:rPr>
        <w:t xml:space="preserve">organized and </w:t>
      </w:r>
      <w:r w:rsidRPr="00872874">
        <w:rPr>
          <w:noProof/>
        </w:rPr>
        <w:t xml:space="preserve">prepared the documentation for the </w:t>
      </w:r>
      <w:r>
        <w:rPr>
          <w:noProof/>
        </w:rPr>
        <w:t>ninth</w:t>
      </w:r>
      <w:r w:rsidRPr="00872874">
        <w:rPr>
          <w:noProof/>
        </w:rPr>
        <w:t xml:space="preserve"> meeting </w:t>
      </w:r>
      <w:r w:rsidR="00025EE5">
        <w:rPr>
          <w:noProof/>
        </w:rPr>
        <w:t xml:space="preserve">of the Governning Board, </w:t>
      </w:r>
      <w:r w:rsidRPr="00872874">
        <w:rPr>
          <w:noProof/>
        </w:rPr>
        <w:t xml:space="preserve">held online </w:t>
      </w:r>
      <w:r w:rsidR="00545280">
        <w:rPr>
          <w:noProof/>
        </w:rPr>
        <w:t>on</w:t>
      </w:r>
      <w:r w:rsidR="00545280" w:rsidRPr="00872874">
        <w:rPr>
          <w:noProof/>
        </w:rPr>
        <w:t xml:space="preserve"> </w:t>
      </w:r>
      <w:r>
        <w:rPr>
          <w:noProof/>
        </w:rPr>
        <w:t xml:space="preserve">15 </w:t>
      </w:r>
      <w:r w:rsidR="00545280">
        <w:rPr>
          <w:noProof/>
        </w:rPr>
        <w:t>and</w:t>
      </w:r>
      <w:r>
        <w:rPr>
          <w:noProof/>
        </w:rPr>
        <w:t xml:space="preserve"> </w:t>
      </w:r>
      <w:r>
        <w:rPr>
          <w:noProof/>
        </w:rPr>
        <w:lastRenderedPageBreak/>
        <w:t>16</w:t>
      </w:r>
      <w:r w:rsidR="00C833CD">
        <w:rPr>
          <w:noProof/>
        </w:rPr>
        <w:t> </w:t>
      </w:r>
      <w:r>
        <w:rPr>
          <w:noProof/>
        </w:rPr>
        <w:t>April 2024</w:t>
      </w:r>
      <w:r w:rsidR="00025EE5">
        <w:rPr>
          <w:noProof/>
        </w:rPr>
        <w:t>,</w:t>
      </w:r>
      <w:r>
        <w:rPr>
          <w:noProof/>
        </w:rPr>
        <w:t xml:space="preserve"> and the tenth</w:t>
      </w:r>
      <w:r w:rsidRPr="00872874">
        <w:rPr>
          <w:noProof/>
        </w:rPr>
        <w:t xml:space="preserve"> meeting</w:t>
      </w:r>
      <w:r w:rsidR="00025EE5">
        <w:rPr>
          <w:noProof/>
        </w:rPr>
        <w:t>,</w:t>
      </w:r>
      <w:r>
        <w:rPr>
          <w:noProof/>
        </w:rPr>
        <w:t xml:space="preserve"> which took place in Geneva, </w:t>
      </w:r>
      <w:r w:rsidRPr="00872874">
        <w:rPr>
          <w:noProof/>
        </w:rPr>
        <w:t xml:space="preserve">from </w:t>
      </w:r>
      <w:r>
        <w:rPr>
          <w:noProof/>
        </w:rPr>
        <w:t xml:space="preserve">22 to 24 January 2025. </w:t>
      </w:r>
      <w:r w:rsidRPr="00872874">
        <w:rPr>
          <w:noProof/>
        </w:rPr>
        <w:t xml:space="preserve">More information on the work of the Governing Board is set </w:t>
      </w:r>
      <w:r w:rsidRPr="00154296">
        <w:rPr>
          <w:noProof/>
        </w:rPr>
        <w:t>out in section III of the present note.</w:t>
      </w:r>
    </w:p>
    <w:p w14:paraId="2390CE88" w14:textId="2187D83D" w:rsidR="00FF1D0E" w:rsidRDefault="00FF1D0E" w:rsidP="00FF1D0E">
      <w:pPr>
        <w:pStyle w:val="Normalnumber"/>
        <w:numPr>
          <w:ilvl w:val="0"/>
          <w:numId w:val="16"/>
        </w:numPr>
        <w:tabs>
          <w:tab w:val="left" w:pos="624"/>
        </w:tabs>
        <w:ind w:left="1247" w:firstLine="624"/>
        <w:rPr>
          <w:noProof/>
        </w:rPr>
      </w:pPr>
      <w:r w:rsidRPr="00154296">
        <w:rPr>
          <w:i/>
          <w:iCs/>
        </w:rPr>
        <w:t xml:space="preserve">Launching </w:t>
      </w:r>
      <w:r w:rsidRPr="00CE1582">
        <w:rPr>
          <w:i/>
          <w:iCs/>
        </w:rPr>
        <w:t>and reviewing</w:t>
      </w:r>
      <w:r w:rsidRPr="00CE1582">
        <w:rPr>
          <w:noProof/>
        </w:rPr>
        <w:t xml:space="preserve"> </w:t>
      </w:r>
      <w:r w:rsidRPr="00CE1582">
        <w:rPr>
          <w:i/>
          <w:iCs/>
          <w:noProof/>
        </w:rPr>
        <w:t>rounds</w:t>
      </w:r>
      <w:r w:rsidR="00154296" w:rsidRPr="00154296">
        <w:rPr>
          <w:i/>
          <w:iCs/>
          <w:noProof/>
        </w:rPr>
        <w:t xml:space="preserve"> of applications</w:t>
      </w:r>
      <w:r w:rsidRPr="00154296">
        <w:rPr>
          <w:i/>
          <w:iCs/>
          <w:noProof/>
        </w:rPr>
        <w:t xml:space="preserve"> to the Specific International Programme</w:t>
      </w:r>
      <w:r w:rsidR="00452A41">
        <w:rPr>
          <w:i/>
          <w:iCs/>
          <w:noProof/>
        </w:rPr>
        <w:t>.</w:t>
      </w:r>
      <w:r w:rsidRPr="00154296">
        <w:rPr>
          <w:noProof/>
        </w:rPr>
        <w:t xml:space="preserve"> Following the decision of the Governing Board at its ninth meeting, the secretariat successfully launched the fourth round of applications</w:t>
      </w:r>
      <w:r w:rsidR="00DE647A" w:rsidRPr="00154296">
        <w:rPr>
          <w:noProof/>
        </w:rPr>
        <w:t xml:space="preserve"> in</w:t>
      </w:r>
      <w:r w:rsidR="00DE647A">
        <w:rPr>
          <w:noProof/>
        </w:rPr>
        <w:t xml:space="preserve"> April 2024</w:t>
      </w:r>
      <w:r>
        <w:rPr>
          <w:noProof/>
        </w:rPr>
        <w:t>. D</w:t>
      </w:r>
      <w:r w:rsidRPr="00872874">
        <w:rPr>
          <w:noProof/>
        </w:rPr>
        <w:t>uring the submission process</w:t>
      </w:r>
      <w:r>
        <w:rPr>
          <w:noProof/>
        </w:rPr>
        <w:t xml:space="preserve">, the secretariat </w:t>
      </w:r>
      <w:r w:rsidRPr="00D612DF">
        <w:rPr>
          <w:noProof/>
        </w:rPr>
        <w:t>h</w:t>
      </w:r>
      <w:r>
        <w:rPr>
          <w:noProof/>
        </w:rPr>
        <w:t>eld</w:t>
      </w:r>
      <w:r w:rsidRPr="00D612DF">
        <w:rPr>
          <w:noProof/>
        </w:rPr>
        <w:t xml:space="preserve"> webinars in different languages and time zones</w:t>
      </w:r>
      <w:r>
        <w:rPr>
          <w:noProof/>
        </w:rPr>
        <w:t xml:space="preserve"> and</w:t>
      </w:r>
      <w:r w:rsidRPr="00D612DF">
        <w:rPr>
          <w:noProof/>
        </w:rPr>
        <w:t xml:space="preserve"> provid</w:t>
      </w:r>
      <w:r>
        <w:rPr>
          <w:noProof/>
        </w:rPr>
        <w:t>ed</w:t>
      </w:r>
      <w:r w:rsidRPr="00D612DF">
        <w:rPr>
          <w:noProof/>
        </w:rPr>
        <w:t xml:space="preserve"> technical support as requested by prospective applicants</w:t>
      </w:r>
      <w:r>
        <w:rPr>
          <w:noProof/>
        </w:rPr>
        <w:t>. The secretariat screened</w:t>
      </w:r>
      <w:r w:rsidRPr="00F21E45">
        <w:rPr>
          <w:noProof/>
        </w:rPr>
        <w:t xml:space="preserve"> </w:t>
      </w:r>
      <w:r>
        <w:rPr>
          <w:noProof/>
        </w:rPr>
        <w:t xml:space="preserve">all received applications </w:t>
      </w:r>
      <w:r w:rsidRPr="00F21E45">
        <w:rPr>
          <w:noProof/>
        </w:rPr>
        <w:t>for eligibility and completeness</w:t>
      </w:r>
      <w:r>
        <w:rPr>
          <w:noProof/>
        </w:rPr>
        <w:t xml:space="preserve"> and </w:t>
      </w:r>
      <w:r w:rsidRPr="00872874">
        <w:rPr>
          <w:noProof/>
        </w:rPr>
        <w:t>convene</w:t>
      </w:r>
      <w:r>
        <w:rPr>
          <w:noProof/>
        </w:rPr>
        <w:t>d</w:t>
      </w:r>
      <w:r w:rsidRPr="00872874">
        <w:rPr>
          <w:noProof/>
        </w:rPr>
        <w:t xml:space="preserve"> the cross-secretariat task team</w:t>
      </w:r>
      <w:r>
        <w:rPr>
          <w:noProof/>
        </w:rPr>
        <w:t xml:space="preserve">, composed of </w:t>
      </w:r>
      <w:r w:rsidRPr="00600B1E">
        <w:rPr>
          <w:noProof/>
        </w:rPr>
        <w:t>representatives from the G</w:t>
      </w:r>
      <w:r>
        <w:rPr>
          <w:noProof/>
        </w:rPr>
        <w:t xml:space="preserve">lobal </w:t>
      </w:r>
      <w:r w:rsidRPr="00600B1E">
        <w:rPr>
          <w:noProof/>
        </w:rPr>
        <w:t>E</w:t>
      </w:r>
      <w:r>
        <w:rPr>
          <w:noProof/>
        </w:rPr>
        <w:t xml:space="preserve">nvironment </w:t>
      </w:r>
      <w:r w:rsidRPr="00600B1E">
        <w:rPr>
          <w:noProof/>
        </w:rPr>
        <w:t>F</w:t>
      </w:r>
      <w:r>
        <w:rPr>
          <w:noProof/>
        </w:rPr>
        <w:t>acility</w:t>
      </w:r>
      <w:r w:rsidRPr="00600B1E">
        <w:rPr>
          <w:noProof/>
        </w:rPr>
        <w:t xml:space="preserve">, the Special Programme on </w:t>
      </w:r>
      <w:r w:rsidR="00161E4F">
        <w:rPr>
          <w:noProof/>
        </w:rPr>
        <w:t>I</w:t>
      </w:r>
      <w:r w:rsidRPr="00600B1E">
        <w:rPr>
          <w:noProof/>
        </w:rPr>
        <w:t xml:space="preserve">nstitutional </w:t>
      </w:r>
      <w:r w:rsidR="00161E4F">
        <w:rPr>
          <w:noProof/>
        </w:rPr>
        <w:t>S</w:t>
      </w:r>
      <w:r w:rsidRPr="00600B1E">
        <w:rPr>
          <w:noProof/>
        </w:rPr>
        <w:t xml:space="preserve">trengthening </w:t>
      </w:r>
      <w:r w:rsidR="00161E4F">
        <w:rPr>
          <w:noProof/>
        </w:rPr>
        <w:t>for</w:t>
      </w:r>
      <w:r w:rsidRPr="00600B1E">
        <w:rPr>
          <w:noProof/>
        </w:rPr>
        <w:t xml:space="preserve"> the </w:t>
      </w:r>
      <w:r w:rsidR="00161E4F">
        <w:rPr>
          <w:noProof/>
        </w:rPr>
        <w:t>C</w:t>
      </w:r>
      <w:r w:rsidRPr="00600B1E">
        <w:rPr>
          <w:noProof/>
        </w:rPr>
        <w:t xml:space="preserve">hemicals </w:t>
      </w:r>
      <w:r w:rsidR="00161E4F">
        <w:rPr>
          <w:noProof/>
        </w:rPr>
        <w:t>C</w:t>
      </w:r>
      <w:r w:rsidRPr="00600B1E">
        <w:rPr>
          <w:noProof/>
        </w:rPr>
        <w:t xml:space="preserve">luster, and the Global Mercury Partnership, along with </w:t>
      </w:r>
      <w:r>
        <w:rPr>
          <w:noProof/>
        </w:rPr>
        <w:t>s</w:t>
      </w:r>
      <w:r w:rsidRPr="00600B1E">
        <w:rPr>
          <w:noProof/>
        </w:rPr>
        <w:t>ecretariat staff, to provide input to the technical review of applications</w:t>
      </w:r>
      <w:r>
        <w:rPr>
          <w:noProof/>
        </w:rPr>
        <w:t xml:space="preserve">. Subsequently, the secretariat </w:t>
      </w:r>
      <w:r w:rsidRPr="00872874">
        <w:rPr>
          <w:noProof/>
        </w:rPr>
        <w:t>provide</w:t>
      </w:r>
      <w:r>
        <w:rPr>
          <w:noProof/>
        </w:rPr>
        <w:t>d</w:t>
      </w:r>
      <w:r w:rsidRPr="00872874">
        <w:rPr>
          <w:noProof/>
        </w:rPr>
        <w:t xml:space="preserve"> technical comments </w:t>
      </w:r>
      <w:r w:rsidRPr="005C2EF4">
        <w:rPr>
          <w:noProof/>
        </w:rPr>
        <w:t xml:space="preserve">on the </w:t>
      </w:r>
      <w:r>
        <w:rPr>
          <w:noProof/>
        </w:rPr>
        <w:t>30</w:t>
      </w:r>
      <w:r w:rsidR="005A2770">
        <w:rPr>
          <w:noProof/>
        </w:rPr>
        <w:t> </w:t>
      </w:r>
      <w:r w:rsidRPr="005C2EF4">
        <w:rPr>
          <w:noProof/>
        </w:rPr>
        <w:t xml:space="preserve">eligible project proposals submitted </w:t>
      </w:r>
      <w:r w:rsidRPr="00872874">
        <w:rPr>
          <w:noProof/>
        </w:rPr>
        <w:t>and</w:t>
      </w:r>
      <w:r>
        <w:rPr>
          <w:noProof/>
        </w:rPr>
        <w:t>, upon resubmission of revised proposals,</w:t>
      </w:r>
      <w:r w:rsidRPr="00872874">
        <w:rPr>
          <w:noProof/>
        </w:rPr>
        <w:t xml:space="preserve"> prepare</w:t>
      </w:r>
      <w:r>
        <w:rPr>
          <w:noProof/>
        </w:rPr>
        <w:t>d thorough</w:t>
      </w:r>
      <w:r w:rsidRPr="00872874">
        <w:rPr>
          <w:noProof/>
        </w:rPr>
        <w:t xml:space="preserve"> appraisals of </w:t>
      </w:r>
      <w:r>
        <w:rPr>
          <w:noProof/>
        </w:rPr>
        <w:t xml:space="preserve">the 29 </w:t>
      </w:r>
      <w:r w:rsidRPr="00872874">
        <w:rPr>
          <w:noProof/>
        </w:rPr>
        <w:t>eligible applications.</w:t>
      </w:r>
      <w:r>
        <w:rPr>
          <w:noProof/>
        </w:rPr>
        <w:t xml:space="preserve"> </w:t>
      </w:r>
      <w:r w:rsidR="00C769B1">
        <w:rPr>
          <w:noProof/>
        </w:rPr>
        <w:t xml:space="preserve">The </w:t>
      </w:r>
      <w:r w:rsidR="00AB57CB">
        <w:rPr>
          <w:noProof/>
        </w:rPr>
        <w:t>appraisals</w:t>
      </w:r>
      <w:r w:rsidR="00C769B1">
        <w:rPr>
          <w:noProof/>
        </w:rPr>
        <w:t xml:space="preserve"> </w:t>
      </w:r>
      <w:r>
        <w:rPr>
          <w:noProof/>
        </w:rPr>
        <w:t xml:space="preserve">were based on the criteria set out by the </w:t>
      </w:r>
      <w:r w:rsidR="00AB57CB">
        <w:rPr>
          <w:noProof/>
        </w:rPr>
        <w:t xml:space="preserve">Governing </w:t>
      </w:r>
      <w:r>
        <w:rPr>
          <w:noProof/>
        </w:rPr>
        <w:t xml:space="preserve">Board and were integrated with written comments received from the secretariat of the Special Programme and finalized </w:t>
      </w:r>
      <w:r w:rsidRPr="000834DC">
        <w:rPr>
          <w:noProof/>
        </w:rPr>
        <w:t>for the tenth</w:t>
      </w:r>
      <w:r>
        <w:rPr>
          <w:noProof/>
        </w:rPr>
        <w:t xml:space="preserve"> meeting of the Governing Board. </w:t>
      </w:r>
      <w:r w:rsidRPr="004F2234">
        <w:rPr>
          <w:noProof/>
        </w:rPr>
        <w:t xml:space="preserve">Following the </w:t>
      </w:r>
      <w:r w:rsidR="00A446B6">
        <w:rPr>
          <w:noProof/>
        </w:rPr>
        <w:t xml:space="preserve">Governing </w:t>
      </w:r>
      <w:r w:rsidRPr="004F2234">
        <w:rPr>
          <w:noProof/>
        </w:rPr>
        <w:t xml:space="preserve">Board’s decision on the projects to be funded, the </w:t>
      </w:r>
      <w:r>
        <w:rPr>
          <w:noProof/>
        </w:rPr>
        <w:t>s</w:t>
      </w:r>
      <w:r w:rsidRPr="004F2234">
        <w:rPr>
          <w:noProof/>
        </w:rPr>
        <w:t xml:space="preserve">ecretariat </w:t>
      </w:r>
      <w:r>
        <w:rPr>
          <w:noProof/>
        </w:rPr>
        <w:t>notified</w:t>
      </w:r>
      <w:r w:rsidRPr="004F2234">
        <w:rPr>
          <w:noProof/>
        </w:rPr>
        <w:t xml:space="preserve"> all applicants</w:t>
      </w:r>
      <w:r w:rsidR="00A446B6">
        <w:rPr>
          <w:noProof/>
        </w:rPr>
        <w:t xml:space="preserve"> of the outcome</w:t>
      </w:r>
      <w:r w:rsidR="00E14DBF">
        <w:rPr>
          <w:noProof/>
        </w:rPr>
        <w:t>s</w:t>
      </w:r>
      <w:r>
        <w:rPr>
          <w:noProof/>
        </w:rPr>
        <w:t>,</w:t>
      </w:r>
      <w:r w:rsidRPr="004F2234">
        <w:rPr>
          <w:noProof/>
        </w:rPr>
        <w:t xml:space="preserve"> work</w:t>
      </w:r>
      <w:r>
        <w:rPr>
          <w:noProof/>
        </w:rPr>
        <w:t>ed</w:t>
      </w:r>
      <w:r w:rsidRPr="004F2234">
        <w:rPr>
          <w:noProof/>
        </w:rPr>
        <w:t xml:space="preserve"> with the successful applicants to refine their project documents</w:t>
      </w:r>
      <w:r>
        <w:rPr>
          <w:noProof/>
        </w:rPr>
        <w:t xml:space="preserve"> and</w:t>
      </w:r>
      <w:r w:rsidRPr="004F2234">
        <w:rPr>
          <w:noProof/>
        </w:rPr>
        <w:t xml:space="preserve"> draft</w:t>
      </w:r>
      <w:r>
        <w:rPr>
          <w:noProof/>
        </w:rPr>
        <w:t>ed</w:t>
      </w:r>
      <w:r w:rsidRPr="004F2234">
        <w:rPr>
          <w:noProof/>
        </w:rPr>
        <w:t xml:space="preserve"> </w:t>
      </w:r>
      <w:r>
        <w:rPr>
          <w:noProof/>
        </w:rPr>
        <w:t>the</w:t>
      </w:r>
      <w:r w:rsidRPr="004F2234">
        <w:rPr>
          <w:noProof/>
        </w:rPr>
        <w:t xml:space="preserve"> project legal agreements</w:t>
      </w:r>
      <w:r>
        <w:rPr>
          <w:noProof/>
        </w:rPr>
        <w:t>.</w:t>
      </w:r>
    </w:p>
    <w:p w14:paraId="054FF800" w14:textId="66335A8D" w:rsidR="00FF1D0E" w:rsidRDefault="00FF1D0E" w:rsidP="00FF1D0E">
      <w:pPr>
        <w:pStyle w:val="Normalnumber"/>
        <w:numPr>
          <w:ilvl w:val="0"/>
          <w:numId w:val="16"/>
        </w:numPr>
        <w:tabs>
          <w:tab w:val="left" w:pos="624"/>
        </w:tabs>
        <w:ind w:left="1247" w:firstLine="624"/>
        <w:rPr>
          <w:noProof/>
        </w:rPr>
      </w:pPr>
      <w:r w:rsidRPr="00436FCD">
        <w:rPr>
          <w:i/>
          <w:iCs/>
          <w:noProof/>
        </w:rPr>
        <w:t>Administration of the Specific Trust Fund</w:t>
      </w:r>
      <w:r w:rsidR="00452A41">
        <w:rPr>
          <w:i/>
          <w:iCs/>
          <w:noProof/>
        </w:rPr>
        <w:t>.</w:t>
      </w:r>
      <w:r w:rsidRPr="00D407CE">
        <w:rPr>
          <w:noProof/>
        </w:rPr>
        <w:t xml:space="preserve"> The secretariat administered the contributions to the Specific Trust Fund and their disbursement in accordance with </w:t>
      </w:r>
      <w:r w:rsidR="00A56CCC">
        <w:rPr>
          <w:noProof/>
        </w:rPr>
        <w:t>United Natio</w:t>
      </w:r>
      <w:r w:rsidR="00E14DBF">
        <w:rPr>
          <w:noProof/>
        </w:rPr>
        <w:t>n</w:t>
      </w:r>
      <w:r w:rsidR="00A56CCC">
        <w:rPr>
          <w:noProof/>
        </w:rPr>
        <w:t>s Environment Programme (</w:t>
      </w:r>
      <w:r w:rsidRPr="00D407CE">
        <w:rPr>
          <w:noProof/>
        </w:rPr>
        <w:t>UNEP</w:t>
      </w:r>
      <w:r w:rsidR="00A56CCC">
        <w:rPr>
          <w:noProof/>
        </w:rPr>
        <w:t>)</w:t>
      </w:r>
      <w:r w:rsidRPr="00D407CE">
        <w:rPr>
          <w:noProof/>
        </w:rPr>
        <w:t xml:space="preserve"> procedures, including documentation for all grant</w:t>
      </w:r>
      <w:r w:rsidRPr="00872874">
        <w:rPr>
          <w:noProof/>
        </w:rPr>
        <w:t xml:space="preserve"> agreements, amendments, reports and disbursements in the Umoja system. </w:t>
      </w:r>
    </w:p>
    <w:p w14:paraId="67E9BB24" w14:textId="52E268A7" w:rsidR="00FF1D0E" w:rsidRDefault="00FF1D0E" w:rsidP="00FF1D0E">
      <w:pPr>
        <w:pStyle w:val="Normalnumber"/>
        <w:numPr>
          <w:ilvl w:val="0"/>
          <w:numId w:val="16"/>
        </w:numPr>
        <w:tabs>
          <w:tab w:val="left" w:pos="624"/>
        </w:tabs>
        <w:ind w:left="1247" w:firstLine="624"/>
        <w:rPr>
          <w:noProof/>
        </w:rPr>
      </w:pPr>
      <w:r w:rsidRPr="00436FCD">
        <w:rPr>
          <w:i/>
          <w:iCs/>
          <w:noProof/>
        </w:rPr>
        <w:t>Implementation and monitoring support for approved projects</w:t>
      </w:r>
      <w:r w:rsidR="00452A41">
        <w:rPr>
          <w:i/>
          <w:iCs/>
          <w:noProof/>
        </w:rPr>
        <w:t>.</w:t>
      </w:r>
      <w:r w:rsidRPr="00872874">
        <w:rPr>
          <w:noProof/>
        </w:rPr>
        <w:t xml:space="preserve"> </w:t>
      </w:r>
      <w:r w:rsidRPr="002A2E3E">
        <w:rPr>
          <w:noProof/>
        </w:rPr>
        <w:t xml:space="preserve">The </w:t>
      </w:r>
      <w:r>
        <w:rPr>
          <w:noProof/>
        </w:rPr>
        <w:t>s</w:t>
      </w:r>
      <w:r w:rsidRPr="002A2E3E">
        <w:rPr>
          <w:noProof/>
        </w:rPr>
        <w:t xml:space="preserve">ecretariat </w:t>
      </w:r>
      <w:r w:rsidRPr="00872874">
        <w:rPr>
          <w:noProof/>
        </w:rPr>
        <w:t>supported and monitored implementation</w:t>
      </w:r>
      <w:r w:rsidRPr="002A2E3E">
        <w:rPr>
          <w:noProof/>
        </w:rPr>
        <w:t xml:space="preserve"> </w:t>
      </w:r>
      <w:r>
        <w:rPr>
          <w:noProof/>
        </w:rPr>
        <w:t xml:space="preserve">of </w:t>
      </w:r>
      <w:r w:rsidRPr="002A2E3E">
        <w:rPr>
          <w:noProof/>
        </w:rPr>
        <w:t xml:space="preserve">the </w:t>
      </w:r>
      <w:r>
        <w:rPr>
          <w:noProof/>
        </w:rPr>
        <w:t xml:space="preserve">24 </w:t>
      </w:r>
      <w:r w:rsidRPr="002A2E3E">
        <w:rPr>
          <w:noProof/>
        </w:rPr>
        <w:t xml:space="preserve">projects approved in the first three rounds of applications. The assistance provided </w:t>
      </w:r>
      <w:r>
        <w:rPr>
          <w:noProof/>
        </w:rPr>
        <w:t xml:space="preserve">to project partners </w:t>
      </w:r>
      <w:r w:rsidRPr="002A2E3E">
        <w:rPr>
          <w:noProof/>
        </w:rPr>
        <w:t>encompasses the entire life</w:t>
      </w:r>
      <w:r w:rsidR="00B60795">
        <w:rPr>
          <w:noProof/>
        </w:rPr>
        <w:t xml:space="preserve"> </w:t>
      </w:r>
      <w:r w:rsidRPr="002A2E3E">
        <w:rPr>
          <w:noProof/>
        </w:rPr>
        <w:t xml:space="preserve">cycle of the projects, including drafting of project legal agreements and amendments </w:t>
      </w:r>
      <w:r>
        <w:rPr>
          <w:noProof/>
        </w:rPr>
        <w:t>thereto</w:t>
      </w:r>
      <w:r w:rsidRPr="002A2E3E">
        <w:rPr>
          <w:noProof/>
        </w:rPr>
        <w:t xml:space="preserve">, as well as coordination of the signature process; review and approval of biannual </w:t>
      </w:r>
      <w:r>
        <w:rPr>
          <w:noProof/>
        </w:rPr>
        <w:t>and</w:t>
      </w:r>
      <w:r w:rsidRPr="002A2E3E">
        <w:rPr>
          <w:noProof/>
        </w:rPr>
        <w:t xml:space="preserve"> final </w:t>
      </w:r>
      <w:r>
        <w:rPr>
          <w:noProof/>
        </w:rPr>
        <w:t xml:space="preserve">project progress and expenditure </w:t>
      </w:r>
      <w:r w:rsidRPr="002A2E3E">
        <w:rPr>
          <w:noProof/>
        </w:rPr>
        <w:t xml:space="preserve">reports, equipment inventories, </w:t>
      </w:r>
      <w:r>
        <w:rPr>
          <w:noProof/>
        </w:rPr>
        <w:t xml:space="preserve">financial </w:t>
      </w:r>
      <w:r w:rsidRPr="002A2E3E">
        <w:rPr>
          <w:noProof/>
        </w:rPr>
        <w:t xml:space="preserve">audit reports and project outputs submitted to the </w:t>
      </w:r>
      <w:r>
        <w:rPr>
          <w:noProof/>
        </w:rPr>
        <w:t>s</w:t>
      </w:r>
      <w:r w:rsidRPr="002A2E3E">
        <w:rPr>
          <w:noProof/>
        </w:rPr>
        <w:t>ecretariat; disbursement of instalments of funds and coordination of project balance refund procedures</w:t>
      </w:r>
      <w:r>
        <w:rPr>
          <w:noProof/>
        </w:rPr>
        <w:t xml:space="preserve">; </w:t>
      </w:r>
      <w:r w:rsidRPr="00872874">
        <w:rPr>
          <w:noProof/>
        </w:rPr>
        <w:t>and clos</w:t>
      </w:r>
      <w:r>
        <w:rPr>
          <w:noProof/>
        </w:rPr>
        <w:t>ure of</w:t>
      </w:r>
      <w:r w:rsidRPr="00872874">
        <w:rPr>
          <w:noProof/>
        </w:rPr>
        <w:t xml:space="preserve"> completed projects</w:t>
      </w:r>
      <w:r w:rsidRPr="002A2E3E">
        <w:rPr>
          <w:noProof/>
        </w:rPr>
        <w:t>.</w:t>
      </w:r>
      <w:r>
        <w:rPr>
          <w:noProof/>
        </w:rPr>
        <w:t xml:space="preserve"> </w:t>
      </w:r>
    </w:p>
    <w:p w14:paraId="0CBD3530" w14:textId="691E9B5D" w:rsidR="00FF1D0E" w:rsidRDefault="00FF1D0E" w:rsidP="00FF1D0E">
      <w:pPr>
        <w:pStyle w:val="Normalnumber"/>
        <w:numPr>
          <w:ilvl w:val="0"/>
          <w:numId w:val="16"/>
        </w:numPr>
        <w:tabs>
          <w:tab w:val="left" w:pos="624"/>
        </w:tabs>
        <w:ind w:left="1247" w:firstLine="624"/>
        <w:rPr>
          <w:color w:val="000000"/>
          <w:shd w:val="clear" w:color="auto" w:fill="FFFFFF"/>
        </w:rPr>
      </w:pPr>
      <w:r w:rsidRPr="00436FCD">
        <w:rPr>
          <w:i/>
          <w:iCs/>
          <w:noProof/>
        </w:rPr>
        <w:t>Resource mobilization, donor recognition and reporting for the Specific Trust Fund</w:t>
      </w:r>
      <w:r w:rsidR="00452A41">
        <w:rPr>
          <w:i/>
          <w:iCs/>
          <w:noProof/>
        </w:rPr>
        <w:t>.</w:t>
      </w:r>
      <w:r w:rsidRPr="00C33927">
        <w:rPr>
          <w:noProof/>
        </w:rPr>
        <w:t xml:space="preserve"> </w:t>
      </w:r>
      <w:r>
        <w:rPr>
          <w:noProof/>
        </w:rPr>
        <w:t>The secretariat manages all aspects</w:t>
      </w:r>
      <w:r w:rsidRPr="006A433F">
        <w:rPr>
          <w:noProof/>
        </w:rPr>
        <w:t xml:space="preserve"> of </w:t>
      </w:r>
      <w:r>
        <w:rPr>
          <w:noProof/>
        </w:rPr>
        <w:t xml:space="preserve">fundraising and reporting for the </w:t>
      </w:r>
      <w:r w:rsidR="002E67C4">
        <w:rPr>
          <w:noProof/>
        </w:rPr>
        <w:t xml:space="preserve">Specific </w:t>
      </w:r>
      <w:r w:rsidRPr="006A433F">
        <w:rPr>
          <w:noProof/>
        </w:rPr>
        <w:t>Trust Fund</w:t>
      </w:r>
      <w:r>
        <w:rPr>
          <w:noProof/>
        </w:rPr>
        <w:t>.</w:t>
      </w:r>
      <w:r w:rsidRPr="006A433F">
        <w:rPr>
          <w:noProof/>
        </w:rPr>
        <w:t xml:space="preserve"> To raise </w:t>
      </w:r>
      <w:r>
        <w:rPr>
          <w:noProof/>
        </w:rPr>
        <w:t>the profile of the</w:t>
      </w:r>
      <w:r w:rsidRPr="006A433F">
        <w:rPr>
          <w:noProof/>
        </w:rPr>
        <w:t xml:space="preserve"> Specific International </w:t>
      </w:r>
      <w:r w:rsidRPr="002A7BD5">
        <w:rPr>
          <w:noProof/>
        </w:rPr>
        <w:t xml:space="preserve">Programme and encourage contributions to the Specific Trust Fund, the secretariat has drawn attention to the work of the programme in all of its relevant engagements, webinars and meetings. </w:t>
      </w:r>
      <w:r w:rsidRPr="00504BBC">
        <w:rPr>
          <w:noProof/>
        </w:rPr>
        <w:t>The</w:t>
      </w:r>
      <w:r w:rsidRPr="007E247C">
        <w:rPr>
          <w:noProof/>
        </w:rPr>
        <w:t xml:space="preserve"> secretariat </w:t>
      </w:r>
      <w:r w:rsidRPr="00504BBC">
        <w:rPr>
          <w:noProof/>
        </w:rPr>
        <w:t>manage</w:t>
      </w:r>
      <w:r>
        <w:rPr>
          <w:noProof/>
        </w:rPr>
        <w:t>s</w:t>
      </w:r>
      <w:r w:rsidRPr="00504BBC">
        <w:rPr>
          <w:noProof/>
        </w:rPr>
        <w:t xml:space="preserve"> the receipt of contributions to the Specific Trust Fund while meeting individual donor requirements for documentation and reporting. Donors are highlighted on the Convention website and in relevant publications.</w:t>
      </w:r>
      <w:r w:rsidRPr="00504BBC">
        <w:rPr>
          <w:rStyle w:val="FootnoteReference"/>
          <w:noProof/>
        </w:rPr>
        <w:footnoteReference w:id="4"/>
      </w:r>
      <w:r w:rsidRPr="00504BBC">
        <w:rPr>
          <w:noProof/>
        </w:rPr>
        <w:t xml:space="preserve"> </w:t>
      </w:r>
    </w:p>
    <w:p w14:paraId="51AE357F" w14:textId="6D651E61" w:rsidR="00FF1D0E" w:rsidRDefault="00FF1D0E" w:rsidP="00FF1D0E">
      <w:pPr>
        <w:pStyle w:val="Normalnumber"/>
        <w:numPr>
          <w:ilvl w:val="0"/>
          <w:numId w:val="16"/>
        </w:numPr>
        <w:tabs>
          <w:tab w:val="left" w:pos="624"/>
        </w:tabs>
        <w:ind w:left="1247" w:firstLine="624"/>
        <w:rPr>
          <w:noProof/>
        </w:rPr>
      </w:pPr>
      <w:r w:rsidRPr="00436FCD">
        <w:rPr>
          <w:i/>
          <w:iCs/>
          <w:noProof/>
        </w:rPr>
        <w:t>Communications and outreach</w:t>
      </w:r>
      <w:r w:rsidR="00452A41">
        <w:rPr>
          <w:i/>
          <w:iCs/>
          <w:noProof/>
        </w:rPr>
        <w:t>.</w:t>
      </w:r>
      <w:r w:rsidRPr="008F254D">
        <w:rPr>
          <w:noProof/>
        </w:rPr>
        <w:t xml:space="preserve"> The secretariat improved and updated the Specific International Programme web</w:t>
      </w:r>
      <w:r w:rsidR="00C850DD">
        <w:rPr>
          <w:noProof/>
        </w:rPr>
        <w:t xml:space="preserve"> </w:t>
      </w:r>
      <w:r w:rsidRPr="008F254D">
        <w:rPr>
          <w:noProof/>
        </w:rPr>
        <w:t xml:space="preserve">page on the Minamata Convention </w:t>
      </w:r>
      <w:r w:rsidR="001E16AD" w:rsidRPr="008F254D">
        <w:rPr>
          <w:noProof/>
        </w:rPr>
        <w:t xml:space="preserve">on Mercury </w:t>
      </w:r>
      <w:r w:rsidRPr="008F254D">
        <w:rPr>
          <w:noProof/>
        </w:rPr>
        <w:t>website, by developing a new tab containing all information related to the fourth round of applications.</w:t>
      </w:r>
      <w:r w:rsidRPr="008F254D">
        <w:rPr>
          <w:rStyle w:val="FootnoteReference"/>
          <w:noProof/>
        </w:rPr>
        <w:footnoteReference w:id="5"/>
      </w:r>
      <w:r w:rsidRPr="008F254D">
        <w:rPr>
          <w:noProof/>
        </w:rPr>
        <w:t xml:space="preserve"> Furthermore, the secretariat developed a </w:t>
      </w:r>
      <w:r w:rsidR="00BB0191">
        <w:rPr>
          <w:noProof/>
        </w:rPr>
        <w:t xml:space="preserve">Microsoft </w:t>
      </w:r>
      <w:r w:rsidRPr="008F254D">
        <w:rPr>
          <w:noProof/>
        </w:rPr>
        <w:t>PowerBI dashboard</w:t>
      </w:r>
      <w:r w:rsidRPr="008F254D">
        <w:rPr>
          <w:rStyle w:val="FootnoteReference"/>
          <w:noProof/>
        </w:rPr>
        <w:footnoteReference w:id="6"/>
      </w:r>
      <w:r w:rsidRPr="008F254D">
        <w:rPr>
          <w:noProof/>
        </w:rPr>
        <w:t xml:space="preserve"> and revamped its project</w:t>
      </w:r>
      <w:r w:rsidRPr="00DE40C1">
        <w:rPr>
          <w:noProof/>
        </w:rPr>
        <w:t xml:space="preserve"> database, </w:t>
      </w:r>
      <w:r w:rsidRPr="00916C10">
        <w:rPr>
          <w:noProof/>
        </w:rPr>
        <w:t>including both projects of the Specific International Programme and the Global Environment Facility.</w:t>
      </w:r>
      <w:r w:rsidRPr="00916C10">
        <w:rPr>
          <w:rStyle w:val="FootnoteReference"/>
          <w:noProof/>
        </w:rPr>
        <w:footnoteReference w:id="7"/>
      </w:r>
      <w:r w:rsidRPr="00916C10">
        <w:rPr>
          <w:noProof/>
        </w:rPr>
        <w:t xml:space="preserve"> </w:t>
      </w:r>
      <w:r>
        <w:rPr>
          <w:noProof/>
        </w:rPr>
        <w:t>The secretariat also organized several online awareness</w:t>
      </w:r>
      <w:r w:rsidR="00CD6122">
        <w:rPr>
          <w:noProof/>
        </w:rPr>
        <w:t>-</w:t>
      </w:r>
      <w:r>
        <w:rPr>
          <w:noProof/>
        </w:rPr>
        <w:t xml:space="preserve">raising events. </w:t>
      </w:r>
    </w:p>
    <w:p w14:paraId="234738C8" w14:textId="584C8F78" w:rsidR="00FF1D0E" w:rsidRPr="009D572E" w:rsidRDefault="00FF1D0E" w:rsidP="00FF1D0E">
      <w:pPr>
        <w:pStyle w:val="Normalnumber"/>
        <w:numPr>
          <w:ilvl w:val="0"/>
          <w:numId w:val="17"/>
        </w:numPr>
        <w:tabs>
          <w:tab w:val="left" w:pos="624"/>
        </w:tabs>
        <w:snapToGrid w:val="0"/>
        <w:ind w:left="1247" w:firstLine="0"/>
        <w:rPr>
          <w:noProof/>
        </w:rPr>
      </w:pPr>
      <w:r>
        <w:rPr>
          <w:noProof/>
        </w:rPr>
        <w:t>Interest in the Specific International Programme has grown steadily since its inception, with 19</w:t>
      </w:r>
      <w:r w:rsidR="005A2770">
        <w:rPr>
          <w:noProof/>
        </w:rPr>
        <w:t> </w:t>
      </w:r>
      <w:r>
        <w:rPr>
          <w:noProof/>
        </w:rPr>
        <w:t xml:space="preserve">applications submitted in the first application round in 2018 </w:t>
      </w:r>
      <w:r w:rsidR="00154296">
        <w:rPr>
          <w:noProof/>
        </w:rPr>
        <w:t>and</w:t>
      </w:r>
      <w:r>
        <w:rPr>
          <w:noProof/>
        </w:rPr>
        <w:t xml:space="preserve"> 36 applications submitted in the fourth </w:t>
      </w:r>
      <w:r w:rsidRPr="00B04634">
        <w:rPr>
          <w:noProof/>
        </w:rPr>
        <w:t xml:space="preserve">round </w:t>
      </w:r>
      <w:r w:rsidR="004355FD">
        <w:rPr>
          <w:noProof/>
        </w:rPr>
        <w:t>(</w:t>
      </w:r>
      <w:r w:rsidRPr="00B04634">
        <w:rPr>
          <w:noProof/>
        </w:rPr>
        <w:t>2024</w:t>
      </w:r>
      <w:r w:rsidR="007C3D2A" w:rsidRPr="00436FCD">
        <w:rPr>
          <w:noProof/>
        </w:rPr>
        <w:t>–</w:t>
      </w:r>
      <w:r w:rsidR="006E55F5">
        <w:rPr>
          <w:noProof/>
        </w:rPr>
        <w:t>20</w:t>
      </w:r>
      <w:r w:rsidRPr="00B04634">
        <w:rPr>
          <w:noProof/>
        </w:rPr>
        <w:t>25</w:t>
      </w:r>
      <w:r w:rsidR="004355FD">
        <w:rPr>
          <w:noProof/>
        </w:rPr>
        <w:t>)</w:t>
      </w:r>
      <w:r>
        <w:rPr>
          <w:noProof/>
        </w:rPr>
        <w:t xml:space="preserve">. </w:t>
      </w:r>
      <w:r w:rsidRPr="009D572E">
        <w:rPr>
          <w:noProof/>
        </w:rPr>
        <w:t xml:space="preserve">The secretariat has continued to refine and enhance the efficiency of the operations in order to effectively manage the growing number of </w:t>
      </w:r>
      <w:r>
        <w:rPr>
          <w:noProof/>
        </w:rPr>
        <w:t xml:space="preserve">applications and </w:t>
      </w:r>
      <w:r w:rsidRPr="009D572E">
        <w:rPr>
          <w:noProof/>
        </w:rPr>
        <w:t>funded projects</w:t>
      </w:r>
      <w:r>
        <w:rPr>
          <w:noProof/>
        </w:rPr>
        <w:t xml:space="preserve"> </w:t>
      </w:r>
      <w:r w:rsidRPr="009D572E">
        <w:rPr>
          <w:noProof/>
        </w:rPr>
        <w:t>while maintaining high standards of fiduciary responsibility, in line with UNEP procedures.</w:t>
      </w:r>
    </w:p>
    <w:p w14:paraId="7E5A1CDB" w14:textId="77777777" w:rsidR="00FF1D0E" w:rsidRPr="00A24939" w:rsidRDefault="00FF1D0E" w:rsidP="00FF1D0E">
      <w:pPr>
        <w:pStyle w:val="CH1"/>
      </w:pPr>
      <w:r>
        <w:lastRenderedPageBreak/>
        <w:tab/>
      </w:r>
      <w:r w:rsidRPr="00A24939">
        <w:t>III.</w:t>
      </w:r>
      <w:r w:rsidRPr="00A24939">
        <w:tab/>
        <w:t>Work of the Governing Board of the Specific International Programme since the fifth meeting of the Conference of the Parties</w:t>
      </w:r>
    </w:p>
    <w:p w14:paraId="6211F358" w14:textId="0CAC9C34" w:rsidR="00FF1D0E" w:rsidRPr="008A572D" w:rsidRDefault="00FF1D0E" w:rsidP="00FF1D0E">
      <w:pPr>
        <w:pStyle w:val="Normalnumber"/>
        <w:numPr>
          <w:ilvl w:val="0"/>
          <w:numId w:val="17"/>
        </w:numPr>
        <w:tabs>
          <w:tab w:val="left" w:pos="624"/>
        </w:tabs>
        <w:snapToGrid w:val="0"/>
        <w:ind w:left="1247" w:firstLine="0"/>
        <w:rPr>
          <w:noProof/>
        </w:rPr>
      </w:pPr>
      <w:r w:rsidRPr="00A33322">
        <w:rPr>
          <w:noProof/>
        </w:rPr>
        <w:t xml:space="preserve">The Governing Board consists of </w:t>
      </w:r>
      <w:r w:rsidR="00DB38E2" w:rsidRPr="00A33322">
        <w:rPr>
          <w:noProof/>
        </w:rPr>
        <w:t>1</w:t>
      </w:r>
      <w:r w:rsidR="00A33322" w:rsidRPr="00A33322">
        <w:rPr>
          <w:noProof/>
        </w:rPr>
        <w:t>0</w:t>
      </w:r>
      <w:r w:rsidR="00DB38E2" w:rsidRPr="00A33322">
        <w:rPr>
          <w:noProof/>
        </w:rPr>
        <w:t xml:space="preserve"> </w:t>
      </w:r>
      <w:r w:rsidRPr="00A33322">
        <w:rPr>
          <w:noProof/>
        </w:rPr>
        <w:t>members from parties. Each of the five United Nations regional groups</w:t>
      </w:r>
      <w:r w:rsidRPr="008A572D">
        <w:rPr>
          <w:noProof/>
        </w:rPr>
        <w:t xml:space="preserve"> nominates two members through their respective Bureau representatives. </w:t>
      </w:r>
      <w:r>
        <w:rPr>
          <w:noProof/>
        </w:rPr>
        <w:t>At its fifth meeting, t</w:t>
      </w:r>
      <w:r w:rsidRPr="008A572D">
        <w:rPr>
          <w:noProof/>
        </w:rPr>
        <w:t>he Conference of the Parties confirmed the members of the Governing Board as follows:</w:t>
      </w:r>
    </w:p>
    <w:p w14:paraId="65B1657C" w14:textId="77777777" w:rsidR="00FF1D0E" w:rsidRPr="008A572D" w:rsidRDefault="00FF1D0E" w:rsidP="00FF1D0E">
      <w:pPr>
        <w:pStyle w:val="Normalnumber"/>
        <w:numPr>
          <w:ilvl w:val="0"/>
          <w:numId w:val="18"/>
        </w:numPr>
        <w:tabs>
          <w:tab w:val="left" w:pos="624"/>
        </w:tabs>
        <w:ind w:left="1247" w:firstLine="624"/>
      </w:pPr>
      <w:r w:rsidRPr="00CE1582">
        <w:rPr>
          <w:i/>
          <w:iCs/>
        </w:rPr>
        <w:t>For the African States:</w:t>
      </w:r>
      <w:r w:rsidRPr="008A572D">
        <w:t xml:space="preserve"> Liliane Randrianomenjanahary (Madagascar) and Obed Meringo Baloyi (South Africa);</w:t>
      </w:r>
    </w:p>
    <w:p w14:paraId="618F432D" w14:textId="77777777" w:rsidR="00FF1D0E" w:rsidRPr="008A572D" w:rsidRDefault="00FF1D0E" w:rsidP="00FF1D0E">
      <w:pPr>
        <w:pStyle w:val="Normalnumber"/>
        <w:numPr>
          <w:ilvl w:val="0"/>
          <w:numId w:val="18"/>
        </w:numPr>
        <w:tabs>
          <w:tab w:val="left" w:pos="624"/>
        </w:tabs>
        <w:ind w:left="1247" w:firstLine="624"/>
      </w:pPr>
      <w:r w:rsidRPr="00CE1582">
        <w:rPr>
          <w:i/>
          <w:iCs/>
        </w:rPr>
        <w:t>For the Asia-Pacific States:</w:t>
      </w:r>
      <w:r w:rsidRPr="008A572D">
        <w:t xml:space="preserve"> Luay Sadeq Almukhtar (Iraq) and Wasantha Dissanayake (Sri Lanka);</w:t>
      </w:r>
    </w:p>
    <w:p w14:paraId="5010FC39" w14:textId="43775BC1" w:rsidR="00FF1D0E" w:rsidRPr="008A572D" w:rsidRDefault="00FF1D0E" w:rsidP="00FF1D0E">
      <w:pPr>
        <w:pStyle w:val="Normalnumber"/>
        <w:numPr>
          <w:ilvl w:val="0"/>
          <w:numId w:val="18"/>
        </w:numPr>
        <w:tabs>
          <w:tab w:val="left" w:pos="624"/>
        </w:tabs>
        <w:ind w:left="1247" w:firstLine="624"/>
      </w:pPr>
      <w:r w:rsidRPr="00CE1582">
        <w:rPr>
          <w:i/>
          <w:iCs/>
        </w:rPr>
        <w:t>For the Eastern European States:</w:t>
      </w:r>
      <w:r w:rsidRPr="008A572D">
        <w:t xml:space="preserve"> Mario Vujić (Croatia) and Suzana Andonova (North</w:t>
      </w:r>
      <w:r w:rsidR="005A2770">
        <w:t> </w:t>
      </w:r>
      <w:r w:rsidRPr="008A572D">
        <w:t>Macedonia);</w:t>
      </w:r>
    </w:p>
    <w:p w14:paraId="36A8FF9C" w14:textId="77777777" w:rsidR="00FF1D0E" w:rsidRPr="008A572D" w:rsidRDefault="00FF1D0E" w:rsidP="00FF1D0E">
      <w:pPr>
        <w:pStyle w:val="Normalnumber"/>
        <w:numPr>
          <w:ilvl w:val="0"/>
          <w:numId w:val="18"/>
        </w:numPr>
        <w:tabs>
          <w:tab w:val="left" w:pos="624"/>
        </w:tabs>
        <w:ind w:left="1247" w:firstLine="624"/>
      </w:pPr>
      <w:r w:rsidRPr="00CE1582">
        <w:rPr>
          <w:i/>
          <w:iCs/>
        </w:rPr>
        <w:t xml:space="preserve">For the Latin American and Caribbean States: </w:t>
      </w:r>
      <w:r w:rsidRPr="008A572D">
        <w:t>Ana Cristina Linhares (Brazil) and Michelle Astwood (Guyana);</w:t>
      </w:r>
    </w:p>
    <w:p w14:paraId="0C62C28A" w14:textId="77777777" w:rsidR="00FF1D0E" w:rsidRPr="008A572D" w:rsidRDefault="00FF1D0E" w:rsidP="00FF1D0E">
      <w:pPr>
        <w:pStyle w:val="Normalnumber"/>
        <w:numPr>
          <w:ilvl w:val="0"/>
          <w:numId w:val="18"/>
        </w:numPr>
        <w:tabs>
          <w:tab w:val="left" w:pos="624"/>
        </w:tabs>
        <w:ind w:left="1247" w:firstLine="624"/>
      </w:pPr>
      <w:r w:rsidRPr="00CE1582">
        <w:rPr>
          <w:i/>
          <w:iCs/>
        </w:rPr>
        <w:t>For the Western European and other States:</w:t>
      </w:r>
      <w:r w:rsidRPr="008A572D">
        <w:t xml:space="preserve"> Rafael Zubrzycki (Germany) and Andrew Clark (United States of America).</w:t>
      </w:r>
    </w:p>
    <w:p w14:paraId="43CDEAD2" w14:textId="77777777" w:rsidR="00FF1D0E" w:rsidRPr="008A572D" w:rsidRDefault="00FF1D0E" w:rsidP="00FF1D0E">
      <w:pPr>
        <w:pStyle w:val="Normalnumber"/>
        <w:numPr>
          <w:ilvl w:val="0"/>
          <w:numId w:val="17"/>
        </w:numPr>
        <w:tabs>
          <w:tab w:val="left" w:pos="624"/>
        </w:tabs>
        <w:snapToGrid w:val="0"/>
        <w:ind w:left="1247" w:firstLine="0"/>
        <w:rPr>
          <w:noProof/>
        </w:rPr>
      </w:pPr>
      <w:r w:rsidRPr="008A572D">
        <w:rPr>
          <w:noProof/>
        </w:rPr>
        <w:t xml:space="preserve">In April 2024, Rathnappuli Hewa Mynattuge Pathmalatha Abeykoon (Sri Lanka) was designated to replace Wasantha Dissanayake (Sri Lanka) as a member of the Governing Board for the remainder of the term. </w:t>
      </w:r>
    </w:p>
    <w:p w14:paraId="4DB64717" w14:textId="0FB63C89" w:rsidR="00FF1D0E" w:rsidRPr="008A572D" w:rsidRDefault="00FF1D0E" w:rsidP="00FF1D0E">
      <w:pPr>
        <w:pStyle w:val="Normalnumber"/>
        <w:numPr>
          <w:ilvl w:val="0"/>
          <w:numId w:val="17"/>
        </w:numPr>
        <w:tabs>
          <w:tab w:val="left" w:pos="624"/>
        </w:tabs>
        <w:snapToGrid w:val="0"/>
        <w:ind w:left="1247" w:firstLine="0"/>
        <w:rPr>
          <w:noProof/>
        </w:rPr>
      </w:pPr>
      <w:r w:rsidRPr="008A572D">
        <w:rPr>
          <w:noProof/>
        </w:rPr>
        <w:t xml:space="preserve">At its ninth meeting, the </w:t>
      </w:r>
      <w:r w:rsidR="0089319D">
        <w:rPr>
          <w:noProof/>
        </w:rPr>
        <w:t xml:space="preserve">Governing </w:t>
      </w:r>
      <w:r w:rsidRPr="008A572D">
        <w:rPr>
          <w:noProof/>
        </w:rPr>
        <w:t xml:space="preserve">Board elected Obed Meringo Baloyi (South Africa) and Andrew Clark (United States of America) as </w:t>
      </w:r>
      <w:r w:rsidR="001B7488">
        <w:rPr>
          <w:noProof/>
        </w:rPr>
        <w:t>C</w:t>
      </w:r>
      <w:r w:rsidRPr="008A572D">
        <w:rPr>
          <w:noProof/>
        </w:rPr>
        <w:t>o-</w:t>
      </w:r>
      <w:r w:rsidR="001B7488">
        <w:rPr>
          <w:noProof/>
        </w:rPr>
        <w:t>C</w:t>
      </w:r>
      <w:r w:rsidRPr="008A572D">
        <w:rPr>
          <w:noProof/>
        </w:rPr>
        <w:t xml:space="preserve">hairs for the current term. </w:t>
      </w:r>
    </w:p>
    <w:p w14:paraId="64D21E29" w14:textId="1DE1B508" w:rsidR="00FF1D0E" w:rsidRPr="008A572D" w:rsidRDefault="00FF1D0E" w:rsidP="00FF1D0E">
      <w:pPr>
        <w:pStyle w:val="Normalnumber"/>
        <w:numPr>
          <w:ilvl w:val="0"/>
          <w:numId w:val="17"/>
        </w:numPr>
        <w:tabs>
          <w:tab w:val="left" w:pos="624"/>
        </w:tabs>
        <w:snapToGrid w:val="0"/>
        <w:ind w:left="1247" w:firstLine="0"/>
        <w:rPr>
          <w:noProof/>
        </w:rPr>
      </w:pPr>
      <w:r w:rsidRPr="008A572D">
        <w:rPr>
          <w:noProof/>
        </w:rPr>
        <w:t xml:space="preserve">At its ninth meeting, the Governing Board received and discussed the 2024 annual report of the secretariat to the </w:t>
      </w:r>
      <w:r w:rsidR="0089319D">
        <w:rPr>
          <w:noProof/>
        </w:rPr>
        <w:t xml:space="preserve">Governing </w:t>
      </w:r>
      <w:r w:rsidRPr="008A572D">
        <w:rPr>
          <w:noProof/>
        </w:rPr>
        <w:t xml:space="preserve">Board on operations of the Specific International Programme, including an update on the funds and pledges received by and expenditures of the Specific Trust Fund. The Governing Board decided to launch the fourth round </w:t>
      </w:r>
      <w:r w:rsidRPr="00536523">
        <w:rPr>
          <w:noProof/>
        </w:rPr>
        <w:t xml:space="preserve">of applications, and considered the recommendations </w:t>
      </w:r>
      <w:r w:rsidR="00CB5337" w:rsidRPr="00536523">
        <w:rPr>
          <w:noProof/>
        </w:rPr>
        <w:t xml:space="preserve">of </w:t>
      </w:r>
      <w:r w:rsidRPr="00536523">
        <w:rPr>
          <w:noProof/>
        </w:rPr>
        <w:t>the midterm evaluation of the Specific International Programme addressed to the Governing Board with respect to the launch of the fourth round.</w:t>
      </w:r>
      <w:r w:rsidRPr="008A572D">
        <w:rPr>
          <w:noProof/>
        </w:rPr>
        <w:t xml:space="preserve"> </w:t>
      </w:r>
    </w:p>
    <w:p w14:paraId="6BDBFECE" w14:textId="66F4ADE6" w:rsidR="00FF1D0E" w:rsidRPr="008A572D" w:rsidRDefault="00FF1D0E" w:rsidP="00FF1D0E">
      <w:pPr>
        <w:pStyle w:val="Normalnumber"/>
        <w:numPr>
          <w:ilvl w:val="0"/>
          <w:numId w:val="17"/>
        </w:numPr>
        <w:tabs>
          <w:tab w:val="left" w:pos="624"/>
        </w:tabs>
        <w:snapToGrid w:val="0"/>
        <w:ind w:left="1247" w:firstLine="0"/>
        <w:rPr>
          <w:noProof/>
        </w:rPr>
      </w:pPr>
      <w:r w:rsidRPr="008A572D">
        <w:rPr>
          <w:noProof/>
        </w:rPr>
        <w:t>The tenth meeting of the Governing Board took place in Geneva, from 22 to 24</w:t>
      </w:r>
      <w:r w:rsidR="004973C9">
        <w:rPr>
          <w:noProof/>
        </w:rPr>
        <w:t> </w:t>
      </w:r>
      <w:r w:rsidRPr="008A572D">
        <w:rPr>
          <w:noProof/>
        </w:rPr>
        <w:t xml:space="preserve">January 2025. </w:t>
      </w:r>
      <w:r w:rsidR="0089319D">
        <w:rPr>
          <w:noProof/>
        </w:rPr>
        <w:t>At that meeting, t</w:t>
      </w:r>
      <w:r w:rsidRPr="008A572D">
        <w:rPr>
          <w:noProof/>
        </w:rPr>
        <w:t xml:space="preserve">he </w:t>
      </w:r>
      <w:r w:rsidR="0089319D">
        <w:rPr>
          <w:noProof/>
        </w:rPr>
        <w:t xml:space="preserve">Governing </w:t>
      </w:r>
      <w:r w:rsidRPr="008A572D">
        <w:rPr>
          <w:noProof/>
        </w:rPr>
        <w:t xml:space="preserve">Board considered and deliberated, among other matters, on </w:t>
      </w:r>
      <w:r w:rsidRPr="000A17D4">
        <w:rPr>
          <w:noProof/>
        </w:rPr>
        <w:t xml:space="preserve">the annual report of the </w:t>
      </w:r>
      <w:r>
        <w:rPr>
          <w:noProof/>
        </w:rPr>
        <w:t>s</w:t>
      </w:r>
      <w:r w:rsidRPr="000A17D4">
        <w:rPr>
          <w:noProof/>
        </w:rPr>
        <w:t xml:space="preserve">ecretariat on the operations of the </w:t>
      </w:r>
      <w:r w:rsidRPr="008A572D">
        <w:rPr>
          <w:noProof/>
        </w:rPr>
        <w:t>Specific International Programme</w:t>
      </w:r>
      <w:r w:rsidR="0089319D">
        <w:rPr>
          <w:noProof/>
        </w:rPr>
        <w:t>;</w:t>
      </w:r>
      <w:r>
        <w:rPr>
          <w:noProof/>
        </w:rPr>
        <w:t xml:space="preserve"> </w:t>
      </w:r>
      <w:r w:rsidRPr="000A17D4">
        <w:rPr>
          <w:noProof/>
        </w:rPr>
        <w:t>the status of the Specific Trust Fund</w:t>
      </w:r>
      <w:r w:rsidR="0089319D">
        <w:rPr>
          <w:noProof/>
        </w:rPr>
        <w:t>;</w:t>
      </w:r>
      <w:r>
        <w:rPr>
          <w:noProof/>
        </w:rPr>
        <w:t xml:space="preserve"> </w:t>
      </w:r>
      <w:r w:rsidRPr="000A17D4">
        <w:rPr>
          <w:noProof/>
        </w:rPr>
        <w:t>the draft terms of reference for the third review of the financial mechanism</w:t>
      </w:r>
      <w:r w:rsidR="0089319D">
        <w:rPr>
          <w:noProof/>
        </w:rPr>
        <w:t>;</w:t>
      </w:r>
      <w:r w:rsidRPr="000A17D4">
        <w:rPr>
          <w:noProof/>
        </w:rPr>
        <w:t xml:space="preserve"> </w:t>
      </w:r>
      <w:r>
        <w:rPr>
          <w:noProof/>
        </w:rPr>
        <w:t xml:space="preserve">and </w:t>
      </w:r>
      <w:r w:rsidR="001B2E9B">
        <w:rPr>
          <w:noProof/>
        </w:rPr>
        <w:t>an</w:t>
      </w:r>
      <w:r w:rsidR="001B2E9B" w:rsidRPr="000A17D4">
        <w:rPr>
          <w:noProof/>
        </w:rPr>
        <w:t xml:space="preserve"> </w:t>
      </w:r>
      <w:r w:rsidRPr="000A17D4">
        <w:rPr>
          <w:noProof/>
        </w:rPr>
        <w:t>update</w:t>
      </w:r>
      <w:r w:rsidR="00344753">
        <w:rPr>
          <w:noProof/>
        </w:rPr>
        <w:t xml:space="preserve"> </w:t>
      </w:r>
      <w:r w:rsidR="0084263F">
        <w:rPr>
          <w:noProof/>
        </w:rPr>
        <w:t>from</w:t>
      </w:r>
      <w:r w:rsidR="00344753">
        <w:rPr>
          <w:noProof/>
        </w:rPr>
        <w:t xml:space="preserve"> the secretariat</w:t>
      </w:r>
      <w:r w:rsidRPr="000A17D4">
        <w:rPr>
          <w:noProof/>
        </w:rPr>
        <w:t xml:space="preserve"> on the draft analysis of expected funding needs and related staffing needs </w:t>
      </w:r>
      <w:r w:rsidR="001B2E9B">
        <w:rPr>
          <w:noProof/>
        </w:rPr>
        <w:t>during</w:t>
      </w:r>
      <w:r w:rsidR="001B2E9B" w:rsidRPr="000A17D4">
        <w:rPr>
          <w:noProof/>
        </w:rPr>
        <w:t xml:space="preserve"> </w:t>
      </w:r>
      <w:r w:rsidRPr="000A17D4">
        <w:rPr>
          <w:noProof/>
        </w:rPr>
        <w:t>the second half of the initial term of the</w:t>
      </w:r>
      <w:r>
        <w:rPr>
          <w:noProof/>
        </w:rPr>
        <w:t xml:space="preserve"> </w:t>
      </w:r>
      <w:r w:rsidRPr="008A572D">
        <w:rPr>
          <w:noProof/>
        </w:rPr>
        <w:t>Specific International Programme</w:t>
      </w:r>
      <w:r w:rsidRPr="000A17D4">
        <w:rPr>
          <w:noProof/>
        </w:rPr>
        <w:t>.</w:t>
      </w:r>
      <w:r>
        <w:rPr>
          <w:noProof/>
        </w:rPr>
        <w:t xml:space="preserve"> The </w:t>
      </w:r>
      <w:r w:rsidR="0089319D">
        <w:rPr>
          <w:noProof/>
        </w:rPr>
        <w:t xml:space="preserve">Governing </w:t>
      </w:r>
      <w:r>
        <w:rPr>
          <w:noProof/>
        </w:rPr>
        <w:t xml:space="preserve">Board considered </w:t>
      </w:r>
      <w:r w:rsidRPr="000A17D4">
        <w:rPr>
          <w:noProof/>
        </w:rPr>
        <w:t xml:space="preserve">the </w:t>
      </w:r>
      <w:r>
        <w:rPr>
          <w:noProof/>
        </w:rPr>
        <w:t>29</w:t>
      </w:r>
      <w:r w:rsidRPr="000A17D4">
        <w:rPr>
          <w:noProof/>
        </w:rPr>
        <w:t xml:space="preserve"> eligible applications</w:t>
      </w:r>
      <w:r>
        <w:rPr>
          <w:noProof/>
        </w:rPr>
        <w:t xml:space="preserve"> submitted to the fourth round of applications and approved </w:t>
      </w:r>
      <w:r w:rsidR="0084263F">
        <w:rPr>
          <w:noProof/>
        </w:rPr>
        <w:t xml:space="preserve">10 </w:t>
      </w:r>
      <w:r>
        <w:rPr>
          <w:noProof/>
        </w:rPr>
        <w:t>projects for funding.</w:t>
      </w:r>
    </w:p>
    <w:p w14:paraId="71CB24F6" w14:textId="53C04CB6" w:rsidR="00FF1D0E" w:rsidRDefault="00FF1D0E" w:rsidP="00FF1D0E">
      <w:pPr>
        <w:pStyle w:val="CH1"/>
        <w:rPr>
          <w:b w:val="0"/>
          <w:noProof/>
        </w:rPr>
      </w:pPr>
      <w:r>
        <w:rPr>
          <w:noProof/>
        </w:rPr>
        <w:tab/>
      </w:r>
      <w:r w:rsidRPr="00624267">
        <w:t>IV.</w:t>
      </w:r>
      <w:r>
        <w:rPr>
          <w:noProof/>
        </w:rPr>
        <w:tab/>
      </w:r>
      <w:r w:rsidRPr="00624267">
        <w:t xml:space="preserve">Status of implementation of approved </w:t>
      </w:r>
      <w:r w:rsidRPr="00983A8F">
        <w:t>Specific International Programme</w:t>
      </w:r>
      <w:r w:rsidRPr="00F95D9A">
        <w:t xml:space="preserve"> projects</w:t>
      </w:r>
    </w:p>
    <w:p w14:paraId="1955E296" w14:textId="2426DD28" w:rsidR="00FF1D0E" w:rsidRDefault="00FF1D0E" w:rsidP="00FF1D0E">
      <w:pPr>
        <w:pStyle w:val="Normalnumber"/>
        <w:numPr>
          <w:ilvl w:val="0"/>
          <w:numId w:val="17"/>
        </w:numPr>
        <w:tabs>
          <w:tab w:val="left" w:pos="624"/>
        </w:tabs>
        <w:snapToGrid w:val="0"/>
        <w:ind w:left="1247" w:firstLine="0"/>
        <w:rPr>
          <w:noProof/>
        </w:rPr>
      </w:pPr>
      <w:r w:rsidRPr="009E15DC">
        <w:rPr>
          <w:noProof/>
        </w:rPr>
        <w:t xml:space="preserve">In the </w:t>
      </w:r>
      <w:r>
        <w:rPr>
          <w:noProof/>
        </w:rPr>
        <w:t>fourth</w:t>
      </w:r>
      <w:r w:rsidRPr="009E15DC">
        <w:rPr>
          <w:noProof/>
        </w:rPr>
        <w:t xml:space="preserve"> round of </w:t>
      </w:r>
      <w:r w:rsidRPr="00680A10">
        <w:rPr>
          <w:noProof/>
        </w:rPr>
        <w:t>applications (2024</w:t>
      </w:r>
      <w:r w:rsidR="007C3D2A" w:rsidRPr="00680A10">
        <w:rPr>
          <w:noProof/>
        </w:rPr>
        <w:t>–</w:t>
      </w:r>
      <w:r w:rsidRPr="00680A10">
        <w:rPr>
          <w:noProof/>
        </w:rPr>
        <w:t>2025), the</w:t>
      </w:r>
      <w:r w:rsidRPr="009E15DC">
        <w:rPr>
          <w:noProof/>
        </w:rPr>
        <w:t xml:space="preserve"> Governing Board approved </w:t>
      </w:r>
      <w:r w:rsidR="00715765">
        <w:rPr>
          <w:noProof/>
        </w:rPr>
        <w:t>10</w:t>
      </w:r>
      <w:r w:rsidRPr="009E15DC">
        <w:rPr>
          <w:noProof/>
        </w:rPr>
        <w:t xml:space="preserve"> projects with an overall budget of </w:t>
      </w:r>
      <w:r w:rsidRPr="00C2168F">
        <w:rPr>
          <w:noProof/>
        </w:rPr>
        <w:t xml:space="preserve">$2,104,630 </w:t>
      </w:r>
      <w:r>
        <w:rPr>
          <w:noProof/>
        </w:rPr>
        <w:t>(</w:t>
      </w:r>
      <w:r w:rsidRPr="00C2168F">
        <w:rPr>
          <w:noProof/>
        </w:rPr>
        <w:t xml:space="preserve">$2,378,231 including 13 per cent programme support costs). </w:t>
      </w:r>
      <w:r w:rsidRPr="00F603DC">
        <w:rPr>
          <w:noProof/>
        </w:rPr>
        <w:t xml:space="preserve">The approved projects </w:t>
      </w:r>
      <w:r w:rsidR="007C5BDC">
        <w:rPr>
          <w:noProof/>
        </w:rPr>
        <w:t xml:space="preserve">and their </w:t>
      </w:r>
      <w:r w:rsidR="0026041D">
        <w:rPr>
          <w:noProof/>
        </w:rPr>
        <w:t>budget</w:t>
      </w:r>
      <w:r w:rsidR="009336E9">
        <w:rPr>
          <w:noProof/>
        </w:rPr>
        <w:t xml:space="preserve">s </w:t>
      </w:r>
      <w:r w:rsidRPr="00F603DC">
        <w:rPr>
          <w:noProof/>
        </w:rPr>
        <w:t>were</w:t>
      </w:r>
      <w:r w:rsidR="00664C96">
        <w:rPr>
          <w:noProof/>
        </w:rPr>
        <w:t xml:space="preserve"> as follows</w:t>
      </w:r>
      <w:r>
        <w:rPr>
          <w:noProof/>
        </w:rPr>
        <w:t>:</w:t>
      </w:r>
    </w:p>
    <w:p w14:paraId="0EE259A8" w14:textId="31A202DA" w:rsidR="00FF1D0E" w:rsidRPr="00152D3F" w:rsidRDefault="00FF1D0E" w:rsidP="00FF1D0E">
      <w:pPr>
        <w:pStyle w:val="Normalnumber"/>
        <w:numPr>
          <w:ilvl w:val="0"/>
          <w:numId w:val="19"/>
        </w:numPr>
        <w:tabs>
          <w:tab w:val="left" w:pos="624"/>
        </w:tabs>
        <w:ind w:left="1247" w:firstLine="624"/>
        <w:rPr>
          <w:noProof/>
        </w:rPr>
      </w:pPr>
      <w:r w:rsidRPr="00436FCD">
        <w:rPr>
          <w:i/>
          <w:iCs/>
        </w:rPr>
        <w:t>Brazil</w:t>
      </w:r>
      <w:r w:rsidR="00462419" w:rsidRPr="00CE1582">
        <w:rPr>
          <w:i/>
          <w:iCs/>
          <w:noProof/>
        </w:rPr>
        <w:t>:</w:t>
      </w:r>
      <w:r w:rsidRPr="00152D3F">
        <w:rPr>
          <w:noProof/>
        </w:rPr>
        <w:t xml:space="preserve"> Artisanal and small-scale gold mining: health and environmental aspects of mercury use ($250,000); </w:t>
      </w:r>
    </w:p>
    <w:p w14:paraId="1C96283F" w14:textId="4BFADC5A" w:rsidR="00FF1D0E" w:rsidRPr="00152D3F" w:rsidRDefault="00FF1D0E" w:rsidP="00FF1D0E">
      <w:pPr>
        <w:pStyle w:val="Normalnumber"/>
        <w:numPr>
          <w:ilvl w:val="0"/>
          <w:numId w:val="19"/>
        </w:numPr>
        <w:tabs>
          <w:tab w:val="left" w:pos="624"/>
        </w:tabs>
        <w:ind w:left="1247" w:firstLine="624"/>
        <w:rPr>
          <w:noProof/>
        </w:rPr>
      </w:pPr>
      <w:r w:rsidRPr="00436FCD">
        <w:rPr>
          <w:i/>
          <w:iCs/>
        </w:rPr>
        <w:t>Chad</w:t>
      </w:r>
      <w:r w:rsidR="00462419" w:rsidRPr="00CE1582">
        <w:rPr>
          <w:i/>
          <w:iCs/>
          <w:noProof/>
        </w:rPr>
        <w:t>:</w:t>
      </w:r>
      <w:r w:rsidRPr="00CE1582">
        <w:rPr>
          <w:i/>
          <w:iCs/>
          <w:noProof/>
        </w:rPr>
        <w:t xml:space="preserve"> </w:t>
      </w:r>
      <w:r w:rsidRPr="00152D3F">
        <w:rPr>
          <w:noProof/>
        </w:rPr>
        <w:t xml:space="preserve">Controlling trade in mercury and mercury-added products ($230,000); </w:t>
      </w:r>
    </w:p>
    <w:p w14:paraId="4792C4CA" w14:textId="71E44A06" w:rsidR="00FF1D0E" w:rsidRPr="00436FCD" w:rsidRDefault="00FF1D0E" w:rsidP="00FF1D0E">
      <w:pPr>
        <w:pStyle w:val="Normalnumber"/>
        <w:numPr>
          <w:ilvl w:val="0"/>
          <w:numId w:val="19"/>
        </w:numPr>
        <w:tabs>
          <w:tab w:val="left" w:pos="624"/>
        </w:tabs>
        <w:ind w:left="1247" w:firstLine="624"/>
        <w:rPr>
          <w:noProof/>
        </w:rPr>
      </w:pPr>
      <w:r w:rsidRPr="00436FCD">
        <w:rPr>
          <w:i/>
          <w:iCs/>
        </w:rPr>
        <w:t>Djibouti</w:t>
      </w:r>
      <w:r w:rsidR="00462419" w:rsidRPr="00436FCD">
        <w:rPr>
          <w:noProof/>
        </w:rPr>
        <w:t>:</w:t>
      </w:r>
      <w:r w:rsidRPr="00436FCD">
        <w:rPr>
          <w:noProof/>
        </w:rPr>
        <w:t xml:space="preserve"> Strengthening the legal and institutional framework for the environmentally sound management of mercury and mercury-containing wastes ($201,000); </w:t>
      </w:r>
    </w:p>
    <w:p w14:paraId="6494534B" w14:textId="3F32ECF6" w:rsidR="00FF1D0E" w:rsidRPr="00436FCD" w:rsidRDefault="00FF1D0E" w:rsidP="00FF1D0E">
      <w:pPr>
        <w:pStyle w:val="Normalnumber"/>
        <w:numPr>
          <w:ilvl w:val="0"/>
          <w:numId w:val="19"/>
        </w:numPr>
        <w:tabs>
          <w:tab w:val="left" w:pos="624"/>
        </w:tabs>
        <w:ind w:left="1247" w:firstLine="624"/>
        <w:rPr>
          <w:noProof/>
        </w:rPr>
      </w:pPr>
      <w:r w:rsidRPr="00436FCD">
        <w:rPr>
          <w:i/>
          <w:iCs/>
        </w:rPr>
        <w:t>Eritrea</w:t>
      </w:r>
      <w:r w:rsidR="00462419" w:rsidRPr="00CE1582">
        <w:rPr>
          <w:i/>
          <w:iCs/>
        </w:rPr>
        <w:t>:</w:t>
      </w:r>
      <w:r w:rsidRPr="00436FCD">
        <w:rPr>
          <w:noProof/>
        </w:rPr>
        <w:t xml:space="preserve"> National capacity</w:t>
      </w:r>
      <w:r w:rsidR="007C5BDC" w:rsidRPr="00436FCD">
        <w:rPr>
          <w:noProof/>
        </w:rPr>
        <w:t>-</w:t>
      </w:r>
      <w:r w:rsidRPr="00436FCD">
        <w:rPr>
          <w:noProof/>
        </w:rPr>
        <w:t xml:space="preserve">building to raise awareness of the health and environmental effects of mercury in </w:t>
      </w:r>
      <w:r w:rsidR="00C9242E" w:rsidRPr="00436FCD">
        <w:rPr>
          <w:noProof/>
        </w:rPr>
        <w:t>artisanal and small-scale gold mining</w:t>
      </w:r>
      <w:r w:rsidR="00C9242E" w:rsidRPr="00436FCD" w:rsidDel="00C9242E">
        <w:rPr>
          <w:noProof/>
        </w:rPr>
        <w:t xml:space="preserve"> </w:t>
      </w:r>
      <w:r w:rsidRPr="00436FCD">
        <w:rPr>
          <w:noProof/>
        </w:rPr>
        <w:t xml:space="preserve">activities ($85,000); </w:t>
      </w:r>
    </w:p>
    <w:p w14:paraId="294C6340" w14:textId="04DB28FD" w:rsidR="00FF1D0E" w:rsidRPr="00436FCD" w:rsidRDefault="00FF1D0E" w:rsidP="00FF1D0E">
      <w:pPr>
        <w:pStyle w:val="Normalnumber"/>
        <w:numPr>
          <w:ilvl w:val="0"/>
          <w:numId w:val="19"/>
        </w:numPr>
        <w:tabs>
          <w:tab w:val="left" w:pos="624"/>
        </w:tabs>
        <w:ind w:left="1247" w:firstLine="624"/>
        <w:rPr>
          <w:noProof/>
        </w:rPr>
      </w:pPr>
      <w:r w:rsidRPr="00436FCD">
        <w:rPr>
          <w:i/>
          <w:iCs/>
        </w:rPr>
        <w:t>Georgia</w:t>
      </w:r>
      <w:r w:rsidR="00462419" w:rsidRPr="00CE1582">
        <w:rPr>
          <w:i/>
          <w:iCs/>
          <w:noProof/>
        </w:rPr>
        <w:t>:</w:t>
      </w:r>
      <w:r w:rsidRPr="00CE1582">
        <w:rPr>
          <w:i/>
          <w:iCs/>
          <w:noProof/>
        </w:rPr>
        <w:t xml:space="preserve"> </w:t>
      </w:r>
      <w:r w:rsidRPr="00436FCD">
        <w:rPr>
          <w:noProof/>
        </w:rPr>
        <w:t xml:space="preserve">Empowering </w:t>
      </w:r>
      <w:r w:rsidR="007B7998" w:rsidRPr="00436FCD">
        <w:rPr>
          <w:noProof/>
        </w:rPr>
        <w:t>n</w:t>
      </w:r>
      <w:r w:rsidRPr="00436FCD">
        <w:rPr>
          <w:noProof/>
        </w:rPr>
        <w:t xml:space="preserve">ational </w:t>
      </w:r>
      <w:r w:rsidR="007B7998" w:rsidRPr="00436FCD">
        <w:rPr>
          <w:noProof/>
        </w:rPr>
        <w:t>c</w:t>
      </w:r>
      <w:r w:rsidRPr="00436FCD">
        <w:rPr>
          <w:noProof/>
        </w:rPr>
        <w:t xml:space="preserve">apacities and </w:t>
      </w:r>
      <w:r w:rsidR="007B7998" w:rsidRPr="00436FCD">
        <w:rPr>
          <w:noProof/>
        </w:rPr>
        <w:t>k</w:t>
      </w:r>
      <w:r w:rsidRPr="00436FCD">
        <w:rPr>
          <w:noProof/>
        </w:rPr>
        <w:t xml:space="preserve">nowledge </w:t>
      </w:r>
      <w:r w:rsidR="007B7998" w:rsidRPr="00436FCD">
        <w:rPr>
          <w:noProof/>
        </w:rPr>
        <w:t>m</w:t>
      </w:r>
      <w:r w:rsidRPr="00436FCD">
        <w:rPr>
          <w:noProof/>
        </w:rPr>
        <w:t>anagement for Minamata Convention</w:t>
      </w:r>
      <w:r w:rsidR="007B7998" w:rsidRPr="00436FCD">
        <w:rPr>
          <w:noProof/>
        </w:rPr>
        <w:t xml:space="preserve"> on Mercury</w:t>
      </w:r>
      <w:r w:rsidRPr="00436FCD">
        <w:rPr>
          <w:noProof/>
        </w:rPr>
        <w:t xml:space="preserve"> </w:t>
      </w:r>
      <w:r w:rsidR="007B7998" w:rsidRPr="00436FCD">
        <w:rPr>
          <w:noProof/>
        </w:rPr>
        <w:t>c</w:t>
      </w:r>
      <w:r w:rsidRPr="00436FCD">
        <w:rPr>
          <w:noProof/>
        </w:rPr>
        <w:t xml:space="preserve">ompliance ($244,000); </w:t>
      </w:r>
    </w:p>
    <w:p w14:paraId="72886384" w14:textId="733C2615" w:rsidR="00FF1D0E" w:rsidRPr="00436FCD" w:rsidRDefault="00FF1D0E" w:rsidP="00FF1D0E">
      <w:pPr>
        <w:pStyle w:val="Normalnumber"/>
        <w:numPr>
          <w:ilvl w:val="0"/>
          <w:numId w:val="19"/>
        </w:numPr>
        <w:tabs>
          <w:tab w:val="left" w:pos="624"/>
        </w:tabs>
        <w:ind w:left="1247" w:firstLine="624"/>
        <w:rPr>
          <w:noProof/>
        </w:rPr>
      </w:pPr>
      <w:r w:rsidRPr="00436FCD">
        <w:rPr>
          <w:i/>
          <w:iCs/>
        </w:rPr>
        <w:t>Madagascar</w:t>
      </w:r>
      <w:r w:rsidR="00462419" w:rsidRPr="00CE1582">
        <w:rPr>
          <w:i/>
          <w:iCs/>
          <w:noProof/>
        </w:rPr>
        <w:t>:</w:t>
      </w:r>
      <w:r w:rsidRPr="00CE1582">
        <w:rPr>
          <w:i/>
          <w:iCs/>
          <w:noProof/>
        </w:rPr>
        <w:t xml:space="preserve"> </w:t>
      </w:r>
      <w:r w:rsidRPr="00436FCD">
        <w:rPr>
          <w:noProof/>
        </w:rPr>
        <w:t>Strengthen</w:t>
      </w:r>
      <w:r w:rsidR="00D24161" w:rsidRPr="00436FCD">
        <w:rPr>
          <w:noProof/>
        </w:rPr>
        <w:t>ing</w:t>
      </w:r>
      <w:r w:rsidRPr="00436FCD">
        <w:rPr>
          <w:noProof/>
        </w:rPr>
        <w:t xml:space="preserve"> the capacity of Madagascar for the implementation of the Minamata Convention </w:t>
      </w:r>
      <w:r w:rsidR="00A31654" w:rsidRPr="00436FCD">
        <w:rPr>
          <w:noProof/>
        </w:rPr>
        <w:t xml:space="preserve">on Mercury </w:t>
      </w:r>
      <w:r w:rsidRPr="00436FCD">
        <w:rPr>
          <w:noProof/>
        </w:rPr>
        <w:t>and the management of mercury</w:t>
      </w:r>
      <w:r w:rsidR="00A31654" w:rsidRPr="00436FCD">
        <w:rPr>
          <w:noProof/>
        </w:rPr>
        <w:t>-</w:t>
      </w:r>
      <w:r w:rsidRPr="00436FCD">
        <w:rPr>
          <w:noProof/>
        </w:rPr>
        <w:t xml:space="preserve">containing products ($244,000); </w:t>
      </w:r>
    </w:p>
    <w:p w14:paraId="755EB3EA" w14:textId="26445F0E" w:rsidR="00FF1D0E" w:rsidRPr="00436FCD" w:rsidRDefault="00FF1D0E" w:rsidP="00FF1D0E">
      <w:pPr>
        <w:pStyle w:val="Normalnumber"/>
        <w:numPr>
          <w:ilvl w:val="0"/>
          <w:numId w:val="19"/>
        </w:numPr>
        <w:tabs>
          <w:tab w:val="left" w:pos="624"/>
        </w:tabs>
        <w:ind w:left="1247" w:firstLine="624"/>
        <w:rPr>
          <w:noProof/>
        </w:rPr>
      </w:pPr>
      <w:r w:rsidRPr="00436FCD">
        <w:rPr>
          <w:i/>
          <w:iCs/>
        </w:rPr>
        <w:lastRenderedPageBreak/>
        <w:t>Montenegro</w:t>
      </w:r>
      <w:r w:rsidR="00462419" w:rsidRPr="00CE1582">
        <w:rPr>
          <w:i/>
          <w:iCs/>
          <w:noProof/>
        </w:rPr>
        <w:t>:</w:t>
      </w:r>
      <w:r w:rsidRPr="00436FCD">
        <w:rPr>
          <w:noProof/>
        </w:rPr>
        <w:t xml:space="preserve"> Development options for mercury remediation of the contaminated former metal mining</w:t>
      </w:r>
      <w:r w:rsidR="00C95979" w:rsidRPr="00436FCD">
        <w:rPr>
          <w:noProof/>
        </w:rPr>
        <w:t xml:space="preserve"> site</w:t>
      </w:r>
      <w:r w:rsidRPr="00436FCD">
        <w:rPr>
          <w:noProof/>
        </w:rPr>
        <w:t xml:space="preserve"> in </w:t>
      </w:r>
      <w:r w:rsidR="00C95979" w:rsidRPr="00436FCD">
        <w:rPr>
          <w:noProof/>
        </w:rPr>
        <w:t>Brskovo</w:t>
      </w:r>
      <w:r w:rsidRPr="00436FCD">
        <w:rPr>
          <w:noProof/>
        </w:rPr>
        <w:t xml:space="preserve"> ($247,980); </w:t>
      </w:r>
    </w:p>
    <w:p w14:paraId="4D2906AD" w14:textId="0B81B79F" w:rsidR="00FF1D0E" w:rsidRPr="00436FCD" w:rsidRDefault="00FF1D0E" w:rsidP="00FF1D0E">
      <w:pPr>
        <w:pStyle w:val="Normalnumber"/>
        <w:numPr>
          <w:ilvl w:val="0"/>
          <w:numId w:val="19"/>
        </w:numPr>
        <w:tabs>
          <w:tab w:val="left" w:pos="624"/>
        </w:tabs>
        <w:ind w:left="1247" w:firstLine="624"/>
        <w:rPr>
          <w:noProof/>
        </w:rPr>
      </w:pPr>
      <w:r w:rsidRPr="00436FCD">
        <w:rPr>
          <w:i/>
          <w:iCs/>
        </w:rPr>
        <w:t>Sri Lanka</w:t>
      </w:r>
      <w:r w:rsidR="00462419" w:rsidRPr="00CE1582">
        <w:rPr>
          <w:i/>
          <w:iCs/>
          <w:noProof/>
        </w:rPr>
        <w:t>:</w:t>
      </w:r>
      <w:r w:rsidRPr="00436FCD">
        <w:rPr>
          <w:noProof/>
        </w:rPr>
        <w:t xml:space="preserve"> Provid</w:t>
      </w:r>
      <w:r w:rsidR="0041279A" w:rsidRPr="00436FCD">
        <w:rPr>
          <w:noProof/>
        </w:rPr>
        <w:t>ing</w:t>
      </w:r>
      <w:r w:rsidRPr="00436FCD">
        <w:rPr>
          <w:noProof/>
        </w:rPr>
        <w:t xml:space="preserve"> an environmentally sound integrated solution for management of wastes consisting of, containing or contaminated with mercury or mercury compounds generated in the Ayurvedic drugs manufacturing process to protect the human health and the environment – detailed study from Sri Lanka ($197,650);</w:t>
      </w:r>
    </w:p>
    <w:p w14:paraId="39F1FFA0" w14:textId="25207529" w:rsidR="00FF1D0E" w:rsidRPr="00436FCD" w:rsidRDefault="00FF1D0E" w:rsidP="00FF1D0E">
      <w:pPr>
        <w:pStyle w:val="Normalnumber"/>
        <w:numPr>
          <w:ilvl w:val="0"/>
          <w:numId w:val="19"/>
        </w:numPr>
        <w:tabs>
          <w:tab w:val="left" w:pos="624"/>
        </w:tabs>
        <w:ind w:left="1247" w:firstLine="624"/>
        <w:rPr>
          <w:noProof/>
        </w:rPr>
      </w:pPr>
      <w:r w:rsidRPr="00436FCD">
        <w:rPr>
          <w:i/>
          <w:iCs/>
        </w:rPr>
        <w:t>United Republic of Tanzania</w:t>
      </w:r>
      <w:r w:rsidR="00462419" w:rsidRPr="00CE1582">
        <w:rPr>
          <w:i/>
          <w:iCs/>
          <w:noProof/>
        </w:rPr>
        <w:t>:</w:t>
      </w:r>
      <w:r w:rsidRPr="00CE1582">
        <w:rPr>
          <w:i/>
          <w:iCs/>
          <w:noProof/>
        </w:rPr>
        <w:t xml:space="preserve"> </w:t>
      </w:r>
      <w:r w:rsidRPr="00436FCD">
        <w:rPr>
          <w:noProof/>
        </w:rPr>
        <w:t xml:space="preserve">Strengthening </w:t>
      </w:r>
      <w:r w:rsidR="00F9293B" w:rsidRPr="00436FCD">
        <w:rPr>
          <w:noProof/>
        </w:rPr>
        <w:t>n</w:t>
      </w:r>
      <w:r w:rsidRPr="00436FCD">
        <w:rPr>
          <w:noProof/>
        </w:rPr>
        <w:t xml:space="preserve">ational </w:t>
      </w:r>
      <w:r w:rsidR="00F9293B" w:rsidRPr="00436FCD">
        <w:rPr>
          <w:noProof/>
        </w:rPr>
        <w:t>c</w:t>
      </w:r>
      <w:r w:rsidRPr="00436FCD">
        <w:rPr>
          <w:noProof/>
        </w:rPr>
        <w:t xml:space="preserve">apacity for implementation of the Minamata Convention on </w:t>
      </w:r>
      <w:r w:rsidR="00F9293B" w:rsidRPr="00436FCD">
        <w:rPr>
          <w:noProof/>
        </w:rPr>
        <w:t>M</w:t>
      </w:r>
      <w:r w:rsidRPr="00436FCD">
        <w:rPr>
          <w:noProof/>
        </w:rPr>
        <w:t>ercury ($211,000);</w:t>
      </w:r>
    </w:p>
    <w:p w14:paraId="13E882BB" w14:textId="3EF3655A" w:rsidR="00FF1D0E" w:rsidRPr="00436FCD" w:rsidRDefault="00FF1D0E" w:rsidP="00FF1D0E">
      <w:pPr>
        <w:pStyle w:val="Normalnumber"/>
        <w:numPr>
          <w:ilvl w:val="0"/>
          <w:numId w:val="19"/>
        </w:numPr>
        <w:tabs>
          <w:tab w:val="left" w:pos="624"/>
        </w:tabs>
        <w:ind w:left="1247" w:firstLine="624"/>
        <w:rPr>
          <w:noProof/>
        </w:rPr>
      </w:pPr>
      <w:r w:rsidRPr="00436FCD">
        <w:rPr>
          <w:i/>
          <w:iCs/>
        </w:rPr>
        <w:t>Zimbabwe</w:t>
      </w:r>
      <w:r w:rsidR="00462419" w:rsidRPr="00CE1582">
        <w:rPr>
          <w:i/>
          <w:iCs/>
          <w:noProof/>
        </w:rPr>
        <w:t>:</w:t>
      </w:r>
      <w:r w:rsidRPr="00436FCD">
        <w:rPr>
          <w:noProof/>
        </w:rPr>
        <w:t xml:space="preserve"> Mitigating </w:t>
      </w:r>
      <w:r w:rsidR="00F9293B" w:rsidRPr="00436FCD">
        <w:rPr>
          <w:noProof/>
        </w:rPr>
        <w:t>m</w:t>
      </w:r>
      <w:r w:rsidRPr="00436FCD">
        <w:rPr>
          <w:noProof/>
        </w:rPr>
        <w:t xml:space="preserve">ercury </w:t>
      </w:r>
      <w:r w:rsidR="00F9293B" w:rsidRPr="00436FCD">
        <w:rPr>
          <w:noProof/>
        </w:rPr>
        <w:t>e</w:t>
      </w:r>
      <w:r w:rsidRPr="00436FCD">
        <w:rPr>
          <w:noProof/>
        </w:rPr>
        <w:t xml:space="preserve">missions </w:t>
      </w:r>
      <w:r w:rsidR="00F9293B" w:rsidRPr="00436FCD">
        <w:rPr>
          <w:noProof/>
        </w:rPr>
        <w:t>and</w:t>
      </w:r>
      <w:r w:rsidRPr="00436FCD">
        <w:rPr>
          <w:noProof/>
        </w:rPr>
        <w:t xml:space="preserve"> </w:t>
      </w:r>
      <w:r w:rsidR="00F9293B" w:rsidRPr="00436FCD">
        <w:rPr>
          <w:noProof/>
        </w:rPr>
        <w:t>r</w:t>
      </w:r>
      <w:r w:rsidRPr="00436FCD">
        <w:rPr>
          <w:noProof/>
        </w:rPr>
        <w:t xml:space="preserve">eleases from </w:t>
      </w:r>
      <w:r w:rsidR="00F9293B" w:rsidRPr="00436FCD">
        <w:rPr>
          <w:noProof/>
        </w:rPr>
        <w:t>c</w:t>
      </w:r>
      <w:r w:rsidRPr="00436FCD">
        <w:rPr>
          <w:noProof/>
        </w:rPr>
        <w:t xml:space="preserve">oal </w:t>
      </w:r>
      <w:r w:rsidR="00F9293B" w:rsidRPr="00436FCD">
        <w:rPr>
          <w:noProof/>
        </w:rPr>
        <w:t>c</w:t>
      </w:r>
      <w:r w:rsidRPr="00436FCD">
        <w:rPr>
          <w:noProof/>
        </w:rPr>
        <w:t xml:space="preserve">ombustion </w:t>
      </w:r>
      <w:r w:rsidR="00F9293B" w:rsidRPr="00436FCD">
        <w:rPr>
          <w:noProof/>
        </w:rPr>
        <w:t>p</w:t>
      </w:r>
      <w:r w:rsidRPr="00436FCD">
        <w:rPr>
          <w:noProof/>
        </w:rPr>
        <w:t xml:space="preserve">ower </w:t>
      </w:r>
      <w:r w:rsidR="00F9293B" w:rsidRPr="00436FCD">
        <w:rPr>
          <w:noProof/>
        </w:rPr>
        <w:t>p</w:t>
      </w:r>
      <w:r w:rsidRPr="00436FCD">
        <w:rPr>
          <w:noProof/>
        </w:rPr>
        <w:t xml:space="preserve">lants in Zimbabwe towards fulfilling </w:t>
      </w:r>
      <w:r w:rsidR="00F9293B" w:rsidRPr="00436FCD">
        <w:rPr>
          <w:noProof/>
        </w:rPr>
        <w:t>a</w:t>
      </w:r>
      <w:r w:rsidRPr="00436FCD">
        <w:rPr>
          <w:noProof/>
        </w:rPr>
        <w:t xml:space="preserve">rticle 8 </w:t>
      </w:r>
      <w:r w:rsidR="00F9293B" w:rsidRPr="00436FCD">
        <w:rPr>
          <w:noProof/>
        </w:rPr>
        <w:t>o</w:t>
      </w:r>
      <w:r w:rsidRPr="00436FCD">
        <w:rPr>
          <w:noProof/>
        </w:rPr>
        <w:t xml:space="preserve">bligations under the Minamata Convention </w:t>
      </w:r>
      <w:r w:rsidR="000721B7" w:rsidRPr="00436FCD">
        <w:rPr>
          <w:noProof/>
        </w:rPr>
        <w:t xml:space="preserve">on Mercury </w:t>
      </w:r>
      <w:r w:rsidRPr="00436FCD">
        <w:rPr>
          <w:noProof/>
        </w:rPr>
        <w:t>($194,000).</w:t>
      </w:r>
    </w:p>
    <w:p w14:paraId="59EBFF19" w14:textId="77777777" w:rsidR="00FF1D0E" w:rsidRPr="00436FCD" w:rsidRDefault="00FF1D0E" w:rsidP="00FF1D0E">
      <w:pPr>
        <w:pStyle w:val="Normalnumber"/>
        <w:numPr>
          <w:ilvl w:val="0"/>
          <w:numId w:val="17"/>
        </w:numPr>
        <w:tabs>
          <w:tab w:val="left" w:pos="624"/>
        </w:tabs>
        <w:snapToGrid w:val="0"/>
        <w:ind w:left="1247" w:firstLine="0"/>
        <w:rPr>
          <w:noProof/>
        </w:rPr>
      </w:pPr>
      <w:r w:rsidRPr="00436FCD">
        <w:rPr>
          <w:noProof/>
        </w:rPr>
        <w:t>The secretariat is working with each Government to finalize the approved project documents and prepare legal agreements for signature so that disbursement of project funds can begin.</w:t>
      </w:r>
    </w:p>
    <w:p w14:paraId="4DA640A4" w14:textId="56138516" w:rsidR="00FF1D0E" w:rsidRPr="00436FCD" w:rsidRDefault="00FF1D0E" w:rsidP="00FF1D0E">
      <w:pPr>
        <w:pStyle w:val="Normalnumber"/>
        <w:numPr>
          <w:ilvl w:val="0"/>
          <w:numId w:val="17"/>
        </w:numPr>
        <w:tabs>
          <w:tab w:val="left" w:pos="624"/>
        </w:tabs>
        <w:snapToGrid w:val="0"/>
        <w:ind w:left="1247" w:firstLine="0"/>
        <w:rPr>
          <w:noProof/>
        </w:rPr>
      </w:pPr>
      <w:r w:rsidRPr="00436FCD">
        <w:rPr>
          <w:noProof/>
        </w:rPr>
        <w:t>In the third round of applications (2020</w:t>
      </w:r>
      <w:r w:rsidR="007C3D2A" w:rsidRPr="00436FCD">
        <w:rPr>
          <w:noProof/>
        </w:rPr>
        <w:t>–</w:t>
      </w:r>
      <w:r w:rsidRPr="00436FCD">
        <w:rPr>
          <w:noProof/>
        </w:rPr>
        <w:t>2021), the Governing Board approved</w:t>
      </w:r>
      <w:r w:rsidR="00715765">
        <w:rPr>
          <w:noProof/>
        </w:rPr>
        <w:t xml:space="preserve"> the following</w:t>
      </w:r>
      <w:r w:rsidRPr="00436FCD">
        <w:rPr>
          <w:noProof/>
        </w:rPr>
        <w:t xml:space="preserve"> nine projects with an overall budget of $2,193,842 ($2,479,041 including 13 per cent programme support costs):</w:t>
      </w:r>
    </w:p>
    <w:p w14:paraId="7E0AB641" w14:textId="51A25FB3" w:rsidR="00FF1D0E" w:rsidRPr="00436FCD" w:rsidRDefault="00FF1D0E" w:rsidP="00FF1D0E">
      <w:pPr>
        <w:pStyle w:val="Normalnumber"/>
        <w:numPr>
          <w:ilvl w:val="0"/>
          <w:numId w:val="20"/>
        </w:numPr>
        <w:tabs>
          <w:tab w:val="left" w:pos="624"/>
        </w:tabs>
        <w:ind w:left="1247" w:firstLine="624"/>
        <w:rPr>
          <w:noProof/>
        </w:rPr>
      </w:pPr>
      <w:r w:rsidRPr="00436FCD">
        <w:rPr>
          <w:i/>
          <w:iCs/>
          <w:noProof/>
        </w:rPr>
        <w:t>Burundi</w:t>
      </w:r>
      <w:r w:rsidR="00462419" w:rsidRPr="00CE1582">
        <w:rPr>
          <w:i/>
          <w:iCs/>
          <w:noProof/>
        </w:rPr>
        <w:t>:</w:t>
      </w:r>
      <w:r w:rsidRPr="00436FCD">
        <w:rPr>
          <w:noProof/>
        </w:rPr>
        <w:t xml:space="preserve"> Capacity-building support for implementation of the Minamata Convention on Mercury ($250,000); </w:t>
      </w:r>
    </w:p>
    <w:p w14:paraId="7BFEE447" w14:textId="5D3E3C4E" w:rsidR="00FF1D0E" w:rsidRPr="00436FCD" w:rsidRDefault="00FF1D0E" w:rsidP="00FF1D0E">
      <w:pPr>
        <w:pStyle w:val="Normalnumber"/>
        <w:numPr>
          <w:ilvl w:val="0"/>
          <w:numId w:val="20"/>
        </w:numPr>
        <w:tabs>
          <w:tab w:val="left" w:pos="624"/>
        </w:tabs>
        <w:ind w:left="1247" w:firstLine="624"/>
        <w:rPr>
          <w:noProof/>
        </w:rPr>
      </w:pPr>
      <w:r w:rsidRPr="00436FCD">
        <w:rPr>
          <w:i/>
          <w:iCs/>
          <w:noProof/>
        </w:rPr>
        <w:t>Cuba</w:t>
      </w:r>
      <w:r w:rsidR="00462419" w:rsidRPr="00CE1582">
        <w:rPr>
          <w:i/>
          <w:iCs/>
          <w:noProof/>
        </w:rPr>
        <w:t>:</w:t>
      </w:r>
      <w:r w:rsidRPr="00436FCD">
        <w:rPr>
          <w:noProof/>
        </w:rPr>
        <w:t xml:space="preserve"> Improvement of information on inventories of mercury use and the environmental cycle in Cuba to support the implementation of the Minamata Convention </w:t>
      </w:r>
      <w:r w:rsidR="00207266" w:rsidRPr="00436FCD">
        <w:rPr>
          <w:noProof/>
        </w:rPr>
        <w:t xml:space="preserve">on Mercury </w:t>
      </w:r>
      <w:r w:rsidRPr="00436FCD">
        <w:rPr>
          <w:noProof/>
        </w:rPr>
        <w:t xml:space="preserve">($249,210); </w:t>
      </w:r>
    </w:p>
    <w:p w14:paraId="7C8883FB" w14:textId="379C53DA" w:rsidR="00FF1D0E" w:rsidRPr="00436FCD" w:rsidRDefault="00FF1D0E" w:rsidP="00FF1D0E">
      <w:pPr>
        <w:pStyle w:val="Normalnumber"/>
        <w:numPr>
          <w:ilvl w:val="0"/>
          <w:numId w:val="20"/>
        </w:numPr>
        <w:tabs>
          <w:tab w:val="left" w:pos="624"/>
        </w:tabs>
        <w:ind w:left="1247" w:firstLine="624"/>
        <w:rPr>
          <w:noProof/>
        </w:rPr>
      </w:pPr>
      <w:r w:rsidRPr="00436FCD">
        <w:rPr>
          <w:i/>
          <w:iCs/>
          <w:noProof/>
        </w:rPr>
        <w:t>Gabon</w:t>
      </w:r>
      <w:r w:rsidR="00462419" w:rsidRPr="00CE1582">
        <w:rPr>
          <w:i/>
          <w:iCs/>
          <w:noProof/>
        </w:rPr>
        <w:t>:</w:t>
      </w:r>
      <w:r w:rsidRPr="00436FCD">
        <w:rPr>
          <w:noProof/>
        </w:rPr>
        <w:t xml:space="preserve"> Facilitating capacity-building with technology assistance and technology transfer for monitoring and managing mercury in Central Africa ($249,500); </w:t>
      </w:r>
    </w:p>
    <w:p w14:paraId="1C3C2EB2" w14:textId="0349B208" w:rsidR="00FF1D0E" w:rsidRPr="00436FCD" w:rsidRDefault="00FF1D0E" w:rsidP="00FF1D0E">
      <w:pPr>
        <w:pStyle w:val="Normalnumber"/>
        <w:numPr>
          <w:ilvl w:val="0"/>
          <w:numId w:val="20"/>
        </w:numPr>
        <w:tabs>
          <w:tab w:val="left" w:pos="624"/>
        </w:tabs>
        <w:ind w:left="1247" w:firstLine="624"/>
        <w:rPr>
          <w:noProof/>
        </w:rPr>
      </w:pPr>
      <w:r w:rsidRPr="00436FCD">
        <w:rPr>
          <w:i/>
          <w:iCs/>
          <w:noProof/>
        </w:rPr>
        <w:t>India</w:t>
      </w:r>
      <w:r w:rsidR="00462419" w:rsidRPr="00CE1582">
        <w:rPr>
          <w:i/>
          <w:iCs/>
          <w:noProof/>
        </w:rPr>
        <w:t>:</w:t>
      </w:r>
      <w:r w:rsidRPr="00436FCD">
        <w:rPr>
          <w:noProof/>
        </w:rPr>
        <w:t xml:space="preserve"> Development of an institutional and regulatory framework for implementation of the Minamata Convention </w:t>
      </w:r>
      <w:r w:rsidR="00207266" w:rsidRPr="00436FCD">
        <w:rPr>
          <w:noProof/>
        </w:rPr>
        <w:t xml:space="preserve">on Mercury </w:t>
      </w:r>
      <w:r w:rsidRPr="00436FCD">
        <w:rPr>
          <w:noProof/>
        </w:rPr>
        <w:t xml:space="preserve">in India ($240,000); </w:t>
      </w:r>
    </w:p>
    <w:p w14:paraId="4BD8158A" w14:textId="3D3F9C99" w:rsidR="00FF1D0E" w:rsidRPr="00436FCD" w:rsidRDefault="00FF1D0E" w:rsidP="00FF1D0E">
      <w:pPr>
        <w:pStyle w:val="Normalnumber"/>
        <w:numPr>
          <w:ilvl w:val="0"/>
          <w:numId w:val="20"/>
        </w:numPr>
        <w:tabs>
          <w:tab w:val="left" w:pos="624"/>
        </w:tabs>
        <w:ind w:left="1247" w:firstLine="624"/>
        <w:rPr>
          <w:noProof/>
        </w:rPr>
      </w:pPr>
      <w:r w:rsidRPr="00436FCD">
        <w:rPr>
          <w:i/>
          <w:iCs/>
          <w:noProof/>
        </w:rPr>
        <w:t>Iran (Islamic Republic of)</w:t>
      </w:r>
      <w:r w:rsidR="00462419" w:rsidRPr="00CE1582">
        <w:rPr>
          <w:i/>
          <w:iCs/>
          <w:noProof/>
        </w:rPr>
        <w:t>:</w:t>
      </w:r>
      <w:r w:rsidRPr="00436FCD">
        <w:rPr>
          <w:noProof/>
        </w:rPr>
        <w:t xml:space="preserve"> Improving the capacity-building programme for the replacement of mercury-containing lamps in the Islamic Republic of Iran ($238,000); </w:t>
      </w:r>
    </w:p>
    <w:p w14:paraId="3BBF35C9" w14:textId="4C675C32" w:rsidR="00FF1D0E" w:rsidRPr="00436FCD" w:rsidRDefault="00FF1D0E" w:rsidP="00FF1D0E">
      <w:pPr>
        <w:pStyle w:val="Normalnumber"/>
        <w:numPr>
          <w:ilvl w:val="0"/>
          <w:numId w:val="20"/>
        </w:numPr>
        <w:tabs>
          <w:tab w:val="left" w:pos="624"/>
        </w:tabs>
        <w:ind w:left="1247" w:firstLine="624"/>
        <w:rPr>
          <w:noProof/>
        </w:rPr>
      </w:pPr>
      <w:r w:rsidRPr="00436FCD">
        <w:rPr>
          <w:i/>
          <w:iCs/>
          <w:noProof/>
        </w:rPr>
        <w:t>Jordan</w:t>
      </w:r>
      <w:r w:rsidR="00462419" w:rsidRPr="00CE1582">
        <w:rPr>
          <w:i/>
          <w:iCs/>
          <w:noProof/>
        </w:rPr>
        <w:t>:</w:t>
      </w:r>
      <w:r w:rsidRPr="00436FCD">
        <w:rPr>
          <w:noProof/>
        </w:rPr>
        <w:t xml:space="preserve"> Environmentally sound management of mercury-containing wastes and reduction of mercury-containing products in Jordan ($250,000); </w:t>
      </w:r>
    </w:p>
    <w:p w14:paraId="317F3404" w14:textId="3448C700" w:rsidR="00FF1D0E" w:rsidRPr="00436FCD" w:rsidRDefault="00FF1D0E" w:rsidP="00FF1D0E">
      <w:pPr>
        <w:pStyle w:val="Normalnumber"/>
        <w:numPr>
          <w:ilvl w:val="0"/>
          <w:numId w:val="20"/>
        </w:numPr>
        <w:tabs>
          <w:tab w:val="left" w:pos="624"/>
        </w:tabs>
        <w:ind w:left="1247" w:firstLine="624"/>
        <w:rPr>
          <w:noProof/>
        </w:rPr>
      </w:pPr>
      <w:r w:rsidRPr="00436FCD">
        <w:rPr>
          <w:i/>
          <w:iCs/>
          <w:noProof/>
        </w:rPr>
        <w:t>North Macedonia</w:t>
      </w:r>
      <w:r w:rsidR="00462419" w:rsidRPr="00CE1582">
        <w:rPr>
          <w:i/>
          <w:iCs/>
          <w:noProof/>
        </w:rPr>
        <w:t>:</w:t>
      </w:r>
      <w:r w:rsidRPr="00436FCD">
        <w:rPr>
          <w:noProof/>
        </w:rPr>
        <w:t xml:space="preserve"> Strengthening national capacities for Minamata Convention </w:t>
      </w:r>
      <w:r w:rsidR="00207266" w:rsidRPr="00436FCD">
        <w:rPr>
          <w:noProof/>
        </w:rPr>
        <w:t xml:space="preserve">on Mercury </w:t>
      </w:r>
      <w:r w:rsidRPr="00436FCD">
        <w:rPr>
          <w:noProof/>
        </w:rPr>
        <w:t xml:space="preserve">implementation with a focus on the development of a strategy for assessing sites contaminated with mercury ($248,500); </w:t>
      </w:r>
    </w:p>
    <w:p w14:paraId="77FB48AE" w14:textId="670726DC" w:rsidR="00FF1D0E" w:rsidRPr="00436FCD" w:rsidRDefault="00FF1D0E" w:rsidP="00FF1D0E">
      <w:pPr>
        <w:pStyle w:val="Normalnumber"/>
        <w:numPr>
          <w:ilvl w:val="0"/>
          <w:numId w:val="20"/>
        </w:numPr>
        <w:tabs>
          <w:tab w:val="left" w:pos="624"/>
        </w:tabs>
        <w:ind w:left="1247" w:firstLine="624"/>
        <w:rPr>
          <w:noProof/>
        </w:rPr>
      </w:pPr>
      <w:r w:rsidRPr="00436FCD">
        <w:rPr>
          <w:i/>
          <w:iCs/>
          <w:noProof/>
        </w:rPr>
        <w:t>Rwanda</w:t>
      </w:r>
      <w:r w:rsidR="00462419" w:rsidRPr="00CE1582">
        <w:rPr>
          <w:i/>
          <w:iCs/>
          <w:noProof/>
        </w:rPr>
        <w:t>:</w:t>
      </w:r>
      <w:r w:rsidRPr="00CE1582">
        <w:rPr>
          <w:i/>
          <w:iCs/>
          <w:noProof/>
        </w:rPr>
        <w:t xml:space="preserve"> </w:t>
      </w:r>
      <w:r w:rsidRPr="00436FCD">
        <w:rPr>
          <w:noProof/>
        </w:rPr>
        <w:t xml:space="preserve">Strengthening the institutional capacities for Rwanda to implement the Minamata Convention </w:t>
      </w:r>
      <w:r w:rsidR="00207266" w:rsidRPr="00436FCD">
        <w:rPr>
          <w:noProof/>
        </w:rPr>
        <w:t xml:space="preserve">on Mercury </w:t>
      </w:r>
      <w:r w:rsidRPr="00436FCD">
        <w:rPr>
          <w:noProof/>
        </w:rPr>
        <w:t xml:space="preserve">($220,000); </w:t>
      </w:r>
    </w:p>
    <w:p w14:paraId="7E202322" w14:textId="186ABA4A" w:rsidR="00FF1D0E" w:rsidRPr="00436FCD" w:rsidRDefault="00FF1D0E" w:rsidP="00FF1D0E">
      <w:pPr>
        <w:pStyle w:val="Normalnumber"/>
        <w:numPr>
          <w:ilvl w:val="0"/>
          <w:numId w:val="20"/>
        </w:numPr>
        <w:tabs>
          <w:tab w:val="left" w:pos="624"/>
        </w:tabs>
        <w:ind w:left="1247" w:firstLine="624"/>
        <w:rPr>
          <w:noProof/>
        </w:rPr>
      </w:pPr>
      <w:r w:rsidRPr="00436FCD">
        <w:rPr>
          <w:i/>
          <w:iCs/>
          <w:noProof/>
        </w:rPr>
        <w:t>Senegal</w:t>
      </w:r>
      <w:r w:rsidR="00462419" w:rsidRPr="00CE1582">
        <w:rPr>
          <w:i/>
          <w:iCs/>
          <w:noProof/>
        </w:rPr>
        <w:t>:</w:t>
      </w:r>
      <w:r w:rsidRPr="00436FCD">
        <w:rPr>
          <w:noProof/>
        </w:rPr>
        <w:t xml:space="preserve"> Strengthening the legal framework and institutional capacities of the Economic Community of West African States countries (Burkina Faso, Senegal and Togo) for the implementation of articles 3 and 4 of the Minamata Convention </w:t>
      </w:r>
      <w:r w:rsidR="00207266" w:rsidRPr="00436FCD">
        <w:rPr>
          <w:noProof/>
        </w:rPr>
        <w:t xml:space="preserve">on Mercury </w:t>
      </w:r>
      <w:r w:rsidRPr="00436FCD">
        <w:rPr>
          <w:noProof/>
        </w:rPr>
        <w:t>($248,632).</w:t>
      </w:r>
    </w:p>
    <w:p w14:paraId="31F0CD28" w14:textId="51795FBB" w:rsidR="00FF1D0E" w:rsidRDefault="00FF1D0E" w:rsidP="00FF1D0E">
      <w:pPr>
        <w:pStyle w:val="Normalnumber"/>
        <w:numPr>
          <w:ilvl w:val="0"/>
          <w:numId w:val="17"/>
        </w:numPr>
        <w:tabs>
          <w:tab w:val="left" w:pos="624"/>
        </w:tabs>
        <w:snapToGrid w:val="0"/>
        <w:ind w:left="1247" w:firstLine="0"/>
        <w:rPr>
          <w:noProof/>
        </w:rPr>
      </w:pPr>
      <w:r w:rsidRPr="0061408E">
        <w:rPr>
          <w:noProof/>
        </w:rPr>
        <w:t>All</w:t>
      </w:r>
      <w:r w:rsidRPr="009E15DC">
        <w:rPr>
          <w:noProof/>
        </w:rPr>
        <w:t xml:space="preserve"> nine legal agreements for the third-round projects ha</w:t>
      </w:r>
      <w:r w:rsidRPr="0061408E">
        <w:rPr>
          <w:noProof/>
        </w:rPr>
        <w:t>ve</w:t>
      </w:r>
      <w:r w:rsidRPr="009E15DC">
        <w:rPr>
          <w:noProof/>
        </w:rPr>
        <w:t xml:space="preserve"> been signed</w:t>
      </w:r>
      <w:r w:rsidRPr="0061408E">
        <w:rPr>
          <w:noProof/>
        </w:rPr>
        <w:t>,</w:t>
      </w:r>
      <w:r w:rsidRPr="009E15DC">
        <w:rPr>
          <w:noProof/>
        </w:rPr>
        <w:t xml:space="preserve"> and implementation </w:t>
      </w:r>
      <w:r w:rsidRPr="0061408E">
        <w:rPr>
          <w:noProof/>
        </w:rPr>
        <w:t xml:space="preserve">is </w:t>
      </w:r>
      <w:r w:rsidRPr="009E15DC">
        <w:rPr>
          <w:noProof/>
        </w:rPr>
        <w:t>under way</w:t>
      </w:r>
      <w:r w:rsidRPr="0061408E">
        <w:rPr>
          <w:noProof/>
        </w:rPr>
        <w:t xml:space="preserve">. </w:t>
      </w:r>
      <w:r>
        <w:rPr>
          <w:noProof/>
        </w:rPr>
        <w:t>Four</w:t>
      </w:r>
      <w:r w:rsidRPr="0061408E">
        <w:rPr>
          <w:noProof/>
        </w:rPr>
        <w:t xml:space="preserve"> project</w:t>
      </w:r>
      <w:r>
        <w:rPr>
          <w:noProof/>
        </w:rPr>
        <w:t>s</w:t>
      </w:r>
      <w:r w:rsidRPr="009E15DC">
        <w:rPr>
          <w:noProof/>
        </w:rPr>
        <w:t xml:space="preserve"> </w:t>
      </w:r>
      <w:r>
        <w:rPr>
          <w:noProof/>
        </w:rPr>
        <w:t xml:space="preserve">have to date </w:t>
      </w:r>
      <w:r w:rsidRPr="009E15DC">
        <w:rPr>
          <w:noProof/>
        </w:rPr>
        <w:t>requested no-cost extension</w:t>
      </w:r>
      <w:r>
        <w:rPr>
          <w:noProof/>
        </w:rPr>
        <w:t>s</w:t>
      </w:r>
      <w:r w:rsidRPr="009E15DC">
        <w:rPr>
          <w:noProof/>
        </w:rPr>
        <w:t xml:space="preserve"> of project duration</w:t>
      </w:r>
      <w:r w:rsidRPr="0061408E">
        <w:rPr>
          <w:noProof/>
        </w:rPr>
        <w:t xml:space="preserve">. Six of the nine third-round projects </w:t>
      </w:r>
      <w:r>
        <w:rPr>
          <w:noProof/>
        </w:rPr>
        <w:t>are scheduled to</w:t>
      </w:r>
      <w:r w:rsidRPr="0061408E">
        <w:rPr>
          <w:noProof/>
        </w:rPr>
        <w:t xml:space="preserve"> close in 2025</w:t>
      </w:r>
      <w:r>
        <w:rPr>
          <w:noProof/>
        </w:rPr>
        <w:t>.</w:t>
      </w:r>
    </w:p>
    <w:p w14:paraId="7DFB5078" w14:textId="599AB8E0" w:rsidR="00FF1D0E" w:rsidRDefault="00FF1D0E" w:rsidP="00FF1D0E">
      <w:pPr>
        <w:pStyle w:val="Normalnumber"/>
        <w:numPr>
          <w:ilvl w:val="0"/>
          <w:numId w:val="17"/>
        </w:numPr>
        <w:tabs>
          <w:tab w:val="left" w:pos="624"/>
        </w:tabs>
        <w:snapToGrid w:val="0"/>
        <w:ind w:left="1247" w:firstLine="0"/>
        <w:rPr>
          <w:noProof/>
        </w:rPr>
      </w:pPr>
      <w:r w:rsidRPr="009E15DC">
        <w:rPr>
          <w:noProof/>
        </w:rPr>
        <w:t xml:space="preserve">In the second round of applications (2019), the Governing Board approved </w:t>
      </w:r>
      <w:r w:rsidR="0015008E">
        <w:rPr>
          <w:noProof/>
        </w:rPr>
        <w:t xml:space="preserve">the following </w:t>
      </w:r>
      <w:r w:rsidR="00C84FD3">
        <w:rPr>
          <w:noProof/>
        </w:rPr>
        <w:t>10</w:t>
      </w:r>
      <w:r w:rsidR="007112C8">
        <w:rPr>
          <w:noProof/>
        </w:rPr>
        <w:t> </w:t>
      </w:r>
      <w:r w:rsidRPr="009E15DC">
        <w:rPr>
          <w:noProof/>
        </w:rPr>
        <w:t>projects with an overall budget of $1,977,564 ($2,234,647 including 13 per cent programme support costs)</w:t>
      </w:r>
      <w:r>
        <w:rPr>
          <w:noProof/>
        </w:rPr>
        <w:t>:</w:t>
      </w:r>
    </w:p>
    <w:p w14:paraId="2D4AFCBD" w14:textId="470EA8D6" w:rsidR="00FF1D0E" w:rsidRPr="00154296" w:rsidRDefault="00FF1D0E" w:rsidP="00FF1D0E">
      <w:pPr>
        <w:pStyle w:val="Normalnumber"/>
        <w:numPr>
          <w:ilvl w:val="0"/>
          <w:numId w:val="21"/>
        </w:numPr>
        <w:tabs>
          <w:tab w:val="left" w:pos="624"/>
        </w:tabs>
        <w:ind w:left="1247" w:firstLine="624"/>
        <w:rPr>
          <w:noProof/>
        </w:rPr>
      </w:pPr>
      <w:r w:rsidRPr="00CE1582">
        <w:rPr>
          <w:i/>
          <w:iCs/>
          <w:noProof/>
        </w:rPr>
        <w:t>Antigua and Barbuda</w:t>
      </w:r>
      <w:r w:rsidR="00462419" w:rsidRPr="00CE1582">
        <w:rPr>
          <w:i/>
          <w:iCs/>
          <w:noProof/>
        </w:rPr>
        <w:t>:</w:t>
      </w:r>
      <w:r w:rsidRPr="00CE1582">
        <w:rPr>
          <w:i/>
          <w:iCs/>
          <w:noProof/>
        </w:rPr>
        <w:t xml:space="preserve"> </w:t>
      </w:r>
      <w:r w:rsidRPr="00154296">
        <w:rPr>
          <w:noProof/>
        </w:rPr>
        <w:t xml:space="preserve">Facilitating capacity-building with technical assistance and technology transfer for managing mercury in the Caribbean ($210,000); </w:t>
      </w:r>
    </w:p>
    <w:p w14:paraId="30CE9CED" w14:textId="186FFE13" w:rsidR="00FF1D0E" w:rsidRPr="00154296" w:rsidRDefault="00FF1D0E" w:rsidP="00FF1D0E">
      <w:pPr>
        <w:pStyle w:val="Normalnumber"/>
        <w:numPr>
          <w:ilvl w:val="0"/>
          <w:numId w:val="21"/>
        </w:numPr>
        <w:tabs>
          <w:tab w:val="left" w:pos="624"/>
        </w:tabs>
        <w:ind w:left="1247" w:firstLine="624"/>
        <w:rPr>
          <w:noProof/>
        </w:rPr>
      </w:pPr>
      <w:r w:rsidRPr="00CE1582">
        <w:rPr>
          <w:i/>
          <w:iCs/>
          <w:noProof/>
        </w:rPr>
        <w:t>Ecuador</w:t>
      </w:r>
      <w:r w:rsidR="00462419" w:rsidRPr="00CE1582">
        <w:rPr>
          <w:i/>
          <w:iCs/>
          <w:noProof/>
        </w:rPr>
        <w:t>:</w:t>
      </w:r>
      <w:r w:rsidRPr="00154296">
        <w:rPr>
          <w:noProof/>
        </w:rPr>
        <w:t xml:space="preserve"> Project to strengthen capacities in the implementation of the Minamata Convention </w:t>
      </w:r>
      <w:r w:rsidR="00207266" w:rsidRPr="00154296">
        <w:rPr>
          <w:noProof/>
        </w:rPr>
        <w:t xml:space="preserve">on Mercury </w:t>
      </w:r>
      <w:r w:rsidRPr="00154296">
        <w:rPr>
          <w:noProof/>
        </w:rPr>
        <w:t xml:space="preserve">in Ecuador ($250,000); </w:t>
      </w:r>
    </w:p>
    <w:p w14:paraId="016707C5" w14:textId="1B72DAB3" w:rsidR="00FF1D0E" w:rsidRPr="00154296" w:rsidRDefault="00FF1D0E" w:rsidP="00FF1D0E">
      <w:pPr>
        <w:pStyle w:val="Normalnumber"/>
        <w:numPr>
          <w:ilvl w:val="0"/>
          <w:numId w:val="21"/>
        </w:numPr>
        <w:tabs>
          <w:tab w:val="left" w:pos="624"/>
        </w:tabs>
        <w:ind w:left="1247" w:firstLine="624"/>
        <w:rPr>
          <w:noProof/>
        </w:rPr>
      </w:pPr>
      <w:r w:rsidRPr="00CE1582">
        <w:rPr>
          <w:i/>
          <w:iCs/>
          <w:noProof/>
        </w:rPr>
        <w:t>Ghana</w:t>
      </w:r>
      <w:r w:rsidR="00462419" w:rsidRPr="00CE1582">
        <w:rPr>
          <w:i/>
          <w:iCs/>
          <w:noProof/>
        </w:rPr>
        <w:t>:</w:t>
      </w:r>
      <w:r w:rsidRPr="00154296">
        <w:rPr>
          <w:noProof/>
        </w:rPr>
        <w:t xml:space="preserve"> Strengthening Ghana’s health sector for the implementation of the Minamata Convention </w:t>
      </w:r>
      <w:r w:rsidR="00207266" w:rsidRPr="00154296">
        <w:rPr>
          <w:noProof/>
        </w:rPr>
        <w:t xml:space="preserve">on Mercury </w:t>
      </w:r>
      <w:r w:rsidRPr="00154296">
        <w:rPr>
          <w:noProof/>
        </w:rPr>
        <w:t xml:space="preserve">($250,000); </w:t>
      </w:r>
    </w:p>
    <w:p w14:paraId="68A1B19C" w14:textId="203CB68F" w:rsidR="00FF1D0E" w:rsidRPr="00154296" w:rsidRDefault="00FF1D0E" w:rsidP="00FF1D0E">
      <w:pPr>
        <w:pStyle w:val="Normalnumber"/>
        <w:numPr>
          <w:ilvl w:val="0"/>
          <w:numId w:val="21"/>
        </w:numPr>
        <w:tabs>
          <w:tab w:val="left" w:pos="624"/>
        </w:tabs>
        <w:ind w:left="1247" w:firstLine="624"/>
        <w:rPr>
          <w:noProof/>
        </w:rPr>
      </w:pPr>
      <w:r w:rsidRPr="00CE1582">
        <w:rPr>
          <w:i/>
          <w:iCs/>
          <w:noProof/>
        </w:rPr>
        <w:t>Indonesia</w:t>
      </w:r>
      <w:r w:rsidR="00462419" w:rsidRPr="00CE1582">
        <w:rPr>
          <w:i/>
          <w:iCs/>
          <w:noProof/>
        </w:rPr>
        <w:t>:</w:t>
      </w:r>
      <w:r w:rsidRPr="00154296">
        <w:rPr>
          <w:noProof/>
        </w:rPr>
        <w:t xml:space="preserve"> Improving health risk control of mercury exposure in artisanal and small-scale gold mining and surrounding areas by developing the participatory approach model ($143,340); </w:t>
      </w:r>
    </w:p>
    <w:p w14:paraId="1E278B7C" w14:textId="543441E6" w:rsidR="00FF1D0E" w:rsidRPr="00154296" w:rsidRDefault="00FF1D0E" w:rsidP="00FF1D0E">
      <w:pPr>
        <w:pStyle w:val="Normalnumber"/>
        <w:numPr>
          <w:ilvl w:val="0"/>
          <w:numId w:val="21"/>
        </w:numPr>
        <w:tabs>
          <w:tab w:val="left" w:pos="624"/>
        </w:tabs>
        <w:ind w:left="1247" w:firstLine="624"/>
        <w:rPr>
          <w:noProof/>
        </w:rPr>
      </w:pPr>
      <w:r w:rsidRPr="00CE1582">
        <w:rPr>
          <w:i/>
          <w:iCs/>
          <w:noProof/>
        </w:rPr>
        <w:lastRenderedPageBreak/>
        <w:t>Iran (Islamic Republic of)</w:t>
      </w:r>
      <w:r w:rsidR="00462419" w:rsidRPr="00CE1582">
        <w:rPr>
          <w:i/>
          <w:iCs/>
          <w:noProof/>
        </w:rPr>
        <w:t>:</w:t>
      </w:r>
      <w:r w:rsidRPr="00CE1582">
        <w:rPr>
          <w:i/>
          <w:iCs/>
          <w:noProof/>
        </w:rPr>
        <w:t xml:space="preserve"> </w:t>
      </w:r>
      <w:r w:rsidRPr="00154296">
        <w:rPr>
          <w:noProof/>
        </w:rPr>
        <w:t xml:space="preserve">Capacity-building for effective implementation of the Minamata Convention </w:t>
      </w:r>
      <w:r w:rsidR="00207266" w:rsidRPr="00154296">
        <w:rPr>
          <w:noProof/>
        </w:rPr>
        <w:t>on Mercury</w:t>
      </w:r>
      <w:r w:rsidR="00DC7034" w:rsidRPr="00154296">
        <w:rPr>
          <w:noProof/>
        </w:rPr>
        <w:t>,</w:t>
      </w:r>
      <w:r w:rsidR="00207266" w:rsidRPr="00154296">
        <w:rPr>
          <w:noProof/>
        </w:rPr>
        <w:t xml:space="preserve"> </w:t>
      </w:r>
      <w:r w:rsidRPr="00154296">
        <w:rPr>
          <w:noProof/>
        </w:rPr>
        <w:t xml:space="preserve">focusing on mercury inventory ($149,800); </w:t>
      </w:r>
    </w:p>
    <w:p w14:paraId="6E1EE2DE" w14:textId="73D0E600" w:rsidR="00FF1D0E" w:rsidRPr="00154296" w:rsidRDefault="00FF1D0E" w:rsidP="00FF1D0E">
      <w:pPr>
        <w:pStyle w:val="Normalnumber"/>
        <w:numPr>
          <w:ilvl w:val="0"/>
          <w:numId w:val="21"/>
        </w:numPr>
        <w:tabs>
          <w:tab w:val="left" w:pos="624"/>
        </w:tabs>
        <w:ind w:left="1247" w:firstLine="624"/>
        <w:rPr>
          <w:noProof/>
        </w:rPr>
      </w:pPr>
      <w:r w:rsidRPr="00CE1582">
        <w:rPr>
          <w:i/>
          <w:iCs/>
          <w:noProof/>
        </w:rPr>
        <w:t>Nigeria</w:t>
      </w:r>
      <w:r w:rsidR="00462419" w:rsidRPr="00CE1582">
        <w:rPr>
          <w:i/>
          <w:iCs/>
          <w:noProof/>
        </w:rPr>
        <w:t>:</w:t>
      </w:r>
      <w:r w:rsidRPr="00154296">
        <w:rPr>
          <w:noProof/>
        </w:rPr>
        <w:t xml:space="preserve"> Capacity strengthening for the implementation of the Minamata Convention on Mercury in Nigeria ($250,000); </w:t>
      </w:r>
    </w:p>
    <w:p w14:paraId="31F26226" w14:textId="301478D9" w:rsidR="00FF1D0E" w:rsidRPr="00154296" w:rsidRDefault="00FF1D0E" w:rsidP="00FF1D0E">
      <w:pPr>
        <w:pStyle w:val="Normalnumber"/>
        <w:numPr>
          <w:ilvl w:val="0"/>
          <w:numId w:val="21"/>
        </w:numPr>
        <w:tabs>
          <w:tab w:val="left" w:pos="624"/>
        </w:tabs>
        <w:ind w:left="1247" w:firstLine="624"/>
        <w:rPr>
          <w:noProof/>
        </w:rPr>
      </w:pPr>
      <w:r w:rsidRPr="00CE1582">
        <w:rPr>
          <w:i/>
          <w:iCs/>
          <w:noProof/>
        </w:rPr>
        <w:t>Peru</w:t>
      </w:r>
      <w:r w:rsidR="00462419" w:rsidRPr="00CE1582">
        <w:rPr>
          <w:i/>
          <w:iCs/>
          <w:noProof/>
        </w:rPr>
        <w:t>:</w:t>
      </w:r>
      <w:r w:rsidRPr="00154296">
        <w:rPr>
          <w:noProof/>
        </w:rPr>
        <w:t xml:space="preserve"> Strengthening capacities to control emissions and releases of mercury ($126,000); </w:t>
      </w:r>
    </w:p>
    <w:p w14:paraId="3AAC1D41" w14:textId="4792FD8C" w:rsidR="00FF1D0E" w:rsidRPr="00154296" w:rsidRDefault="00FF1D0E" w:rsidP="00FF1D0E">
      <w:pPr>
        <w:pStyle w:val="Normalnumber"/>
        <w:numPr>
          <w:ilvl w:val="0"/>
          <w:numId w:val="21"/>
        </w:numPr>
        <w:tabs>
          <w:tab w:val="left" w:pos="624"/>
        </w:tabs>
        <w:ind w:left="1247" w:firstLine="624"/>
        <w:rPr>
          <w:noProof/>
        </w:rPr>
      </w:pPr>
      <w:r w:rsidRPr="00CE1582">
        <w:rPr>
          <w:i/>
          <w:iCs/>
          <w:noProof/>
        </w:rPr>
        <w:t>Republic of Moldova</w:t>
      </w:r>
      <w:r w:rsidR="00462419" w:rsidRPr="00CE1582">
        <w:rPr>
          <w:i/>
          <w:iCs/>
          <w:noProof/>
        </w:rPr>
        <w:t>:</w:t>
      </w:r>
      <w:r w:rsidRPr="00154296">
        <w:rPr>
          <w:noProof/>
        </w:rPr>
        <w:t xml:space="preserve"> Support</w:t>
      </w:r>
      <w:r w:rsidR="0025040A" w:rsidRPr="00154296">
        <w:rPr>
          <w:noProof/>
        </w:rPr>
        <w:t>,</w:t>
      </w:r>
      <w:r w:rsidRPr="00154296">
        <w:rPr>
          <w:noProof/>
        </w:rPr>
        <w:t xml:space="preserve"> post-ratification of the Minamata Convention </w:t>
      </w:r>
      <w:r w:rsidR="00207266" w:rsidRPr="00154296">
        <w:rPr>
          <w:noProof/>
        </w:rPr>
        <w:t>on Mercury</w:t>
      </w:r>
      <w:r w:rsidR="0025040A" w:rsidRPr="00154296">
        <w:rPr>
          <w:noProof/>
        </w:rPr>
        <w:t>,</w:t>
      </w:r>
      <w:r w:rsidR="00207266" w:rsidRPr="00154296">
        <w:rPr>
          <w:noProof/>
        </w:rPr>
        <w:t xml:space="preserve"> </w:t>
      </w:r>
      <w:r w:rsidR="0025040A" w:rsidRPr="00154296">
        <w:rPr>
          <w:noProof/>
        </w:rPr>
        <w:t>to</w:t>
      </w:r>
      <w:r w:rsidRPr="00154296">
        <w:rPr>
          <w:noProof/>
        </w:rPr>
        <w:t xml:space="preserve"> build phase-down capacities and reduc</w:t>
      </w:r>
      <w:r w:rsidR="0025040A" w:rsidRPr="00154296">
        <w:rPr>
          <w:noProof/>
        </w:rPr>
        <w:t>e</w:t>
      </w:r>
      <w:r w:rsidRPr="00154296">
        <w:rPr>
          <w:noProof/>
        </w:rPr>
        <w:t xml:space="preserve"> risks associated with mercury ($219,765); </w:t>
      </w:r>
    </w:p>
    <w:p w14:paraId="77EB0B18" w14:textId="7737E0E5" w:rsidR="00FF1D0E" w:rsidRPr="00154296" w:rsidRDefault="00FF1D0E" w:rsidP="00FF1D0E">
      <w:pPr>
        <w:pStyle w:val="Normalnumber"/>
        <w:numPr>
          <w:ilvl w:val="0"/>
          <w:numId w:val="21"/>
        </w:numPr>
        <w:tabs>
          <w:tab w:val="left" w:pos="624"/>
        </w:tabs>
        <w:ind w:left="1247" w:firstLine="624"/>
        <w:rPr>
          <w:noProof/>
        </w:rPr>
      </w:pPr>
      <w:r w:rsidRPr="00CE1582">
        <w:rPr>
          <w:i/>
          <w:iCs/>
          <w:noProof/>
        </w:rPr>
        <w:t>Sri Lanka</w:t>
      </w:r>
      <w:r w:rsidR="00462419" w:rsidRPr="00CE1582">
        <w:rPr>
          <w:i/>
          <w:iCs/>
          <w:noProof/>
        </w:rPr>
        <w:t>:</w:t>
      </w:r>
      <w:r w:rsidRPr="00CE1582">
        <w:rPr>
          <w:i/>
          <w:iCs/>
          <w:noProof/>
        </w:rPr>
        <w:t xml:space="preserve"> </w:t>
      </w:r>
      <w:r w:rsidRPr="00154296">
        <w:rPr>
          <w:noProof/>
        </w:rPr>
        <w:t xml:space="preserve">Strengthening national capacity for phasing out mercury-added products and environmentally sound mercury-containing waste management ($178,659); </w:t>
      </w:r>
    </w:p>
    <w:p w14:paraId="0F1598AC" w14:textId="78DCAC1D" w:rsidR="00FF1D0E" w:rsidRPr="00154296" w:rsidRDefault="00FF1D0E" w:rsidP="00FF1D0E">
      <w:pPr>
        <w:pStyle w:val="Normalnumber"/>
        <w:numPr>
          <w:ilvl w:val="0"/>
          <w:numId w:val="21"/>
        </w:numPr>
        <w:tabs>
          <w:tab w:val="left" w:pos="624"/>
        </w:tabs>
        <w:ind w:left="1247" w:firstLine="624"/>
        <w:rPr>
          <w:noProof/>
        </w:rPr>
      </w:pPr>
      <w:r w:rsidRPr="00CE1582">
        <w:rPr>
          <w:i/>
          <w:iCs/>
          <w:noProof/>
        </w:rPr>
        <w:t>Zambia</w:t>
      </w:r>
      <w:r w:rsidR="00462419" w:rsidRPr="00CE1582">
        <w:rPr>
          <w:i/>
          <w:iCs/>
          <w:noProof/>
        </w:rPr>
        <w:t>:</w:t>
      </w:r>
      <w:r w:rsidRPr="00154296">
        <w:rPr>
          <w:noProof/>
        </w:rPr>
        <w:t xml:space="preserve"> </w:t>
      </w:r>
      <w:r w:rsidR="00DF634C" w:rsidRPr="00154296">
        <w:rPr>
          <w:noProof/>
        </w:rPr>
        <w:t>S</w:t>
      </w:r>
      <w:r w:rsidRPr="00154296">
        <w:rPr>
          <w:noProof/>
        </w:rPr>
        <w:t>trengthen</w:t>
      </w:r>
      <w:r w:rsidR="00DF634C" w:rsidRPr="00154296">
        <w:rPr>
          <w:noProof/>
        </w:rPr>
        <w:t>ing</w:t>
      </w:r>
      <w:r w:rsidRPr="00154296">
        <w:rPr>
          <w:noProof/>
        </w:rPr>
        <w:t xml:space="preserve"> the institutional capacity for Zambia to implement the obligations of the Minamata Convention </w:t>
      </w:r>
      <w:r w:rsidR="00207266" w:rsidRPr="00154296">
        <w:rPr>
          <w:noProof/>
        </w:rPr>
        <w:t xml:space="preserve">on Mercury </w:t>
      </w:r>
      <w:r w:rsidRPr="00154296">
        <w:rPr>
          <w:noProof/>
        </w:rPr>
        <w:t>by reducing the presence of mercury in vulnerable populations as provided for under articles 16 and 18 ($200,000).</w:t>
      </w:r>
    </w:p>
    <w:p w14:paraId="4A8EC930" w14:textId="77777777" w:rsidR="00FF1D0E" w:rsidRPr="00154296" w:rsidRDefault="00FF1D0E" w:rsidP="00FF1D0E">
      <w:pPr>
        <w:pStyle w:val="Normalnumber"/>
        <w:numPr>
          <w:ilvl w:val="0"/>
          <w:numId w:val="17"/>
        </w:numPr>
        <w:tabs>
          <w:tab w:val="left" w:pos="624"/>
        </w:tabs>
        <w:snapToGrid w:val="0"/>
        <w:ind w:left="1247" w:firstLine="0"/>
        <w:rPr>
          <w:noProof/>
        </w:rPr>
      </w:pPr>
      <w:r w:rsidRPr="00154296">
        <w:rPr>
          <w:noProof/>
        </w:rPr>
        <w:t xml:space="preserve">All second-round projects have been completed. </w:t>
      </w:r>
    </w:p>
    <w:p w14:paraId="62C913F2" w14:textId="52067597" w:rsidR="00FF1D0E" w:rsidRPr="00154296" w:rsidRDefault="00C507B2" w:rsidP="00FF1D0E">
      <w:pPr>
        <w:pStyle w:val="Normalnumber"/>
        <w:numPr>
          <w:ilvl w:val="0"/>
          <w:numId w:val="17"/>
        </w:numPr>
        <w:tabs>
          <w:tab w:val="left" w:pos="624"/>
        </w:tabs>
        <w:snapToGrid w:val="0"/>
        <w:ind w:left="1247" w:firstLine="0"/>
        <w:rPr>
          <w:noProof/>
        </w:rPr>
      </w:pPr>
      <w:r w:rsidRPr="00154296">
        <w:rPr>
          <w:noProof/>
        </w:rPr>
        <w:t>In t</w:t>
      </w:r>
      <w:r w:rsidR="00FF1D0E" w:rsidRPr="00154296">
        <w:rPr>
          <w:noProof/>
        </w:rPr>
        <w:t xml:space="preserve">he first round of applications (2018), the Governing Board approved </w:t>
      </w:r>
      <w:r w:rsidR="0015008E">
        <w:rPr>
          <w:noProof/>
        </w:rPr>
        <w:t xml:space="preserve">the following </w:t>
      </w:r>
      <w:r w:rsidR="00FF1D0E" w:rsidRPr="00154296">
        <w:rPr>
          <w:noProof/>
        </w:rPr>
        <w:t>five projects with an overall budget of $961,663 ($1,086,679 including 13 per cent programme support costs): </w:t>
      </w:r>
    </w:p>
    <w:p w14:paraId="570F1F20" w14:textId="5CD9F3C0" w:rsidR="00FF1D0E" w:rsidRPr="00154296" w:rsidRDefault="00FF1D0E" w:rsidP="00FF1D0E">
      <w:pPr>
        <w:pStyle w:val="Normalnumber"/>
        <w:numPr>
          <w:ilvl w:val="0"/>
          <w:numId w:val="22"/>
        </w:numPr>
        <w:tabs>
          <w:tab w:val="left" w:pos="624"/>
        </w:tabs>
        <w:ind w:left="1247" w:firstLine="624"/>
      </w:pPr>
      <w:r w:rsidRPr="00CE1582">
        <w:rPr>
          <w:i/>
          <w:iCs/>
        </w:rPr>
        <w:t>Argentina</w:t>
      </w:r>
      <w:r w:rsidR="00462419" w:rsidRPr="00CE1582">
        <w:rPr>
          <w:i/>
          <w:iCs/>
        </w:rPr>
        <w:t>:</w:t>
      </w:r>
      <w:r w:rsidRPr="00CE1582">
        <w:rPr>
          <w:i/>
          <w:iCs/>
        </w:rPr>
        <w:t xml:space="preserve"> </w:t>
      </w:r>
      <w:r w:rsidRPr="00154296">
        <w:t xml:space="preserve">Capacity-building programme for the implementation of the Minamata Convention </w:t>
      </w:r>
      <w:r w:rsidR="00625F32" w:rsidRPr="00154296">
        <w:t xml:space="preserve">on Mercury </w:t>
      </w:r>
      <w:r w:rsidRPr="00154296">
        <w:t>($250,000); </w:t>
      </w:r>
    </w:p>
    <w:p w14:paraId="7A2A0442" w14:textId="4673BD39" w:rsidR="00FF1D0E" w:rsidRPr="00154296" w:rsidRDefault="00FF1D0E" w:rsidP="00FF1D0E">
      <w:pPr>
        <w:pStyle w:val="Normalnumber"/>
        <w:numPr>
          <w:ilvl w:val="0"/>
          <w:numId w:val="22"/>
        </w:numPr>
        <w:tabs>
          <w:tab w:val="left" w:pos="624"/>
        </w:tabs>
        <w:ind w:left="1247" w:firstLine="624"/>
      </w:pPr>
      <w:r w:rsidRPr="00CE1582">
        <w:rPr>
          <w:i/>
          <w:iCs/>
        </w:rPr>
        <w:t>Armenia</w:t>
      </w:r>
      <w:r w:rsidR="00462419" w:rsidRPr="00CE1582">
        <w:rPr>
          <w:i/>
          <w:iCs/>
        </w:rPr>
        <w:t>:</w:t>
      </w:r>
      <w:r w:rsidRPr="00CE1582">
        <w:rPr>
          <w:i/>
          <w:iCs/>
        </w:rPr>
        <w:t xml:space="preserve"> </w:t>
      </w:r>
      <w:r w:rsidRPr="00154296">
        <w:t>Strengthening capacity to promote phasing out of mercury-added products (lamps) ($162,000); </w:t>
      </w:r>
    </w:p>
    <w:p w14:paraId="38F25EEC" w14:textId="612F0095" w:rsidR="00FF1D0E" w:rsidRPr="00154296" w:rsidRDefault="00FF1D0E" w:rsidP="00FF1D0E">
      <w:pPr>
        <w:pStyle w:val="Normalnumber"/>
        <w:numPr>
          <w:ilvl w:val="0"/>
          <w:numId w:val="22"/>
        </w:numPr>
        <w:tabs>
          <w:tab w:val="left" w:pos="624"/>
        </w:tabs>
        <w:ind w:left="1247" w:firstLine="624"/>
      </w:pPr>
      <w:r w:rsidRPr="00CE1582">
        <w:rPr>
          <w:i/>
          <w:iCs/>
        </w:rPr>
        <w:t>Benin</w:t>
      </w:r>
      <w:r w:rsidR="00462419" w:rsidRPr="00CE1582">
        <w:rPr>
          <w:i/>
          <w:iCs/>
        </w:rPr>
        <w:t>:</w:t>
      </w:r>
      <w:r w:rsidRPr="00154296">
        <w:t xml:space="preserve"> Improvement of the management framework for mercury-containing products and wastes ($249,113); </w:t>
      </w:r>
    </w:p>
    <w:p w14:paraId="453062D2" w14:textId="32A4FCB6" w:rsidR="00FF1D0E" w:rsidRPr="00154296" w:rsidRDefault="00FF1D0E" w:rsidP="00FF1D0E">
      <w:pPr>
        <w:pStyle w:val="Normalnumber"/>
        <w:numPr>
          <w:ilvl w:val="0"/>
          <w:numId w:val="22"/>
        </w:numPr>
        <w:tabs>
          <w:tab w:val="left" w:pos="624"/>
        </w:tabs>
        <w:ind w:left="1247" w:firstLine="624"/>
      </w:pPr>
      <w:r w:rsidRPr="00CE1582">
        <w:rPr>
          <w:i/>
          <w:iCs/>
        </w:rPr>
        <w:t>Iran (Islamic Republic of)</w:t>
      </w:r>
      <w:r w:rsidR="00462419" w:rsidRPr="00CE1582">
        <w:rPr>
          <w:i/>
          <w:iCs/>
        </w:rPr>
        <w:t>:</w:t>
      </w:r>
      <w:r w:rsidRPr="00154296">
        <w:rPr>
          <w:i/>
          <w:iCs/>
        </w:rPr>
        <w:t xml:space="preserve"> </w:t>
      </w:r>
      <w:r w:rsidRPr="00154296">
        <w:t>Implementing Minamata Convention on Mercury management in chlor-alkali plants in the petrochemical industry ($100,000); </w:t>
      </w:r>
    </w:p>
    <w:p w14:paraId="6C4BD905" w14:textId="7E7FAC41" w:rsidR="00FF1D0E" w:rsidRPr="008A572D" w:rsidRDefault="00FF1D0E" w:rsidP="00FF1D0E">
      <w:pPr>
        <w:pStyle w:val="Normalnumber"/>
        <w:numPr>
          <w:ilvl w:val="0"/>
          <w:numId w:val="22"/>
        </w:numPr>
        <w:tabs>
          <w:tab w:val="left" w:pos="624"/>
        </w:tabs>
        <w:ind w:left="1247" w:firstLine="624"/>
      </w:pPr>
      <w:r w:rsidRPr="00CE1582">
        <w:rPr>
          <w:i/>
          <w:iCs/>
        </w:rPr>
        <w:t>Lesotho</w:t>
      </w:r>
      <w:r w:rsidR="00462419" w:rsidRPr="00CE1582">
        <w:rPr>
          <w:i/>
          <w:iCs/>
        </w:rPr>
        <w:t>:</w:t>
      </w:r>
      <w:r w:rsidRPr="00CE1582">
        <w:rPr>
          <w:i/>
          <w:iCs/>
        </w:rPr>
        <w:t xml:space="preserve"> </w:t>
      </w:r>
      <w:r w:rsidRPr="00154296">
        <w:t>Strengthening institutional capacity in the development of a phase-out and phase-down strategy for mercury-added</w:t>
      </w:r>
      <w:r w:rsidRPr="009E15DC">
        <w:t xml:space="preserve"> products in Lesotho ($200,550).</w:t>
      </w:r>
    </w:p>
    <w:p w14:paraId="34D180A4" w14:textId="77777777" w:rsidR="00FF1D0E" w:rsidRPr="008A572D" w:rsidRDefault="00FF1D0E" w:rsidP="00FF1D0E">
      <w:pPr>
        <w:pStyle w:val="Normalnumber"/>
        <w:numPr>
          <w:ilvl w:val="0"/>
          <w:numId w:val="17"/>
        </w:numPr>
        <w:tabs>
          <w:tab w:val="left" w:pos="1247"/>
          <w:tab w:val="left" w:pos="1814"/>
          <w:tab w:val="left" w:pos="2381"/>
          <w:tab w:val="left" w:pos="2948"/>
          <w:tab w:val="left" w:pos="3515"/>
          <w:tab w:val="left" w:pos="4082"/>
        </w:tabs>
        <w:snapToGrid w:val="0"/>
        <w:ind w:left="1247" w:firstLine="0"/>
        <w:rPr>
          <w:noProof/>
        </w:rPr>
      </w:pPr>
      <w:r w:rsidRPr="009E15DC">
        <w:rPr>
          <w:noProof/>
        </w:rPr>
        <w:t>All projects of the first round have been completed. The secretaria</w:t>
      </w:r>
      <w:r>
        <w:rPr>
          <w:noProof/>
        </w:rPr>
        <w:t xml:space="preserve">t </w:t>
      </w:r>
      <w:r w:rsidRPr="009E15DC">
        <w:rPr>
          <w:noProof/>
        </w:rPr>
        <w:t xml:space="preserve">engaged </w:t>
      </w:r>
      <w:r>
        <w:rPr>
          <w:noProof/>
        </w:rPr>
        <w:t>consultants</w:t>
      </w:r>
      <w:r w:rsidRPr="009E15DC">
        <w:rPr>
          <w:noProof/>
        </w:rPr>
        <w:t xml:space="preserve"> to conduct terminal evaluations of </w:t>
      </w:r>
      <w:r>
        <w:rPr>
          <w:noProof/>
        </w:rPr>
        <w:t>four</w:t>
      </w:r>
      <w:r w:rsidRPr="009E15DC">
        <w:rPr>
          <w:noProof/>
        </w:rPr>
        <w:t xml:space="preserve"> first-round projects, as per the agreed project budgets.</w:t>
      </w:r>
      <w:r w:rsidRPr="008A572D">
        <w:rPr>
          <w:noProof/>
        </w:rPr>
        <w:t> </w:t>
      </w:r>
    </w:p>
    <w:p w14:paraId="6440D5BD" w14:textId="0300272A" w:rsidR="00FF1D0E" w:rsidRPr="00407C3C" w:rsidRDefault="00FF1D0E" w:rsidP="00FF1D0E">
      <w:pPr>
        <w:pStyle w:val="CH1"/>
      </w:pPr>
      <w:r>
        <w:rPr>
          <w:noProof/>
        </w:rPr>
        <w:tab/>
      </w:r>
      <w:r w:rsidRPr="00624267">
        <w:t>V.</w:t>
      </w:r>
      <w:r>
        <w:rPr>
          <w:noProof/>
        </w:rPr>
        <w:tab/>
      </w:r>
      <w:r w:rsidRPr="00624267">
        <w:t xml:space="preserve">Status of </w:t>
      </w:r>
      <w:r w:rsidRPr="00624267">
        <w:rPr>
          <w:noProof/>
        </w:rPr>
        <w:t xml:space="preserve">contributions to the </w:t>
      </w:r>
      <w:r w:rsidRPr="00624267">
        <w:t xml:space="preserve">Specific Trust Fund </w:t>
      </w:r>
    </w:p>
    <w:p w14:paraId="26549C69" w14:textId="7D003725" w:rsidR="00FF1D0E" w:rsidRDefault="00FF1D0E" w:rsidP="00FF1D0E">
      <w:pPr>
        <w:pStyle w:val="Normalnumber"/>
        <w:numPr>
          <w:ilvl w:val="0"/>
          <w:numId w:val="17"/>
        </w:numPr>
        <w:tabs>
          <w:tab w:val="left" w:pos="624"/>
        </w:tabs>
        <w:snapToGrid w:val="0"/>
        <w:ind w:left="1247" w:firstLine="0"/>
        <w:rPr>
          <w:noProof/>
        </w:rPr>
      </w:pPr>
      <w:r w:rsidRPr="005965EF">
        <w:rPr>
          <w:noProof/>
        </w:rPr>
        <w:t xml:space="preserve">Since the establishment of the Specific Trust Fund in 2018, contributions and pledges have been received from Austria, Denmark, France, Germany, </w:t>
      </w:r>
      <w:r w:rsidRPr="005965EF" w:rsidDel="00696488">
        <w:rPr>
          <w:noProof/>
        </w:rPr>
        <w:t xml:space="preserve">the </w:t>
      </w:r>
      <w:r w:rsidRPr="005965EF">
        <w:rPr>
          <w:noProof/>
        </w:rPr>
        <w:t xml:space="preserve">Kingdom of the Netherlands, Norway, Sweden, Switzerland, the United Kingdom of Great Britain and Northern Ireland and the United States of America, as </w:t>
      </w:r>
      <w:r w:rsidR="00154296">
        <w:rPr>
          <w:noProof/>
        </w:rPr>
        <w:t>is indicated</w:t>
      </w:r>
      <w:r w:rsidRPr="005965EF">
        <w:rPr>
          <w:noProof/>
        </w:rPr>
        <w:t xml:space="preserve"> in </w:t>
      </w:r>
      <w:r w:rsidR="001C1FEA">
        <w:rPr>
          <w:noProof/>
        </w:rPr>
        <w:t xml:space="preserve">the </w:t>
      </w:r>
      <w:r w:rsidR="00154296">
        <w:rPr>
          <w:noProof/>
        </w:rPr>
        <w:t xml:space="preserve">following </w:t>
      </w:r>
      <w:r w:rsidR="001C1FEA">
        <w:rPr>
          <w:noProof/>
        </w:rPr>
        <w:t>t</w:t>
      </w:r>
      <w:r w:rsidRPr="005965EF">
        <w:rPr>
          <w:noProof/>
        </w:rPr>
        <w:t xml:space="preserve">able. </w:t>
      </w:r>
    </w:p>
    <w:p w14:paraId="17013F70" w14:textId="7D935F1C" w:rsidR="00FF1D0E" w:rsidRPr="00236DC5" w:rsidRDefault="00F66B29" w:rsidP="00FF1D0E">
      <w:pPr>
        <w:pStyle w:val="Titletable"/>
        <w:tabs>
          <w:tab w:val="clear" w:pos="4990"/>
        </w:tabs>
        <w:spacing w:before="240"/>
      </w:pPr>
      <w:r>
        <w:t>C</w:t>
      </w:r>
      <w:r w:rsidR="00FF1D0E" w:rsidRPr="000C7827">
        <w:t xml:space="preserve">ontributions and pledges received for the </w:t>
      </w:r>
      <w:r w:rsidR="00FF1D0E" w:rsidRPr="00236DC5">
        <w:t xml:space="preserve">Specific Trust Fund since the </w:t>
      </w:r>
      <w:r w:rsidR="008F7DA4" w:rsidRPr="00236DC5">
        <w:t xml:space="preserve">establishment </w:t>
      </w:r>
      <w:r w:rsidR="00FF1D0E" w:rsidRPr="00236DC5">
        <w:t xml:space="preserve">of the Specific International Programme </w:t>
      </w:r>
    </w:p>
    <w:p w14:paraId="25EB769E" w14:textId="69F680C6" w:rsidR="00FF1D0E" w:rsidRPr="007921B0" w:rsidRDefault="00FF1D0E" w:rsidP="00FF1D0E">
      <w:pPr>
        <w:pStyle w:val="Normal-pool"/>
        <w:keepNext/>
        <w:keepLines/>
        <w:spacing w:after="60"/>
        <w:ind w:left="1247"/>
        <w:rPr>
          <w:rFonts w:eastAsia="Calibri"/>
          <w:color w:val="000000" w:themeColor="text1"/>
          <w:sz w:val="18"/>
          <w:szCs w:val="18"/>
        </w:rPr>
      </w:pPr>
      <w:r w:rsidRPr="00236DC5">
        <w:rPr>
          <w:rFonts w:eastAsia="Calibri"/>
          <w:color w:val="000000" w:themeColor="text1"/>
          <w:sz w:val="18"/>
          <w:szCs w:val="18"/>
        </w:rPr>
        <w:t xml:space="preserve">(United States dollars, </w:t>
      </w:r>
      <w:r w:rsidRPr="00321731">
        <w:rPr>
          <w:rFonts w:eastAsia="Calibri"/>
          <w:color w:val="000000" w:themeColor="text1"/>
          <w:sz w:val="18"/>
          <w:szCs w:val="18"/>
        </w:rPr>
        <w:t>as at 28 May 2025</w:t>
      </w:r>
      <w:r w:rsidRPr="00236DC5">
        <w:rPr>
          <w:rFonts w:eastAsia="Calibri"/>
          <w:color w:val="000000" w:themeColor="text1"/>
          <w:sz w:val="18"/>
          <w:szCs w:val="18"/>
        </w:rPr>
        <w:t>)</w:t>
      </w:r>
    </w:p>
    <w:tbl>
      <w:tblPr>
        <w:tblW w:w="8080" w:type="dxa"/>
        <w:tblInd w:w="1276"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253"/>
        <w:gridCol w:w="3827"/>
      </w:tblGrid>
      <w:tr w:rsidR="00FF1D0E" w:rsidRPr="00912EDF" w14:paraId="660AF6E2" w14:textId="77777777" w:rsidTr="00D43CA6">
        <w:trPr>
          <w:trHeight w:val="184"/>
        </w:trPr>
        <w:tc>
          <w:tcPr>
            <w:tcW w:w="4253" w:type="dxa"/>
            <w:tcBorders>
              <w:top w:val="single" w:sz="6" w:space="0" w:color="auto"/>
              <w:left w:val="nil"/>
              <w:bottom w:val="single" w:sz="12" w:space="0" w:color="auto"/>
              <w:right w:val="nil"/>
            </w:tcBorders>
            <w:shd w:val="clear" w:color="auto" w:fill="FFFFFF" w:themeFill="background1"/>
            <w:vAlign w:val="bottom"/>
            <w:hideMark/>
          </w:tcPr>
          <w:p w14:paraId="55325773" w14:textId="77777777" w:rsidR="00FF1D0E" w:rsidRPr="000C7827" w:rsidRDefault="00FF1D0E" w:rsidP="00D43CA6">
            <w:pPr>
              <w:pStyle w:val="Normal-pool-Table"/>
              <w:ind w:left="57"/>
              <w:rPr>
                <w:i/>
                <w:iCs/>
                <w:sz w:val="24"/>
                <w:szCs w:val="24"/>
              </w:rPr>
            </w:pPr>
            <w:r w:rsidRPr="000C7827">
              <w:rPr>
                <w:i/>
                <w:iCs/>
              </w:rPr>
              <w:t>Donor </w:t>
            </w:r>
          </w:p>
        </w:tc>
        <w:tc>
          <w:tcPr>
            <w:tcW w:w="3827" w:type="dxa"/>
            <w:tcBorders>
              <w:top w:val="single" w:sz="6" w:space="0" w:color="auto"/>
              <w:left w:val="nil"/>
              <w:bottom w:val="single" w:sz="12" w:space="0" w:color="auto"/>
              <w:right w:val="nil"/>
            </w:tcBorders>
            <w:shd w:val="clear" w:color="auto" w:fill="FFFFFF" w:themeFill="background1"/>
            <w:vAlign w:val="bottom"/>
            <w:hideMark/>
          </w:tcPr>
          <w:p w14:paraId="0751BEA2" w14:textId="77777777" w:rsidR="00FF1D0E" w:rsidRPr="000C7827" w:rsidRDefault="00FF1D0E" w:rsidP="00D43CA6">
            <w:pPr>
              <w:pStyle w:val="Normal-pool-Table"/>
              <w:jc w:val="right"/>
              <w:rPr>
                <w:i/>
                <w:iCs/>
                <w:sz w:val="24"/>
                <w:szCs w:val="24"/>
              </w:rPr>
            </w:pPr>
            <w:r w:rsidRPr="000C7827">
              <w:rPr>
                <w:i/>
                <w:iCs/>
              </w:rPr>
              <w:t>Total amount pledged/contributed </w:t>
            </w:r>
          </w:p>
        </w:tc>
      </w:tr>
      <w:tr w:rsidR="00FF1D0E" w:rsidRPr="00912EDF" w14:paraId="025263B2" w14:textId="77777777" w:rsidTr="00D43CA6">
        <w:trPr>
          <w:trHeight w:val="20"/>
        </w:trPr>
        <w:tc>
          <w:tcPr>
            <w:tcW w:w="4253" w:type="dxa"/>
            <w:tcBorders>
              <w:top w:val="single" w:sz="12" w:space="0" w:color="auto"/>
              <w:left w:val="nil"/>
              <w:bottom w:val="nil"/>
              <w:right w:val="nil"/>
            </w:tcBorders>
            <w:vAlign w:val="bottom"/>
            <w:hideMark/>
          </w:tcPr>
          <w:p w14:paraId="4DAE387B" w14:textId="4D049CD9" w:rsidR="00FF1D0E" w:rsidRPr="000C7827" w:rsidRDefault="00FF1D0E" w:rsidP="00D43CA6">
            <w:pPr>
              <w:pStyle w:val="Normal-pool-Table"/>
              <w:ind w:left="57"/>
            </w:pPr>
            <w:r w:rsidRPr="000C7827">
              <w:t>Austria</w:t>
            </w:r>
          </w:p>
        </w:tc>
        <w:tc>
          <w:tcPr>
            <w:tcW w:w="3827" w:type="dxa"/>
            <w:tcBorders>
              <w:top w:val="single" w:sz="12" w:space="0" w:color="auto"/>
              <w:left w:val="nil"/>
              <w:bottom w:val="nil"/>
              <w:right w:val="nil"/>
            </w:tcBorders>
            <w:vAlign w:val="bottom"/>
            <w:hideMark/>
          </w:tcPr>
          <w:p w14:paraId="2FB9B49B" w14:textId="77777777" w:rsidR="00FF1D0E" w:rsidRPr="008A572D" w:rsidRDefault="00FF1D0E" w:rsidP="00D43CA6">
            <w:pPr>
              <w:pStyle w:val="Normal-pool-Table"/>
              <w:jc w:val="right"/>
              <w:rPr>
                <w:sz w:val="24"/>
                <w:szCs w:val="24"/>
              </w:rPr>
            </w:pPr>
            <w:r w:rsidRPr="008A572D">
              <w:t>505 194 </w:t>
            </w:r>
          </w:p>
        </w:tc>
      </w:tr>
      <w:tr w:rsidR="00FF1D0E" w:rsidRPr="00912EDF" w14:paraId="1A97D3FE" w14:textId="77777777" w:rsidTr="00D43CA6">
        <w:trPr>
          <w:trHeight w:val="50"/>
        </w:trPr>
        <w:tc>
          <w:tcPr>
            <w:tcW w:w="4253" w:type="dxa"/>
            <w:tcBorders>
              <w:top w:val="nil"/>
              <w:left w:val="nil"/>
              <w:bottom w:val="nil"/>
              <w:right w:val="nil"/>
            </w:tcBorders>
            <w:vAlign w:val="bottom"/>
            <w:hideMark/>
          </w:tcPr>
          <w:p w14:paraId="2DC75EC9" w14:textId="50ECA661" w:rsidR="00FF1D0E" w:rsidRPr="000C7827" w:rsidRDefault="00FF1D0E" w:rsidP="00D43CA6">
            <w:pPr>
              <w:pStyle w:val="Normal-pool-Table"/>
              <w:ind w:left="57"/>
            </w:pPr>
            <w:r w:rsidRPr="000C7827">
              <w:t>Denmark</w:t>
            </w:r>
          </w:p>
        </w:tc>
        <w:tc>
          <w:tcPr>
            <w:tcW w:w="3827" w:type="dxa"/>
            <w:tcBorders>
              <w:top w:val="nil"/>
              <w:left w:val="nil"/>
              <w:bottom w:val="nil"/>
              <w:right w:val="nil"/>
            </w:tcBorders>
            <w:vAlign w:val="bottom"/>
            <w:hideMark/>
          </w:tcPr>
          <w:p w14:paraId="548C048F" w14:textId="77777777" w:rsidR="00FF1D0E" w:rsidRPr="008A572D" w:rsidRDefault="00FF1D0E" w:rsidP="00D43CA6">
            <w:pPr>
              <w:pStyle w:val="Normal-pool-Table"/>
              <w:jc w:val="right"/>
              <w:rPr>
                <w:sz w:val="24"/>
                <w:szCs w:val="24"/>
              </w:rPr>
            </w:pPr>
            <w:r w:rsidRPr="008A572D">
              <w:t>175 748 </w:t>
            </w:r>
          </w:p>
        </w:tc>
      </w:tr>
      <w:tr w:rsidR="00FF1D0E" w:rsidRPr="00912EDF" w14:paraId="4EA0E80A" w14:textId="77777777" w:rsidTr="00D43CA6">
        <w:trPr>
          <w:trHeight w:val="50"/>
        </w:trPr>
        <w:tc>
          <w:tcPr>
            <w:tcW w:w="4253" w:type="dxa"/>
            <w:tcBorders>
              <w:top w:val="nil"/>
              <w:left w:val="nil"/>
              <w:bottom w:val="nil"/>
              <w:right w:val="nil"/>
            </w:tcBorders>
            <w:vAlign w:val="bottom"/>
            <w:hideMark/>
          </w:tcPr>
          <w:p w14:paraId="4DAC7C48" w14:textId="77777777" w:rsidR="00FF1D0E" w:rsidRPr="000C7827" w:rsidRDefault="00FF1D0E" w:rsidP="00D43CA6">
            <w:pPr>
              <w:pStyle w:val="Normal-pool-Table"/>
              <w:ind w:left="57"/>
            </w:pPr>
            <w:r w:rsidRPr="000C7827">
              <w:t>France </w:t>
            </w:r>
          </w:p>
        </w:tc>
        <w:tc>
          <w:tcPr>
            <w:tcW w:w="3827" w:type="dxa"/>
            <w:tcBorders>
              <w:top w:val="nil"/>
              <w:left w:val="nil"/>
              <w:bottom w:val="nil"/>
              <w:right w:val="nil"/>
            </w:tcBorders>
            <w:vAlign w:val="bottom"/>
            <w:hideMark/>
          </w:tcPr>
          <w:p w14:paraId="6D28BB28" w14:textId="77777777" w:rsidR="00FF1D0E" w:rsidRPr="008A572D" w:rsidRDefault="00FF1D0E" w:rsidP="00D43CA6">
            <w:pPr>
              <w:pStyle w:val="Normal-pool-Table"/>
              <w:jc w:val="right"/>
              <w:rPr>
                <w:sz w:val="24"/>
                <w:szCs w:val="24"/>
              </w:rPr>
            </w:pPr>
            <w:r w:rsidRPr="008A572D">
              <w:t>324 144 </w:t>
            </w:r>
          </w:p>
        </w:tc>
      </w:tr>
      <w:tr w:rsidR="00FF1D0E" w:rsidRPr="00912EDF" w14:paraId="4E9F5AC0" w14:textId="77777777" w:rsidTr="00D43CA6">
        <w:trPr>
          <w:trHeight w:val="50"/>
        </w:trPr>
        <w:tc>
          <w:tcPr>
            <w:tcW w:w="4253" w:type="dxa"/>
            <w:tcBorders>
              <w:top w:val="nil"/>
              <w:left w:val="nil"/>
              <w:bottom w:val="nil"/>
              <w:right w:val="nil"/>
            </w:tcBorders>
            <w:vAlign w:val="bottom"/>
            <w:hideMark/>
          </w:tcPr>
          <w:p w14:paraId="0DF2A0E0" w14:textId="77777777" w:rsidR="00FF1D0E" w:rsidRPr="000C7827" w:rsidRDefault="00FF1D0E" w:rsidP="00D43CA6">
            <w:pPr>
              <w:pStyle w:val="Normal-pool-Table"/>
              <w:ind w:left="57"/>
            </w:pPr>
            <w:r w:rsidRPr="000C7827">
              <w:t>Germany </w:t>
            </w:r>
          </w:p>
        </w:tc>
        <w:tc>
          <w:tcPr>
            <w:tcW w:w="3827" w:type="dxa"/>
            <w:tcBorders>
              <w:top w:val="nil"/>
              <w:left w:val="nil"/>
              <w:bottom w:val="nil"/>
              <w:right w:val="nil"/>
            </w:tcBorders>
            <w:vAlign w:val="bottom"/>
            <w:hideMark/>
          </w:tcPr>
          <w:p w14:paraId="301271AA" w14:textId="77777777" w:rsidR="00FF1D0E" w:rsidRPr="008A572D" w:rsidRDefault="00FF1D0E" w:rsidP="00D43CA6">
            <w:pPr>
              <w:pStyle w:val="Normal-pool-Table"/>
              <w:jc w:val="right"/>
              <w:rPr>
                <w:sz w:val="24"/>
                <w:szCs w:val="24"/>
              </w:rPr>
            </w:pPr>
            <w:r w:rsidRPr="008A572D">
              <w:t>1 118 927 </w:t>
            </w:r>
          </w:p>
        </w:tc>
      </w:tr>
      <w:tr w:rsidR="00FF1D0E" w:rsidRPr="00912EDF" w14:paraId="2B9C36C6" w14:textId="77777777" w:rsidTr="00D43CA6">
        <w:trPr>
          <w:trHeight w:val="159"/>
        </w:trPr>
        <w:tc>
          <w:tcPr>
            <w:tcW w:w="4253" w:type="dxa"/>
            <w:tcBorders>
              <w:top w:val="nil"/>
              <w:left w:val="nil"/>
              <w:bottom w:val="nil"/>
              <w:right w:val="nil"/>
            </w:tcBorders>
            <w:vAlign w:val="bottom"/>
            <w:hideMark/>
          </w:tcPr>
          <w:p w14:paraId="52696957" w14:textId="77777777" w:rsidR="00FF1D0E" w:rsidRPr="000C7827" w:rsidRDefault="00FF1D0E" w:rsidP="00D43CA6">
            <w:pPr>
              <w:pStyle w:val="Normal-pool-Table"/>
              <w:ind w:left="57"/>
            </w:pPr>
            <w:r w:rsidRPr="000C7827">
              <w:t>Netherlands (Kingdom of the) </w:t>
            </w:r>
          </w:p>
        </w:tc>
        <w:tc>
          <w:tcPr>
            <w:tcW w:w="3827" w:type="dxa"/>
            <w:tcBorders>
              <w:top w:val="nil"/>
              <w:left w:val="nil"/>
              <w:bottom w:val="nil"/>
              <w:right w:val="nil"/>
            </w:tcBorders>
            <w:vAlign w:val="bottom"/>
            <w:hideMark/>
          </w:tcPr>
          <w:p w14:paraId="30FB1688" w14:textId="77777777" w:rsidR="00FF1D0E" w:rsidRPr="008A572D" w:rsidRDefault="00FF1D0E" w:rsidP="00D43CA6">
            <w:pPr>
              <w:pStyle w:val="Normal-pool-Table"/>
              <w:jc w:val="right"/>
              <w:rPr>
                <w:sz w:val="24"/>
                <w:szCs w:val="24"/>
              </w:rPr>
            </w:pPr>
            <w:r w:rsidRPr="008A572D">
              <w:t>331 193 </w:t>
            </w:r>
          </w:p>
        </w:tc>
      </w:tr>
      <w:tr w:rsidR="00FF1D0E" w:rsidRPr="00912EDF" w14:paraId="730A3B23" w14:textId="77777777" w:rsidTr="00D43CA6">
        <w:trPr>
          <w:trHeight w:val="50"/>
        </w:trPr>
        <w:tc>
          <w:tcPr>
            <w:tcW w:w="4253" w:type="dxa"/>
            <w:tcBorders>
              <w:top w:val="nil"/>
              <w:left w:val="nil"/>
              <w:bottom w:val="nil"/>
              <w:right w:val="nil"/>
            </w:tcBorders>
            <w:vAlign w:val="bottom"/>
            <w:hideMark/>
          </w:tcPr>
          <w:p w14:paraId="22EE1BD4" w14:textId="77777777" w:rsidR="00FF1D0E" w:rsidRPr="000C7827" w:rsidRDefault="00FF1D0E" w:rsidP="00D43CA6">
            <w:pPr>
              <w:pStyle w:val="Normal-pool-Table"/>
              <w:ind w:left="57"/>
            </w:pPr>
            <w:r w:rsidRPr="000C7827">
              <w:t>Norway </w:t>
            </w:r>
          </w:p>
        </w:tc>
        <w:tc>
          <w:tcPr>
            <w:tcW w:w="3827" w:type="dxa"/>
            <w:tcBorders>
              <w:top w:val="nil"/>
              <w:left w:val="nil"/>
              <w:bottom w:val="nil"/>
              <w:right w:val="nil"/>
            </w:tcBorders>
            <w:vAlign w:val="bottom"/>
            <w:hideMark/>
          </w:tcPr>
          <w:p w14:paraId="23AE5BF3" w14:textId="77777777" w:rsidR="00FF1D0E" w:rsidRPr="008A572D" w:rsidRDefault="00FF1D0E" w:rsidP="00D43CA6">
            <w:pPr>
              <w:pStyle w:val="Normal-pool-Table"/>
              <w:jc w:val="right"/>
              <w:rPr>
                <w:sz w:val="24"/>
                <w:szCs w:val="24"/>
              </w:rPr>
            </w:pPr>
            <w:r w:rsidRPr="008A572D">
              <w:t>2 748 661 </w:t>
            </w:r>
          </w:p>
        </w:tc>
      </w:tr>
      <w:tr w:rsidR="00FF1D0E" w:rsidRPr="00912EDF" w14:paraId="70ABCA0A" w14:textId="77777777" w:rsidTr="00D43CA6">
        <w:trPr>
          <w:trHeight w:val="50"/>
        </w:trPr>
        <w:tc>
          <w:tcPr>
            <w:tcW w:w="4253" w:type="dxa"/>
            <w:tcBorders>
              <w:top w:val="nil"/>
              <w:left w:val="nil"/>
              <w:bottom w:val="nil"/>
              <w:right w:val="nil"/>
            </w:tcBorders>
            <w:vAlign w:val="bottom"/>
            <w:hideMark/>
          </w:tcPr>
          <w:p w14:paraId="6A8BA0F4" w14:textId="77777777" w:rsidR="00FF1D0E" w:rsidRPr="000C7827" w:rsidRDefault="00FF1D0E" w:rsidP="00D43CA6">
            <w:pPr>
              <w:pStyle w:val="Normal-pool-Table"/>
              <w:ind w:left="57"/>
            </w:pPr>
            <w:r w:rsidRPr="000C7827">
              <w:t>Sweden </w:t>
            </w:r>
          </w:p>
        </w:tc>
        <w:tc>
          <w:tcPr>
            <w:tcW w:w="3827" w:type="dxa"/>
            <w:tcBorders>
              <w:top w:val="nil"/>
              <w:left w:val="nil"/>
              <w:bottom w:val="nil"/>
              <w:right w:val="nil"/>
            </w:tcBorders>
            <w:vAlign w:val="bottom"/>
            <w:hideMark/>
          </w:tcPr>
          <w:p w14:paraId="09AA9892" w14:textId="77777777" w:rsidR="00FF1D0E" w:rsidRPr="008A572D" w:rsidRDefault="00FF1D0E" w:rsidP="00D43CA6">
            <w:pPr>
              <w:pStyle w:val="Normal-pool-Table"/>
              <w:jc w:val="right"/>
              <w:rPr>
                <w:sz w:val="24"/>
                <w:szCs w:val="24"/>
              </w:rPr>
            </w:pPr>
            <w:r w:rsidRPr="008A572D">
              <w:t>844 663 </w:t>
            </w:r>
          </w:p>
        </w:tc>
      </w:tr>
      <w:tr w:rsidR="00FF1D0E" w:rsidRPr="00912EDF" w14:paraId="1547E35C" w14:textId="77777777" w:rsidTr="00D43CA6">
        <w:trPr>
          <w:trHeight w:val="50"/>
        </w:trPr>
        <w:tc>
          <w:tcPr>
            <w:tcW w:w="4253" w:type="dxa"/>
            <w:tcBorders>
              <w:top w:val="nil"/>
              <w:left w:val="nil"/>
              <w:bottom w:val="nil"/>
              <w:right w:val="nil"/>
            </w:tcBorders>
            <w:vAlign w:val="bottom"/>
            <w:hideMark/>
          </w:tcPr>
          <w:p w14:paraId="0972D9E5" w14:textId="77777777" w:rsidR="00FF1D0E" w:rsidRPr="000C7827" w:rsidRDefault="00FF1D0E" w:rsidP="00D43CA6">
            <w:pPr>
              <w:pStyle w:val="Normal-pool-Table"/>
              <w:ind w:left="57"/>
            </w:pPr>
            <w:r w:rsidRPr="000C7827">
              <w:t>Switzerland </w:t>
            </w:r>
          </w:p>
        </w:tc>
        <w:tc>
          <w:tcPr>
            <w:tcW w:w="3827" w:type="dxa"/>
            <w:tcBorders>
              <w:top w:val="nil"/>
              <w:left w:val="nil"/>
              <w:bottom w:val="nil"/>
              <w:right w:val="nil"/>
            </w:tcBorders>
            <w:vAlign w:val="bottom"/>
            <w:hideMark/>
          </w:tcPr>
          <w:p w14:paraId="161DEE33" w14:textId="77777777" w:rsidR="00FF1D0E" w:rsidRPr="008A572D" w:rsidRDefault="00FF1D0E" w:rsidP="00D43CA6">
            <w:pPr>
              <w:pStyle w:val="Normal-pool-Table"/>
              <w:jc w:val="right"/>
              <w:rPr>
                <w:sz w:val="24"/>
                <w:szCs w:val="24"/>
              </w:rPr>
            </w:pPr>
            <w:r w:rsidRPr="008A572D">
              <w:t>1 243 145</w:t>
            </w:r>
          </w:p>
        </w:tc>
      </w:tr>
      <w:tr w:rsidR="00FF1D0E" w:rsidRPr="00912EDF" w14:paraId="5C4D5369" w14:textId="77777777" w:rsidTr="00D43CA6">
        <w:trPr>
          <w:trHeight w:val="50"/>
        </w:trPr>
        <w:tc>
          <w:tcPr>
            <w:tcW w:w="4253" w:type="dxa"/>
            <w:tcBorders>
              <w:top w:val="nil"/>
              <w:left w:val="nil"/>
              <w:bottom w:val="nil"/>
              <w:right w:val="nil"/>
            </w:tcBorders>
            <w:vAlign w:val="bottom"/>
            <w:hideMark/>
          </w:tcPr>
          <w:p w14:paraId="01EA092E" w14:textId="77777777" w:rsidR="00FF1D0E" w:rsidRPr="000C7827" w:rsidRDefault="00FF1D0E" w:rsidP="00D43CA6">
            <w:pPr>
              <w:pStyle w:val="Normal-pool-Table"/>
              <w:ind w:left="57"/>
            </w:pPr>
            <w:r w:rsidRPr="000C7827">
              <w:t>United Kingdom of Great Britain and Northern Ireland </w:t>
            </w:r>
          </w:p>
        </w:tc>
        <w:tc>
          <w:tcPr>
            <w:tcW w:w="3827" w:type="dxa"/>
            <w:tcBorders>
              <w:top w:val="nil"/>
              <w:left w:val="nil"/>
              <w:bottom w:val="nil"/>
              <w:right w:val="nil"/>
            </w:tcBorders>
            <w:vAlign w:val="bottom"/>
            <w:hideMark/>
          </w:tcPr>
          <w:p w14:paraId="0A6EEB80" w14:textId="77777777" w:rsidR="00FF1D0E" w:rsidRPr="008A572D" w:rsidRDefault="00FF1D0E" w:rsidP="00D43CA6">
            <w:pPr>
              <w:pStyle w:val="Normal-pool-Table"/>
              <w:jc w:val="right"/>
              <w:rPr>
                <w:sz w:val="24"/>
                <w:szCs w:val="24"/>
              </w:rPr>
            </w:pPr>
            <w:r w:rsidRPr="008A572D">
              <w:t>305 235 </w:t>
            </w:r>
          </w:p>
        </w:tc>
      </w:tr>
      <w:tr w:rsidR="00FF1D0E" w:rsidRPr="00912EDF" w14:paraId="207CFD9D" w14:textId="77777777" w:rsidTr="00D43CA6">
        <w:trPr>
          <w:trHeight w:val="50"/>
        </w:trPr>
        <w:tc>
          <w:tcPr>
            <w:tcW w:w="4253" w:type="dxa"/>
            <w:tcBorders>
              <w:top w:val="nil"/>
              <w:left w:val="nil"/>
              <w:bottom w:val="single" w:sz="6" w:space="0" w:color="auto"/>
              <w:right w:val="nil"/>
            </w:tcBorders>
            <w:vAlign w:val="bottom"/>
            <w:hideMark/>
          </w:tcPr>
          <w:p w14:paraId="1D85BFAD" w14:textId="77777777" w:rsidR="00FF1D0E" w:rsidRPr="000C7827" w:rsidRDefault="00FF1D0E" w:rsidP="00D43CA6">
            <w:pPr>
              <w:pStyle w:val="Normal-pool-Table"/>
              <w:ind w:left="57"/>
            </w:pPr>
            <w:r w:rsidRPr="000C7827">
              <w:t>United States </w:t>
            </w:r>
          </w:p>
        </w:tc>
        <w:tc>
          <w:tcPr>
            <w:tcW w:w="3827" w:type="dxa"/>
            <w:tcBorders>
              <w:top w:val="nil"/>
              <w:left w:val="nil"/>
              <w:bottom w:val="single" w:sz="6" w:space="0" w:color="auto"/>
              <w:right w:val="nil"/>
            </w:tcBorders>
            <w:vAlign w:val="bottom"/>
            <w:hideMark/>
          </w:tcPr>
          <w:p w14:paraId="2F17008D" w14:textId="77777777" w:rsidR="00FF1D0E" w:rsidRPr="008A572D" w:rsidRDefault="00FF1D0E" w:rsidP="00D43CA6">
            <w:pPr>
              <w:pStyle w:val="Normal-pool-Table"/>
              <w:jc w:val="right"/>
              <w:rPr>
                <w:sz w:val="24"/>
                <w:szCs w:val="24"/>
              </w:rPr>
            </w:pPr>
            <w:r w:rsidRPr="008A572D">
              <w:t>853 083 </w:t>
            </w:r>
          </w:p>
        </w:tc>
      </w:tr>
      <w:tr w:rsidR="00FF1D0E" w:rsidRPr="00912EDF" w14:paraId="3B1549E2" w14:textId="77777777" w:rsidTr="00D43CA6">
        <w:trPr>
          <w:trHeight w:val="35"/>
        </w:trPr>
        <w:tc>
          <w:tcPr>
            <w:tcW w:w="4253" w:type="dxa"/>
            <w:tcBorders>
              <w:top w:val="single" w:sz="6" w:space="0" w:color="auto"/>
              <w:left w:val="nil"/>
              <w:bottom w:val="single" w:sz="12" w:space="0" w:color="auto"/>
              <w:right w:val="nil"/>
            </w:tcBorders>
            <w:vAlign w:val="bottom"/>
            <w:hideMark/>
          </w:tcPr>
          <w:p w14:paraId="761A2216" w14:textId="19B4A0D9" w:rsidR="00FF1D0E" w:rsidRPr="008A572D" w:rsidRDefault="00FF1D0E" w:rsidP="00D43CA6">
            <w:pPr>
              <w:pStyle w:val="Normal-pool-Table"/>
              <w:ind w:left="57"/>
              <w:rPr>
                <w:sz w:val="24"/>
                <w:szCs w:val="24"/>
              </w:rPr>
            </w:pPr>
            <w:r w:rsidRPr="008A572D">
              <w:rPr>
                <w:b/>
                <w:bCs/>
              </w:rPr>
              <w:t>Total</w:t>
            </w:r>
          </w:p>
        </w:tc>
        <w:tc>
          <w:tcPr>
            <w:tcW w:w="3827" w:type="dxa"/>
            <w:tcBorders>
              <w:top w:val="single" w:sz="6" w:space="0" w:color="auto"/>
              <w:left w:val="nil"/>
              <w:bottom w:val="single" w:sz="12" w:space="0" w:color="auto"/>
              <w:right w:val="nil"/>
            </w:tcBorders>
            <w:vAlign w:val="bottom"/>
            <w:hideMark/>
          </w:tcPr>
          <w:p w14:paraId="639A8CB8" w14:textId="77777777" w:rsidR="00FF1D0E" w:rsidRPr="008A572D" w:rsidRDefault="00FF1D0E" w:rsidP="00D43CA6">
            <w:pPr>
              <w:pStyle w:val="Normal-pool-Table"/>
              <w:jc w:val="right"/>
              <w:rPr>
                <w:sz w:val="24"/>
                <w:szCs w:val="24"/>
              </w:rPr>
            </w:pPr>
            <w:r w:rsidRPr="008A572D">
              <w:rPr>
                <w:b/>
                <w:bCs/>
              </w:rPr>
              <w:t>8 449 992</w:t>
            </w:r>
            <w:r w:rsidRPr="008A572D">
              <w:t> </w:t>
            </w:r>
          </w:p>
        </w:tc>
      </w:tr>
    </w:tbl>
    <w:p w14:paraId="7A2B6F86" w14:textId="77777777" w:rsidR="00FF1D0E" w:rsidRPr="00D43CA6" w:rsidRDefault="00FF1D0E" w:rsidP="00FF1D0E">
      <w:pPr>
        <w:rPr>
          <w:sz w:val="10"/>
          <w:szCs w:val="10"/>
          <w:lang w:val="en-US" w:eastAsia="en-US"/>
        </w:rPr>
      </w:pPr>
      <w:r w:rsidRPr="00D43CA6">
        <w:rPr>
          <w:sz w:val="10"/>
          <w:szCs w:val="10"/>
        </w:rPr>
        <w:br w:type="page"/>
      </w:r>
    </w:p>
    <w:p w14:paraId="6F626243" w14:textId="2EE5D9CA" w:rsidR="00FF1D0E" w:rsidRDefault="00FF1D0E" w:rsidP="00FF1D0E">
      <w:pPr>
        <w:pStyle w:val="Titlefigure"/>
      </w:pPr>
      <w:r w:rsidRPr="007921B0">
        <w:lastRenderedPageBreak/>
        <w:t xml:space="preserve">Contributions to the </w:t>
      </w:r>
      <w:r w:rsidR="00403B33">
        <w:t>f</w:t>
      </w:r>
      <w:r w:rsidRPr="007921B0">
        <w:t xml:space="preserve">ourth </w:t>
      </w:r>
      <w:r w:rsidR="00403B33">
        <w:t>r</w:t>
      </w:r>
      <w:r w:rsidRPr="007921B0">
        <w:t>ound</w:t>
      </w:r>
      <w:r w:rsidR="008B5E65">
        <w:t xml:space="preserve"> of applications</w:t>
      </w:r>
      <w:r w:rsidR="00E009D6">
        <w:t xml:space="preserve"> (in U</w:t>
      </w:r>
      <w:r w:rsidR="00584A2B">
        <w:t>nited States dollars</w:t>
      </w:r>
      <w:r w:rsidR="00E009D6">
        <w:t>)</w:t>
      </w:r>
    </w:p>
    <w:p w14:paraId="73AB05A5" w14:textId="33554957" w:rsidR="00EC2C26" w:rsidRDefault="00BC7825" w:rsidP="00292223">
      <w:pPr>
        <w:pStyle w:val="Normal-pool"/>
        <w:jc w:val="center"/>
      </w:pPr>
      <w:r>
        <w:rPr>
          <w:noProof/>
          <w14:ligatures w14:val="standardContextual"/>
        </w:rPr>
        <mc:AlternateContent>
          <mc:Choice Requires="cx1">
            <w:drawing>
              <wp:inline distT="0" distB="0" distL="0" distR="0" wp14:anchorId="69EB648C" wp14:editId="147907D9">
                <wp:extent cx="6030595" cy="3656965"/>
                <wp:effectExtent l="0" t="0" r="8255" b="635"/>
                <wp:docPr id="1418891924" name="Chart 1">
                  <a:extLst xmlns:a="http://schemas.openxmlformats.org/drawingml/2006/main">
                    <a:ext uri="{FF2B5EF4-FFF2-40B4-BE49-F238E27FC236}">
                      <a16:creationId xmlns:a16="http://schemas.microsoft.com/office/drawing/2014/main" id="{BD04D6E6-76F7-452A-8363-E025B7903261}"/>
                    </a:ext>
                  </a:extLst>
                </wp:docPr>
                <wp:cNvGraphicFramePr/>
                <a:graphic xmlns:a="http://schemas.openxmlformats.org/drawingml/2006/main">
                  <a:graphicData uri="http://schemas.microsoft.com/office/drawing/2014/chartex">
                    <cx:chart xmlns:cx="http://schemas.microsoft.com/office/drawing/2014/chartex" xmlns:r="http://schemas.openxmlformats.org/officeDocument/2006/relationships" r:id="rId12"/>
                  </a:graphicData>
                </a:graphic>
              </wp:inline>
            </w:drawing>
          </mc:Choice>
          <mc:Fallback xmlns:w16sdtfl="http://schemas.microsoft.com/office/word/2024/wordml/sdtformatlock" xmlns:w16du="http://schemas.microsoft.com/office/word/2023/wordml/word16du">
            <w:drawing>
              <wp:inline distT="0" distB="0" distL="0" distR="0" wp14:anchorId="69EB648C" wp14:editId="147907D9">
                <wp:extent cx="6030595" cy="3656965"/>
                <wp:effectExtent l="0" t="0" r="8255" b="635"/>
                <wp:docPr id="1418891924" name="Chart 1">
                  <a:extLst xmlns:a="http://schemas.openxmlformats.org/drawingml/2006/main">
                    <a:ext uri="{FF2B5EF4-FFF2-40B4-BE49-F238E27FC236}">
                      <a16:creationId xmlns:a16="http://schemas.microsoft.com/office/drawing/2014/main" id="{BD04D6E6-76F7-452A-8363-E025B7903261}"/>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1418891924" name="Chart 1">
                          <a:extLst>
                            <a:ext uri="{FF2B5EF4-FFF2-40B4-BE49-F238E27FC236}">
                              <a16:creationId xmlns:a16="http://schemas.microsoft.com/office/drawing/2014/main" id="{BD04D6E6-76F7-452A-8363-E025B7903261}"/>
                            </a:ext>
                          </a:extLst>
                        </pic:cNvPr>
                        <pic:cNvPicPr>
                          <a:picLocks noGrp="1" noRot="1" noChangeAspect="1" noMove="1" noResize="1" noEditPoints="1" noAdjustHandles="1" noChangeArrowheads="1" noChangeShapeType="1"/>
                        </pic:cNvPicPr>
                      </pic:nvPicPr>
                      <pic:blipFill>
                        <a:blip r:embed="rId13"/>
                        <a:stretch>
                          <a:fillRect/>
                        </a:stretch>
                      </pic:blipFill>
                      <pic:spPr>
                        <a:xfrm>
                          <a:off x="0" y="0"/>
                          <a:ext cx="6030595" cy="3656965"/>
                        </a:xfrm>
                        <a:prstGeom prst="rect">
                          <a:avLst/>
                        </a:prstGeom>
                      </pic:spPr>
                    </pic:pic>
                  </a:graphicData>
                </a:graphic>
              </wp:inline>
            </w:drawing>
          </mc:Fallback>
        </mc:AlternateContent>
      </w:r>
    </w:p>
    <w:p w14:paraId="7036A594" w14:textId="77777777" w:rsidR="00EC2C26" w:rsidRDefault="00EC2C26" w:rsidP="0032404B">
      <w:pPr>
        <w:pStyle w:val="Normal-pool"/>
      </w:pPr>
    </w:p>
    <w:p w14:paraId="242F33AE" w14:textId="050C94C8" w:rsidR="00FF1D0E" w:rsidRPr="006F01D9" w:rsidRDefault="00FF1D0E" w:rsidP="00FF1D0E">
      <w:pPr>
        <w:pStyle w:val="Normalnumber"/>
        <w:numPr>
          <w:ilvl w:val="0"/>
          <w:numId w:val="17"/>
        </w:numPr>
        <w:tabs>
          <w:tab w:val="left" w:pos="624"/>
        </w:tabs>
        <w:snapToGrid w:val="0"/>
        <w:ind w:left="1247" w:firstLine="0"/>
        <w:rPr>
          <w:lang w:val="en-US"/>
        </w:rPr>
      </w:pPr>
      <w:r w:rsidRPr="00C54583">
        <w:rPr>
          <w:lang w:val="en-US"/>
        </w:rPr>
        <w:t xml:space="preserve">Contributions to the Specific Trust Fund primarily fund grants for country-led projects selected and approved by the Governing </w:t>
      </w:r>
      <w:r w:rsidRPr="006F01D9">
        <w:rPr>
          <w:lang w:val="en-US"/>
        </w:rPr>
        <w:t xml:space="preserve">Board. They also cover costs associated with the meetings and work of the </w:t>
      </w:r>
      <w:r w:rsidRPr="007921B0">
        <w:rPr>
          <w:noProof/>
        </w:rPr>
        <w:t>Governing</w:t>
      </w:r>
      <w:r w:rsidRPr="006F01D9">
        <w:rPr>
          <w:lang w:val="en-US"/>
        </w:rPr>
        <w:t xml:space="preserve"> Board and the operation of the Specific International Programme, as </w:t>
      </w:r>
      <w:r w:rsidR="006E55F5">
        <w:rPr>
          <w:lang w:val="en-US"/>
        </w:rPr>
        <w:t>outlined</w:t>
      </w:r>
      <w:r w:rsidRPr="006F01D9">
        <w:rPr>
          <w:lang w:val="en-US"/>
        </w:rPr>
        <w:t xml:space="preserve"> in decision MC-1/6. </w:t>
      </w:r>
    </w:p>
    <w:p w14:paraId="41DE5D6C" w14:textId="09126FA7" w:rsidR="00FF1D0E" w:rsidRPr="003B1056" w:rsidRDefault="006E55F5" w:rsidP="00FF1D0E">
      <w:pPr>
        <w:pStyle w:val="Normalnumber"/>
        <w:numPr>
          <w:ilvl w:val="0"/>
          <w:numId w:val="17"/>
        </w:numPr>
        <w:tabs>
          <w:tab w:val="left" w:pos="624"/>
        </w:tabs>
        <w:snapToGrid w:val="0"/>
        <w:ind w:left="1247" w:firstLine="0"/>
        <w:rPr>
          <w:noProof/>
        </w:rPr>
      </w:pPr>
      <w:r>
        <w:rPr>
          <w:noProof/>
        </w:rPr>
        <w:t>The above fi</w:t>
      </w:r>
      <w:r w:rsidR="00F73F11" w:rsidRPr="00BD14E5">
        <w:rPr>
          <w:noProof/>
        </w:rPr>
        <w:t>gure shows contributions toward</w:t>
      </w:r>
      <w:r w:rsidR="004C3015">
        <w:rPr>
          <w:noProof/>
        </w:rPr>
        <w:t>s</w:t>
      </w:r>
      <w:r w:rsidR="00F73F11" w:rsidRPr="00BD14E5">
        <w:rPr>
          <w:noProof/>
        </w:rPr>
        <w:t xml:space="preserve"> the fourth round of </w:t>
      </w:r>
      <w:r w:rsidR="00C76E10">
        <w:rPr>
          <w:noProof/>
        </w:rPr>
        <w:t>applic</w:t>
      </w:r>
      <w:r w:rsidR="00F73F11" w:rsidRPr="00BD14E5">
        <w:rPr>
          <w:noProof/>
        </w:rPr>
        <w:t>atio</w:t>
      </w:r>
      <w:r w:rsidR="00BD14E5" w:rsidRPr="00BD14E5">
        <w:rPr>
          <w:noProof/>
        </w:rPr>
        <w:t>ns</w:t>
      </w:r>
      <w:r w:rsidR="004C3015">
        <w:rPr>
          <w:noProof/>
        </w:rPr>
        <w:t xml:space="preserve">, </w:t>
      </w:r>
      <w:r w:rsidR="004C3015" w:rsidRPr="00BD14E5">
        <w:rPr>
          <w:noProof/>
        </w:rPr>
        <w:t>by country</w:t>
      </w:r>
      <w:r w:rsidR="00BD14E5" w:rsidRPr="00BD14E5">
        <w:rPr>
          <w:noProof/>
        </w:rPr>
        <w:t xml:space="preserve">. </w:t>
      </w:r>
      <w:r w:rsidR="00FF1D0E" w:rsidRPr="00BD14E5">
        <w:rPr>
          <w:noProof/>
        </w:rPr>
        <w:t xml:space="preserve">As </w:t>
      </w:r>
      <w:r w:rsidR="00BF7EEF" w:rsidRPr="00BD14E5">
        <w:rPr>
          <w:noProof/>
        </w:rPr>
        <w:t xml:space="preserve">at </w:t>
      </w:r>
      <w:r w:rsidR="00FF1D0E" w:rsidRPr="00436FCD">
        <w:rPr>
          <w:noProof/>
        </w:rPr>
        <w:t xml:space="preserve">24 </w:t>
      </w:r>
      <w:r w:rsidR="00FF1D0E" w:rsidRPr="00436FCD">
        <w:rPr>
          <w:lang w:val="en-US"/>
        </w:rPr>
        <w:t>June</w:t>
      </w:r>
      <w:r w:rsidR="00FF1D0E" w:rsidRPr="00436FCD">
        <w:rPr>
          <w:noProof/>
        </w:rPr>
        <w:t xml:space="preserve"> 2025</w:t>
      </w:r>
      <w:r w:rsidR="00FF1D0E" w:rsidRPr="00BD14E5">
        <w:rPr>
          <w:noProof/>
        </w:rPr>
        <w:t xml:space="preserve">, </w:t>
      </w:r>
      <w:r w:rsidR="00BB08AF" w:rsidRPr="00BD14E5">
        <w:t>€100</w:t>
      </w:r>
      <w:r w:rsidR="00FF1D0E" w:rsidRPr="00BD14E5">
        <w:t xml:space="preserve">,000 </w:t>
      </w:r>
      <w:r w:rsidR="00BB08AF" w:rsidRPr="00BD14E5">
        <w:t xml:space="preserve">had </w:t>
      </w:r>
      <w:r w:rsidR="00FF1D0E" w:rsidRPr="00BD14E5">
        <w:t xml:space="preserve">been pledged by France </w:t>
      </w:r>
      <w:r w:rsidR="00FF1D0E" w:rsidRPr="00BD14E5">
        <w:rPr>
          <w:noProof/>
        </w:rPr>
        <w:t>towards the fifth round of applications. The receipt of consistent contributions</w:t>
      </w:r>
      <w:r w:rsidR="00FF1D0E" w:rsidRPr="003B1056">
        <w:rPr>
          <w:noProof/>
        </w:rPr>
        <w:t xml:space="preserve"> </w:t>
      </w:r>
      <w:r w:rsidR="00FF1D0E">
        <w:rPr>
          <w:noProof/>
        </w:rPr>
        <w:t xml:space="preserve">to the Specific Trust Fund </w:t>
      </w:r>
      <w:r w:rsidR="00FF1D0E" w:rsidRPr="003B1056">
        <w:rPr>
          <w:noProof/>
        </w:rPr>
        <w:t xml:space="preserve">is essential </w:t>
      </w:r>
      <w:r w:rsidR="00FF1D0E">
        <w:rPr>
          <w:noProof/>
        </w:rPr>
        <w:t xml:space="preserve">for the secretariat to </w:t>
      </w:r>
      <w:r>
        <w:rPr>
          <w:noProof/>
        </w:rPr>
        <w:t xml:space="preserve">be able to </w:t>
      </w:r>
      <w:r w:rsidR="00FF1D0E">
        <w:rPr>
          <w:noProof/>
        </w:rPr>
        <w:t xml:space="preserve">launch a fifth round of applications to </w:t>
      </w:r>
      <w:r w:rsidR="00FF1D0E" w:rsidRPr="003B1056">
        <w:rPr>
          <w:noProof/>
        </w:rPr>
        <w:t xml:space="preserve">support parties </w:t>
      </w:r>
      <w:r>
        <w:rPr>
          <w:noProof/>
        </w:rPr>
        <w:t>in their</w:t>
      </w:r>
      <w:r w:rsidR="00FF1D0E" w:rsidRPr="003B1056">
        <w:rPr>
          <w:noProof/>
        </w:rPr>
        <w:t xml:space="preserve"> implemen</w:t>
      </w:r>
      <w:r>
        <w:rPr>
          <w:noProof/>
        </w:rPr>
        <w:t>t</w:t>
      </w:r>
      <w:r w:rsidR="0015008E">
        <w:rPr>
          <w:noProof/>
        </w:rPr>
        <w:t>a</w:t>
      </w:r>
      <w:r w:rsidR="00FF1D0E" w:rsidRPr="003B1056">
        <w:rPr>
          <w:noProof/>
        </w:rPr>
        <w:t>t</w:t>
      </w:r>
      <w:r>
        <w:rPr>
          <w:noProof/>
        </w:rPr>
        <w:t>ion of</w:t>
      </w:r>
      <w:r w:rsidR="00FF1D0E" w:rsidRPr="003B1056">
        <w:rPr>
          <w:noProof/>
        </w:rPr>
        <w:t xml:space="preserve"> the Convention.</w:t>
      </w:r>
    </w:p>
    <w:p w14:paraId="0AB2CF74" w14:textId="77777777" w:rsidR="00FF1D0E" w:rsidRDefault="00FF1D0E" w:rsidP="00FF1D0E">
      <w:pPr>
        <w:pStyle w:val="Normal-pool"/>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FF1D0E" w14:paraId="7601B6C4" w14:textId="77777777" w:rsidTr="004251E9">
        <w:tc>
          <w:tcPr>
            <w:tcW w:w="1897" w:type="dxa"/>
          </w:tcPr>
          <w:p w14:paraId="08CD591B" w14:textId="77777777" w:rsidR="00FF1D0E" w:rsidRDefault="00FF1D0E">
            <w:pPr>
              <w:pStyle w:val="Normal-pool"/>
              <w:spacing w:before="520"/>
            </w:pPr>
          </w:p>
        </w:tc>
        <w:tc>
          <w:tcPr>
            <w:tcW w:w="1897" w:type="dxa"/>
          </w:tcPr>
          <w:p w14:paraId="48E00A9E" w14:textId="77777777" w:rsidR="00FF1D0E" w:rsidRDefault="00FF1D0E">
            <w:pPr>
              <w:pStyle w:val="Normal-pool"/>
              <w:spacing w:before="520"/>
            </w:pPr>
          </w:p>
        </w:tc>
        <w:tc>
          <w:tcPr>
            <w:tcW w:w="1897" w:type="dxa"/>
            <w:tcBorders>
              <w:bottom w:val="single" w:sz="4" w:space="0" w:color="auto"/>
            </w:tcBorders>
          </w:tcPr>
          <w:p w14:paraId="560436E0" w14:textId="77777777" w:rsidR="00FF1D0E" w:rsidRDefault="00FF1D0E">
            <w:pPr>
              <w:pStyle w:val="Normal-pool"/>
              <w:spacing w:before="520"/>
            </w:pPr>
          </w:p>
        </w:tc>
        <w:tc>
          <w:tcPr>
            <w:tcW w:w="1897" w:type="dxa"/>
          </w:tcPr>
          <w:p w14:paraId="7ABA034B" w14:textId="77777777" w:rsidR="00FF1D0E" w:rsidRDefault="00FF1D0E">
            <w:pPr>
              <w:pStyle w:val="Normal-pool"/>
              <w:spacing w:before="520"/>
            </w:pPr>
          </w:p>
        </w:tc>
        <w:tc>
          <w:tcPr>
            <w:tcW w:w="1898" w:type="dxa"/>
          </w:tcPr>
          <w:p w14:paraId="4D1D3EDE" w14:textId="77777777" w:rsidR="00FF1D0E" w:rsidRDefault="00FF1D0E">
            <w:pPr>
              <w:pStyle w:val="Normal-pool"/>
              <w:spacing w:before="520"/>
            </w:pPr>
          </w:p>
        </w:tc>
      </w:tr>
    </w:tbl>
    <w:p w14:paraId="3ACD8187" w14:textId="77777777" w:rsidR="00FF1D0E" w:rsidRPr="006A5E4C" w:rsidRDefault="00FF1D0E" w:rsidP="00FF1D0E">
      <w:pPr>
        <w:pStyle w:val="Normal-pool"/>
      </w:pPr>
    </w:p>
    <w:sectPr w:rsidR="00FF1D0E" w:rsidRPr="006A5E4C" w:rsidSect="00035D73">
      <w:headerReference w:type="even" r:id="rId14"/>
      <w:headerReference w:type="default" r:id="rId15"/>
      <w:footerReference w:type="even" r:id="rId16"/>
      <w:footerReference w:type="default" r:id="rId17"/>
      <w:footerReference w:type="first" r:id="rId18"/>
      <w:pgSz w:w="11907" w:h="16839"/>
      <w:pgMar w:top="907" w:right="992" w:bottom="1418" w:left="1418" w:header="539"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704275" w14:textId="77777777" w:rsidR="00BF6767" w:rsidRPr="00035D73" w:rsidRDefault="00BF6767" w:rsidP="00035D73">
      <w:r w:rsidRPr="00035D73">
        <w:separator/>
      </w:r>
    </w:p>
  </w:endnote>
  <w:endnote w:type="continuationSeparator" w:id="0">
    <w:p w14:paraId="3E53F03A" w14:textId="77777777" w:rsidR="00BF6767" w:rsidRPr="00035D73" w:rsidRDefault="00BF6767" w:rsidP="00035D73">
      <w:r w:rsidRPr="00035D73">
        <w:continuationSeparator/>
      </w:r>
    </w:p>
  </w:endnote>
  <w:endnote w:type="continuationNotice" w:id="1">
    <w:p w14:paraId="1D654502" w14:textId="77777777" w:rsidR="00BF6767" w:rsidRDefault="00BF67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67EB8" w14:textId="0CFAD0C8" w:rsidR="00035D73" w:rsidRPr="00035D73" w:rsidRDefault="00035D73" w:rsidP="00035D73">
    <w:pPr>
      <w:pStyle w:val="Footer-pool"/>
    </w:pPr>
    <w:r w:rsidRPr="00035D73">
      <w:fldChar w:fldCharType="begin"/>
    </w:r>
    <w:r w:rsidRPr="00035D73">
      <w:instrText xml:space="preserve"> PAGE </w:instrText>
    </w:r>
    <w:r w:rsidRPr="00035D73">
      <w:fldChar w:fldCharType="separate"/>
    </w:r>
    <w:r w:rsidRPr="00035D73">
      <w:rPr>
        <w:noProof/>
      </w:rPr>
      <w:t>1</w:t>
    </w:r>
    <w:r w:rsidRPr="00035D73">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B29B" w14:textId="0C5F2943" w:rsidR="00035D73" w:rsidRPr="00035D73" w:rsidRDefault="00035D73" w:rsidP="00035D73">
    <w:pPr>
      <w:pStyle w:val="Footer-pool"/>
      <w:jc w:val="right"/>
    </w:pPr>
    <w:r w:rsidRPr="00035D73">
      <w:fldChar w:fldCharType="begin"/>
    </w:r>
    <w:r w:rsidRPr="00035D73">
      <w:instrText xml:space="preserve"> PAGE \* MERGEFORMAT </w:instrText>
    </w:r>
    <w:r w:rsidRPr="00035D73">
      <w:fldChar w:fldCharType="separate"/>
    </w:r>
    <w:r w:rsidRPr="00035D73">
      <w:rPr>
        <w:noProof/>
      </w:rPr>
      <w:t>1</w:t>
    </w:r>
    <w:r w:rsidRPr="00035D7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01142" w14:textId="4DBFC075" w:rsidR="00035D73" w:rsidRPr="00035D73" w:rsidRDefault="003F0E5B" w:rsidP="00035D73">
    <w:pPr>
      <w:pStyle w:val="Footer-jobnumber"/>
    </w:pPr>
    <w:bookmarkStart w:id="10" w:name="FooterJobDate"/>
    <w:r>
      <w:t>K2510939[E]</w:t>
    </w:r>
    <w:r>
      <w:tab/>
    </w:r>
    <w:r w:rsidR="00B363C0">
      <w:t>0109</w:t>
    </w:r>
    <w:r>
      <w:t>25</w:t>
    </w:r>
    <w:bookmarkEnd w:id="1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C5E9C" w14:textId="77777777" w:rsidR="00BF6767" w:rsidRPr="00035D73" w:rsidRDefault="00BF6767" w:rsidP="00035D73">
      <w:r w:rsidRPr="00035D73">
        <w:separator/>
      </w:r>
    </w:p>
  </w:footnote>
  <w:footnote w:type="continuationSeparator" w:id="0">
    <w:p w14:paraId="19939BCD" w14:textId="77777777" w:rsidR="00BF6767" w:rsidRPr="00035D73" w:rsidRDefault="00BF6767" w:rsidP="00035D73">
      <w:r w:rsidRPr="00035D73">
        <w:continuationSeparator/>
      </w:r>
    </w:p>
  </w:footnote>
  <w:footnote w:type="continuationNotice" w:id="1">
    <w:p w14:paraId="1F9FC8C7" w14:textId="77777777" w:rsidR="00BF6767" w:rsidRDefault="00BF6767"/>
  </w:footnote>
  <w:footnote w:id="2">
    <w:p w14:paraId="2D892BB0" w14:textId="715137DA" w:rsidR="00562DBA" w:rsidRPr="00FF1D0E" w:rsidRDefault="00562DBA" w:rsidP="00562DBA">
      <w:pPr>
        <w:pStyle w:val="Footnote-Text"/>
        <w:rPr>
          <w:szCs w:val="18"/>
        </w:rPr>
      </w:pPr>
      <w:r w:rsidRPr="00FF1D0E">
        <w:rPr>
          <w:rStyle w:val="FootnoteReference"/>
          <w:sz w:val="18"/>
          <w:vertAlign w:val="baseline"/>
        </w:rPr>
        <w:t>*</w:t>
      </w:r>
      <w:r w:rsidRPr="00FF1D0E">
        <w:rPr>
          <w:szCs w:val="18"/>
        </w:rPr>
        <w:t xml:space="preserve"> UNEP/MC/COP.6/1</w:t>
      </w:r>
      <w:r w:rsidR="00B363C0">
        <w:rPr>
          <w:szCs w:val="18"/>
        </w:rPr>
        <w:t>/Rev.1</w:t>
      </w:r>
      <w:r w:rsidRPr="00FF1D0E">
        <w:rPr>
          <w:szCs w:val="18"/>
        </w:rPr>
        <w:t>.</w:t>
      </w:r>
    </w:p>
  </w:footnote>
  <w:footnote w:id="3">
    <w:p w14:paraId="54D3FDB7" w14:textId="77777777" w:rsidR="00FF1D0E" w:rsidRPr="003F67F8" w:rsidRDefault="00FF1D0E" w:rsidP="00FF1D0E">
      <w:pPr>
        <w:pStyle w:val="Footnote-Text"/>
      </w:pPr>
      <w:r w:rsidRPr="003F67F8">
        <w:rPr>
          <w:rStyle w:val="FootnoteReference"/>
        </w:rPr>
        <w:footnoteRef/>
      </w:r>
      <w:r w:rsidRPr="003F67F8">
        <w:t xml:space="preserve"> Document UNEP/MC/COP.6/10 outlines matters relating to the first entity of the financial mechanism, namely the Global Environment Facility trust fund.</w:t>
      </w:r>
    </w:p>
  </w:footnote>
  <w:footnote w:id="4">
    <w:p w14:paraId="63B92E0C" w14:textId="77777777" w:rsidR="00FF1D0E" w:rsidRPr="003F67F8" w:rsidRDefault="00FF1D0E" w:rsidP="00FF1D0E">
      <w:pPr>
        <w:pStyle w:val="Footnote-Text"/>
      </w:pPr>
      <w:r w:rsidRPr="003F67F8">
        <w:rPr>
          <w:rStyle w:val="FootnoteReference"/>
        </w:rPr>
        <w:footnoteRef/>
      </w:r>
      <w:r w:rsidRPr="003F67F8">
        <w:t xml:space="preserve"> See </w:t>
      </w:r>
      <w:hyperlink r:id="rId1" w:history="1">
        <w:r w:rsidRPr="000B7D74">
          <w:rPr>
            <w:rStyle w:val="Hyperlink"/>
            <w:color w:val="0000FF"/>
          </w:rPr>
          <w:t>https://minamataconvention.org/en/implementation/specific-international-programme/donors</w:t>
        </w:r>
      </w:hyperlink>
      <w:r w:rsidRPr="003F67F8">
        <w:t>.</w:t>
      </w:r>
    </w:p>
  </w:footnote>
  <w:footnote w:id="5">
    <w:p w14:paraId="52285C1F" w14:textId="77777777" w:rsidR="00FF1D0E" w:rsidRPr="003F67F8" w:rsidRDefault="00FF1D0E" w:rsidP="00FF1D0E">
      <w:pPr>
        <w:pStyle w:val="Footnote-Text"/>
      </w:pPr>
      <w:r w:rsidRPr="003F67F8">
        <w:rPr>
          <w:rStyle w:val="FootnoteReference"/>
        </w:rPr>
        <w:footnoteRef/>
      </w:r>
      <w:r w:rsidRPr="003F67F8">
        <w:t xml:space="preserve"> </w:t>
      </w:r>
      <w:hyperlink r:id="rId2" w:history="1">
        <w:r w:rsidRPr="000B7D74">
          <w:rPr>
            <w:rStyle w:val="Hyperlink"/>
            <w:color w:val="0000FF"/>
          </w:rPr>
          <w:t>https://minamataconvention.org/en/implementation/specific-international-programme/fourth-round</w:t>
        </w:r>
      </w:hyperlink>
      <w:r w:rsidRPr="003F67F8">
        <w:t>.</w:t>
      </w:r>
    </w:p>
  </w:footnote>
  <w:footnote w:id="6">
    <w:p w14:paraId="71630253" w14:textId="77777777" w:rsidR="00FF1D0E" w:rsidRPr="003F67F8" w:rsidRDefault="00FF1D0E" w:rsidP="00FF1D0E">
      <w:pPr>
        <w:pStyle w:val="Footnote-Text"/>
      </w:pPr>
      <w:r w:rsidRPr="003F67F8">
        <w:rPr>
          <w:rStyle w:val="FootnoteReference"/>
        </w:rPr>
        <w:footnoteRef/>
      </w:r>
      <w:r w:rsidRPr="003F67F8">
        <w:t xml:space="preserve"> See </w:t>
      </w:r>
      <w:hyperlink r:id="rId3" w:history="1">
        <w:r w:rsidRPr="000B7D74">
          <w:rPr>
            <w:rStyle w:val="Hyperlink"/>
            <w:color w:val="0000FF"/>
          </w:rPr>
          <w:t>https://minamataconvention.org/en/implementation/specific-international-programme/dashboard</w:t>
        </w:r>
      </w:hyperlink>
      <w:r w:rsidRPr="003F67F8">
        <w:t>.</w:t>
      </w:r>
    </w:p>
  </w:footnote>
  <w:footnote w:id="7">
    <w:p w14:paraId="7E5D2E06" w14:textId="77777777" w:rsidR="00FF1D0E" w:rsidRPr="003F67F8" w:rsidRDefault="00FF1D0E" w:rsidP="00FF1D0E">
      <w:pPr>
        <w:pStyle w:val="Footnote-Text"/>
      </w:pPr>
      <w:r w:rsidRPr="003F67F8">
        <w:rPr>
          <w:rStyle w:val="FootnoteReference"/>
        </w:rPr>
        <w:footnoteRef/>
      </w:r>
      <w:r w:rsidRPr="003F67F8">
        <w:rPr>
          <w:vertAlign w:val="superscript"/>
        </w:rPr>
        <w:t xml:space="preserve"> </w:t>
      </w:r>
      <w:r w:rsidRPr="003F67F8">
        <w:t xml:space="preserve">See </w:t>
      </w:r>
      <w:hyperlink r:id="rId4" w:history="1">
        <w:r w:rsidRPr="000B7D74">
          <w:rPr>
            <w:rStyle w:val="Hyperlink"/>
            <w:color w:val="0000FF"/>
          </w:rPr>
          <w:t>https://minamataconvention.org/en/projects/list</w:t>
        </w:r>
      </w:hyperlink>
      <w:r w:rsidRPr="003F67F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6804B" w14:textId="44AA5EB4" w:rsidR="00035D73" w:rsidRPr="00035D73" w:rsidRDefault="00236DC5" w:rsidP="00035D73">
    <w:pPr>
      <w:pStyle w:val="Header-pool"/>
    </w:pPr>
    <w:r>
      <w:fldChar w:fldCharType="begin"/>
    </w:r>
    <w:r>
      <w:instrText xml:space="preserve"> StyleRef A_Symbol </w:instrText>
    </w:r>
    <w:r>
      <w:fldChar w:fldCharType="separate"/>
    </w:r>
    <w:r w:rsidR="00920974">
      <w:rPr>
        <w:noProof/>
      </w:rPr>
      <w:t>UNEP/MC/COP.6/11</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5D7" w14:textId="4D02794C" w:rsidR="00035D73" w:rsidRPr="00035D73" w:rsidRDefault="00236DC5" w:rsidP="00035D73">
    <w:pPr>
      <w:pStyle w:val="Header-pool"/>
      <w:jc w:val="right"/>
    </w:pPr>
    <w:r>
      <w:fldChar w:fldCharType="begin"/>
    </w:r>
    <w:r>
      <w:instrText xml:space="preserve"> StyleRef A_Symbol </w:instrText>
    </w:r>
    <w:r>
      <w:fldChar w:fldCharType="separate"/>
    </w:r>
    <w:r w:rsidR="00920974">
      <w:rPr>
        <w:noProof/>
      </w:rPr>
      <w:t>UNEP/MC/COP.6/11</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3E2A4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A3E569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C16589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F4821E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7EE4E7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EC9ED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86831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43E7C10"/>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982E0D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0F442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485682"/>
    <w:multiLevelType w:val="hybridMultilevel"/>
    <w:tmpl w:val="7D3AB8B8"/>
    <w:lvl w:ilvl="0" w:tplc="37227E74">
      <w:start w:val="1"/>
      <w:numFmt w:val="decimal"/>
      <w:pStyle w:val="Heading3"/>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018B562E"/>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2" w15:restartNumberingAfterBreak="0">
    <w:nsid w:val="1B4F6127"/>
    <w:multiLevelType w:val="hybridMultilevel"/>
    <w:tmpl w:val="276EF206"/>
    <w:lvl w:ilvl="0" w:tplc="AAAAE4A4">
      <w:start w:val="1"/>
      <w:numFmt w:val="lowerRoman"/>
      <w:pStyle w:val="Heading5"/>
      <w:lvlText w:val="(%1)"/>
      <w:lvlJc w:val="right"/>
      <w:pPr>
        <w:ind w:left="1211" w:hanging="360"/>
      </w:pPr>
      <w:rPr>
        <w:rFonts w:hint="default"/>
      </w:rPr>
    </w:lvl>
    <w:lvl w:ilvl="1" w:tplc="040C0019" w:tentative="1">
      <w:start w:val="1"/>
      <w:numFmt w:val="lowerLetter"/>
      <w:lvlText w:val="%2."/>
      <w:lvlJc w:val="left"/>
      <w:pPr>
        <w:ind w:left="2016" w:hanging="360"/>
      </w:pPr>
    </w:lvl>
    <w:lvl w:ilvl="2" w:tplc="040C001B" w:tentative="1">
      <w:start w:val="1"/>
      <w:numFmt w:val="lowerRoman"/>
      <w:lvlText w:val="%3."/>
      <w:lvlJc w:val="right"/>
      <w:pPr>
        <w:ind w:left="2736" w:hanging="180"/>
      </w:pPr>
    </w:lvl>
    <w:lvl w:ilvl="3" w:tplc="040C000F" w:tentative="1">
      <w:start w:val="1"/>
      <w:numFmt w:val="decimal"/>
      <w:lvlText w:val="%4."/>
      <w:lvlJc w:val="left"/>
      <w:pPr>
        <w:ind w:left="3456" w:hanging="360"/>
      </w:pPr>
    </w:lvl>
    <w:lvl w:ilvl="4" w:tplc="040C0019" w:tentative="1">
      <w:start w:val="1"/>
      <w:numFmt w:val="lowerLetter"/>
      <w:lvlText w:val="%5."/>
      <w:lvlJc w:val="left"/>
      <w:pPr>
        <w:ind w:left="4176" w:hanging="360"/>
      </w:pPr>
    </w:lvl>
    <w:lvl w:ilvl="5" w:tplc="040C001B" w:tentative="1">
      <w:start w:val="1"/>
      <w:numFmt w:val="lowerRoman"/>
      <w:lvlText w:val="%6."/>
      <w:lvlJc w:val="right"/>
      <w:pPr>
        <w:ind w:left="4896" w:hanging="180"/>
      </w:pPr>
    </w:lvl>
    <w:lvl w:ilvl="6" w:tplc="040C000F" w:tentative="1">
      <w:start w:val="1"/>
      <w:numFmt w:val="decimal"/>
      <w:lvlText w:val="%7."/>
      <w:lvlJc w:val="left"/>
      <w:pPr>
        <w:ind w:left="5616" w:hanging="360"/>
      </w:pPr>
    </w:lvl>
    <w:lvl w:ilvl="7" w:tplc="040C0019" w:tentative="1">
      <w:start w:val="1"/>
      <w:numFmt w:val="lowerLetter"/>
      <w:lvlText w:val="%8."/>
      <w:lvlJc w:val="left"/>
      <w:pPr>
        <w:ind w:left="6336" w:hanging="360"/>
      </w:pPr>
    </w:lvl>
    <w:lvl w:ilvl="8" w:tplc="040C001B" w:tentative="1">
      <w:start w:val="1"/>
      <w:numFmt w:val="lowerRoman"/>
      <w:lvlText w:val="%9."/>
      <w:lvlJc w:val="right"/>
      <w:pPr>
        <w:ind w:left="7056" w:hanging="180"/>
      </w:pPr>
    </w:lvl>
  </w:abstractNum>
  <w:abstractNum w:abstractNumId="13" w15:restartNumberingAfterBreak="0">
    <w:nsid w:val="2F8D7FF6"/>
    <w:multiLevelType w:val="hybridMultilevel"/>
    <w:tmpl w:val="848C92F8"/>
    <w:lvl w:ilvl="0" w:tplc="0409000F">
      <w:start w:val="1"/>
      <w:numFmt w:val="decimal"/>
      <w:lvlText w:val="%1."/>
      <w:lvlJc w:val="left"/>
      <w:pPr>
        <w:ind w:left="1598" w:hanging="360"/>
      </w:pPr>
    </w:lvl>
    <w:lvl w:ilvl="1" w:tplc="04090019" w:tentative="1">
      <w:start w:val="1"/>
      <w:numFmt w:val="lowerLetter"/>
      <w:lvlText w:val="%2."/>
      <w:lvlJc w:val="left"/>
      <w:pPr>
        <w:ind w:left="2318" w:hanging="360"/>
      </w:pPr>
    </w:lvl>
    <w:lvl w:ilvl="2" w:tplc="0409001B" w:tentative="1">
      <w:start w:val="1"/>
      <w:numFmt w:val="lowerRoman"/>
      <w:lvlText w:val="%3."/>
      <w:lvlJc w:val="right"/>
      <w:pPr>
        <w:ind w:left="3038" w:hanging="180"/>
      </w:pPr>
    </w:lvl>
    <w:lvl w:ilvl="3" w:tplc="0409000F" w:tentative="1">
      <w:start w:val="1"/>
      <w:numFmt w:val="decimal"/>
      <w:lvlText w:val="%4."/>
      <w:lvlJc w:val="left"/>
      <w:pPr>
        <w:ind w:left="3758" w:hanging="360"/>
      </w:pPr>
    </w:lvl>
    <w:lvl w:ilvl="4" w:tplc="04090019" w:tentative="1">
      <w:start w:val="1"/>
      <w:numFmt w:val="lowerLetter"/>
      <w:lvlText w:val="%5."/>
      <w:lvlJc w:val="left"/>
      <w:pPr>
        <w:ind w:left="4478" w:hanging="360"/>
      </w:pPr>
    </w:lvl>
    <w:lvl w:ilvl="5" w:tplc="0409001B" w:tentative="1">
      <w:start w:val="1"/>
      <w:numFmt w:val="lowerRoman"/>
      <w:lvlText w:val="%6."/>
      <w:lvlJc w:val="right"/>
      <w:pPr>
        <w:ind w:left="5198" w:hanging="180"/>
      </w:pPr>
    </w:lvl>
    <w:lvl w:ilvl="6" w:tplc="0409000F" w:tentative="1">
      <w:start w:val="1"/>
      <w:numFmt w:val="decimal"/>
      <w:lvlText w:val="%7."/>
      <w:lvlJc w:val="left"/>
      <w:pPr>
        <w:ind w:left="5918" w:hanging="360"/>
      </w:pPr>
    </w:lvl>
    <w:lvl w:ilvl="7" w:tplc="04090019" w:tentative="1">
      <w:start w:val="1"/>
      <w:numFmt w:val="lowerLetter"/>
      <w:lvlText w:val="%8."/>
      <w:lvlJc w:val="left"/>
      <w:pPr>
        <w:ind w:left="6638" w:hanging="360"/>
      </w:pPr>
    </w:lvl>
    <w:lvl w:ilvl="8" w:tplc="0409001B" w:tentative="1">
      <w:start w:val="1"/>
      <w:numFmt w:val="lowerRoman"/>
      <w:lvlText w:val="%9."/>
      <w:lvlJc w:val="right"/>
      <w:pPr>
        <w:ind w:left="7358" w:hanging="180"/>
      </w:pPr>
    </w:lvl>
  </w:abstractNum>
  <w:abstractNum w:abstractNumId="14" w15:restartNumberingAfterBreak="0">
    <w:nsid w:val="32CD2BA0"/>
    <w:multiLevelType w:val="hybridMultilevel"/>
    <w:tmpl w:val="574EB05E"/>
    <w:lvl w:ilvl="0" w:tplc="A6C2D786">
      <w:start w:val="1"/>
      <w:numFmt w:val="upperLetter"/>
      <w:pStyle w:val="Heading2"/>
      <w:lvlText w:val="%1."/>
      <w:lvlJc w:val="right"/>
      <w:pPr>
        <w:tabs>
          <w:tab w:val="num" w:pos="1247"/>
        </w:tabs>
        <w:ind w:left="1247" w:hanging="396"/>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5CB78E7"/>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6" w15:restartNumberingAfterBreak="0">
    <w:nsid w:val="393A1E9B"/>
    <w:multiLevelType w:val="hybridMultilevel"/>
    <w:tmpl w:val="CC4642A6"/>
    <w:lvl w:ilvl="0" w:tplc="B776CA36">
      <w:start w:val="1"/>
      <w:numFmt w:val="lowerLetter"/>
      <w:lvlText w:val="(%1)"/>
      <w:lvlJc w:val="left"/>
      <w:pPr>
        <w:ind w:left="893" w:hanging="360"/>
      </w:pPr>
      <w:rPr>
        <w:rFonts w:hint="default"/>
      </w:rPr>
    </w:lvl>
    <w:lvl w:ilvl="1" w:tplc="100C0019">
      <w:start w:val="1"/>
      <w:numFmt w:val="lowerLetter"/>
      <w:lvlText w:val="%2."/>
      <w:lvlJc w:val="left"/>
      <w:pPr>
        <w:ind w:left="1613" w:hanging="360"/>
      </w:pPr>
    </w:lvl>
    <w:lvl w:ilvl="2" w:tplc="100C001B" w:tentative="1">
      <w:start w:val="1"/>
      <w:numFmt w:val="lowerRoman"/>
      <w:lvlText w:val="%3."/>
      <w:lvlJc w:val="right"/>
      <w:pPr>
        <w:ind w:left="2333" w:hanging="180"/>
      </w:pPr>
    </w:lvl>
    <w:lvl w:ilvl="3" w:tplc="100C000F" w:tentative="1">
      <w:start w:val="1"/>
      <w:numFmt w:val="decimal"/>
      <w:lvlText w:val="%4."/>
      <w:lvlJc w:val="left"/>
      <w:pPr>
        <w:ind w:left="3053" w:hanging="360"/>
      </w:pPr>
    </w:lvl>
    <w:lvl w:ilvl="4" w:tplc="100C0019" w:tentative="1">
      <w:start w:val="1"/>
      <w:numFmt w:val="lowerLetter"/>
      <w:lvlText w:val="%5."/>
      <w:lvlJc w:val="left"/>
      <w:pPr>
        <w:ind w:left="3773" w:hanging="360"/>
      </w:pPr>
    </w:lvl>
    <w:lvl w:ilvl="5" w:tplc="100C001B" w:tentative="1">
      <w:start w:val="1"/>
      <w:numFmt w:val="lowerRoman"/>
      <w:lvlText w:val="%6."/>
      <w:lvlJc w:val="right"/>
      <w:pPr>
        <w:ind w:left="4493" w:hanging="180"/>
      </w:pPr>
    </w:lvl>
    <w:lvl w:ilvl="6" w:tplc="100C000F" w:tentative="1">
      <w:start w:val="1"/>
      <w:numFmt w:val="decimal"/>
      <w:lvlText w:val="%7."/>
      <w:lvlJc w:val="left"/>
      <w:pPr>
        <w:ind w:left="5213" w:hanging="360"/>
      </w:pPr>
    </w:lvl>
    <w:lvl w:ilvl="7" w:tplc="100C0019" w:tentative="1">
      <w:start w:val="1"/>
      <w:numFmt w:val="lowerLetter"/>
      <w:lvlText w:val="%8."/>
      <w:lvlJc w:val="left"/>
      <w:pPr>
        <w:ind w:left="5933" w:hanging="360"/>
      </w:pPr>
    </w:lvl>
    <w:lvl w:ilvl="8" w:tplc="100C001B" w:tentative="1">
      <w:start w:val="1"/>
      <w:numFmt w:val="lowerRoman"/>
      <w:lvlText w:val="%9."/>
      <w:lvlJc w:val="right"/>
      <w:pPr>
        <w:ind w:left="6653" w:hanging="180"/>
      </w:pPr>
    </w:lvl>
  </w:abstractNum>
  <w:abstractNum w:abstractNumId="17" w15:restartNumberingAfterBreak="0">
    <w:nsid w:val="3A187CA9"/>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8" w15:restartNumberingAfterBreak="0">
    <w:nsid w:val="40900C77"/>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abstractNum w:abstractNumId="19" w15:restartNumberingAfterBreak="0">
    <w:nsid w:val="52A66A9D"/>
    <w:multiLevelType w:val="multilevel"/>
    <w:tmpl w:val="279252A2"/>
    <w:styleLink w:val="Normallist"/>
    <w:lvl w:ilvl="0">
      <w:start w:val="1"/>
      <w:numFmt w:val="decimal"/>
      <w:pStyle w:val="Normalnumber"/>
      <w:lvlText w:val="%1."/>
      <w:lvlJc w:val="left"/>
      <w:pPr>
        <w:tabs>
          <w:tab w:val="num" w:pos="624"/>
        </w:tabs>
        <w:ind w:left="1248" w:firstLine="0"/>
      </w:pPr>
      <w:rPr>
        <w:rFonts w:hint="default"/>
      </w:rPr>
    </w:lvl>
    <w:lvl w:ilvl="1">
      <w:start w:val="1"/>
      <w:numFmt w:val="lowerLetter"/>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20" w15:restartNumberingAfterBreak="0">
    <w:nsid w:val="6FF7321D"/>
    <w:multiLevelType w:val="multilevel"/>
    <w:tmpl w:val="455C47CC"/>
    <w:lvl w:ilvl="0">
      <w:start w:val="1"/>
      <w:numFmt w:val="upperRoman"/>
      <w:pStyle w:val="Heading1"/>
      <w:lvlText w:val="%1."/>
      <w:lvlJc w:val="right"/>
      <w:pPr>
        <w:tabs>
          <w:tab w:val="num" w:pos="1247"/>
        </w:tabs>
        <w:ind w:left="1247" w:hanging="396"/>
      </w:pPr>
      <w:rPr>
        <w:rFonts w:hint="default"/>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Letter"/>
      <w:pStyle w:val="Heading4"/>
      <w:lvlText w:val="(%4)"/>
      <w:lvlJc w:val="right"/>
      <w:pPr>
        <w:tabs>
          <w:tab w:val="num" w:pos="1247"/>
        </w:tabs>
        <w:ind w:left="1247" w:hanging="396"/>
      </w:pPr>
      <w:rPr>
        <w:rFonts w:hint="default"/>
      </w:rPr>
    </w:lvl>
    <w:lvl w:ilvl="4">
      <w:start w:val="1"/>
      <w:numFmt w:val="decimal"/>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21" w15:restartNumberingAfterBreak="0">
    <w:nsid w:val="764221F4"/>
    <w:multiLevelType w:val="hybridMultilevel"/>
    <w:tmpl w:val="CC4642A6"/>
    <w:lvl w:ilvl="0" w:tplc="FFFFFFFF">
      <w:start w:val="1"/>
      <w:numFmt w:val="lowerLetter"/>
      <w:lvlText w:val="(%1)"/>
      <w:lvlJc w:val="left"/>
      <w:pPr>
        <w:ind w:left="893" w:hanging="360"/>
      </w:pPr>
      <w:rPr>
        <w:rFonts w:hint="default"/>
      </w:rPr>
    </w:lvl>
    <w:lvl w:ilvl="1" w:tplc="FFFFFFFF">
      <w:start w:val="1"/>
      <w:numFmt w:val="lowerLetter"/>
      <w:lvlText w:val="%2."/>
      <w:lvlJc w:val="left"/>
      <w:pPr>
        <w:ind w:left="1613" w:hanging="360"/>
      </w:pPr>
    </w:lvl>
    <w:lvl w:ilvl="2" w:tplc="FFFFFFFF" w:tentative="1">
      <w:start w:val="1"/>
      <w:numFmt w:val="lowerRoman"/>
      <w:lvlText w:val="%3."/>
      <w:lvlJc w:val="right"/>
      <w:pPr>
        <w:ind w:left="2333" w:hanging="180"/>
      </w:pPr>
    </w:lvl>
    <w:lvl w:ilvl="3" w:tplc="FFFFFFFF" w:tentative="1">
      <w:start w:val="1"/>
      <w:numFmt w:val="decimal"/>
      <w:lvlText w:val="%4."/>
      <w:lvlJc w:val="left"/>
      <w:pPr>
        <w:ind w:left="3053" w:hanging="360"/>
      </w:pPr>
    </w:lvl>
    <w:lvl w:ilvl="4" w:tplc="FFFFFFFF" w:tentative="1">
      <w:start w:val="1"/>
      <w:numFmt w:val="lowerLetter"/>
      <w:lvlText w:val="%5."/>
      <w:lvlJc w:val="left"/>
      <w:pPr>
        <w:ind w:left="3773" w:hanging="360"/>
      </w:pPr>
    </w:lvl>
    <w:lvl w:ilvl="5" w:tplc="FFFFFFFF" w:tentative="1">
      <w:start w:val="1"/>
      <w:numFmt w:val="lowerRoman"/>
      <w:lvlText w:val="%6."/>
      <w:lvlJc w:val="right"/>
      <w:pPr>
        <w:ind w:left="4493" w:hanging="180"/>
      </w:pPr>
    </w:lvl>
    <w:lvl w:ilvl="6" w:tplc="FFFFFFFF" w:tentative="1">
      <w:start w:val="1"/>
      <w:numFmt w:val="decimal"/>
      <w:lvlText w:val="%7."/>
      <w:lvlJc w:val="left"/>
      <w:pPr>
        <w:ind w:left="5213" w:hanging="360"/>
      </w:pPr>
    </w:lvl>
    <w:lvl w:ilvl="7" w:tplc="FFFFFFFF" w:tentative="1">
      <w:start w:val="1"/>
      <w:numFmt w:val="lowerLetter"/>
      <w:lvlText w:val="%8."/>
      <w:lvlJc w:val="left"/>
      <w:pPr>
        <w:ind w:left="5933" w:hanging="360"/>
      </w:pPr>
    </w:lvl>
    <w:lvl w:ilvl="8" w:tplc="FFFFFFFF" w:tentative="1">
      <w:start w:val="1"/>
      <w:numFmt w:val="lowerRoman"/>
      <w:lvlText w:val="%9."/>
      <w:lvlJc w:val="right"/>
      <w:pPr>
        <w:ind w:left="6653" w:hanging="180"/>
      </w:pPr>
    </w:lvl>
  </w:abstractNum>
  <w:num w:numId="1" w16cid:durableId="560672902">
    <w:abstractNumId w:val="19"/>
  </w:num>
  <w:num w:numId="2" w16cid:durableId="1242644713">
    <w:abstractNumId w:val="20"/>
  </w:num>
  <w:num w:numId="3" w16cid:durableId="1933662228">
    <w:abstractNumId w:val="14"/>
  </w:num>
  <w:num w:numId="4" w16cid:durableId="1991909117">
    <w:abstractNumId w:val="10"/>
  </w:num>
  <w:num w:numId="5" w16cid:durableId="1138956019">
    <w:abstractNumId w:val="12"/>
  </w:num>
  <w:num w:numId="6" w16cid:durableId="1419058306">
    <w:abstractNumId w:val="9"/>
  </w:num>
  <w:num w:numId="7" w16cid:durableId="976489216">
    <w:abstractNumId w:val="7"/>
  </w:num>
  <w:num w:numId="8" w16cid:durableId="1637905475">
    <w:abstractNumId w:val="6"/>
  </w:num>
  <w:num w:numId="9" w16cid:durableId="879053836">
    <w:abstractNumId w:val="5"/>
  </w:num>
  <w:num w:numId="10" w16cid:durableId="751240735">
    <w:abstractNumId w:val="4"/>
  </w:num>
  <w:num w:numId="11" w16cid:durableId="658537198">
    <w:abstractNumId w:val="8"/>
  </w:num>
  <w:num w:numId="12" w16cid:durableId="770662472">
    <w:abstractNumId w:val="3"/>
  </w:num>
  <w:num w:numId="13" w16cid:durableId="2035571595">
    <w:abstractNumId w:val="2"/>
  </w:num>
  <w:num w:numId="14" w16cid:durableId="1203984623">
    <w:abstractNumId w:val="1"/>
  </w:num>
  <w:num w:numId="15" w16cid:durableId="109864059">
    <w:abstractNumId w:val="0"/>
  </w:num>
  <w:num w:numId="16" w16cid:durableId="1075006139">
    <w:abstractNumId w:val="16"/>
  </w:num>
  <w:num w:numId="17" w16cid:durableId="456608139">
    <w:abstractNumId w:val="13"/>
  </w:num>
  <w:num w:numId="18" w16cid:durableId="1267881763">
    <w:abstractNumId w:val="21"/>
  </w:num>
  <w:num w:numId="19" w16cid:durableId="413094655">
    <w:abstractNumId w:val="15"/>
  </w:num>
  <w:num w:numId="20" w16cid:durableId="1937907965">
    <w:abstractNumId w:val="11"/>
  </w:num>
  <w:num w:numId="21" w16cid:durableId="1019116208">
    <w:abstractNumId w:val="17"/>
  </w:num>
  <w:num w:numId="22" w16cid:durableId="15169200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624"/>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D73"/>
    <w:rsid w:val="000029C5"/>
    <w:rsid w:val="00025EE5"/>
    <w:rsid w:val="00035D73"/>
    <w:rsid w:val="000721B7"/>
    <w:rsid w:val="000834DC"/>
    <w:rsid w:val="00094AC8"/>
    <w:rsid w:val="000A6B20"/>
    <w:rsid w:val="000B7D74"/>
    <w:rsid w:val="000E7CF7"/>
    <w:rsid w:val="000F2CC2"/>
    <w:rsid w:val="001109B1"/>
    <w:rsid w:val="00115D7B"/>
    <w:rsid w:val="0015008E"/>
    <w:rsid w:val="00154296"/>
    <w:rsid w:val="00161E4F"/>
    <w:rsid w:val="001A7D77"/>
    <w:rsid w:val="001B2E9B"/>
    <w:rsid w:val="001B7488"/>
    <w:rsid w:val="001C1FEA"/>
    <w:rsid w:val="001E0E53"/>
    <w:rsid w:val="001E16AD"/>
    <w:rsid w:val="001E2AEA"/>
    <w:rsid w:val="001E63E1"/>
    <w:rsid w:val="001F0046"/>
    <w:rsid w:val="001F6DC4"/>
    <w:rsid w:val="00204069"/>
    <w:rsid w:val="00207266"/>
    <w:rsid w:val="002104D7"/>
    <w:rsid w:val="00236DC5"/>
    <w:rsid w:val="002423A3"/>
    <w:rsid w:val="0025040A"/>
    <w:rsid w:val="0026041D"/>
    <w:rsid w:val="0026465F"/>
    <w:rsid w:val="00292223"/>
    <w:rsid w:val="00293924"/>
    <w:rsid w:val="002A206E"/>
    <w:rsid w:val="002B385A"/>
    <w:rsid w:val="002D5051"/>
    <w:rsid w:val="002E3B3E"/>
    <w:rsid w:val="002E4A14"/>
    <w:rsid w:val="002E67C4"/>
    <w:rsid w:val="002E7F87"/>
    <w:rsid w:val="003071B0"/>
    <w:rsid w:val="00314596"/>
    <w:rsid w:val="00321731"/>
    <w:rsid w:val="00321BA4"/>
    <w:rsid w:val="00323D27"/>
    <w:rsid w:val="0032404B"/>
    <w:rsid w:val="00336A18"/>
    <w:rsid w:val="00344753"/>
    <w:rsid w:val="0037103B"/>
    <w:rsid w:val="00375A6A"/>
    <w:rsid w:val="00380897"/>
    <w:rsid w:val="003A532B"/>
    <w:rsid w:val="003A7517"/>
    <w:rsid w:val="003E12DC"/>
    <w:rsid w:val="003F0E5B"/>
    <w:rsid w:val="003F2759"/>
    <w:rsid w:val="003F7001"/>
    <w:rsid w:val="00403B33"/>
    <w:rsid w:val="0041279A"/>
    <w:rsid w:val="00413A40"/>
    <w:rsid w:val="0041461A"/>
    <w:rsid w:val="00417B4C"/>
    <w:rsid w:val="0042071B"/>
    <w:rsid w:val="004251E9"/>
    <w:rsid w:val="004355FD"/>
    <w:rsid w:val="00436FCD"/>
    <w:rsid w:val="00440685"/>
    <w:rsid w:val="004408EC"/>
    <w:rsid w:val="00452A41"/>
    <w:rsid w:val="00457FFD"/>
    <w:rsid w:val="00462419"/>
    <w:rsid w:val="00463A93"/>
    <w:rsid w:val="00464D18"/>
    <w:rsid w:val="00476FFD"/>
    <w:rsid w:val="004973C9"/>
    <w:rsid w:val="004A5D85"/>
    <w:rsid w:val="004B5E55"/>
    <w:rsid w:val="004C1349"/>
    <w:rsid w:val="004C3015"/>
    <w:rsid w:val="004C4DA0"/>
    <w:rsid w:val="004D0CF2"/>
    <w:rsid w:val="005031A4"/>
    <w:rsid w:val="005125F5"/>
    <w:rsid w:val="00536523"/>
    <w:rsid w:val="00545280"/>
    <w:rsid w:val="00562DBA"/>
    <w:rsid w:val="00584A2B"/>
    <w:rsid w:val="005A2770"/>
    <w:rsid w:val="005B3726"/>
    <w:rsid w:val="005D2B6F"/>
    <w:rsid w:val="005D3579"/>
    <w:rsid w:val="005D76F9"/>
    <w:rsid w:val="005E0A90"/>
    <w:rsid w:val="005E561A"/>
    <w:rsid w:val="005F1BA0"/>
    <w:rsid w:val="00601569"/>
    <w:rsid w:val="00625F32"/>
    <w:rsid w:val="00626349"/>
    <w:rsid w:val="00653DB5"/>
    <w:rsid w:val="00664C96"/>
    <w:rsid w:val="00674457"/>
    <w:rsid w:val="00675187"/>
    <w:rsid w:val="00680A10"/>
    <w:rsid w:val="00684C92"/>
    <w:rsid w:val="006944EE"/>
    <w:rsid w:val="006A0130"/>
    <w:rsid w:val="006A3087"/>
    <w:rsid w:val="006A65E6"/>
    <w:rsid w:val="006D1BC2"/>
    <w:rsid w:val="006D7F4A"/>
    <w:rsid w:val="006E55F5"/>
    <w:rsid w:val="006F06B2"/>
    <w:rsid w:val="007112C8"/>
    <w:rsid w:val="00715765"/>
    <w:rsid w:val="007463B9"/>
    <w:rsid w:val="00751F83"/>
    <w:rsid w:val="00760831"/>
    <w:rsid w:val="00781F8F"/>
    <w:rsid w:val="00784DF8"/>
    <w:rsid w:val="00791985"/>
    <w:rsid w:val="007B113D"/>
    <w:rsid w:val="007B7998"/>
    <w:rsid w:val="007C3D2A"/>
    <w:rsid w:val="007C5BDC"/>
    <w:rsid w:val="007E5108"/>
    <w:rsid w:val="00803F33"/>
    <w:rsid w:val="0080428F"/>
    <w:rsid w:val="00812E06"/>
    <w:rsid w:val="008227A1"/>
    <w:rsid w:val="0082515C"/>
    <w:rsid w:val="0084263F"/>
    <w:rsid w:val="00844318"/>
    <w:rsid w:val="008448AD"/>
    <w:rsid w:val="008549CC"/>
    <w:rsid w:val="00865683"/>
    <w:rsid w:val="00875069"/>
    <w:rsid w:val="00881F77"/>
    <w:rsid w:val="0089319D"/>
    <w:rsid w:val="0089511D"/>
    <w:rsid w:val="008B24A7"/>
    <w:rsid w:val="008B5E65"/>
    <w:rsid w:val="008B6DBD"/>
    <w:rsid w:val="008F254D"/>
    <w:rsid w:val="008F5031"/>
    <w:rsid w:val="008F7DA4"/>
    <w:rsid w:val="00907084"/>
    <w:rsid w:val="009143CB"/>
    <w:rsid w:val="009165C1"/>
    <w:rsid w:val="009208CF"/>
    <w:rsid w:val="00920974"/>
    <w:rsid w:val="009233BE"/>
    <w:rsid w:val="00926193"/>
    <w:rsid w:val="009336E9"/>
    <w:rsid w:val="009443D7"/>
    <w:rsid w:val="00957531"/>
    <w:rsid w:val="00960EF8"/>
    <w:rsid w:val="009632FB"/>
    <w:rsid w:val="00990D32"/>
    <w:rsid w:val="00991490"/>
    <w:rsid w:val="009D1BD4"/>
    <w:rsid w:val="009F1B88"/>
    <w:rsid w:val="00A024FB"/>
    <w:rsid w:val="00A31654"/>
    <w:rsid w:val="00A33322"/>
    <w:rsid w:val="00A35441"/>
    <w:rsid w:val="00A379D2"/>
    <w:rsid w:val="00A37ED7"/>
    <w:rsid w:val="00A446B6"/>
    <w:rsid w:val="00A56CCC"/>
    <w:rsid w:val="00A57494"/>
    <w:rsid w:val="00A60CEC"/>
    <w:rsid w:val="00A93903"/>
    <w:rsid w:val="00AA5C4F"/>
    <w:rsid w:val="00AB57CB"/>
    <w:rsid w:val="00AE3465"/>
    <w:rsid w:val="00B04634"/>
    <w:rsid w:val="00B363C0"/>
    <w:rsid w:val="00B404FF"/>
    <w:rsid w:val="00B41556"/>
    <w:rsid w:val="00B435F2"/>
    <w:rsid w:val="00B506E5"/>
    <w:rsid w:val="00B60795"/>
    <w:rsid w:val="00B8479D"/>
    <w:rsid w:val="00BA4CAB"/>
    <w:rsid w:val="00BA69C8"/>
    <w:rsid w:val="00BB0191"/>
    <w:rsid w:val="00BB08AF"/>
    <w:rsid w:val="00BC46E8"/>
    <w:rsid w:val="00BC7464"/>
    <w:rsid w:val="00BC7825"/>
    <w:rsid w:val="00BD14E5"/>
    <w:rsid w:val="00BF23DB"/>
    <w:rsid w:val="00BF3779"/>
    <w:rsid w:val="00BF6767"/>
    <w:rsid w:val="00BF7EEF"/>
    <w:rsid w:val="00C05759"/>
    <w:rsid w:val="00C064F4"/>
    <w:rsid w:val="00C16A4C"/>
    <w:rsid w:val="00C327F6"/>
    <w:rsid w:val="00C446AB"/>
    <w:rsid w:val="00C47294"/>
    <w:rsid w:val="00C507B2"/>
    <w:rsid w:val="00C567E7"/>
    <w:rsid w:val="00C6237A"/>
    <w:rsid w:val="00C769B1"/>
    <w:rsid w:val="00C76E10"/>
    <w:rsid w:val="00C833CD"/>
    <w:rsid w:val="00C84FD3"/>
    <w:rsid w:val="00C850DD"/>
    <w:rsid w:val="00C902CD"/>
    <w:rsid w:val="00C9242E"/>
    <w:rsid w:val="00C95979"/>
    <w:rsid w:val="00CB5337"/>
    <w:rsid w:val="00CB7EB2"/>
    <w:rsid w:val="00CD38C0"/>
    <w:rsid w:val="00CD6122"/>
    <w:rsid w:val="00CE1582"/>
    <w:rsid w:val="00CF08E3"/>
    <w:rsid w:val="00CF4286"/>
    <w:rsid w:val="00D11068"/>
    <w:rsid w:val="00D24161"/>
    <w:rsid w:val="00D2654D"/>
    <w:rsid w:val="00D30343"/>
    <w:rsid w:val="00D407CE"/>
    <w:rsid w:val="00D43AF7"/>
    <w:rsid w:val="00D43BD3"/>
    <w:rsid w:val="00D43CA6"/>
    <w:rsid w:val="00D43FE0"/>
    <w:rsid w:val="00D903EF"/>
    <w:rsid w:val="00D92449"/>
    <w:rsid w:val="00D948A8"/>
    <w:rsid w:val="00DA1394"/>
    <w:rsid w:val="00DB38E2"/>
    <w:rsid w:val="00DC0670"/>
    <w:rsid w:val="00DC56AD"/>
    <w:rsid w:val="00DC7034"/>
    <w:rsid w:val="00DE647A"/>
    <w:rsid w:val="00DF0003"/>
    <w:rsid w:val="00DF634C"/>
    <w:rsid w:val="00E009D6"/>
    <w:rsid w:val="00E07C17"/>
    <w:rsid w:val="00E14DBF"/>
    <w:rsid w:val="00E40CA5"/>
    <w:rsid w:val="00E60E59"/>
    <w:rsid w:val="00EA0D88"/>
    <w:rsid w:val="00EC2C26"/>
    <w:rsid w:val="00ED78D5"/>
    <w:rsid w:val="00F078B8"/>
    <w:rsid w:val="00F24445"/>
    <w:rsid w:val="00F31D27"/>
    <w:rsid w:val="00F33645"/>
    <w:rsid w:val="00F454C7"/>
    <w:rsid w:val="00F456FA"/>
    <w:rsid w:val="00F45FD8"/>
    <w:rsid w:val="00F56428"/>
    <w:rsid w:val="00F66B29"/>
    <w:rsid w:val="00F7048E"/>
    <w:rsid w:val="00F73F11"/>
    <w:rsid w:val="00F9293B"/>
    <w:rsid w:val="00F95A1C"/>
    <w:rsid w:val="00FA0841"/>
    <w:rsid w:val="00FE3096"/>
    <w:rsid w:val="00FF1D0E"/>
    <w:rsid w:val="00FF2E6B"/>
    <w:rsid w:val="650C59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EDDAE4"/>
  <w15:chartTrackingRefBased/>
  <w15:docId w15:val="{DF0902C4-75FD-48B8-99E9-9C791CE3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1D0E"/>
    <w:pPr>
      <w:spacing w:after="0" w:line="240" w:lineRule="auto"/>
    </w:pPr>
    <w:rPr>
      <w:rFonts w:ascii="Times New Roman" w:eastAsia="SimSun" w:hAnsi="Times New Roman" w:cs="Times New Roman"/>
      <w:kern w:val="0"/>
      <w:sz w:val="20"/>
      <w:szCs w:val="20"/>
      <w14:ligatures w14:val="none"/>
    </w:rPr>
  </w:style>
  <w:style w:type="paragraph" w:styleId="Heading1">
    <w:name w:val="heading 1"/>
    <w:basedOn w:val="CH1"/>
    <w:next w:val="Normalnumber"/>
    <w:link w:val="Heading1Char"/>
    <w:rsid w:val="00035D73"/>
    <w:pPr>
      <w:numPr>
        <w:numId w:val="2"/>
      </w:numPr>
      <w:tabs>
        <w:tab w:val="clear" w:pos="851"/>
        <w:tab w:val="clear" w:pos="1247"/>
        <w:tab w:val="clear" w:pos="4990"/>
      </w:tabs>
      <w:ind w:left="1248" w:right="624" w:hanging="397"/>
      <w:outlineLvl w:val="0"/>
    </w:pPr>
  </w:style>
  <w:style w:type="paragraph" w:styleId="Heading2">
    <w:name w:val="heading 2"/>
    <w:basedOn w:val="CH2"/>
    <w:next w:val="Normalnumber"/>
    <w:link w:val="Heading2Char"/>
    <w:rsid w:val="00035D73"/>
    <w:pPr>
      <w:numPr>
        <w:numId w:val="3"/>
      </w:numPr>
      <w:tabs>
        <w:tab w:val="clear" w:pos="851"/>
        <w:tab w:val="clear" w:pos="1247"/>
        <w:tab w:val="clear" w:pos="4990"/>
      </w:tabs>
      <w:outlineLvl w:val="1"/>
    </w:pPr>
  </w:style>
  <w:style w:type="paragraph" w:styleId="Heading3">
    <w:name w:val="heading 3"/>
    <w:basedOn w:val="CH3"/>
    <w:next w:val="Normalnumber"/>
    <w:link w:val="Heading3Char"/>
    <w:rsid w:val="00035D73"/>
    <w:pPr>
      <w:numPr>
        <w:numId w:val="4"/>
      </w:numPr>
      <w:tabs>
        <w:tab w:val="clear" w:pos="851"/>
        <w:tab w:val="clear" w:pos="1247"/>
        <w:tab w:val="clear" w:pos="4990"/>
      </w:tabs>
      <w:outlineLvl w:val="2"/>
    </w:pPr>
  </w:style>
  <w:style w:type="paragraph" w:styleId="Heading4">
    <w:name w:val="heading 4"/>
    <w:basedOn w:val="Normal"/>
    <w:next w:val="Normalnumber"/>
    <w:link w:val="Heading4Char"/>
    <w:rsid w:val="00035D73"/>
    <w:pPr>
      <w:keepNext/>
      <w:keepLines/>
      <w:numPr>
        <w:ilvl w:val="3"/>
        <w:numId w:val="2"/>
      </w:numPr>
      <w:tabs>
        <w:tab w:val="clear" w:pos="1247"/>
      </w:tabs>
      <w:suppressAutoHyphens/>
      <w:spacing w:before="120"/>
      <w:ind w:left="1248" w:right="624" w:hanging="397"/>
      <w:outlineLvl w:val="3"/>
    </w:pPr>
    <w:rPr>
      <w:b/>
    </w:rPr>
  </w:style>
  <w:style w:type="paragraph" w:styleId="Heading5">
    <w:name w:val="heading 5"/>
    <w:basedOn w:val="CH5"/>
    <w:next w:val="Normalnumber"/>
    <w:link w:val="Heading5Char"/>
    <w:rsid w:val="00035D73"/>
    <w:pPr>
      <w:numPr>
        <w:numId w:val="5"/>
      </w:numPr>
      <w:tabs>
        <w:tab w:val="clear" w:pos="851"/>
        <w:tab w:val="clear" w:pos="1247"/>
        <w:tab w:val="clear" w:pos="4990"/>
      </w:tabs>
      <w:ind w:left="1208" w:hanging="357"/>
      <w:outlineLvl w:val="4"/>
    </w:pPr>
  </w:style>
  <w:style w:type="paragraph" w:styleId="Heading6">
    <w:name w:val="heading 6"/>
    <w:basedOn w:val="CH5"/>
    <w:next w:val="Normalnumber"/>
    <w:link w:val="Heading6Char"/>
    <w:semiHidden/>
    <w:rsid w:val="00035D73"/>
    <w:pPr>
      <w:numPr>
        <w:ilvl w:val="5"/>
        <w:numId w:val="2"/>
      </w:numPr>
      <w:tabs>
        <w:tab w:val="clear" w:pos="1247"/>
        <w:tab w:val="clear" w:pos="4990"/>
      </w:tabs>
      <w:outlineLvl w:val="5"/>
    </w:pPr>
    <w:rPr>
      <w:b w:val="0"/>
      <w:bCs/>
      <w:sz w:val="24"/>
    </w:rPr>
  </w:style>
  <w:style w:type="paragraph" w:styleId="Heading7">
    <w:name w:val="heading 7"/>
    <w:basedOn w:val="CH5"/>
    <w:next w:val="Normalnumber"/>
    <w:link w:val="Heading7Char"/>
    <w:semiHidden/>
    <w:rsid w:val="00035D73"/>
    <w:pPr>
      <w:widowControl w:val="0"/>
      <w:numPr>
        <w:ilvl w:val="6"/>
        <w:numId w:val="2"/>
      </w:numPr>
      <w:tabs>
        <w:tab w:val="clear" w:pos="1247"/>
        <w:tab w:val="clear" w:pos="4990"/>
      </w:tabs>
      <w:jc w:val="center"/>
      <w:outlineLvl w:val="6"/>
    </w:pPr>
    <w:rPr>
      <w:snapToGrid w:val="0"/>
      <w:u w:val="single"/>
    </w:rPr>
  </w:style>
  <w:style w:type="paragraph" w:styleId="Heading8">
    <w:name w:val="heading 8"/>
    <w:basedOn w:val="CH5"/>
    <w:next w:val="Normal"/>
    <w:link w:val="Heading8Char"/>
    <w:semiHidden/>
    <w:rsid w:val="00035D73"/>
    <w:pPr>
      <w:widowControl w:val="0"/>
      <w:numPr>
        <w:ilvl w:val="7"/>
        <w:numId w:val="2"/>
      </w:numPr>
      <w:tabs>
        <w:tab w:val="clear" w:pos="1247"/>
        <w:tab w:val="clear" w:pos="4990"/>
        <w:tab w:val="left" w:pos="-1440"/>
        <w:tab w:val="left" w:pos="-720"/>
      </w:tabs>
      <w:jc w:val="center"/>
      <w:outlineLvl w:val="7"/>
    </w:pPr>
    <w:rPr>
      <w:snapToGrid w:val="0"/>
      <w:u w:val="single"/>
    </w:rPr>
  </w:style>
  <w:style w:type="paragraph" w:styleId="Heading9">
    <w:name w:val="heading 9"/>
    <w:basedOn w:val="Normal"/>
    <w:next w:val="Normal"/>
    <w:link w:val="Heading9Char"/>
    <w:semiHidden/>
    <w:rsid w:val="00035D73"/>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35D73"/>
    <w:rPr>
      <w:rFonts w:ascii="Times New Roman" w:eastAsia="Times New Roman" w:hAnsi="Times New Roman" w:cs="Times New Roman"/>
      <w:b/>
      <w:kern w:val="0"/>
      <w:sz w:val="28"/>
      <w:szCs w:val="28"/>
      <w:lang w:val="en-GB" w:eastAsia="en-US"/>
      <w14:ligatures w14:val="none"/>
    </w:rPr>
  </w:style>
  <w:style w:type="character" w:customStyle="1" w:styleId="Heading2Char">
    <w:name w:val="Heading 2 Char"/>
    <w:basedOn w:val="DefaultParagraphFont"/>
    <w:link w:val="Heading2"/>
    <w:rsid w:val="00035D73"/>
    <w:rPr>
      <w:rFonts w:ascii="Times New Roman" w:eastAsia="Times New Roman" w:hAnsi="Times New Roman" w:cs="Times New Roman"/>
      <w:b/>
      <w:kern w:val="0"/>
      <w:lang w:val="en-GB" w:eastAsia="en-US"/>
      <w14:ligatures w14:val="none"/>
    </w:rPr>
  </w:style>
  <w:style w:type="character" w:customStyle="1" w:styleId="Heading3Char">
    <w:name w:val="Heading 3 Char"/>
    <w:basedOn w:val="DefaultParagraphFont"/>
    <w:link w:val="Heading3"/>
    <w:rsid w:val="00035D73"/>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basedOn w:val="DefaultParagraphFont"/>
    <w:link w:val="Heading4"/>
    <w:rsid w:val="00035D73"/>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basedOn w:val="DefaultParagraphFont"/>
    <w:link w:val="Heading5"/>
    <w:rsid w:val="00035D73"/>
    <w:rPr>
      <w:rFonts w:ascii="Times New Roman" w:eastAsia="Times New Roman" w:hAnsi="Times New Roman" w:cs="Times New Roman"/>
      <w:b/>
      <w:kern w:val="0"/>
      <w:sz w:val="20"/>
      <w:szCs w:val="20"/>
      <w:lang w:val="en-GB" w:eastAsia="en-US"/>
      <w14:ligatures w14:val="none"/>
    </w:rPr>
  </w:style>
  <w:style w:type="character" w:customStyle="1" w:styleId="Heading6Char">
    <w:name w:val="Heading 6 Char"/>
    <w:basedOn w:val="DefaultParagraphFont"/>
    <w:link w:val="Heading6"/>
    <w:semiHidden/>
    <w:rsid w:val="00035D73"/>
    <w:rPr>
      <w:rFonts w:ascii="Times New Roman" w:eastAsia="Times New Roman" w:hAnsi="Times New Roman" w:cs="Times New Roman"/>
      <w:bCs/>
      <w:kern w:val="0"/>
      <w:szCs w:val="20"/>
      <w:lang w:val="en-GB" w:eastAsia="en-US"/>
      <w14:ligatures w14:val="none"/>
    </w:rPr>
  </w:style>
  <w:style w:type="character" w:customStyle="1" w:styleId="Heading7Char">
    <w:name w:val="Heading 7 Char"/>
    <w:basedOn w:val="DefaultParagraphFont"/>
    <w:link w:val="Heading7"/>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8Char">
    <w:name w:val="Heading 8 Char"/>
    <w:basedOn w:val="DefaultParagraphFont"/>
    <w:link w:val="Heading8"/>
    <w:semiHidden/>
    <w:rsid w:val="00035D73"/>
    <w:rPr>
      <w:rFonts w:ascii="Times New Roman" w:eastAsia="Times New Roman" w:hAnsi="Times New Roman" w:cs="Times New Roman"/>
      <w:b/>
      <w:snapToGrid w:val="0"/>
      <w:kern w:val="0"/>
      <w:sz w:val="20"/>
      <w:szCs w:val="20"/>
      <w:u w:val="single"/>
      <w:lang w:val="en-GB" w:eastAsia="en-US"/>
      <w14:ligatures w14:val="none"/>
    </w:rPr>
  </w:style>
  <w:style w:type="character" w:customStyle="1" w:styleId="Heading9Char">
    <w:name w:val="Heading 9 Char"/>
    <w:basedOn w:val="DefaultParagraphFont"/>
    <w:link w:val="Heading9"/>
    <w:semiHidden/>
    <w:rsid w:val="00035D73"/>
    <w:rPr>
      <w:rFonts w:ascii="Times New Roman" w:eastAsia="Times New Roman" w:hAnsi="Times New Roman" w:cs="Times New Roman"/>
      <w:snapToGrid w:val="0"/>
      <w:kern w:val="0"/>
      <w:sz w:val="20"/>
      <w:szCs w:val="20"/>
      <w:u w:val="single"/>
      <w:lang w:val="en-GB" w:eastAsia="en-US"/>
      <w14:ligatures w14:val="none"/>
    </w:rPr>
  </w:style>
  <w:style w:type="paragraph" w:styleId="Title">
    <w:name w:val="Title"/>
    <w:basedOn w:val="Normal"/>
    <w:next w:val="Normal"/>
    <w:link w:val="TitleChar"/>
    <w:uiPriority w:val="10"/>
    <w:qFormat/>
    <w:rsid w:val="00035D7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5D73"/>
    <w:rPr>
      <w:rFonts w:asciiTheme="majorHAnsi" w:eastAsiaTheme="majorEastAsia" w:hAnsiTheme="majorHAnsi" w:cstheme="majorBidi"/>
      <w:spacing w:val="-10"/>
      <w:kern w:val="28"/>
      <w:sz w:val="56"/>
      <w:szCs w:val="56"/>
      <w:lang w:val="en-GB" w:eastAsia="en-US"/>
      <w14:ligatures w14:val="none"/>
    </w:rPr>
  </w:style>
  <w:style w:type="paragraph" w:styleId="Subtitle">
    <w:name w:val="Subtitle"/>
    <w:basedOn w:val="Normal"/>
    <w:next w:val="Normal"/>
    <w:link w:val="SubtitleChar"/>
    <w:uiPriority w:val="11"/>
    <w:qFormat/>
    <w:rsid w:val="00035D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5D73"/>
    <w:rPr>
      <w:rFonts w:ascii="Times New Roman" w:eastAsiaTheme="majorEastAsia" w:hAnsi="Times New Roman" w:cstheme="majorBidi"/>
      <w:color w:val="595959" w:themeColor="text1" w:themeTint="A6"/>
      <w:spacing w:val="15"/>
      <w:kern w:val="0"/>
      <w:sz w:val="28"/>
      <w:szCs w:val="28"/>
      <w:lang w:val="en-GB" w:eastAsia="en-US"/>
      <w14:ligatures w14:val="none"/>
    </w:rPr>
  </w:style>
  <w:style w:type="paragraph" w:styleId="Quote">
    <w:name w:val="Quote"/>
    <w:basedOn w:val="Normal"/>
    <w:next w:val="Normal"/>
    <w:link w:val="QuoteChar"/>
    <w:uiPriority w:val="29"/>
    <w:qFormat/>
    <w:rsid w:val="00035D73"/>
    <w:pPr>
      <w:spacing w:before="160"/>
      <w:jc w:val="center"/>
    </w:pPr>
    <w:rPr>
      <w:i/>
      <w:iCs/>
      <w:color w:val="404040" w:themeColor="text1" w:themeTint="BF"/>
    </w:rPr>
  </w:style>
  <w:style w:type="character" w:customStyle="1" w:styleId="QuoteChar">
    <w:name w:val="Quote Char"/>
    <w:basedOn w:val="DefaultParagraphFont"/>
    <w:link w:val="Quote"/>
    <w:uiPriority w:val="29"/>
    <w:rsid w:val="00035D73"/>
    <w:rPr>
      <w:rFonts w:ascii="Times New Roman" w:eastAsia="Times New Roman" w:hAnsi="Times New Roman" w:cs="Times New Roman"/>
      <w:i/>
      <w:iCs/>
      <w:color w:val="404040" w:themeColor="text1" w:themeTint="BF"/>
      <w:kern w:val="0"/>
      <w:sz w:val="20"/>
      <w:szCs w:val="20"/>
      <w:lang w:val="en-GB" w:eastAsia="en-US"/>
      <w14:ligatures w14:val="none"/>
    </w:rPr>
  </w:style>
  <w:style w:type="paragraph" w:styleId="ListParagraph">
    <w:name w:val="List Paragraph"/>
    <w:basedOn w:val="Normal"/>
    <w:uiPriority w:val="34"/>
    <w:qFormat/>
    <w:rsid w:val="00035D73"/>
    <w:pPr>
      <w:ind w:left="720"/>
      <w:contextualSpacing/>
    </w:pPr>
  </w:style>
  <w:style w:type="character" w:styleId="IntenseEmphasis">
    <w:name w:val="Intense Emphasis"/>
    <w:basedOn w:val="DefaultParagraphFont"/>
    <w:uiPriority w:val="21"/>
    <w:qFormat/>
    <w:rsid w:val="00035D73"/>
    <w:rPr>
      <w:i/>
      <w:iCs/>
      <w:color w:val="0F4761" w:themeColor="accent1" w:themeShade="BF"/>
      <w:lang w:val="en-GB"/>
    </w:rPr>
  </w:style>
  <w:style w:type="paragraph" w:styleId="IntenseQuote">
    <w:name w:val="Intense Quote"/>
    <w:basedOn w:val="Normal"/>
    <w:next w:val="Normal"/>
    <w:link w:val="IntenseQuoteChar"/>
    <w:uiPriority w:val="30"/>
    <w:qFormat/>
    <w:rsid w:val="00035D7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5D73"/>
    <w:rPr>
      <w:rFonts w:ascii="Times New Roman" w:eastAsia="Times New Roman" w:hAnsi="Times New Roman" w:cs="Times New Roman"/>
      <w:i/>
      <w:iCs/>
      <w:color w:val="0F4761" w:themeColor="accent1" w:themeShade="BF"/>
      <w:kern w:val="0"/>
      <w:sz w:val="20"/>
      <w:szCs w:val="20"/>
      <w:lang w:val="en-GB" w:eastAsia="en-US"/>
      <w14:ligatures w14:val="none"/>
    </w:rPr>
  </w:style>
  <w:style w:type="character" w:styleId="IntenseReference">
    <w:name w:val="Intense Reference"/>
    <w:basedOn w:val="DefaultParagraphFont"/>
    <w:uiPriority w:val="32"/>
    <w:qFormat/>
    <w:rsid w:val="00035D73"/>
    <w:rPr>
      <w:b/>
      <w:bCs/>
      <w:smallCaps/>
      <w:color w:val="0F4761" w:themeColor="accent1" w:themeShade="BF"/>
      <w:spacing w:val="5"/>
      <w:lang w:val="en-GB"/>
    </w:rPr>
  </w:style>
  <w:style w:type="character" w:styleId="PageNumber">
    <w:name w:val="page number"/>
    <w:semiHidden/>
    <w:rsid w:val="00035D73"/>
    <w:rPr>
      <w:rFonts w:ascii="Times New Roman" w:hAnsi="Times New Roman"/>
      <w:b/>
      <w:sz w:val="18"/>
      <w:lang w:val="en-GB"/>
    </w:rPr>
  </w:style>
  <w:style w:type="table" w:customStyle="1" w:styleId="Tabledocright">
    <w:name w:val="Table_doc_right"/>
    <w:basedOn w:val="TableNormal"/>
    <w:rsid w:val="00035D73"/>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35D73"/>
    <w:pPr>
      <w:ind w:left="1000"/>
    </w:pPr>
    <w:rPr>
      <w:sz w:val="18"/>
      <w:szCs w:val="18"/>
    </w:rPr>
  </w:style>
  <w:style w:type="paragraph" w:styleId="TOC7">
    <w:name w:val="toc 7"/>
    <w:basedOn w:val="Normal"/>
    <w:next w:val="Normal"/>
    <w:autoRedefine/>
    <w:semiHidden/>
    <w:rsid w:val="00035D73"/>
    <w:pPr>
      <w:ind w:left="1200"/>
    </w:pPr>
    <w:rPr>
      <w:sz w:val="18"/>
      <w:szCs w:val="18"/>
    </w:rPr>
  </w:style>
  <w:style w:type="paragraph" w:styleId="TOC8">
    <w:name w:val="toc 8"/>
    <w:basedOn w:val="Normal"/>
    <w:next w:val="Normal"/>
    <w:autoRedefine/>
    <w:semiHidden/>
    <w:rsid w:val="00035D73"/>
    <w:pPr>
      <w:ind w:left="1400"/>
    </w:pPr>
    <w:rPr>
      <w:sz w:val="18"/>
      <w:szCs w:val="18"/>
    </w:rPr>
  </w:style>
  <w:style w:type="paragraph" w:styleId="TOC9">
    <w:name w:val="toc 9"/>
    <w:basedOn w:val="Normal"/>
    <w:next w:val="Normal"/>
    <w:autoRedefine/>
    <w:semiHidden/>
    <w:rsid w:val="00035D73"/>
    <w:pPr>
      <w:ind w:left="1600"/>
    </w:pPr>
    <w:rPr>
      <w:sz w:val="18"/>
      <w:szCs w:val="18"/>
    </w:rPr>
  </w:style>
  <w:style w:type="paragraph" w:customStyle="1" w:styleId="Titlefigure">
    <w:name w:val="Title_figure"/>
    <w:basedOn w:val="Titletable"/>
    <w:next w:val="NormalNonumber"/>
    <w:rsid w:val="00035D73"/>
    <w:pPr>
      <w:tabs>
        <w:tab w:val="clear" w:pos="4990"/>
      </w:tabs>
    </w:pPr>
    <w:rPr>
      <w:bCs w:val="0"/>
    </w:rPr>
  </w:style>
  <w:style w:type="paragraph" w:styleId="TableofFigures">
    <w:name w:val="table of figures"/>
    <w:basedOn w:val="Normal"/>
    <w:next w:val="Normal"/>
    <w:autoRedefine/>
    <w:semiHidden/>
    <w:rsid w:val="00035D73"/>
    <w:pPr>
      <w:ind w:left="1814" w:hanging="567"/>
    </w:pPr>
  </w:style>
  <w:style w:type="paragraph" w:customStyle="1" w:styleId="CH1">
    <w:name w:val="CH1"/>
    <w:basedOn w:val="Normal-pool"/>
    <w:next w:val="CH2"/>
    <w:qFormat/>
    <w:rsid w:val="00035D73"/>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35D73"/>
    <w:pPr>
      <w:keepNext/>
      <w:keepLines/>
      <w:tabs>
        <w:tab w:val="clear" w:pos="624"/>
        <w:tab w:val="right" w:pos="851"/>
      </w:tabs>
      <w:suppressAutoHyphens/>
      <w:spacing w:before="240" w:after="120"/>
      <w:ind w:left="1247" w:right="624" w:hanging="1247"/>
    </w:pPr>
    <w:rPr>
      <w:b/>
      <w:sz w:val="24"/>
      <w:szCs w:val="24"/>
    </w:rPr>
  </w:style>
  <w:style w:type="paragraph" w:customStyle="1" w:styleId="CH3">
    <w:name w:val="CH3"/>
    <w:basedOn w:val="Normal-pool"/>
    <w:next w:val="Normalnumber"/>
    <w:qFormat/>
    <w:rsid w:val="00035D73"/>
    <w:pPr>
      <w:keepNext/>
      <w:keepLines/>
      <w:tabs>
        <w:tab w:val="clear" w:pos="624"/>
        <w:tab w:val="right" w:pos="851"/>
      </w:tabs>
      <w:suppressAutoHyphens/>
      <w:spacing w:before="240" w:after="120"/>
      <w:ind w:left="1247" w:right="624" w:hanging="1247"/>
    </w:pPr>
    <w:rPr>
      <w:b/>
    </w:rPr>
  </w:style>
  <w:style w:type="table" w:customStyle="1" w:styleId="Footertable">
    <w:name w:val="Footer_table"/>
    <w:basedOn w:val="TableNormal"/>
    <w:semiHidden/>
    <w:rsid w:val="00035D73"/>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pool"/>
    <w:next w:val="Normalnumber"/>
    <w:unhideWhenUsed/>
    <w:rsid w:val="00035D73"/>
    <w:pPr>
      <w:keepNext/>
      <w:keepLines/>
      <w:tabs>
        <w:tab w:val="clear" w:pos="624"/>
        <w:tab w:val="right" w:pos="851"/>
        <w:tab w:val="left" w:pos="4082"/>
      </w:tabs>
      <w:suppressAutoHyphens/>
      <w:spacing w:after="120"/>
      <w:ind w:left="1247" w:right="624" w:hanging="1247"/>
    </w:pPr>
    <w:rPr>
      <w:b/>
    </w:rPr>
  </w:style>
  <w:style w:type="paragraph" w:customStyle="1" w:styleId="Footerpool">
    <w:name w:val="Footer_pool"/>
    <w:basedOn w:val="Normal"/>
    <w:next w:val="Normal"/>
    <w:semiHidden/>
    <w:rsid w:val="00035D73"/>
    <w:pPr>
      <w:tabs>
        <w:tab w:val="left" w:pos="4321"/>
        <w:tab w:val="right" w:pos="8641"/>
      </w:tabs>
      <w:spacing w:before="60"/>
    </w:pPr>
    <w:rPr>
      <w:b/>
      <w:sz w:val="18"/>
    </w:rPr>
  </w:style>
  <w:style w:type="paragraph" w:customStyle="1" w:styleId="Footer-pool">
    <w:name w:val="Footer-pool"/>
    <w:basedOn w:val="Normal-pool"/>
    <w:next w:val="Normal-pool"/>
    <w:rsid w:val="00035D73"/>
    <w:pPr>
      <w:tabs>
        <w:tab w:val="right" w:pos="8641"/>
      </w:tabs>
      <w:spacing w:after="120"/>
    </w:pPr>
    <w:rPr>
      <w:b/>
      <w:sz w:val="18"/>
    </w:rPr>
  </w:style>
  <w:style w:type="paragraph" w:customStyle="1" w:styleId="Header-pool">
    <w:name w:val="Header-pool"/>
    <w:basedOn w:val="Normal"/>
    <w:next w:val="Normal"/>
    <w:rsid w:val="00035D73"/>
    <w:pPr>
      <w:pBdr>
        <w:bottom w:val="single" w:sz="4" w:space="1" w:color="auto"/>
      </w:pBdr>
      <w:tabs>
        <w:tab w:val="right" w:pos="9072"/>
      </w:tabs>
    </w:pPr>
    <w:rPr>
      <w:b/>
      <w:sz w:val="18"/>
    </w:rPr>
  </w:style>
  <w:style w:type="character" w:styleId="FootnoteReference">
    <w:name w:val="footnote reference"/>
    <w:unhideWhenUsed/>
    <w:rsid w:val="00035D73"/>
    <w:rPr>
      <w:rFonts w:ascii="Times New Roman" w:hAnsi="Times New Roman"/>
      <w:color w:val="auto"/>
      <w:sz w:val="20"/>
      <w:szCs w:val="18"/>
      <w:vertAlign w:val="superscript"/>
      <w:lang w:val="en-GB"/>
    </w:rPr>
  </w:style>
  <w:style w:type="table" w:customStyle="1" w:styleId="AATable">
    <w:name w:val="AA_Table"/>
    <w:basedOn w:val="TableNormal"/>
    <w:semiHidden/>
    <w:rsid w:val="00035D73"/>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rsid w:val="00035D73"/>
    <w:pPr>
      <w:keepNext/>
      <w:keepLines/>
      <w:suppressAutoHyphens/>
    </w:pPr>
    <w:rPr>
      <w:b/>
    </w:rPr>
  </w:style>
  <w:style w:type="paragraph" w:customStyle="1" w:styleId="AATitle2">
    <w:name w:val="AA_Title2"/>
    <w:basedOn w:val="AATitle"/>
    <w:rsid w:val="00035D73"/>
    <w:pPr>
      <w:keepNext w:val="0"/>
      <w:keepLines w:val="0"/>
      <w:tabs>
        <w:tab w:val="clear" w:pos="4990"/>
      </w:tabs>
      <w:spacing w:before="120" w:after="120"/>
    </w:pPr>
  </w:style>
  <w:style w:type="paragraph" w:customStyle="1" w:styleId="BBTitle">
    <w:name w:val="BB_Title"/>
    <w:basedOn w:val="Normal-pool"/>
    <w:qFormat/>
    <w:rsid w:val="00035D73"/>
    <w:pPr>
      <w:keepNext/>
      <w:keepLines/>
      <w:suppressAutoHyphens/>
      <w:spacing w:before="320" w:after="240"/>
      <w:ind w:left="1247" w:right="567"/>
    </w:pPr>
    <w:rPr>
      <w:b/>
      <w:sz w:val="28"/>
      <w:szCs w:val="28"/>
    </w:rPr>
  </w:style>
  <w:style w:type="paragraph" w:customStyle="1" w:styleId="CH4">
    <w:name w:val="CH4"/>
    <w:basedOn w:val="Normal-pool"/>
    <w:next w:val="Normalnumber"/>
    <w:link w:val="FooterChar"/>
    <w:rsid w:val="00035D73"/>
    <w:pPr>
      <w:keepNext/>
      <w:keepLines/>
      <w:tabs>
        <w:tab w:val="clear" w:pos="624"/>
        <w:tab w:val="right" w:pos="851"/>
      </w:tabs>
      <w:suppressAutoHyphens/>
      <w:spacing w:before="120" w:after="120"/>
      <w:ind w:left="1247" w:right="284" w:hanging="1247"/>
    </w:pPr>
    <w:rPr>
      <w:b/>
    </w:rPr>
  </w:style>
  <w:style w:type="paragraph" w:styleId="Header">
    <w:name w:val="header"/>
    <w:basedOn w:val="Normal"/>
    <w:next w:val="Header-pool"/>
    <w:link w:val="HeaderChar"/>
    <w:semiHidden/>
    <w:rsid w:val="00035D73"/>
    <w:pPr>
      <w:pBdr>
        <w:bottom w:val="single" w:sz="4" w:space="1" w:color="auto"/>
      </w:pBdr>
      <w:tabs>
        <w:tab w:val="center" w:pos="4536"/>
        <w:tab w:val="right" w:pos="9072"/>
      </w:tabs>
    </w:pPr>
    <w:rPr>
      <w:b/>
      <w:sz w:val="18"/>
    </w:rPr>
  </w:style>
  <w:style w:type="character" w:customStyle="1" w:styleId="HeaderChar">
    <w:name w:val="Header Char"/>
    <w:basedOn w:val="DefaultParagraphFont"/>
    <w:link w:val="Header"/>
    <w:semiHidden/>
    <w:rsid w:val="00035D73"/>
    <w:rPr>
      <w:rFonts w:ascii="Times New Roman" w:eastAsia="Times New Roman" w:hAnsi="Times New Roman" w:cs="Times New Roman"/>
      <w:b/>
      <w:kern w:val="0"/>
      <w:sz w:val="18"/>
      <w:szCs w:val="20"/>
      <w:lang w:val="en-GB" w:eastAsia="en-US"/>
      <w14:ligatures w14:val="none"/>
    </w:rPr>
  </w:style>
  <w:style w:type="character" w:styleId="Hyperlink">
    <w:name w:val="Hyperlink"/>
    <w:basedOn w:val="DefaultParagraphFont"/>
    <w:uiPriority w:val="99"/>
    <w:rsid w:val="00035D73"/>
    <w:rPr>
      <w:color w:val="467886" w:themeColor="hyperlink"/>
      <w:u w:val="none"/>
      <w:lang w:val="en-GB"/>
    </w:rPr>
  </w:style>
  <w:style w:type="numbering" w:customStyle="1" w:styleId="Normallist">
    <w:name w:val="Normal_list"/>
    <w:basedOn w:val="NoList"/>
    <w:rsid w:val="00035D73"/>
    <w:pPr>
      <w:numPr>
        <w:numId w:val="1"/>
      </w:numPr>
    </w:pPr>
  </w:style>
  <w:style w:type="paragraph" w:customStyle="1" w:styleId="NormalNonumber">
    <w:name w:val="Normal_No_number"/>
    <w:basedOn w:val="Normal-pool"/>
    <w:qFormat/>
    <w:rsid w:val="00035D73"/>
    <w:pPr>
      <w:spacing w:after="120"/>
      <w:ind w:left="1247"/>
    </w:pPr>
  </w:style>
  <w:style w:type="paragraph" w:customStyle="1" w:styleId="Normalnumber">
    <w:name w:val="Normal_number"/>
    <w:basedOn w:val="Normal"/>
    <w:link w:val="NormalnumberChar"/>
    <w:rsid w:val="00035D73"/>
    <w:pPr>
      <w:numPr>
        <w:numId w:val="1"/>
      </w:numPr>
      <w:tabs>
        <w:tab w:val="clear" w:pos="624"/>
      </w:tabs>
      <w:spacing w:after="120"/>
      <w:ind w:left="1247"/>
    </w:pPr>
  </w:style>
  <w:style w:type="paragraph" w:customStyle="1" w:styleId="Titletable">
    <w:name w:val="Title_table"/>
    <w:basedOn w:val="Normal-pool"/>
    <w:next w:val="NormalNonumber"/>
    <w:rsid w:val="00035D73"/>
    <w:pPr>
      <w:keepNext/>
      <w:keepLines/>
      <w:suppressAutoHyphens/>
      <w:spacing w:after="60"/>
      <w:ind w:left="1247"/>
    </w:pPr>
    <w:rPr>
      <w:b/>
      <w:bCs/>
    </w:rPr>
  </w:style>
  <w:style w:type="paragraph" w:styleId="TOC1">
    <w:name w:val="toc 1"/>
    <w:basedOn w:val="Normal"/>
    <w:next w:val="Normal"/>
    <w:autoRedefine/>
    <w:uiPriority w:val="39"/>
    <w:unhideWhenUsed/>
    <w:rsid w:val="00035D73"/>
    <w:pPr>
      <w:tabs>
        <w:tab w:val="right" w:leader="dot" w:pos="9486"/>
      </w:tabs>
      <w:spacing w:before="240"/>
      <w:ind w:left="1984" w:hanging="737"/>
    </w:pPr>
    <w:rPr>
      <w:bCs/>
    </w:rPr>
  </w:style>
  <w:style w:type="paragraph" w:styleId="TOC2">
    <w:name w:val="toc 2"/>
    <w:basedOn w:val="Normal"/>
    <w:next w:val="Normal"/>
    <w:uiPriority w:val="39"/>
    <w:unhideWhenUsed/>
    <w:rsid w:val="00035D73"/>
    <w:pPr>
      <w:tabs>
        <w:tab w:val="right" w:leader="dot" w:pos="9486"/>
      </w:tabs>
      <w:spacing w:before="60"/>
      <w:ind w:left="2608" w:hanging="737"/>
    </w:pPr>
  </w:style>
  <w:style w:type="paragraph" w:styleId="TOC3">
    <w:name w:val="toc 3"/>
    <w:basedOn w:val="Normal"/>
    <w:next w:val="Normal"/>
    <w:uiPriority w:val="39"/>
    <w:unhideWhenUsed/>
    <w:rsid w:val="00035D73"/>
    <w:pPr>
      <w:tabs>
        <w:tab w:val="right" w:leader="dot" w:pos="9486"/>
      </w:tabs>
      <w:ind w:left="3232" w:hanging="737"/>
    </w:pPr>
    <w:rPr>
      <w:iCs/>
    </w:rPr>
  </w:style>
  <w:style w:type="paragraph" w:styleId="TOC4">
    <w:name w:val="toc 4"/>
    <w:basedOn w:val="Normal"/>
    <w:next w:val="Normal"/>
    <w:uiPriority w:val="39"/>
    <w:unhideWhenUsed/>
    <w:rsid w:val="00035D73"/>
    <w:pPr>
      <w:tabs>
        <w:tab w:val="left" w:pos="1000"/>
        <w:tab w:val="right" w:leader="dot" w:pos="9486"/>
      </w:tabs>
      <w:ind w:left="3856" w:hanging="737"/>
    </w:pPr>
    <w:rPr>
      <w:szCs w:val="18"/>
    </w:rPr>
  </w:style>
  <w:style w:type="paragraph" w:styleId="TOC5">
    <w:name w:val="toc 5"/>
    <w:basedOn w:val="Normal"/>
    <w:next w:val="Normal"/>
    <w:uiPriority w:val="39"/>
    <w:rsid w:val="00035D73"/>
    <w:pPr>
      <w:tabs>
        <w:tab w:val="right" w:leader="dot" w:pos="9486"/>
      </w:tabs>
      <w:ind w:left="4479" w:hanging="737"/>
    </w:pPr>
    <w:rPr>
      <w:sz w:val="18"/>
      <w:szCs w:val="18"/>
    </w:rPr>
  </w:style>
  <w:style w:type="paragraph" w:customStyle="1" w:styleId="ZZAnxheader">
    <w:name w:val="ZZ_Anx_header"/>
    <w:basedOn w:val="Normal-pool"/>
    <w:rsid w:val="00035D73"/>
    <w:rPr>
      <w:b/>
      <w:bCs/>
      <w:sz w:val="28"/>
      <w:szCs w:val="22"/>
    </w:rPr>
  </w:style>
  <w:style w:type="paragraph" w:customStyle="1" w:styleId="ZZAnxtitle">
    <w:name w:val="ZZ_Anx_title"/>
    <w:basedOn w:val="Normal-pool"/>
    <w:rsid w:val="00035D73"/>
    <w:pPr>
      <w:spacing w:before="360" w:after="120"/>
      <w:ind w:left="1247"/>
    </w:pPr>
    <w:rPr>
      <w:b/>
      <w:bCs/>
      <w:sz w:val="28"/>
      <w:szCs w:val="26"/>
    </w:rPr>
  </w:style>
  <w:style w:type="paragraph" w:styleId="NormalWeb">
    <w:name w:val="Normal (Web)"/>
    <w:basedOn w:val="Normal"/>
    <w:uiPriority w:val="99"/>
    <w:semiHidden/>
    <w:unhideWhenUsed/>
    <w:rsid w:val="00035D73"/>
    <w:pPr>
      <w:spacing w:before="100" w:beforeAutospacing="1" w:after="100" w:afterAutospacing="1"/>
    </w:pPr>
    <w:rPr>
      <w:rFonts w:eastAsiaTheme="minorEastAsia"/>
      <w:sz w:val="24"/>
      <w:szCs w:val="24"/>
    </w:rPr>
  </w:style>
  <w:style w:type="paragraph" w:customStyle="1" w:styleId="Normal-pool-Table">
    <w:name w:val="Normal-pool-Table"/>
    <w:basedOn w:val="Normal-pool"/>
    <w:rsid w:val="00035D73"/>
    <w:pPr>
      <w:spacing w:before="40" w:after="40"/>
    </w:pPr>
    <w:rPr>
      <w:sz w:val="18"/>
    </w:rPr>
  </w:style>
  <w:style w:type="paragraph" w:customStyle="1" w:styleId="Footnote-Text">
    <w:name w:val="Footnote-Text"/>
    <w:basedOn w:val="Normal-pool"/>
    <w:rsid w:val="00035D73"/>
    <w:pPr>
      <w:spacing w:before="20" w:after="40"/>
      <w:ind w:left="1247"/>
    </w:pPr>
    <w:rPr>
      <w:sz w:val="18"/>
    </w:rPr>
  </w:style>
  <w:style w:type="paragraph" w:customStyle="1" w:styleId="AConvName">
    <w:name w:val="A_ConvName"/>
    <w:basedOn w:val="Normal-pool"/>
    <w:next w:val="Normal-pool"/>
    <w:rsid w:val="00035D73"/>
    <w:pPr>
      <w:spacing w:before="120" w:after="240"/>
    </w:pPr>
    <w:rPr>
      <w:rFonts w:ascii="Arial" w:hAnsi="Arial"/>
      <w:b/>
      <w:sz w:val="28"/>
    </w:rPr>
  </w:style>
  <w:style w:type="paragraph" w:customStyle="1" w:styleId="ASymbol">
    <w:name w:val="A_Symbol"/>
    <w:basedOn w:val="Normal-pool"/>
    <w:rsid w:val="00035D73"/>
    <w:pPr>
      <w:tabs>
        <w:tab w:val="clear" w:pos="624"/>
        <w:tab w:val="clear" w:pos="1247"/>
        <w:tab w:val="right" w:pos="2920"/>
      </w:tabs>
    </w:pPr>
    <w:rPr>
      <w:rFonts w:eastAsia="SimSun"/>
    </w:rPr>
  </w:style>
  <w:style w:type="paragraph" w:customStyle="1" w:styleId="AText">
    <w:name w:val="A_Text"/>
    <w:basedOn w:val="Normal-pool"/>
    <w:rsid w:val="00035D73"/>
    <w:pPr>
      <w:spacing w:before="120"/>
    </w:pPr>
  </w:style>
  <w:style w:type="paragraph" w:customStyle="1" w:styleId="ATwoLetters">
    <w:name w:val="A_TwoLetters"/>
    <w:basedOn w:val="Normal-pool"/>
    <w:next w:val="Normal-pool"/>
    <w:rsid w:val="00035D73"/>
    <w:pPr>
      <w:tabs>
        <w:tab w:val="clear" w:pos="1247"/>
      </w:tabs>
      <w:jc w:val="right"/>
    </w:pPr>
    <w:rPr>
      <w:rFonts w:ascii="Arial" w:hAnsi="Arial" w:cs="Arial"/>
      <w:b/>
      <w:caps/>
      <w:sz w:val="64"/>
      <w:szCs w:val="64"/>
    </w:rPr>
  </w:style>
  <w:style w:type="paragraph" w:customStyle="1" w:styleId="AUnitedNations">
    <w:name w:val="A_United_Nations"/>
    <w:basedOn w:val="Normal-pool"/>
    <w:next w:val="Normal-pool"/>
    <w:rsid w:val="00035D73"/>
    <w:pPr>
      <w:tabs>
        <w:tab w:val="clear" w:pos="1247"/>
      </w:tabs>
      <w:spacing w:before="20" w:after="20"/>
    </w:pPr>
    <w:rPr>
      <w:rFonts w:ascii="Arial" w:hAnsi="Arial" w:cs="Times New Roman Bold"/>
      <w:b/>
      <w:caps/>
      <w:color w:val="000000" w:themeColor="text1"/>
      <w:sz w:val="27"/>
    </w:rPr>
  </w:style>
  <w:style w:type="paragraph" w:styleId="BalloonText">
    <w:name w:val="Balloon Text"/>
    <w:basedOn w:val="Normal"/>
    <w:link w:val="BalloonTextChar"/>
    <w:unhideWhenUsed/>
    <w:rsid w:val="00035D73"/>
    <w:rPr>
      <w:rFonts w:ascii="Tahoma" w:hAnsi="Tahoma" w:cs="Tahoma"/>
      <w:sz w:val="16"/>
      <w:szCs w:val="16"/>
    </w:rPr>
  </w:style>
  <w:style w:type="character" w:customStyle="1" w:styleId="BalloonTextChar">
    <w:name w:val="Balloon Text Char"/>
    <w:basedOn w:val="DefaultParagraphFont"/>
    <w:link w:val="BalloonText"/>
    <w:rsid w:val="00035D73"/>
    <w:rPr>
      <w:rFonts w:ascii="Tahoma" w:eastAsia="Times New Roman" w:hAnsi="Tahoma" w:cs="Tahoma"/>
      <w:kern w:val="0"/>
      <w:sz w:val="16"/>
      <w:szCs w:val="16"/>
      <w:lang w:val="en-GB" w:eastAsia="en-US"/>
      <w14:ligatures w14:val="none"/>
    </w:rPr>
  </w:style>
  <w:style w:type="character" w:styleId="CommentReference">
    <w:name w:val="annotation reference"/>
    <w:basedOn w:val="DefaultParagraphFont"/>
    <w:semiHidden/>
    <w:unhideWhenUsed/>
    <w:rsid w:val="00035D73"/>
    <w:rPr>
      <w:sz w:val="16"/>
      <w:szCs w:val="16"/>
      <w:lang w:val="en-GB"/>
    </w:rPr>
  </w:style>
  <w:style w:type="paragraph" w:styleId="CommentText">
    <w:name w:val="annotation text"/>
    <w:basedOn w:val="Normal"/>
    <w:link w:val="CommentTextChar"/>
    <w:unhideWhenUsed/>
    <w:rsid w:val="00035D73"/>
  </w:style>
  <w:style w:type="character" w:customStyle="1" w:styleId="CommentTextChar">
    <w:name w:val="Comment Text Char"/>
    <w:basedOn w:val="DefaultParagraphFont"/>
    <w:link w:val="CommentText"/>
    <w:rsid w:val="00035D73"/>
    <w:rPr>
      <w:rFonts w:ascii="Times New Roman" w:eastAsia="Times New Roman" w:hAnsi="Times New Roman" w:cs="Times New Roman"/>
      <w:kern w:val="0"/>
      <w:sz w:val="20"/>
      <w:szCs w:val="20"/>
      <w:lang w:val="en-GB" w:eastAsia="en-US"/>
      <w14:ligatures w14:val="none"/>
    </w:rPr>
  </w:style>
  <w:style w:type="paragraph" w:styleId="CommentSubject">
    <w:name w:val="annotation subject"/>
    <w:basedOn w:val="CommentText"/>
    <w:next w:val="CommentText"/>
    <w:link w:val="CommentSubjectChar"/>
    <w:semiHidden/>
    <w:unhideWhenUsed/>
    <w:rsid w:val="00035D73"/>
    <w:rPr>
      <w:b/>
      <w:bCs/>
    </w:rPr>
  </w:style>
  <w:style w:type="character" w:customStyle="1" w:styleId="CommentSubjectChar">
    <w:name w:val="Comment Subject Char"/>
    <w:basedOn w:val="CommentTextChar"/>
    <w:link w:val="CommentSubject"/>
    <w:semiHidden/>
    <w:rsid w:val="00035D73"/>
    <w:rPr>
      <w:rFonts w:ascii="Times New Roman" w:eastAsia="Times New Roman" w:hAnsi="Times New Roman" w:cs="Times New Roman"/>
      <w:b/>
      <w:bCs/>
      <w:kern w:val="0"/>
      <w:sz w:val="20"/>
      <w:szCs w:val="20"/>
      <w:lang w:val="en-GB" w:eastAsia="en-US"/>
      <w14:ligatures w14:val="none"/>
    </w:rPr>
  </w:style>
  <w:style w:type="character" w:styleId="FollowedHyperlink">
    <w:name w:val="FollowedHyperlink"/>
    <w:uiPriority w:val="99"/>
    <w:semiHidden/>
    <w:rsid w:val="00035D73"/>
    <w:rPr>
      <w:color w:val="0000FF"/>
      <w:u w:val="none"/>
      <w:lang w:val="en-GB"/>
    </w:rPr>
  </w:style>
  <w:style w:type="character" w:customStyle="1" w:styleId="FooterChar">
    <w:name w:val="Footer Char"/>
    <w:basedOn w:val="DefaultParagraphFont"/>
    <w:link w:val="CH4"/>
    <w:rsid w:val="00035D73"/>
    <w:rPr>
      <w:rFonts w:ascii="Times New Roman" w:eastAsia="Times New Roman" w:hAnsi="Times New Roman" w:cs="Times New Roman"/>
      <w:b/>
      <w:kern w:val="0"/>
      <w:sz w:val="20"/>
      <w:szCs w:val="20"/>
      <w:lang w:val="en-GB" w:eastAsia="en-US"/>
      <w14:ligatures w14:val="none"/>
    </w:rPr>
  </w:style>
  <w:style w:type="paragraph" w:styleId="NoSpacing">
    <w:name w:val="No Spacing"/>
    <w:uiPriority w:val="1"/>
    <w:qFormat/>
    <w:rsid w:val="00035D73"/>
    <w:pPr>
      <w:spacing w:after="0" w:line="240" w:lineRule="auto"/>
    </w:pPr>
    <w:rPr>
      <w:rFonts w:eastAsiaTheme="minorHAnsi"/>
      <w:kern w:val="0"/>
      <w:sz w:val="22"/>
      <w:szCs w:val="22"/>
      <w:lang w:eastAsia="en-US"/>
      <w14:ligatures w14:val="none"/>
    </w:rPr>
  </w:style>
  <w:style w:type="character" w:customStyle="1" w:styleId="NormalnumberChar">
    <w:name w:val="Normal_number Char"/>
    <w:link w:val="Normalnumber"/>
    <w:rsid w:val="00035D73"/>
    <w:rPr>
      <w:rFonts w:ascii="Times New Roman" w:eastAsia="Times New Roman" w:hAnsi="Times New Roman" w:cs="Times New Roman"/>
      <w:kern w:val="0"/>
      <w:sz w:val="20"/>
      <w:szCs w:val="20"/>
      <w:lang w:eastAsia="en-US"/>
      <w14:ligatures w14:val="none"/>
    </w:rPr>
  </w:style>
  <w:style w:type="character" w:styleId="PlaceholderText">
    <w:name w:val="Placeholder Text"/>
    <w:basedOn w:val="DefaultParagraphFont"/>
    <w:uiPriority w:val="99"/>
    <w:semiHidden/>
    <w:rsid w:val="00035D73"/>
    <w:rPr>
      <w:color w:val="808080"/>
      <w:lang w:val="en-GB"/>
    </w:rPr>
  </w:style>
  <w:style w:type="table" w:styleId="TableGrid">
    <w:name w:val="Table Grid"/>
    <w:basedOn w:val="TableNormal"/>
    <w:rsid w:val="00035D73"/>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pool"/>
    <w:link w:val="ALogoChar"/>
    <w:rsid w:val="00035D73"/>
    <w:pPr>
      <w:spacing w:before="120" w:after="240"/>
    </w:pPr>
  </w:style>
  <w:style w:type="character" w:customStyle="1" w:styleId="ALogoChar">
    <w:name w:val="A_Logo Char"/>
    <w:basedOn w:val="DefaultParagraphFont"/>
    <w:link w:val="ALogo"/>
    <w:rsid w:val="00035D73"/>
    <w:rPr>
      <w:rFonts w:ascii="Times New Roman" w:eastAsia="Times New Roman" w:hAnsi="Times New Roman" w:cs="Times New Roman"/>
      <w:kern w:val="0"/>
      <w:sz w:val="20"/>
      <w:szCs w:val="20"/>
      <w:lang w:val="en-GB" w:eastAsia="en-US"/>
      <w14:ligatures w14:val="none"/>
    </w:rPr>
  </w:style>
  <w:style w:type="paragraph" w:customStyle="1" w:styleId="ASpacer">
    <w:name w:val="A_Spacer"/>
    <w:basedOn w:val="Normal-pool"/>
    <w:link w:val="ASpacerChar"/>
    <w:rsid w:val="00035D73"/>
    <w:rPr>
      <w:sz w:val="2"/>
    </w:rPr>
  </w:style>
  <w:style w:type="character" w:customStyle="1" w:styleId="ASpacerChar">
    <w:name w:val="A_Spacer Char"/>
    <w:basedOn w:val="DefaultParagraphFont"/>
    <w:link w:val="ASpacer"/>
    <w:rsid w:val="00035D73"/>
    <w:rPr>
      <w:rFonts w:ascii="Times New Roman" w:eastAsia="Times New Roman" w:hAnsi="Times New Roman" w:cs="Times New Roman"/>
      <w:kern w:val="0"/>
      <w:sz w:val="2"/>
      <w:szCs w:val="20"/>
      <w:lang w:val="en-GB" w:eastAsia="en-US"/>
      <w14:ligatures w14:val="none"/>
    </w:rPr>
  </w:style>
  <w:style w:type="paragraph" w:customStyle="1" w:styleId="AATitle1">
    <w:name w:val="AA_Title1"/>
    <w:basedOn w:val="Normal-pool"/>
    <w:rsid w:val="00035D73"/>
  </w:style>
  <w:style w:type="character" w:styleId="UnresolvedMention">
    <w:name w:val="Unresolved Mention"/>
    <w:basedOn w:val="DefaultParagraphFont"/>
    <w:uiPriority w:val="99"/>
    <w:semiHidden/>
    <w:rsid w:val="00035D73"/>
    <w:rPr>
      <w:color w:val="605E5C"/>
      <w:shd w:val="clear" w:color="auto" w:fill="E1DFDD"/>
      <w:lang w:val="en-GB"/>
    </w:rPr>
  </w:style>
  <w:style w:type="paragraph" w:customStyle="1" w:styleId="ANormal">
    <w:name w:val="A_Normal"/>
    <w:basedOn w:val="Normal-pool"/>
    <w:rsid w:val="00035D73"/>
  </w:style>
  <w:style w:type="paragraph" w:customStyle="1" w:styleId="AText0">
    <w:name w:val="A_Text0"/>
    <w:basedOn w:val="AText"/>
    <w:next w:val="AText"/>
    <w:rsid w:val="00035D73"/>
    <w:pPr>
      <w:tabs>
        <w:tab w:val="clear" w:pos="4990"/>
      </w:tabs>
      <w:spacing w:before="0" w:after="120"/>
    </w:pPr>
  </w:style>
  <w:style w:type="paragraph" w:styleId="Footer">
    <w:name w:val="footer"/>
    <w:basedOn w:val="Normal"/>
    <w:link w:val="FooterChar1"/>
    <w:unhideWhenUsed/>
    <w:rsid w:val="00035D73"/>
    <w:pPr>
      <w:tabs>
        <w:tab w:val="right" w:pos="8641"/>
      </w:tabs>
    </w:pPr>
    <w:rPr>
      <w:b/>
      <w:sz w:val="18"/>
    </w:rPr>
  </w:style>
  <w:style w:type="character" w:customStyle="1" w:styleId="FooterChar1">
    <w:name w:val="Footer Char1"/>
    <w:basedOn w:val="DefaultParagraphFont"/>
    <w:link w:val="Footer"/>
    <w:rsid w:val="00035D73"/>
    <w:rPr>
      <w:rFonts w:ascii="Times New Roman" w:eastAsia="Times New Roman" w:hAnsi="Times New Roman" w:cs="Times New Roman"/>
      <w:b/>
      <w:kern w:val="0"/>
      <w:sz w:val="18"/>
      <w:szCs w:val="20"/>
      <w:lang w:val="en-GB" w:eastAsia="en-US"/>
      <w14:ligatures w14:val="none"/>
    </w:rPr>
  </w:style>
  <w:style w:type="paragraph" w:customStyle="1" w:styleId="Normal-pool">
    <w:name w:val="Normal-pool"/>
    <w:link w:val="Normal-poolChar"/>
    <w:qFormat/>
    <w:rsid w:val="00035D73"/>
    <w:pPr>
      <w:tabs>
        <w:tab w:val="left" w:pos="624"/>
        <w:tab w:val="left" w:pos="1247"/>
        <w:tab w:val="left" w:pos="1871"/>
        <w:tab w:val="left" w:pos="2495"/>
        <w:tab w:val="left" w:pos="3119"/>
        <w:tab w:val="left" w:pos="3742"/>
        <w:tab w:val="left" w:pos="4366"/>
        <w:tab w:val="left" w:pos="4990"/>
      </w:tabs>
      <w:spacing w:after="0" w:line="240" w:lineRule="auto"/>
    </w:pPr>
    <w:rPr>
      <w:rFonts w:ascii="Times New Roman" w:eastAsia="Times New Roman" w:hAnsi="Times New Roman" w:cs="Times New Roman"/>
      <w:kern w:val="0"/>
      <w:sz w:val="20"/>
      <w:szCs w:val="20"/>
      <w:lang w:eastAsia="en-US"/>
      <w14:ligatures w14:val="none"/>
    </w:rPr>
  </w:style>
  <w:style w:type="paragraph" w:customStyle="1" w:styleId="Footer-jobnumber">
    <w:name w:val="Footer-jobnumber"/>
    <w:basedOn w:val="Normal-pool"/>
    <w:qFormat/>
    <w:rsid w:val="00035D73"/>
    <w:pPr>
      <w:tabs>
        <w:tab w:val="clear" w:pos="624"/>
        <w:tab w:val="clear" w:pos="1247"/>
        <w:tab w:val="clear" w:pos="1871"/>
        <w:tab w:val="clear" w:pos="2495"/>
        <w:tab w:val="clear" w:pos="3119"/>
        <w:tab w:val="clear" w:pos="3742"/>
        <w:tab w:val="clear" w:pos="4366"/>
        <w:tab w:val="clear" w:pos="4990"/>
        <w:tab w:val="left" w:pos="1701"/>
      </w:tabs>
    </w:pPr>
  </w:style>
  <w:style w:type="paragraph" w:customStyle="1" w:styleId="Footnote-Separator">
    <w:name w:val="Footnote-Separator"/>
    <w:basedOn w:val="Normal-pool"/>
    <w:next w:val="Normal"/>
    <w:unhideWhenUsed/>
    <w:rsid w:val="00035D73"/>
    <w:pPr>
      <w:spacing w:before="60"/>
      <w:ind w:left="624"/>
    </w:pPr>
    <w:rPr>
      <w:rFonts w:eastAsiaTheme="minorEastAsia"/>
      <w:sz w:val="18"/>
    </w:rPr>
  </w:style>
  <w:style w:type="paragraph" w:styleId="Bibliography">
    <w:name w:val="Bibliography"/>
    <w:basedOn w:val="Normal"/>
    <w:next w:val="Normal"/>
    <w:uiPriority w:val="37"/>
    <w:semiHidden/>
    <w:unhideWhenUsed/>
    <w:rsid w:val="00035D73"/>
  </w:style>
  <w:style w:type="paragraph" w:styleId="BlockText">
    <w:name w:val="Block Text"/>
    <w:basedOn w:val="Normal"/>
    <w:uiPriority w:val="99"/>
    <w:semiHidden/>
    <w:unhideWhenUsed/>
    <w:rsid w:val="00035D73"/>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asciiTheme="minorHAnsi" w:eastAsiaTheme="minorEastAsia" w:hAnsiTheme="minorHAnsi" w:cstheme="minorBidi"/>
      <w:i/>
      <w:iCs/>
      <w:color w:val="156082" w:themeColor="accent1"/>
    </w:rPr>
  </w:style>
  <w:style w:type="paragraph" w:styleId="BodyText">
    <w:name w:val="Body Text"/>
    <w:basedOn w:val="Normal"/>
    <w:link w:val="BodyTextChar"/>
    <w:uiPriority w:val="99"/>
    <w:semiHidden/>
    <w:unhideWhenUsed/>
    <w:rsid w:val="00035D73"/>
    <w:pPr>
      <w:spacing w:after="120"/>
    </w:pPr>
  </w:style>
  <w:style w:type="character" w:customStyle="1" w:styleId="BodyTextChar">
    <w:name w:val="Body Text Char"/>
    <w:basedOn w:val="DefaultParagraphFont"/>
    <w:link w:val="Body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2">
    <w:name w:val="Body Text 2"/>
    <w:basedOn w:val="Normal"/>
    <w:link w:val="BodyText2Char"/>
    <w:uiPriority w:val="99"/>
    <w:semiHidden/>
    <w:unhideWhenUsed/>
    <w:rsid w:val="00035D73"/>
    <w:pPr>
      <w:spacing w:after="120" w:line="480" w:lineRule="auto"/>
    </w:pPr>
  </w:style>
  <w:style w:type="character" w:customStyle="1" w:styleId="BodyText2Char">
    <w:name w:val="Body Text 2 Char"/>
    <w:basedOn w:val="DefaultParagraphFont"/>
    <w:link w:val="BodyTex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3">
    <w:name w:val="Body Text 3"/>
    <w:basedOn w:val="Normal"/>
    <w:link w:val="BodyText3Char"/>
    <w:uiPriority w:val="99"/>
    <w:semiHidden/>
    <w:unhideWhenUsed/>
    <w:rsid w:val="00035D73"/>
    <w:pPr>
      <w:spacing w:after="120"/>
    </w:pPr>
    <w:rPr>
      <w:sz w:val="16"/>
      <w:szCs w:val="16"/>
    </w:rPr>
  </w:style>
  <w:style w:type="character" w:customStyle="1" w:styleId="BodyText3Char">
    <w:name w:val="Body Text 3 Char"/>
    <w:basedOn w:val="DefaultParagraphFont"/>
    <w:link w:val="BodyText3"/>
    <w:uiPriority w:val="99"/>
    <w:semiHidden/>
    <w:rsid w:val="00035D73"/>
    <w:rPr>
      <w:rFonts w:ascii="Times New Roman" w:eastAsia="Times New Roman" w:hAnsi="Times New Roman" w:cs="Times New Roman"/>
      <w:kern w:val="0"/>
      <w:sz w:val="16"/>
      <w:szCs w:val="16"/>
      <w:lang w:val="en-GB" w:eastAsia="en-US"/>
      <w14:ligatures w14:val="none"/>
    </w:rPr>
  </w:style>
  <w:style w:type="paragraph" w:styleId="BodyTextFirstIndent">
    <w:name w:val="Body Text First Indent"/>
    <w:basedOn w:val="BodyText"/>
    <w:link w:val="BodyTextFirstIndentChar"/>
    <w:uiPriority w:val="99"/>
    <w:semiHidden/>
    <w:unhideWhenUsed/>
    <w:rsid w:val="00035D73"/>
    <w:pPr>
      <w:spacing w:after="0"/>
      <w:ind w:firstLine="360"/>
    </w:pPr>
  </w:style>
  <w:style w:type="character" w:customStyle="1" w:styleId="BodyTextFirstIndentChar">
    <w:name w:val="Body Text First Indent Char"/>
    <w:basedOn w:val="BodyTextChar"/>
    <w:link w:val="BodyTextFirs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
    <w:name w:val="Body Text Indent"/>
    <w:basedOn w:val="Normal"/>
    <w:link w:val="BodyTextIndentChar"/>
    <w:uiPriority w:val="99"/>
    <w:semiHidden/>
    <w:unhideWhenUsed/>
    <w:rsid w:val="00035D73"/>
    <w:pPr>
      <w:spacing w:after="120"/>
      <w:ind w:left="283"/>
    </w:pPr>
  </w:style>
  <w:style w:type="character" w:customStyle="1" w:styleId="BodyTextIndentChar">
    <w:name w:val="Body Text Indent Char"/>
    <w:basedOn w:val="DefaultParagraphFont"/>
    <w:link w:val="BodyTextInden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FirstIndent2">
    <w:name w:val="Body Text First Indent 2"/>
    <w:basedOn w:val="BodyTextIndent"/>
    <w:link w:val="BodyTextFirstIndent2Char"/>
    <w:uiPriority w:val="99"/>
    <w:semiHidden/>
    <w:unhideWhenUsed/>
    <w:rsid w:val="00035D73"/>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2">
    <w:name w:val="Body Text Indent 2"/>
    <w:basedOn w:val="Normal"/>
    <w:link w:val="BodyTextIndent2Char"/>
    <w:uiPriority w:val="99"/>
    <w:semiHidden/>
    <w:unhideWhenUsed/>
    <w:rsid w:val="00035D73"/>
    <w:pPr>
      <w:spacing w:after="120" w:line="480" w:lineRule="auto"/>
      <w:ind w:left="283"/>
    </w:pPr>
  </w:style>
  <w:style w:type="character" w:customStyle="1" w:styleId="BodyTextIndent2Char">
    <w:name w:val="Body Text Indent 2 Char"/>
    <w:basedOn w:val="DefaultParagraphFont"/>
    <w:link w:val="BodyTextIndent2"/>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BodyTextIndent3">
    <w:name w:val="Body Text Indent 3"/>
    <w:basedOn w:val="Normal"/>
    <w:link w:val="BodyTextIndent3Char"/>
    <w:uiPriority w:val="99"/>
    <w:semiHidden/>
    <w:unhideWhenUsed/>
    <w:rsid w:val="00035D73"/>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5D73"/>
    <w:rPr>
      <w:rFonts w:ascii="Times New Roman" w:eastAsia="Times New Roman" w:hAnsi="Times New Roman" w:cs="Times New Roman"/>
      <w:kern w:val="0"/>
      <w:sz w:val="16"/>
      <w:szCs w:val="16"/>
      <w:lang w:val="en-GB" w:eastAsia="en-US"/>
      <w14:ligatures w14:val="none"/>
    </w:rPr>
  </w:style>
  <w:style w:type="character" w:styleId="BookTitle">
    <w:name w:val="Book Title"/>
    <w:basedOn w:val="DefaultParagraphFont"/>
    <w:uiPriority w:val="33"/>
    <w:qFormat/>
    <w:rsid w:val="00035D73"/>
    <w:rPr>
      <w:b/>
      <w:bCs/>
      <w:i/>
      <w:iCs/>
      <w:spacing w:val="5"/>
      <w:lang w:val="en-GB"/>
    </w:rPr>
  </w:style>
  <w:style w:type="paragraph" w:styleId="Caption">
    <w:name w:val="caption"/>
    <w:basedOn w:val="Normal"/>
    <w:next w:val="Normal"/>
    <w:uiPriority w:val="35"/>
    <w:semiHidden/>
    <w:unhideWhenUsed/>
    <w:qFormat/>
    <w:rsid w:val="00035D73"/>
    <w:pPr>
      <w:spacing w:after="200"/>
    </w:pPr>
    <w:rPr>
      <w:i/>
      <w:iCs/>
      <w:color w:val="0E2841" w:themeColor="text2"/>
      <w:sz w:val="18"/>
      <w:szCs w:val="18"/>
    </w:rPr>
  </w:style>
  <w:style w:type="paragraph" w:styleId="Closing">
    <w:name w:val="Closing"/>
    <w:basedOn w:val="Normal"/>
    <w:link w:val="ClosingChar"/>
    <w:uiPriority w:val="99"/>
    <w:semiHidden/>
    <w:unhideWhenUsed/>
    <w:rsid w:val="00035D73"/>
    <w:pPr>
      <w:ind w:left="4252"/>
    </w:pPr>
  </w:style>
  <w:style w:type="character" w:customStyle="1" w:styleId="ClosingChar">
    <w:name w:val="Closing Char"/>
    <w:basedOn w:val="DefaultParagraphFont"/>
    <w:link w:val="Clos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ColorfulGrid">
    <w:name w:val="Colorful Grid"/>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rfulGrid-Accent2">
    <w:name w:val="Colorful Grid Accent 2"/>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rfulGrid-Accent3">
    <w:name w:val="Colorful Grid Accent 3"/>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rfulGrid-Accent4">
    <w:name w:val="Colorful Grid Accent 4"/>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rfulGrid-Accent5">
    <w:name w:val="Colorful Grid Accent 5"/>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rfulGrid-Accent6">
    <w:name w:val="Colorful Grid Accent 6"/>
    <w:basedOn w:val="TableNormal"/>
    <w:uiPriority w:val="73"/>
    <w:semiHidden/>
    <w:unhideWhenUsed/>
    <w:rsid w:val="00035D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ColorfulList">
    <w:name w:val="Colorful List"/>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rfulList-Accent2">
    <w:name w:val="Colorful List Accent 2"/>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rfulList-Accent3">
    <w:name w:val="Colorful List Accent 3"/>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rfulList-Accent4">
    <w:name w:val="Colorful List Accent 4"/>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rfulList-Accent5">
    <w:name w:val="Colorful List Accent 5"/>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rfulList-Accent6">
    <w:name w:val="Colorful List Accent 6"/>
    <w:basedOn w:val="TableNormal"/>
    <w:uiPriority w:val="72"/>
    <w:semiHidden/>
    <w:unhideWhenUsed/>
    <w:rsid w:val="00035D73"/>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rfulShading">
    <w:name w:val="Colorful Shading"/>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rfulShading-Accent4">
    <w:name w:val="Colorful Shading Accent 4"/>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5D73"/>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semiHidden/>
    <w:unhideWhenUsed/>
    <w:rsid w:val="00035D73"/>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paragraph" w:styleId="Date">
    <w:name w:val="Date"/>
    <w:basedOn w:val="Normal"/>
    <w:next w:val="Normal"/>
    <w:link w:val="DateChar"/>
    <w:uiPriority w:val="99"/>
    <w:semiHidden/>
    <w:unhideWhenUsed/>
    <w:rsid w:val="00035D73"/>
  </w:style>
  <w:style w:type="character" w:customStyle="1" w:styleId="DateChar">
    <w:name w:val="Date Char"/>
    <w:basedOn w:val="DefaultParagraphFont"/>
    <w:link w:val="Date"/>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DocumentMap">
    <w:name w:val="Document Map"/>
    <w:basedOn w:val="Normal"/>
    <w:link w:val="DocumentMapChar"/>
    <w:uiPriority w:val="99"/>
    <w:semiHidden/>
    <w:unhideWhenUsed/>
    <w:rsid w:val="00035D7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5D73"/>
    <w:rPr>
      <w:rFonts w:ascii="Segoe UI" w:eastAsia="Times New Roman" w:hAnsi="Segoe UI" w:cs="Segoe UI"/>
      <w:kern w:val="0"/>
      <w:sz w:val="16"/>
      <w:szCs w:val="16"/>
      <w:lang w:val="en-GB" w:eastAsia="en-US"/>
      <w14:ligatures w14:val="none"/>
    </w:rPr>
  </w:style>
  <w:style w:type="paragraph" w:styleId="E-mailSignature">
    <w:name w:val="E-mail Signature"/>
    <w:basedOn w:val="Normal"/>
    <w:link w:val="E-mailSignatureChar"/>
    <w:uiPriority w:val="99"/>
    <w:semiHidden/>
    <w:unhideWhenUsed/>
    <w:rsid w:val="00035D73"/>
  </w:style>
  <w:style w:type="character" w:customStyle="1" w:styleId="E-mailSignatureChar">
    <w:name w:val="E-mail Signature Char"/>
    <w:basedOn w:val="DefaultParagraphFont"/>
    <w:link w:val="E-mai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Emphasis">
    <w:name w:val="Emphasis"/>
    <w:basedOn w:val="DefaultParagraphFont"/>
    <w:uiPriority w:val="20"/>
    <w:qFormat/>
    <w:rsid w:val="00035D73"/>
    <w:rPr>
      <w:i/>
      <w:iCs/>
      <w:lang w:val="en-GB"/>
    </w:rPr>
  </w:style>
  <w:style w:type="character" w:styleId="EndnoteReference">
    <w:name w:val="endnote reference"/>
    <w:basedOn w:val="DefaultParagraphFont"/>
    <w:uiPriority w:val="99"/>
    <w:semiHidden/>
    <w:unhideWhenUsed/>
    <w:rsid w:val="00035D73"/>
    <w:rPr>
      <w:vertAlign w:val="superscript"/>
      <w:lang w:val="en-GB"/>
    </w:rPr>
  </w:style>
  <w:style w:type="paragraph" w:styleId="EndnoteText">
    <w:name w:val="endnote text"/>
    <w:basedOn w:val="Normal"/>
    <w:link w:val="EndnoteTextChar"/>
    <w:uiPriority w:val="99"/>
    <w:semiHidden/>
    <w:unhideWhenUsed/>
    <w:rsid w:val="00035D73"/>
  </w:style>
  <w:style w:type="character" w:customStyle="1" w:styleId="EndnoteTextChar">
    <w:name w:val="Endnote Text Char"/>
    <w:basedOn w:val="DefaultParagraphFont"/>
    <w:link w:val="EndnoteText"/>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EnvelopeAddress">
    <w:name w:val="envelope address"/>
    <w:basedOn w:val="Normal"/>
    <w:uiPriority w:val="99"/>
    <w:semiHidden/>
    <w:unhideWhenUsed/>
    <w:rsid w:val="00035D7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5D73"/>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035D73"/>
  </w:style>
  <w:style w:type="character" w:customStyle="1" w:styleId="FootnoteTextChar">
    <w:name w:val="Footnote Text Char"/>
    <w:basedOn w:val="DefaultParagraphFont"/>
    <w:link w:val="FootnoteText"/>
    <w:uiPriority w:val="99"/>
    <w:semiHidden/>
    <w:rsid w:val="00035D73"/>
    <w:rPr>
      <w:rFonts w:ascii="Times New Roman" w:eastAsia="Times New Roman" w:hAnsi="Times New Roman" w:cs="Times New Roman"/>
      <w:kern w:val="0"/>
      <w:sz w:val="20"/>
      <w:szCs w:val="20"/>
      <w:lang w:val="en-GB" w:eastAsia="en-US"/>
      <w14:ligatures w14:val="none"/>
    </w:rPr>
  </w:style>
  <w:style w:type="table" w:styleId="GridTable1Light">
    <w:name w:val="Grid Table 1 Light"/>
    <w:basedOn w:val="TableNormal"/>
    <w:uiPriority w:val="46"/>
    <w:rsid w:val="00035D7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5D73"/>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5D73"/>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5D73"/>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5D73"/>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5D73"/>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5D73"/>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5D7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5D73"/>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2-Accent2">
    <w:name w:val="Grid Table 2 Accent 2"/>
    <w:basedOn w:val="TableNormal"/>
    <w:uiPriority w:val="47"/>
    <w:rsid w:val="00035D73"/>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2-Accent3">
    <w:name w:val="Grid Table 2 Accent 3"/>
    <w:basedOn w:val="TableNormal"/>
    <w:uiPriority w:val="47"/>
    <w:rsid w:val="00035D73"/>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2-Accent4">
    <w:name w:val="Grid Table 2 Accent 4"/>
    <w:basedOn w:val="TableNormal"/>
    <w:uiPriority w:val="47"/>
    <w:rsid w:val="00035D73"/>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2-Accent5">
    <w:name w:val="Grid Table 2 Accent 5"/>
    <w:basedOn w:val="TableNormal"/>
    <w:uiPriority w:val="47"/>
    <w:rsid w:val="00035D73"/>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2-Accent6">
    <w:name w:val="Grid Table 2 Accent 6"/>
    <w:basedOn w:val="TableNormal"/>
    <w:uiPriority w:val="47"/>
    <w:rsid w:val="00035D73"/>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
    <w:name w:val="Grid Table 3"/>
    <w:basedOn w:val="TableNormal"/>
    <w:uiPriority w:val="48"/>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3-Accent2">
    <w:name w:val="Grid Table 3 Accent 2"/>
    <w:basedOn w:val="TableNormal"/>
    <w:uiPriority w:val="48"/>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3-Accent3">
    <w:name w:val="Grid Table 3 Accent 3"/>
    <w:basedOn w:val="TableNormal"/>
    <w:uiPriority w:val="48"/>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3-Accent4">
    <w:name w:val="Grid Table 3 Accent 4"/>
    <w:basedOn w:val="TableNormal"/>
    <w:uiPriority w:val="48"/>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3-Accent5">
    <w:name w:val="Grid Table 3 Accent 5"/>
    <w:basedOn w:val="TableNormal"/>
    <w:uiPriority w:val="48"/>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3-Accent6">
    <w:name w:val="Grid Table 3 Accent 6"/>
    <w:basedOn w:val="TableNormal"/>
    <w:uiPriority w:val="48"/>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4">
    <w:name w:val="Grid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4-Accent2">
    <w:name w:val="Grid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4-Accent3">
    <w:name w:val="Grid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4-Accent4">
    <w:name w:val="Grid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4-Accent5">
    <w:name w:val="Grid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4-Accent6">
    <w:name w:val="Grid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5Dark">
    <w:name w:val="Grid Table 5 Dark"/>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GridTable5Dark-Accent2">
    <w:name w:val="Grid Table 5 Dark Accent 2"/>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GridTable5Dark-Accent3">
    <w:name w:val="Grid Table 5 Dark Accent 3"/>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GridTable5Dark-Accent4">
    <w:name w:val="Grid Table 5 Dark Accent 4"/>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GridTable5Dark-Accent5">
    <w:name w:val="Grid Table 5 Dark Accent 5"/>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GridTable5Dark-Accent6">
    <w:name w:val="Grid Table 5 Dark Accent 6"/>
    <w:basedOn w:val="TableNormal"/>
    <w:uiPriority w:val="50"/>
    <w:rsid w:val="00035D7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6Colorful">
    <w:name w:val="Grid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6Colorful-Accent2">
    <w:name w:val="Grid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GridTable6Colorful-Accent3">
    <w:name w:val="Grid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GridTable6Colorful-Accent4">
    <w:name w:val="Grid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GridTable6Colorful-Accent5">
    <w:name w:val="Grid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GridTable6Colorful-Accent6">
    <w:name w:val="Grid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7Colorful">
    <w:name w:val="Grid Table 7 Colorful"/>
    <w:basedOn w:val="TableNormal"/>
    <w:uiPriority w:val="52"/>
    <w:rsid w:val="00035D7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5D73"/>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GridTable7Colorful-Accent2">
    <w:name w:val="Grid Table 7 Colorful Accent 2"/>
    <w:basedOn w:val="TableNormal"/>
    <w:uiPriority w:val="52"/>
    <w:rsid w:val="00035D73"/>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GridTable7Colorful-Accent3">
    <w:name w:val="Grid Table 7 Colorful Accent 3"/>
    <w:basedOn w:val="TableNormal"/>
    <w:uiPriority w:val="52"/>
    <w:rsid w:val="00035D73"/>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GridTable7Colorful-Accent4">
    <w:name w:val="Grid Table 7 Colorful Accent 4"/>
    <w:basedOn w:val="TableNormal"/>
    <w:uiPriority w:val="52"/>
    <w:rsid w:val="00035D73"/>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GridTable7Colorful-Accent5">
    <w:name w:val="Grid Table 7 Colorful Accent 5"/>
    <w:basedOn w:val="TableNormal"/>
    <w:uiPriority w:val="52"/>
    <w:rsid w:val="00035D73"/>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GridTable7Colorful-Accent6">
    <w:name w:val="Grid Table 7 Colorful Accent 6"/>
    <w:basedOn w:val="TableNormal"/>
    <w:uiPriority w:val="52"/>
    <w:rsid w:val="00035D73"/>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character" w:styleId="Hashtag">
    <w:name w:val="Hashtag"/>
    <w:basedOn w:val="DefaultParagraphFont"/>
    <w:uiPriority w:val="99"/>
    <w:semiHidden/>
    <w:unhideWhenUsed/>
    <w:rsid w:val="00035D73"/>
    <w:rPr>
      <w:color w:val="2B579A"/>
      <w:shd w:val="clear" w:color="auto" w:fill="E1DFDD"/>
      <w:lang w:val="en-GB"/>
    </w:rPr>
  </w:style>
  <w:style w:type="character" w:styleId="HTMLAcronym">
    <w:name w:val="HTML Acronym"/>
    <w:basedOn w:val="DefaultParagraphFont"/>
    <w:uiPriority w:val="99"/>
    <w:semiHidden/>
    <w:unhideWhenUsed/>
    <w:rsid w:val="00035D73"/>
    <w:rPr>
      <w:lang w:val="en-GB"/>
    </w:rPr>
  </w:style>
  <w:style w:type="paragraph" w:styleId="HTMLAddress">
    <w:name w:val="HTML Address"/>
    <w:basedOn w:val="Normal"/>
    <w:link w:val="HTMLAddressChar"/>
    <w:uiPriority w:val="99"/>
    <w:semiHidden/>
    <w:unhideWhenUsed/>
    <w:rsid w:val="00035D73"/>
    <w:rPr>
      <w:i/>
      <w:iCs/>
    </w:rPr>
  </w:style>
  <w:style w:type="character" w:customStyle="1" w:styleId="HTMLAddressChar">
    <w:name w:val="HTML Address Char"/>
    <w:basedOn w:val="DefaultParagraphFont"/>
    <w:link w:val="HTMLAddress"/>
    <w:uiPriority w:val="99"/>
    <w:semiHidden/>
    <w:rsid w:val="00035D73"/>
    <w:rPr>
      <w:rFonts w:ascii="Times New Roman" w:eastAsia="Times New Roman" w:hAnsi="Times New Roman" w:cs="Times New Roman"/>
      <w:i/>
      <w:iCs/>
      <w:kern w:val="0"/>
      <w:sz w:val="20"/>
      <w:szCs w:val="20"/>
      <w:lang w:val="en-GB" w:eastAsia="en-US"/>
      <w14:ligatures w14:val="none"/>
    </w:rPr>
  </w:style>
  <w:style w:type="character" w:styleId="HTMLCite">
    <w:name w:val="HTML Cite"/>
    <w:basedOn w:val="DefaultParagraphFont"/>
    <w:uiPriority w:val="99"/>
    <w:semiHidden/>
    <w:unhideWhenUsed/>
    <w:rsid w:val="00035D73"/>
    <w:rPr>
      <w:i/>
      <w:iCs/>
      <w:lang w:val="en-GB"/>
    </w:rPr>
  </w:style>
  <w:style w:type="character" w:styleId="HTMLCode">
    <w:name w:val="HTML Code"/>
    <w:basedOn w:val="DefaultParagraphFont"/>
    <w:uiPriority w:val="99"/>
    <w:semiHidden/>
    <w:unhideWhenUsed/>
    <w:rsid w:val="00035D73"/>
    <w:rPr>
      <w:rFonts w:ascii="Consolas" w:hAnsi="Consolas"/>
      <w:sz w:val="20"/>
      <w:szCs w:val="20"/>
      <w:lang w:val="en-GB"/>
    </w:rPr>
  </w:style>
  <w:style w:type="character" w:styleId="HTMLDefinition">
    <w:name w:val="HTML Definition"/>
    <w:basedOn w:val="DefaultParagraphFont"/>
    <w:uiPriority w:val="99"/>
    <w:semiHidden/>
    <w:unhideWhenUsed/>
    <w:rsid w:val="00035D73"/>
    <w:rPr>
      <w:i/>
      <w:iCs/>
      <w:lang w:val="en-GB"/>
    </w:rPr>
  </w:style>
  <w:style w:type="character" w:styleId="HTMLKeyboard">
    <w:name w:val="HTML Keyboard"/>
    <w:basedOn w:val="DefaultParagraphFont"/>
    <w:uiPriority w:val="99"/>
    <w:semiHidden/>
    <w:unhideWhenUsed/>
    <w:rsid w:val="00035D73"/>
    <w:rPr>
      <w:rFonts w:ascii="Consolas" w:hAnsi="Consolas"/>
      <w:sz w:val="20"/>
      <w:szCs w:val="20"/>
      <w:lang w:val="en-GB"/>
    </w:rPr>
  </w:style>
  <w:style w:type="paragraph" w:styleId="HTMLPreformatted">
    <w:name w:val="HTML Preformatted"/>
    <w:basedOn w:val="Normal"/>
    <w:link w:val="HTMLPreformattedChar"/>
    <w:uiPriority w:val="99"/>
    <w:semiHidden/>
    <w:unhideWhenUsed/>
    <w:rsid w:val="00035D73"/>
    <w:rPr>
      <w:rFonts w:ascii="Consolas" w:hAnsi="Consolas"/>
    </w:rPr>
  </w:style>
  <w:style w:type="character" w:customStyle="1" w:styleId="HTMLPreformattedChar">
    <w:name w:val="HTML Preformatted Char"/>
    <w:basedOn w:val="DefaultParagraphFont"/>
    <w:link w:val="HTMLPreformatted"/>
    <w:uiPriority w:val="99"/>
    <w:semiHidden/>
    <w:rsid w:val="00035D73"/>
    <w:rPr>
      <w:rFonts w:ascii="Consolas" w:eastAsia="Times New Roman" w:hAnsi="Consolas" w:cs="Times New Roman"/>
      <w:kern w:val="0"/>
      <w:sz w:val="20"/>
      <w:szCs w:val="20"/>
      <w:lang w:val="en-GB" w:eastAsia="en-US"/>
      <w14:ligatures w14:val="none"/>
    </w:rPr>
  </w:style>
  <w:style w:type="character" w:styleId="HTMLSample">
    <w:name w:val="HTML Sample"/>
    <w:basedOn w:val="DefaultParagraphFont"/>
    <w:uiPriority w:val="99"/>
    <w:semiHidden/>
    <w:unhideWhenUsed/>
    <w:rsid w:val="00035D73"/>
    <w:rPr>
      <w:rFonts w:ascii="Consolas" w:hAnsi="Consolas"/>
      <w:sz w:val="24"/>
      <w:szCs w:val="24"/>
      <w:lang w:val="en-GB"/>
    </w:rPr>
  </w:style>
  <w:style w:type="character" w:styleId="HTMLTypewriter">
    <w:name w:val="HTML Typewriter"/>
    <w:basedOn w:val="DefaultParagraphFont"/>
    <w:uiPriority w:val="99"/>
    <w:semiHidden/>
    <w:unhideWhenUsed/>
    <w:rsid w:val="00035D73"/>
    <w:rPr>
      <w:rFonts w:ascii="Consolas" w:hAnsi="Consolas"/>
      <w:sz w:val="20"/>
      <w:szCs w:val="20"/>
      <w:lang w:val="en-GB"/>
    </w:rPr>
  </w:style>
  <w:style w:type="character" w:styleId="HTMLVariable">
    <w:name w:val="HTML Variable"/>
    <w:basedOn w:val="DefaultParagraphFont"/>
    <w:uiPriority w:val="99"/>
    <w:semiHidden/>
    <w:unhideWhenUsed/>
    <w:rsid w:val="00035D73"/>
    <w:rPr>
      <w:i/>
      <w:iCs/>
      <w:lang w:val="en-GB"/>
    </w:rPr>
  </w:style>
  <w:style w:type="paragraph" w:styleId="Index1">
    <w:name w:val="index 1"/>
    <w:basedOn w:val="Normal"/>
    <w:next w:val="Normal"/>
    <w:autoRedefine/>
    <w:uiPriority w:val="99"/>
    <w:semiHidden/>
    <w:unhideWhenUsed/>
    <w:rsid w:val="00035D73"/>
    <w:pPr>
      <w:ind w:left="200" w:hanging="200"/>
    </w:pPr>
  </w:style>
  <w:style w:type="paragraph" w:styleId="Index2">
    <w:name w:val="index 2"/>
    <w:basedOn w:val="Normal"/>
    <w:next w:val="Normal"/>
    <w:autoRedefine/>
    <w:uiPriority w:val="99"/>
    <w:semiHidden/>
    <w:unhideWhenUsed/>
    <w:rsid w:val="00035D73"/>
    <w:pPr>
      <w:ind w:left="400" w:hanging="200"/>
    </w:pPr>
  </w:style>
  <w:style w:type="paragraph" w:styleId="Index3">
    <w:name w:val="index 3"/>
    <w:basedOn w:val="Normal"/>
    <w:next w:val="Normal"/>
    <w:autoRedefine/>
    <w:uiPriority w:val="99"/>
    <w:semiHidden/>
    <w:unhideWhenUsed/>
    <w:rsid w:val="00035D73"/>
    <w:pPr>
      <w:ind w:left="600" w:hanging="200"/>
    </w:pPr>
  </w:style>
  <w:style w:type="paragraph" w:styleId="Index4">
    <w:name w:val="index 4"/>
    <w:basedOn w:val="Normal"/>
    <w:next w:val="Normal"/>
    <w:autoRedefine/>
    <w:uiPriority w:val="99"/>
    <w:semiHidden/>
    <w:unhideWhenUsed/>
    <w:rsid w:val="00035D73"/>
    <w:pPr>
      <w:ind w:left="800" w:hanging="200"/>
    </w:pPr>
  </w:style>
  <w:style w:type="paragraph" w:styleId="Index5">
    <w:name w:val="index 5"/>
    <w:basedOn w:val="Normal"/>
    <w:next w:val="Normal"/>
    <w:autoRedefine/>
    <w:uiPriority w:val="99"/>
    <w:semiHidden/>
    <w:unhideWhenUsed/>
    <w:rsid w:val="00035D73"/>
    <w:pPr>
      <w:ind w:left="1000" w:hanging="200"/>
    </w:pPr>
  </w:style>
  <w:style w:type="paragraph" w:styleId="Index6">
    <w:name w:val="index 6"/>
    <w:basedOn w:val="Normal"/>
    <w:next w:val="Normal"/>
    <w:autoRedefine/>
    <w:uiPriority w:val="99"/>
    <w:semiHidden/>
    <w:unhideWhenUsed/>
    <w:rsid w:val="00035D73"/>
    <w:pPr>
      <w:ind w:left="1200" w:hanging="200"/>
    </w:pPr>
  </w:style>
  <w:style w:type="paragraph" w:styleId="Index7">
    <w:name w:val="index 7"/>
    <w:basedOn w:val="Normal"/>
    <w:next w:val="Normal"/>
    <w:autoRedefine/>
    <w:uiPriority w:val="99"/>
    <w:semiHidden/>
    <w:unhideWhenUsed/>
    <w:rsid w:val="00035D73"/>
    <w:pPr>
      <w:ind w:left="1400" w:hanging="200"/>
    </w:pPr>
  </w:style>
  <w:style w:type="paragraph" w:styleId="Index8">
    <w:name w:val="index 8"/>
    <w:basedOn w:val="Normal"/>
    <w:next w:val="Normal"/>
    <w:autoRedefine/>
    <w:uiPriority w:val="99"/>
    <w:semiHidden/>
    <w:unhideWhenUsed/>
    <w:rsid w:val="00035D73"/>
    <w:pPr>
      <w:ind w:left="1600" w:hanging="200"/>
    </w:pPr>
  </w:style>
  <w:style w:type="paragraph" w:styleId="Index9">
    <w:name w:val="index 9"/>
    <w:basedOn w:val="Normal"/>
    <w:next w:val="Normal"/>
    <w:autoRedefine/>
    <w:uiPriority w:val="99"/>
    <w:semiHidden/>
    <w:unhideWhenUsed/>
    <w:rsid w:val="00035D73"/>
    <w:pPr>
      <w:ind w:left="1800" w:hanging="200"/>
    </w:pPr>
  </w:style>
  <w:style w:type="paragraph" w:styleId="IndexHeading">
    <w:name w:val="index heading"/>
    <w:basedOn w:val="Normal"/>
    <w:next w:val="Index1"/>
    <w:uiPriority w:val="99"/>
    <w:semiHidden/>
    <w:unhideWhenUsed/>
    <w:rsid w:val="00035D73"/>
    <w:rPr>
      <w:rFonts w:asciiTheme="majorHAnsi" w:eastAsiaTheme="majorEastAsia" w:hAnsiTheme="majorHAnsi" w:cstheme="majorBidi"/>
      <w:b/>
      <w:bCs/>
    </w:rPr>
  </w:style>
  <w:style w:type="table" w:styleId="LightGrid">
    <w:name w:val="Light Grid"/>
    <w:basedOn w:val="TableNormal"/>
    <w:uiPriority w:val="62"/>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LightList">
    <w:name w:val="Light List"/>
    <w:basedOn w:val="TableNormal"/>
    <w:uiPriority w:val="61"/>
    <w:semiHidden/>
    <w:unhideWhenUsed/>
    <w:rsid w:val="00035D7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5D73"/>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semiHidden/>
    <w:unhideWhenUsed/>
    <w:rsid w:val="00035D73"/>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semiHidden/>
    <w:unhideWhenUsed/>
    <w:rsid w:val="00035D73"/>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semiHidden/>
    <w:unhideWhenUsed/>
    <w:rsid w:val="00035D73"/>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semiHidden/>
    <w:unhideWhenUsed/>
    <w:rsid w:val="00035D73"/>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semiHidden/>
    <w:unhideWhenUsed/>
    <w:rsid w:val="00035D73"/>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Shading">
    <w:name w:val="Light Shading"/>
    <w:basedOn w:val="TableNormal"/>
    <w:uiPriority w:val="60"/>
    <w:semiHidden/>
    <w:unhideWhenUsed/>
    <w:rsid w:val="00035D7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5D73"/>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semiHidden/>
    <w:unhideWhenUsed/>
    <w:rsid w:val="00035D73"/>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semiHidden/>
    <w:unhideWhenUsed/>
    <w:rsid w:val="00035D73"/>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semiHidden/>
    <w:unhideWhenUsed/>
    <w:rsid w:val="00035D73"/>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semiHidden/>
    <w:unhideWhenUsed/>
    <w:rsid w:val="00035D73"/>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semiHidden/>
    <w:unhideWhenUsed/>
    <w:rsid w:val="00035D73"/>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character" w:styleId="LineNumber">
    <w:name w:val="line number"/>
    <w:basedOn w:val="DefaultParagraphFont"/>
    <w:uiPriority w:val="99"/>
    <w:semiHidden/>
    <w:unhideWhenUsed/>
    <w:rsid w:val="00035D73"/>
    <w:rPr>
      <w:lang w:val="en-GB"/>
    </w:rPr>
  </w:style>
  <w:style w:type="paragraph" w:styleId="List">
    <w:name w:val="List"/>
    <w:basedOn w:val="Normal"/>
    <w:uiPriority w:val="99"/>
    <w:semiHidden/>
    <w:unhideWhenUsed/>
    <w:rsid w:val="00035D73"/>
    <w:pPr>
      <w:ind w:left="283" w:hanging="283"/>
      <w:contextualSpacing/>
    </w:pPr>
  </w:style>
  <w:style w:type="paragraph" w:styleId="List2">
    <w:name w:val="List 2"/>
    <w:basedOn w:val="Normal"/>
    <w:uiPriority w:val="99"/>
    <w:semiHidden/>
    <w:unhideWhenUsed/>
    <w:rsid w:val="00035D73"/>
    <w:pPr>
      <w:ind w:left="566" w:hanging="283"/>
      <w:contextualSpacing/>
    </w:pPr>
  </w:style>
  <w:style w:type="paragraph" w:styleId="List3">
    <w:name w:val="List 3"/>
    <w:basedOn w:val="Normal"/>
    <w:uiPriority w:val="99"/>
    <w:semiHidden/>
    <w:unhideWhenUsed/>
    <w:rsid w:val="00035D73"/>
    <w:pPr>
      <w:ind w:left="849" w:hanging="283"/>
      <w:contextualSpacing/>
    </w:pPr>
  </w:style>
  <w:style w:type="paragraph" w:styleId="List4">
    <w:name w:val="List 4"/>
    <w:basedOn w:val="Normal"/>
    <w:uiPriority w:val="99"/>
    <w:semiHidden/>
    <w:unhideWhenUsed/>
    <w:rsid w:val="00035D73"/>
    <w:pPr>
      <w:ind w:left="1132" w:hanging="283"/>
      <w:contextualSpacing/>
    </w:pPr>
  </w:style>
  <w:style w:type="paragraph" w:styleId="List5">
    <w:name w:val="List 5"/>
    <w:basedOn w:val="Normal"/>
    <w:uiPriority w:val="99"/>
    <w:semiHidden/>
    <w:unhideWhenUsed/>
    <w:rsid w:val="00035D73"/>
    <w:pPr>
      <w:ind w:left="1415" w:hanging="283"/>
      <w:contextualSpacing/>
    </w:pPr>
  </w:style>
  <w:style w:type="paragraph" w:styleId="ListBullet">
    <w:name w:val="List Bullet"/>
    <w:basedOn w:val="Normal"/>
    <w:uiPriority w:val="99"/>
    <w:semiHidden/>
    <w:unhideWhenUsed/>
    <w:rsid w:val="00035D73"/>
    <w:pPr>
      <w:numPr>
        <w:numId w:val="6"/>
      </w:numPr>
      <w:contextualSpacing/>
    </w:pPr>
  </w:style>
  <w:style w:type="paragraph" w:styleId="ListBullet2">
    <w:name w:val="List Bullet 2"/>
    <w:basedOn w:val="Normal"/>
    <w:uiPriority w:val="99"/>
    <w:semiHidden/>
    <w:unhideWhenUsed/>
    <w:rsid w:val="00035D73"/>
    <w:pPr>
      <w:numPr>
        <w:numId w:val="7"/>
      </w:numPr>
      <w:contextualSpacing/>
    </w:pPr>
  </w:style>
  <w:style w:type="paragraph" w:styleId="ListBullet3">
    <w:name w:val="List Bullet 3"/>
    <w:basedOn w:val="Normal"/>
    <w:uiPriority w:val="99"/>
    <w:semiHidden/>
    <w:unhideWhenUsed/>
    <w:rsid w:val="00035D73"/>
    <w:pPr>
      <w:numPr>
        <w:numId w:val="8"/>
      </w:numPr>
      <w:contextualSpacing/>
    </w:pPr>
  </w:style>
  <w:style w:type="paragraph" w:styleId="ListBullet4">
    <w:name w:val="List Bullet 4"/>
    <w:basedOn w:val="Normal"/>
    <w:uiPriority w:val="99"/>
    <w:semiHidden/>
    <w:unhideWhenUsed/>
    <w:rsid w:val="00035D73"/>
    <w:pPr>
      <w:numPr>
        <w:numId w:val="9"/>
      </w:numPr>
      <w:contextualSpacing/>
    </w:pPr>
  </w:style>
  <w:style w:type="paragraph" w:styleId="ListBullet5">
    <w:name w:val="List Bullet 5"/>
    <w:basedOn w:val="Normal"/>
    <w:uiPriority w:val="99"/>
    <w:semiHidden/>
    <w:unhideWhenUsed/>
    <w:rsid w:val="00035D73"/>
    <w:pPr>
      <w:numPr>
        <w:numId w:val="10"/>
      </w:numPr>
      <w:contextualSpacing/>
    </w:pPr>
  </w:style>
  <w:style w:type="paragraph" w:styleId="ListContinue">
    <w:name w:val="List Continue"/>
    <w:basedOn w:val="Normal"/>
    <w:uiPriority w:val="99"/>
    <w:semiHidden/>
    <w:unhideWhenUsed/>
    <w:rsid w:val="00035D73"/>
    <w:pPr>
      <w:spacing w:after="120"/>
      <w:ind w:left="283"/>
      <w:contextualSpacing/>
    </w:pPr>
  </w:style>
  <w:style w:type="paragraph" w:styleId="ListContinue2">
    <w:name w:val="List Continue 2"/>
    <w:basedOn w:val="Normal"/>
    <w:uiPriority w:val="99"/>
    <w:semiHidden/>
    <w:unhideWhenUsed/>
    <w:rsid w:val="00035D73"/>
    <w:pPr>
      <w:spacing w:after="120"/>
      <w:ind w:left="566"/>
      <w:contextualSpacing/>
    </w:pPr>
  </w:style>
  <w:style w:type="paragraph" w:styleId="ListContinue3">
    <w:name w:val="List Continue 3"/>
    <w:basedOn w:val="Normal"/>
    <w:uiPriority w:val="99"/>
    <w:semiHidden/>
    <w:unhideWhenUsed/>
    <w:rsid w:val="00035D73"/>
    <w:pPr>
      <w:spacing w:after="120"/>
      <w:ind w:left="849"/>
      <w:contextualSpacing/>
    </w:pPr>
  </w:style>
  <w:style w:type="paragraph" w:styleId="ListContinue4">
    <w:name w:val="List Continue 4"/>
    <w:basedOn w:val="Normal"/>
    <w:uiPriority w:val="99"/>
    <w:semiHidden/>
    <w:unhideWhenUsed/>
    <w:rsid w:val="00035D73"/>
    <w:pPr>
      <w:spacing w:after="120"/>
      <w:ind w:left="1132"/>
      <w:contextualSpacing/>
    </w:pPr>
  </w:style>
  <w:style w:type="paragraph" w:styleId="ListContinue5">
    <w:name w:val="List Continue 5"/>
    <w:basedOn w:val="Normal"/>
    <w:uiPriority w:val="99"/>
    <w:semiHidden/>
    <w:unhideWhenUsed/>
    <w:rsid w:val="00035D73"/>
    <w:pPr>
      <w:spacing w:after="120"/>
      <w:ind w:left="1415"/>
      <w:contextualSpacing/>
    </w:pPr>
  </w:style>
  <w:style w:type="paragraph" w:styleId="ListNumber">
    <w:name w:val="List Number"/>
    <w:basedOn w:val="Normal"/>
    <w:uiPriority w:val="99"/>
    <w:semiHidden/>
    <w:unhideWhenUsed/>
    <w:rsid w:val="00035D73"/>
    <w:pPr>
      <w:numPr>
        <w:numId w:val="11"/>
      </w:numPr>
      <w:contextualSpacing/>
    </w:pPr>
  </w:style>
  <w:style w:type="paragraph" w:styleId="ListNumber2">
    <w:name w:val="List Number 2"/>
    <w:basedOn w:val="Normal"/>
    <w:uiPriority w:val="99"/>
    <w:semiHidden/>
    <w:unhideWhenUsed/>
    <w:rsid w:val="00035D73"/>
    <w:pPr>
      <w:numPr>
        <w:numId w:val="12"/>
      </w:numPr>
      <w:contextualSpacing/>
    </w:pPr>
  </w:style>
  <w:style w:type="paragraph" w:styleId="ListNumber3">
    <w:name w:val="List Number 3"/>
    <w:basedOn w:val="Normal"/>
    <w:uiPriority w:val="99"/>
    <w:semiHidden/>
    <w:unhideWhenUsed/>
    <w:rsid w:val="00035D73"/>
    <w:pPr>
      <w:numPr>
        <w:numId w:val="13"/>
      </w:numPr>
      <w:contextualSpacing/>
    </w:pPr>
  </w:style>
  <w:style w:type="paragraph" w:styleId="ListNumber4">
    <w:name w:val="List Number 4"/>
    <w:basedOn w:val="Normal"/>
    <w:uiPriority w:val="99"/>
    <w:semiHidden/>
    <w:unhideWhenUsed/>
    <w:rsid w:val="00035D73"/>
    <w:pPr>
      <w:numPr>
        <w:numId w:val="14"/>
      </w:numPr>
      <w:contextualSpacing/>
    </w:pPr>
  </w:style>
  <w:style w:type="paragraph" w:styleId="ListNumber5">
    <w:name w:val="List Number 5"/>
    <w:basedOn w:val="Normal"/>
    <w:uiPriority w:val="99"/>
    <w:semiHidden/>
    <w:unhideWhenUsed/>
    <w:rsid w:val="00035D73"/>
    <w:pPr>
      <w:numPr>
        <w:numId w:val="15"/>
      </w:numPr>
      <w:contextualSpacing/>
    </w:pPr>
  </w:style>
  <w:style w:type="table" w:styleId="ListTable1Light">
    <w:name w:val="List Table 1 Light"/>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1Light-Accent2">
    <w:name w:val="List Table 1 Light Accent 2"/>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1Light-Accent3">
    <w:name w:val="List Table 1 Light Accent 3"/>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1Light-Accent4">
    <w:name w:val="List Table 1 Light Accent 4"/>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1Light-Accent5">
    <w:name w:val="List Table 1 Light Accent 5"/>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1Light-Accent6">
    <w:name w:val="List Table 1 Light Accent 6"/>
    <w:basedOn w:val="TableNormal"/>
    <w:uiPriority w:val="46"/>
    <w:rsid w:val="00035D73"/>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2">
    <w:name w:val="List Table 2"/>
    <w:basedOn w:val="TableNormal"/>
    <w:uiPriority w:val="47"/>
    <w:rsid w:val="00035D7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5D73"/>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2-Accent2">
    <w:name w:val="List Table 2 Accent 2"/>
    <w:basedOn w:val="TableNormal"/>
    <w:uiPriority w:val="47"/>
    <w:rsid w:val="00035D73"/>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2-Accent3">
    <w:name w:val="List Table 2 Accent 3"/>
    <w:basedOn w:val="TableNormal"/>
    <w:uiPriority w:val="47"/>
    <w:rsid w:val="00035D73"/>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2-Accent4">
    <w:name w:val="List Table 2 Accent 4"/>
    <w:basedOn w:val="TableNormal"/>
    <w:uiPriority w:val="47"/>
    <w:rsid w:val="00035D73"/>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2-Accent5">
    <w:name w:val="List Table 2 Accent 5"/>
    <w:basedOn w:val="TableNormal"/>
    <w:uiPriority w:val="47"/>
    <w:rsid w:val="00035D73"/>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2-Accent6">
    <w:name w:val="List Table 2 Accent 6"/>
    <w:basedOn w:val="TableNormal"/>
    <w:uiPriority w:val="47"/>
    <w:rsid w:val="00035D73"/>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3">
    <w:name w:val="List Table 3"/>
    <w:basedOn w:val="TableNormal"/>
    <w:uiPriority w:val="48"/>
    <w:rsid w:val="00035D7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5D73"/>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ListTable3-Accent2">
    <w:name w:val="List Table 3 Accent 2"/>
    <w:basedOn w:val="TableNormal"/>
    <w:uiPriority w:val="48"/>
    <w:rsid w:val="00035D73"/>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ListTable3-Accent3">
    <w:name w:val="List Table 3 Accent 3"/>
    <w:basedOn w:val="TableNormal"/>
    <w:uiPriority w:val="48"/>
    <w:rsid w:val="00035D73"/>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ListTable3-Accent4">
    <w:name w:val="List Table 3 Accent 4"/>
    <w:basedOn w:val="TableNormal"/>
    <w:uiPriority w:val="48"/>
    <w:rsid w:val="00035D73"/>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ListTable3-Accent5">
    <w:name w:val="List Table 3 Accent 5"/>
    <w:basedOn w:val="TableNormal"/>
    <w:uiPriority w:val="48"/>
    <w:rsid w:val="00035D73"/>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ListTable3-Accent6">
    <w:name w:val="List Table 3 Accent 6"/>
    <w:basedOn w:val="TableNormal"/>
    <w:uiPriority w:val="48"/>
    <w:rsid w:val="00035D73"/>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ListTable4">
    <w:name w:val="List Table 4"/>
    <w:basedOn w:val="TableNormal"/>
    <w:uiPriority w:val="49"/>
    <w:rsid w:val="00035D7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5D73"/>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4-Accent2">
    <w:name w:val="List Table 4 Accent 2"/>
    <w:basedOn w:val="TableNormal"/>
    <w:uiPriority w:val="49"/>
    <w:rsid w:val="00035D73"/>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4-Accent3">
    <w:name w:val="List Table 4 Accent 3"/>
    <w:basedOn w:val="TableNormal"/>
    <w:uiPriority w:val="49"/>
    <w:rsid w:val="00035D73"/>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4-Accent4">
    <w:name w:val="List Table 4 Accent 4"/>
    <w:basedOn w:val="TableNormal"/>
    <w:uiPriority w:val="49"/>
    <w:rsid w:val="00035D73"/>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4-Accent5">
    <w:name w:val="List Table 4 Accent 5"/>
    <w:basedOn w:val="TableNormal"/>
    <w:uiPriority w:val="49"/>
    <w:rsid w:val="00035D73"/>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4-Accent6">
    <w:name w:val="List Table 4 Accent 6"/>
    <w:basedOn w:val="TableNormal"/>
    <w:uiPriority w:val="49"/>
    <w:rsid w:val="00035D73"/>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5Dark">
    <w:name w:val="List Table 5 Dark"/>
    <w:basedOn w:val="TableNormal"/>
    <w:uiPriority w:val="50"/>
    <w:rsid w:val="00035D7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5D73"/>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5D73"/>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5D73"/>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5D73"/>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5D73"/>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5D73"/>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5D7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5D73"/>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ListTable6Colorful-Accent2">
    <w:name w:val="List Table 6 Colorful Accent 2"/>
    <w:basedOn w:val="TableNormal"/>
    <w:uiPriority w:val="51"/>
    <w:rsid w:val="00035D73"/>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ListTable6Colorful-Accent3">
    <w:name w:val="List Table 6 Colorful Accent 3"/>
    <w:basedOn w:val="TableNormal"/>
    <w:uiPriority w:val="51"/>
    <w:rsid w:val="00035D73"/>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ListTable6Colorful-Accent4">
    <w:name w:val="List Table 6 Colorful Accent 4"/>
    <w:basedOn w:val="TableNormal"/>
    <w:uiPriority w:val="51"/>
    <w:rsid w:val="00035D73"/>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ListTable6Colorful-Accent5">
    <w:name w:val="List Table 6 Colorful Accent 5"/>
    <w:basedOn w:val="TableNormal"/>
    <w:uiPriority w:val="51"/>
    <w:rsid w:val="00035D73"/>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ListTable6Colorful-Accent6">
    <w:name w:val="List Table 6 Colorful Accent 6"/>
    <w:basedOn w:val="TableNormal"/>
    <w:uiPriority w:val="51"/>
    <w:rsid w:val="00035D73"/>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ListTable7Colorful">
    <w:name w:val="List Table 7 Colorful"/>
    <w:basedOn w:val="TableNormal"/>
    <w:uiPriority w:val="52"/>
    <w:rsid w:val="00035D7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5D73"/>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5D73"/>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5D73"/>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5D73"/>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5D73"/>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5D73"/>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35D73"/>
    <w:pPr>
      <w:tabs>
        <w:tab w:val="left" w:pos="480"/>
        <w:tab w:val="left" w:pos="960"/>
        <w:tab w:val="left" w:pos="1440"/>
        <w:tab w:val="left" w:pos="1920"/>
        <w:tab w:val="left" w:pos="2400"/>
        <w:tab w:val="left" w:pos="2880"/>
        <w:tab w:val="left" w:pos="3360"/>
        <w:tab w:val="left" w:pos="3840"/>
        <w:tab w:val="left" w:pos="4320"/>
      </w:tabs>
      <w:adjustRightInd w:val="0"/>
      <w:snapToGrid w:val="0"/>
      <w:spacing w:after="0" w:line="240" w:lineRule="auto"/>
    </w:pPr>
    <w:rPr>
      <w:rFonts w:ascii="Consolas" w:eastAsia="Times New Roman" w:hAnsi="Consolas" w:cs="Times New Roman"/>
      <w:kern w:val="0"/>
      <w:sz w:val="20"/>
      <w:szCs w:val="20"/>
      <w:lang w:eastAsia="en-US"/>
      <w14:ligatures w14:val="none"/>
    </w:rPr>
  </w:style>
  <w:style w:type="character" w:customStyle="1" w:styleId="MacroTextChar">
    <w:name w:val="Macro Text Char"/>
    <w:basedOn w:val="DefaultParagraphFont"/>
    <w:link w:val="MacroText"/>
    <w:uiPriority w:val="99"/>
    <w:semiHidden/>
    <w:rsid w:val="00035D73"/>
    <w:rPr>
      <w:rFonts w:ascii="Consolas" w:eastAsia="Times New Roman" w:hAnsi="Consolas" w:cs="Times New Roman"/>
      <w:kern w:val="0"/>
      <w:sz w:val="20"/>
      <w:szCs w:val="20"/>
      <w:lang w:val="en-GB" w:eastAsia="en-US"/>
      <w14:ligatures w14:val="none"/>
    </w:rPr>
  </w:style>
  <w:style w:type="table" w:styleId="MediumGrid1">
    <w:name w:val="Medium Grid 1"/>
    <w:basedOn w:val="TableNormal"/>
    <w:uiPriority w:val="67"/>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semiHidden/>
    <w:unhideWhenUsed/>
    <w:rsid w:val="00035D7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MediumList1">
    <w:name w:val="Medium Lis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semiHidden/>
    <w:unhideWhenUsed/>
    <w:rsid w:val="00035D73"/>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5D7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5D7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5D73"/>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5D73"/>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5D73"/>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5D73"/>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5D73"/>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5D73"/>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35D7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35D73"/>
    <w:rPr>
      <w:color w:val="2B579A"/>
      <w:shd w:val="clear" w:color="auto" w:fill="E1DFDD"/>
      <w:lang w:val="en-GB"/>
    </w:rPr>
  </w:style>
  <w:style w:type="paragraph" w:styleId="MessageHeader">
    <w:name w:val="Message Header"/>
    <w:basedOn w:val="Normal"/>
    <w:link w:val="MessageHeaderChar"/>
    <w:uiPriority w:val="99"/>
    <w:semiHidden/>
    <w:unhideWhenUsed/>
    <w:rsid w:val="00035D73"/>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5D73"/>
    <w:rPr>
      <w:rFonts w:asciiTheme="majorHAnsi" w:eastAsiaTheme="majorEastAsia" w:hAnsiTheme="majorHAnsi" w:cstheme="majorBidi"/>
      <w:kern w:val="0"/>
      <w:shd w:val="pct20" w:color="auto" w:fill="auto"/>
      <w:lang w:val="en-GB" w:eastAsia="en-US"/>
      <w14:ligatures w14:val="none"/>
    </w:rPr>
  </w:style>
  <w:style w:type="paragraph" w:styleId="NormalIndent">
    <w:name w:val="Normal Indent"/>
    <w:basedOn w:val="Normal"/>
    <w:uiPriority w:val="99"/>
    <w:semiHidden/>
    <w:unhideWhenUsed/>
    <w:rsid w:val="00035D73"/>
    <w:pPr>
      <w:ind w:left="720"/>
    </w:pPr>
  </w:style>
  <w:style w:type="paragraph" w:styleId="NoteHeading">
    <w:name w:val="Note Heading"/>
    <w:basedOn w:val="Normal"/>
    <w:next w:val="Normal"/>
    <w:link w:val="NoteHeadingChar"/>
    <w:uiPriority w:val="99"/>
    <w:semiHidden/>
    <w:unhideWhenUsed/>
    <w:rsid w:val="00035D73"/>
  </w:style>
  <w:style w:type="character" w:customStyle="1" w:styleId="NoteHeadingChar">
    <w:name w:val="Note Heading Char"/>
    <w:basedOn w:val="DefaultParagraphFont"/>
    <w:link w:val="NoteHeading"/>
    <w:uiPriority w:val="99"/>
    <w:semiHidden/>
    <w:rsid w:val="00035D73"/>
    <w:rPr>
      <w:rFonts w:ascii="Times New Roman" w:eastAsia="Times New Roman" w:hAnsi="Times New Roman" w:cs="Times New Roman"/>
      <w:kern w:val="0"/>
      <w:sz w:val="20"/>
      <w:szCs w:val="20"/>
      <w:lang w:val="en-GB" w:eastAsia="en-US"/>
      <w14:ligatures w14:val="none"/>
    </w:rPr>
  </w:style>
  <w:style w:type="table" w:styleId="PlainTable1">
    <w:name w:val="Plain Table 1"/>
    <w:basedOn w:val="TableNormal"/>
    <w:uiPriority w:val="41"/>
    <w:rsid w:val="00035D7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5D7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5D7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5D7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5D7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35D73"/>
    <w:rPr>
      <w:rFonts w:ascii="Consolas" w:hAnsi="Consolas"/>
      <w:sz w:val="21"/>
      <w:szCs w:val="21"/>
    </w:rPr>
  </w:style>
  <w:style w:type="character" w:customStyle="1" w:styleId="PlainTextChar">
    <w:name w:val="Plain Text Char"/>
    <w:basedOn w:val="DefaultParagraphFont"/>
    <w:link w:val="PlainText"/>
    <w:uiPriority w:val="99"/>
    <w:semiHidden/>
    <w:rsid w:val="00035D73"/>
    <w:rPr>
      <w:rFonts w:ascii="Consolas" w:eastAsia="Times New Roman" w:hAnsi="Consolas" w:cs="Times New Roman"/>
      <w:kern w:val="0"/>
      <w:sz w:val="21"/>
      <w:szCs w:val="21"/>
      <w:lang w:val="en-GB" w:eastAsia="en-US"/>
      <w14:ligatures w14:val="none"/>
    </w:rPr>
  </w:style>
  <w:style w:type="paragraph" w:styleId="Salutation">
    <w:name w:val="Salutation"/>
    <w:basedOn w:val="Normal"/>
    <w:next w:val="Normal"/>
    <w:link w:val="SalutationChar"/>
    <w:uiPriority w:val="99"/>
    <w:semiHidden/>
    <w:unhideWhenUsed/>
    <w:rsid w:val="00035D73"/>
  </w:style>
  <w:style w:type="character" w:customStyle="1" w:styleId="SalutationChar">
    <w:name w:val="Salutation Char"/>
    <w:basedOn w:val="DefaultParagraphFont"/>
    <w:link w:val="Salutation"/>
    <w:uiPriority w:val="99"/>
    <w:semiHidden/>
    <w:rsid w:val="00035D73"/>
    <w:rPr>
      <w:rFonts w:ascii="Times New Roman" w:eastAsia="Times New Roman" w:hAnsi="Times New Roman" w:cs="Times New Roman"/>
      <w:kern w:val="0"/>
      <w:sz w:val="20"/>
      <w:szCs w:val="20"/>
      <w:lang w:val="en-GB" w:eastAsia="en-US"/>
      <w14:ligatures w14:val="none"/>
    </w:rPr>
  </w:style>
  <w:style w:type="paragraph" w:styleId="Signature">
    <w:name w:val="Signature"/>
    <w:basedOn w:val="Normal"/>
    <w:link w:val="SignatureChar"/>
    <w:uiPriority w:val="99"/>
    <w:semiHidden/>
    <w:unhideWhenUsed/>
    <w:rsid w:val="00035D73"/>
    <w:pPr>
      <w:ind w:left="4252"/>
    </w:pPr>
  </w:style>
  <w:style w:type="character" w:customStyle="1" w:styleId="SignatureChar">
    <w:name w:val="Signature Char"/>
    <w:basedOn w:val="DefaultParagraphFont"/>
    <w:link w:val="Signature"/>
    <w:uiPriority w:val="99"/>
    <w:semiHidden/>
    <w:rsid w:val="00035D73"/>
    <w:rPr>
      <w:rFonts w:ascii="Times New Roman" w:eastAsia="Times New Roman" w:hAnsi="Times New Roman" w:cs="Times New Roman"/>
      <w:kern w:val="0"/>
      <w:sz w:val="20"/>
      <w:szCs w:val="20"/>
      <w:lang w:val="en-GB" w:eastAsia="en-US"/>
      <w14:ligatures w14:val="none"/>
    </w:rPr>
  </w:style>
  <w:style w:type="character" w:styleId="SmartHyperlink">
    <w:name w:val="Smart Hyperlink"/>
    <w:basedOn w:val="DefaultParagraphFont"/>
    <w:uiPriority w:val="99"/>
    <w:semiHidden/>
    <w:unhideWhenUsed/>
    <w:rsid w:val="00035D73"/>
    <w:rPr>
      <w:u w:val="dotted"/>
      <w:lang w:val="en-GB"/>
    </w:rPr>
  </w:style>
  <w:style w:type="character" w:styleId="SmartLink">
    <w:name w:val="Smart Link"/>
    <w:basedOn w:val="DefaultParagraphFont"/>
    <w:uiPriority w:val="99"/>
    <w:semiHidden/>
    <w:unhideWhenUsed/>
    <w:rsid w:val="00035D73"/>
    <w:rPr>
      <w:color w:val="0000FF"/>
      <w:u w:val="single"/>
      <w:shd w:val="clear" w:color="auto" w:fill="F3F2F1"/>
      <w:lang w:val="en-GB"/>
    </w:rPr>
  </w:style>
  <w:style w:type="character" w:styleId="Strong">
    <w:name w:val="Strong"/>
    <w:basedOn w:val="DefaultParagraphFont"/>
    <w:uiPriority w:val="22"/>
    <w:qFormat/>
    <w:rsid w:val="00035D73"/>
    <w:rPr>
      <w:b/>
      <w:bCs/>
      <w:lang w:val="en-GB"/>
    </w:rPr>
  </w:style>
  <w:style w:type="character" w:styleId="SubtleEmphasis">
    <w:name w:val="Subtle Emphasis"/>
    <w:basedOn w:val="DefaultParagraphFont"/>
    <w:uiPriority w:val="19"/>
    <w:qFormat/>
    <w:rsid w:val="00035D73"/>
    <w:rPr>
      <w:i/>
      <w:iCs/>
      <w:color w:val="404040" w:themeColor="text1" w:themeTint="BF"/>
      <w:lang w:val="en-GB"/>
    </w:rPr>
  </w:style>
  <w:style w:type="character" w:styleId="SubtleReference">
    <w:name w:val="Subtle Reference"/>
    <w:basedOn w:val="DefaultParagraphFont"/>
    <w:uiPriority w:val="31"/>
    <w:qFormat/>
    <w:rsid w:val="00035D73"/>
    <w:rPr>
      <w:smallCaps/>
      <w:color w:val="5A5A5A" w:themeColor="text1" w:themeTint="A5"/>
      <w:lang w:val="en-GB"/>
    </w:rPr>
  </w:style>
  <w:style w:type="table" w:styleId="Table3Deffects1">
    <w:name w:val="Table 3D effect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5D7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35D73"/>
    <w:pPr>
      <w:ind w:left="200" w:hanging="200"/>
    </w:pPr>
  </w:style>
  <w:style w:type="table" w:styleId="TableProfessional">
    <w:name w:val="Table Professional"/>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35D73"/>
    <w:pPr>
      <w:tabs>
        <w:tab w:val="left" w:pos="624"/>
        <w:tab w:val="left" w:pos="1247"/>
        <w:tab w:val="left" w:pos="1871"/>
        <w:tab w:val="left" w:pos="2495"/>
        <w:tab w:val="left" w:pos="3119"/>
        <w:tab w:val="left" w:pos="3742"/>
        <w:tab w:val="left" w:pos="4366"/>
      </w:tabs>
      <w:adjustRightInd w:val="0"/>
      <w:snapToGrid w:val="0"/>
      <w:spacing w:after="0" w:line="24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35D73"/>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5D73"/>
    <w:pPr>
      <w:numPr>
        <w:numId w:val="0"/>
      </w:numPr>
      <w:tabs>
        <w:tab w:val="left" w:pos="624"/>
        <w:tab w:val="left" w:pos="1247"/>
      </w:tabs>
      <w:suppressAutoHyphens w:val="0"/>
      <w:adjustRightInd w:val="0"/>
      <w:snapToGrid w:val="0"/>
      <w:spacing w:after="0"/>
      <w:ind w:right="0"/>
      <w:outlineLvl w:val="9"/>
    </w:pPr>
    <w:rPr>
      <w:rFonts w:asciiTheme="majorHAnsi" w:eastAsiaTheme="majorEastAsia" w:hAnsiTheme="majorHAnsi" w:cstheme="majorBidi"/>
      <w:b w:val="0"/>
      <w:color w:val="0F4761" w:themeColor="accent1" w:themeShade="BF"/>
      <w:sz w:val="32"/>
      <w:szCs w:val="32"/>
    </w:rPr>
  </w:style>
  <w:style w:type="character" w:customStyle="1" w:styleId="Normal-poolChar">
    <w:name w:val="Normal-pool Char"/>
    <w:link w:val="Normal-pool"/>
    <w:locked/>
    <w:rsid w:val="00FF1D0E"/>
    <w:rPr>
      <w:rFonts w:ascii="Times New Roman" w:eastAsia="Times New Roman" w:hAnsi="Times New Roman" w:cs="Times New Roman"/>
      <w:kern w:val="0"/>
      <w:sz w:val="20"/>
      <w:szCs w:val="20"/>
      <w:lang w:eastAsia="en-US"/>
      <w14:ligatures w14:val="none"/>
    </w:rPr>
  </w:style>
  <w:style w:type="character" w:customStyle="1" w:styleId="CH2Char">
    <w:name w:val="CH2 Char"/>
    <w:link w:val="CH2"/>
    <w:rsid w:val="00FF1D0E"/>
    <w:rPr>
      <w:rFonts w:ascii="Times New Roman" w:eastAsia="Times New Roman" w:hAnsi="Times New Roman" w:cs="Times New Roman"/>
      <w:b/>
      <w:kern w:val="0"/>
      <w:lang w:eastAsia="en-US"/>
      <w14:ligatures w14:val="none"/>
    </w:rPr>
  </w:style>
  <w:style w:type="paragraph" w:styleId="Revision">
    <w:name w:val="Revision"/>
    <w:hidden/>
    <w:uiPriority w:val="99"/>
    <w:semiHidden/>
    <w:rsid w:val="001E0E53"/>
    <w:pPr>
      <w:spacing w:after="0" w:line="240" w:lineRule="auto"/>
    </w:pPr>
    <w:rPr>
      <w:rFonts w:ascii="Times New Roman" w:eastAsia="SimSu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4/relationships/chartEx" Target="charts/chartEx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implementation/specific-international-programme/dashboard" TargetMode="External"/><Relationship Id="rId2" Type="http://schemas.openxmlformats.org/officeDocument/2006/relationships/hyperlink" Target="https://minamataconvention.org/en/implementation/specific-international-programme/fourth-round" TargetMode="External"/><Relationship Id="rId1" Type="http://schemas.openxmlformats.org/officeDocument/2006/relationships/hyperlink" Target="https://minamataconvention.org/en/implementation/specific-international-programme/donors" TargetMode="External"/><Relationship Id="rId4" Type="http://schemas.openxmlformats.org/officeDocument/2006/relationships/hyperlink" Target="https://minamataconvention.org/en/projects/list" TargetMode="External"/></Relationships>
</file>

<file path=word/charts/_rels/chartEx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Microsoft_Excel_Worksheet.xlsx"/></Relationships>
</file>

<file path=word/charts/chartEx1.xml><?xml version="1.0" encoding="utf-8"?>
<cx:chartSpace xmlns:a="http://schemas.openxmlformats.org/drawingml/2006/main" xmlns:r="http://schemas.openxmlformats.org/officeDocument/2006/relationships" xmlns:cx="http://schemas.microsoft.com/office/drawing/2014/chartex">
  <cx:chartData>
    <cx:externalData r:id="rId1" cx:autoUpdate="0"/>
    <cx:data id="0">
      <cx:strDim type="cat">
        <cx:f>Sheet1!$A$2:$A$17</cx:f>
        <cx:lvl ptCount="16">
          <cx:pt idx="0">Norway</cx:pt>
          <cx:pt idx="1">Switzerland</cx:pt>
          <cx:pt idx="2">Sweden</cx:pt>
          <cx:pt idx="3">United States</cx:pt>
          <cx:pt idx="4">Austria</cx:pt>
          <cx:pt idx="5">United Kingdom</cx:pt>
          <cx:pt idx="6">Germany</cx:pt>
          <cx:pt idx="7">Netherlands</cx:pt>
          <cx:pt idx="8">Denmark</cx:pt>
          <cx:pt idx="9">France</cx:pt>
        </cx:lvl>
        <cx:lvl ptCount="0"/>
        <cx:lvl ptCount="0"/>
      </cx:strDim>
      <cx:numDim type="size">
        <cx:f>Sheet1!$B$2:$B$17</cx:f>
        <cx:lvl ptCount="16" formatCode="_(&quot;$&quot;* #,##0.00_);_(&quot;$&quot;* \(#,##0.00\);_(&quot;$&quot;* &quot;-&quot;??_);_(@_)">
          <cx:pt idx="0">110522</cx:pt>
          <cx:pt idx="1">128276</cx:pt>
          <cx:pt idx="2">193673</cx:pt>
          <cx:pt idx="3">480075</cx:pt>
          <cx:pt idx="4">184721</cx:pt>
          <cx:pt idx="5">95235</cx:pt>
          <cx:pt idx="6">643718</cx:pt>
          <cx:pt idx="7">172826</cx:pt>
          <cx:pt idx="8">50992</cx:pt>
          <cx:pt idx="9">214133</cx:pt>
        </cx:lvl>
      </cx:numDim>
    </cx:data>
  </cx:chartData>
  <cx:chart>
    <cx:plotArea>
      <cx:plotAreaRegion>
        <cx:series layoutId="treemap" uniqueId="{7A651AD2-3A04-437C-A0CD-5584D5507A16}">
          <cx:tx>
            <cx:txData>
              <cx:f>Sheet1!$B$1</cx:f>
              <cx:v>Series1</cx:v>
            </cx:txData>
          </cx:tx>
          <cx:dataPt idx="0">
            <cx:spPr>
              <a:solidFill>
                <a:srgbClr val="E2B900"/>
              </a:solidFill>
              <a:effectLst>
                <a:outerShdw blurRad="50800" dist="50800" dir="600000" algn="ctr" rotWithShape="0">
                  <a:srgbClr val="000000">
                    <a:alpha val="43137"/>
                  </a:srgbClr>
                </a:outerShdw>
              </a:effectLst>
            </cx:spPr>
          </cx:dataPt>
          <cx:dataPt idx="1">
            <cx:spPr>
              <a:solidFill>
                <a:srgbClr val="3D3555"/>
              </a:solidFill>
              <a:effectLst>
                <a:outerShdw blurRad="50800" dist="50800" sx="1000" sy="1000" algn="ctr" rotWithShape="0">
                  <a:srgbClr val="000000">
                    <a:alpha val="43137"/>
                  </a:srgbClr>
                </a:outerShdw>
              </a:effectLst>
            </cx:spPr>
          </cx:dataPt>
          <cx:dataPt idx="2">
            <cx:spPr>
              <a:solidFill>
                <a:srgbClr val="709C9D"/>
              </a:solidFill>
            </cx:spPr>
          </cx:dataPt>
          <cx:dataPt idx="3">
            <cx:spPr>
              <a:solidFill>
                <a:srgbClr val="00807F"/>
              </a:solidFill>
            </cx:spPr>
          </cx:dataPt>
          <cx:dataPt idx="4">
            <cx:spPr>
              <a:solidFill>
                <a:srgbClr val="20AAE1"/>
              </a:solidFill>
            </cx:spPr>
          </cx:dataPt>
          <cx:dataPt idx="5">
            <cx:spPr>
              <a:solidFill>
                <a:srgbClr val="C88F42"/>
              </a:solidFill>
            </cx:spPr>
          </cx:dataPt>
          <cx:dataPt idx="6">
            <cx:spPr>
              <a:solidFill>
                <a:srgbClr val="7AD6EB"/>
              </a:solidFill>
            </cx:spPr>
          </cx:dataPt>
          <cx:dataPt idx="7">
            <cx:spPr>
              <a:solidFill>
                <a:srgbClr val="19907F"/>
              </a:solidFill>
            </cx:spPr>
          </cx:dataPt>
          <cx:dataPt idx="8">
            <cx:spPr>
              <a:solidFill>
                <a:srgbClr val="BDDC5B"/>
              </a:solidFill>
            </cx:spPr>
          </cx:dataPt>
          <cx:dataPt idx="9">
            <cx:spPr>
              <a:solidFill>
                <a:srgbClr val="2B5068"/>
              </a:solidFill>
            </cx:spPr>
          </cx:dataPt>
          <cx:dataLabels pos="inEnd">
            <cx:numFmt formatCode="_($* #,##0_);_($* (#,##0);_($* &quot;-&quot;_);_(@_)" sourceLinked="0"/>
            <cx:txPr>
              <a:bodyPr vertOverflow="overflow" horzOverflow="overflow" wrap="square" lIns="0" tIns="0" rIns="0" bIns="0"/>
              <a:lstStyle/>
              <a:p>
                <a:pPr algn="ctr" rtl="0">
                  <a:defRPr sz="800" b="1" i="0">
                    <a:solidFill>
                      <a:srgbClr val="FFFFFF"/>
                    </a:solidFill>
                    <a:latin typeface="Times New Roman" panose="02020603050405020304" pitchFamily="18" charset="0"/>
                    <a:ea typeface="Times New Roman" panose="02020603050405020304" pitchFamily="18" charset="0"/>
                    <a:cs typeface="Times New Roman" panose="02020603050405020304" pitchFamily="18" charset="0"/>
                  </a:defRPr>
                </a:pPr>
                <a:endParaRPr lang="en-US" sz="800" b="1">
                  <a:latin typeface="Times New Roman" panose="02020603050405020304" pitchFamily="18" charset="0"/>
                  <a:ea typeface="Roboto" pitchFamily="2" charset="0"/>
                  <a:cs typeface="Times New Roman" panose="02020603050405020304" pitchFamily="18" charset="0"/>
                </a:endParaRPr>
              </a:p>
            </cx:txPr>
            <cx:visibility seriesName="0" categoryName="1" value="1"/>
            <cx:separator>
</cx:separator>
            <cx:dataLabel idx="0">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Norway
 $110,522 </a:t>
                  </a:r>
                </a:p>
              </cx:txPr>
              <cx:visibility seriesName="0" categoryName="1" value="1"/>
              <cx:separator>
</cx:separator>
            </cx:dataLabel>
            <cx:dataLabel idx="1">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Switzerland
 $128,276 </a:t>
                  </a:r>
                </a:p>
              </cx:txPr>
              <cx:visibility seriesName="0" categoryName="1" value="1"/>
              <cx:separator>
</cx:separator>
            </cx:dataLabel>
            <cx:dataLabel idx="2">
              <cx:numFmt formatCode="_($* #,##0_);_($* (#,##0);_($* &quot;-&quot;_);_(@_)" sourceLinked="0"/>
              <cx:txPr>
                <a:bodyPr vertOverflow="overflow" horzOverflow="overflow" wrap="square" lIns="0" tIns="0" rIns="0" bIns="0"/>
                <a:lstStyle/>
                <a:p>
                  <a:pPr algn="ctr" rtl="0">
                    <a:defRPr sz="700">
                      <a:latin typeface="Times New Roman" panose="02020603050405020304" pitchFamily="18" charset="0"/>
                      <a:ea typeface="Times New Roman" panose="02020603050405020304" pitchFamily="18" charset="0"/>
                      <a:cs typeface="Times New Roman" panose="02020603050405020304" pitchFamily="18" charset="0"/>
                    </a:defRPr>
                  </a:pPr>
                  <a:r>
                    <a:rPr lang="en-US" sz="700" b="1">
                      <a:latin typeface="Times New Roman" panose="02020603050405020304" pitchFamily="18" charset="0"/>
                      <a:ea typeface="Roboto" pitchFamily="2" charset="0"/>
                      <a:cs typeface="Times New Roman" panose="02020603050405020304" pitchFamily="18" charset="0"/>
                    </a:rPr>
                    <a:t>Sweden
 $193,673 </a:t>
                  </a:r>
                </a:p>
              </cx:txPr>
              <cx:visibility seriesName="0" categoryName="1" value="1"/>
              <cx:separator>
</cx:separator>
            </cx:dataLabel>
            <cx:dataLabel idx="3">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United States
 $480,075 </a:t>
                  </a:r>
                </a:p>
              </cx:txPr>
              <cx:visibility seriesName="0" categoryName="1" value="1"/>
              <cx:separator>
</cx:separator>
            </cx:dataLabel>
            <cx:dataLabel idx="4">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Austria
 $184,721 </a:t>
                  </a:r>
                </a:p>
              </cx:txPr>
              <cx:visibility seriesName="0" categoryName="1" value="1"/>
              <cx:separator>
</cx:separator>
            </cx:dataLabel>
            <cx:dataLabel idx="5">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United Kingdom
 $95,235 </a:t>
                  </a:r>
                </a:p>
              </cx:txPr>
              <cx:visibility seriesName="0" categoryName="1" value="1"/>
              <cx:separator>
</cx:separator>
            </cx:dataLabel>
            <cx:dataLabel idx="6">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Germany
 $643,718 </a:t>
                  </a:r>
                </a:p>
              </cx:txPr>
              <cx:visibility seriesName="0" categoryName="1" value="1"/>
              <cx:separator>
</cx:separator>
            </cx:dataLabel>
            <cx:dataLabel idx="7">
              <cx:numFmt formatCode="_($* #,##0_);_($* (#,##0);_($* &quot;-&quot;_);_(@_)" sourceLinked="0"/>
              <cx:txPr>
                <a:bodyPr vertOverflow="overflow" horzOverflow="overflow" wrap="square" lIns="0" tIns="0" rIns="0" bIns="0"/>
                <a:lstStyle/>
                <a:p>
                  <a:pPr algn="ctr" rtl="0">
                    <a:defRPr sz="800" spc="0" baseline="0"/>
                  </a:pPr>
                  <a:r>
                    <a:rPr lang="en-US" sz="800" b="1" spc="0" baseline="0">
                      <a:latin typeface="Times New Roman" panose="02020603050405020304" pitchFamily="18" charset="0"/>
                      <a:ea typeface="Roboto" pitchFamily="2" charset="0"/>
                      <a:cs typeface="Times New Roman" panose="02020603050405020304" pitchFamily="18" charset="0"/>
                    </a:rPr>
                    <a:t>Netherlands
 $172,826 </a:t>
                  </a:r>
                </a:p>
              </cx:txPr>
              <cx:visibility seriesName="0" categoryName="1" value="1"/>
              <cx:separator>
</cx:separator>
            </cx:dataLabel>
            <cx:dataLabel idx="8">
              <cx:numFmt formatCode="_($* #,##0_);_($* (#,##0);_($* &quot;-&quot;_);_(@_)" sourceLinked="0"/>
              <cx:txPr>
                <a:bodyPr vertOverflow="overflow" horzOverflow="overflow" wrap="square" lIns="0" tIns="0" rIns="0" bIns="0"/>
                <a:lstStyle/>
                <a:p>
                  <a:pPr algn="ctr" rtl="0">
                    <a:defRPr sz="800">
                      <a:latin typeface="Times New Roman" panose="02020603050405020304" pitchFamily="18" charset="0"/>
                      <a:ea typeface="Times New Roman" panose="02020603050405020304" pitchFamily="18" charset="0"/>
                      <a:cs typeface="Times New Roman" panose="02020603050405020304" pitchFamily="18" charset="0"/>
                    </a:defRPr>
                  </a:pPr>
                  <a:r>
                    <a:rPr lang="en-US" sz="800" b="1">
                      <a:latin typeface="Times New Roman" panose="02020603050405020304" pitchFamily="18" charset="0"/>
                      <a:ea typeface="Roboto" pitchFamily="2" charset="0"/>
                      <a:cs typeface="Times New Roman" panose="02020603050405020304" pitchFamily="18" charset="0"/>
                    </a:rPr>
                    <a:t>Denmark
 $50,992 </a:t>
                  </a:r>
                </a:p>
              </cx:txPr>
              <cx:visibility seriesName="0" categoryName="1" value="1"/>
              <cx:separator>
</cx:separator>
            </cx:dataLabel>
            <cx:dataLabel idx="9">
              <cx:numFmt formatCode="_($* #,##0_);_($* (#,##0);_($* &quot;-&quot;_);_(@_)" sourceLinked="0"/>
              <cx:txPr>
                <a:bodyPr vertOverflow="overflow" horzOverflow="overflow" wrap="square" lIns="0" tIns="0" rIns="0" bIns="0"/>
                <a:lstStyle/>
                <a:p>
                  <a:pPr algn="ctr" rtl="0">
                    <a:defRPr sz="800"/>
                  </a:pPr>
                  <a:r>
                    <a:rPr lang="en-US" sz="800" b="1">
                      <a:latin typeface="Times New Roman" panose="02020603050405020304" pitchFamily="18" charset="0"/>
                      <a:ea typeface="Roboto" pitchFamily="2" charset="0"/>
                      <a:cs typeface="Times New Roman" panose="02020603050405020304" pitchFamily="18" charset="0"/>
                    </a:rPr>
                    <a:t>France
 $214,133 </a:t>
                  </a:r>
                </a:p>
              </cx:txPr>
              <cx:visibility seriesName="0" categoryName="1" value="1"/>
              <cx:separator>
</cx:separator>
            </cx:dataLabel>
          </cx:dataLabels>
          <cx:dataId val="0"/>
          <cx:layoutPr>
            <cx:parentLabelLayout val="none"/>
          </cx:layoutPr>
        </cx:series>
      </cx:plotAreaRegion>
    </cx:plotArea>
  </cx:chart>
</cx: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410">
  <cs:axisTitle>
    <cs:lnRef idx="0"/>
    <cs:fillRef idx="0"/>
    <cs:effectRef idx="0"/>
    <cs:fontRef idx="minor">
      <a:schemeClr val="tx1">
        <a:lumMod val="65000"/>
        <a:lumOff val="35000"/>
      </a:schemeClr>
    </cs:fontRef>
    <cs:spPr>
      <a:solidFill>
        <a:schemeClr val="bg1">
          <a:lumMod val="65000"/>
        </a:schemeClr>
      </a:solidFill>
      <a:ln w="19050">
        <a:solidFill>
          <a:schemeClr val="bg1"/>
        </a:solidFill>
      </a:ln>
    </cs:spPr>
    <cs:defRPr sz="1197"/>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cs:chartArea>
  <cs:dataLabel>
    <cs:lnRef idx="0"/>
    <cs:fillRef idx="0"/>
    <cs:effectRef idx="0"/>
    <cs:fontRef idx="minor">
      <a:schemeClr val="lt1"/>
    </cs:fontRef>
    <cs:defRPr sz="1197"/>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tx1"/>
    </cs:fontRef>
    <cs:spPr>
      <a:solidFill>
        <a:schemeClr val="phClr"/>
      </a:solidFill>
      <a:ln w="19050">
        <a:solidFill>
          <a:schemeClr val="lt1"/>
        </a:solidFill>
      </a:ln>
    </cs:spPr>
  </cs:dataPoint>
  <cs:dataPoint3D>
    <cs:lnRef idx="0"/>
    <cs:fillRef idx="0">
      <cs:styleClr val="auto"/>
    </cs:fillRef>
    <cs:effectRef idx="0"/>
    <cs:fontRef idx="minor">
      <a:schemeClr val="tx1"/>
    </cs:fontRef>
    <cs:spPr>
      <a:solidFill>
        <a:schemeClr val="phClr"/>
      </a:solidFill>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fillRef idx="0">
      <cs:styleClr val="auto"/>
    </cs:fillRef>
    <cs:effectRef idx="0"/>
    <cs:fontRef idx="minor">
      <a:schemeClr val="tx1"/>
    </cs:fontRef>
    <cs:spPr>
      <a:solidFill>
        <a:schemeClr val="phClr"/>
      </a:solidFill>
      <a:ln w="9525">
        <a:solidFill>
          <a:schemeClr val="lt1"/>
        </a:solidFill>
      </a:ln>
    </cs:spPr>
  </cs:dataPointMarker>
  <cs:dataPointMarkerLayout symbol="circle" size="5"/>
  <cs:dataPointWireframe>
    <cs:lnRef idx="0">
      <cs:styleClr val="auto"/>
    </cs:lnRef>
    <cs:fillRef idx="0"/>
    <cs:effectRef idx="0"/>
    <cs:fontRef idx="minor">
      <a:schemeClr val="tx1"/>
    </cs:fontRef>
    <cs:spPr>
      <a:ln w="2857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1197"/>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15000"/>
            <a:lumOff val="8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cs:seriesAxis>
  <cs:seriesLine>
    <cs:lnRef idx="0"/>
    <cs:fillRef idx="0"/>
    <cs:effectRef idx="0"/>
    <cs:fontRef idx="minor">
      <a:schemeClr val="tx1"/>
    </cs:fontRef>
    <cs:spPr>
      <a:ln w="9525" cap="flat">
        <a:solidFill>
          <a:srgbClr val="D9D9D9"/>
        </a:solidFill>
        <a:round/>
      </a:ln>
    </cs:spPr>
  </cs:seriesLine>
  <cs:title>
    <cs:lnRef idx="0"/>
    <cs:fillRef idx="0"/>
    <cs:effectRef idx="0"/>
    <cs:fontRef idx="minor">
      <a:schemeClr val="tx1">
        <a:lumMod val="65000"/>
        <a:lumOff val="35000"/>
      </a:schemeClr>
    </cs:fontRef>
    <cs:defRPr sz="1862"/>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1197"/>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1197"/>
  </cs:valueAxis>
  <cs:wall>
    <cs:lnRef idx="0"/>
    <cs:fillRef idx="0"/>
    <cs:effectRef idx="0"/>
    <cs:fontRef idx="minor">
      <a:schemeClr val="tx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29E2B5-AFCD-460B-B237-3BC20A60D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E18777B-0A97-43F5-9976-7627E81070B3}">
  <ds:schemaRefs>
    <ds:schemaRef ds:uri="http://purl.org/dc/dcmitype/"/>
    <ds:schemaRef ds:uri="http://www.w3.org/XML/1998/namespace"/>
    <ds:schemaRef ds:uri="a591afa8-fd54-42f1-9ea9-749d51e1c00b"/>
    <ds:schemaRef ds:uri="http://schemas.microsoft.com/office/2006/metadata/properties"/>
    <ds:schemaRef ds:uri="http://purl.org/dc/terms/"/>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85ec44e-1bab-4c0b-9df0-6ba128686fc9"/>
    <ds:schemaRef ds:uri="44b29a07-ae0c-4297-aad9-2f7ae2e24b8e"/>
    <ds:schemaRef ds:uri="822da31b-d518-49e2-88cd-1351ccd720a8"/>
  </ds:schemaRefs>
</ds:datastoreItem>
</file>

<file path=customXml/itemProps3.xml><?xml version="1.0" encoding="utf-8"?>
<ds:datastoreItem xmlns:ds="http://schemas.openxmlformats.org/officeDocument/2006/customXml" ds:itemID="{0150C63D-F2EB-4B21-BF7E-AB5CA15E285A}">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6</Pages>
  <Words>2595</Words>
  <Characters>14793</Characters>
  <Application>Microsoft Office Word</Application>
  <DocSecurity>0</DocSecurity>
  <PresentationFormat/>
  <Lines>123</Lines>
  <Paragraphs>34</Paragraphs>
  <ScaleCrop>false</ScaleCrop>
  <Manager/>
  <Company/>
  <LinksUpToDate>false</LinksUpToDate>
  <CharactersWithSpaces>17354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UNON DCS</dc:creator>
  <cp:keywords/>
  <dc:description/>
  <cp:lastModifiedBy>My Linh Doan</cp:lastModifiedBy>
  <cp:revision>14</cp:revision>
  <cp:lastPrinted>2025-07-21T13:50:00Z</cp:lastPrinted>
  <dcterms:created xsi:type="dcterms:W3CDTF">2025-07-21T13:42:00Z</dcterms:created>
  <dcterms:modified xsi:type="dcterms:W3CDTF">2025-09-02T14:00:00Z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0</vt:lpwstr>
  </property>
  <property fmtid="{D5CDD505-2E9C-101B-9397-08002B2CF9AE}" pid="3" name="UNONDCSTES-Language">
    <vt:lpwstr>EN</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UNONDCSTES-Distr">
    <vt:lpwstr>Gen</vt:lpwstr>
  </property>
  <property fmtid="{D5CDD505-2E9C-101B-9397-08002B2CF9AE}" pid="10" name="MediaServiceImageTags">
    <vt:lpwstr/>
  </property>
  <property fmtid="{D5CDD505-2E9C-101B-9397-08002B2CF9AE}" pid="11" name="ContentTypeId">
    <vt:lpwstr>0x010100D4A186B34AAF4047A570F9DFA6808567</vt:lpwstr>
  </property>
</Properties>
</file>