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035D73" w:rsidRPr="004C544F" w14:paraId="3458F379" w14:textId="77777777" w:rsidTr="00035D73">
        <w:trPr>
          <w:trHeight w:val="850"/>
        </w:trPr>
        <w:tc>
          <w:tcPr>
            <w:tcW w:w="1559" w:type="dxa"/>
          </w:tcPr>
          <w:p w14:paraId="22E6004B" w14:textId="53766F91" w:rsidR="00035D73" w:rsidRPr="004C544F" w:rsidRDefault="009543C1" w:rsidP="004C544F">
            <w:pPr>
              <w:pStyle w:val="AUnitedNations"/>
              <w:rPr>
                <w:rFonts w:ascii="Times New Roman" w:eastAsia="SimHei" w:hAnsi="Times New Roman" w:cs="Times New Roman"/>
                <w:sz w:val="32"/>
                <w:szCs w:val="32"/>
                <w:lang w:eastAsia="zh-CN"/>
              </w:rPr>
            </w:pPr>
            <w:r w:rsidRPr="004C544F">
              <w:rPr>
                <w:rFonts w:ascii="Times New Roman" w:eastAsia="SimHei" w:hAnsi="Times New Roman" w:cs="Times New Roman"/>
                <w:color w:val="000000"/>
                <w:sz w:val="32"/>
                <w:szCs w:val="32"/>
                <w:lang w:eastAsia="zh-CN"/>
              </w:rPr>
              <w:t>联合国</w:t>
            </w:r>
          </w:p>
        </w:tc>
        <w:tc>
          <w:tcPr>
            <w:tcW w:w="6520" w:type="dxa"/>
          </w:tcPr>
          <w:p w14:paraId="6CA5F763" w14:textId="77BD6049" w:rsidR="00035D73" w:rsidRPr="004C544F" w:rsidRDefault="0055012A" w:rsidP="004C544F">
            <w:pPr>
              <w:pStyle w:val="Normal-pool"/>
            </w:pPr>
            <w:r w:rsidRPr="004C544F">
              <w:rPr>
                <w:noProof/>
              </w:rPr>
              <w:drawing>
                <wp:anchor distT="0" distB="0" distL="114300" distR="114300" simplePos="0" relativeHeight="251660288" behindDoc="0" locked="0" layoutInCell="1" allowOverlap="0" wp14:anchorId="3723C842" wp14:editId="72C65507">
                  <wp:simplePos x="0" y="0"/>
                  <wp:positionH relativeFrom="margin">
                    <wp:posOffset>-1905</wp:posOffset>
                  </wp:positionH>
                  <wp:positionV relativeFrom="paragraph">
                    <wp:posOffset>1905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36108F5F" w14:textId="77777777" w:rsidR="00035D73" w:rsidRPr="004C544F" w:rsidRDefault="00035D73" w:rsidP="004C544F">
            <w:pPr>
              <w:pStyle w:val="Normal-pool"/>
            </w:pPr>
          </w:p>
        </w:tc>
      </w:tr>
    </w:tbl>
    <w:p w14:paraId="47DA12C6" w14:textId="77777777" w:rsidR="009443D7" w:rsidRPr="004C544F" w:rsidRDefault="009443D7" w:rsidP="004C544F">
      <w:pPr>
        <w:pStyle w:val="ASpacer"/>
      </w:pPr>
    </w:p>
    <w:tbl>
      <w:tblPr>
        <w:tblW w:w="9496" w:type="dxa"/>
        <w:tblLook w:val="0000" w:firstRow="0" w:lastRow="0" w:firstColumn="0" w:lastColumn="0" w:noHBand="0" w:noVBand="0"/>
      </w:tblPr>
      <w:tblGrid>
        <w:gridCol w:w="6378"/>
        <w:gridCol w:w="3118"/>
      </w:tblGrid>
      <w:tr w:rsidR="000B5F1D" w:rsidRPr="004C544F" w14:paraId="1D75AAD6" w14:textId="77777777" w:rsidTr="007030EE">
        <w:trPr>
          <w:trHeight w:val="340"/>
        </w:trPr>
        <w:tc>
          <w:tcPr>
            <w:tcW w:w="3358" w:type="pct"/>
            <w:vAlign w:val="bottom"/>
          </w:tcPr>
          <w:p w14:paraId="407AB422" w14:textId="77777777" w:rsidR="000B5F1D" w:rsidRPr="004C544F" w:rsidRDefault="000B5F1D" w:rsidP="004C544F">
            <w:pPr>
              <w:pStyle w:val="Normal-pool"/>
            </w:pPr>
          </w:p>
        </w:tc>
        <w:tc>
          <w:tcPr>
            <w:tcW w:w="1642" w:type="pct"/>
            <w:noWrap/>
            <w:vAlign w:val="bottom"/>
          </w:tcPr>
          <w:p w14:paraId="3E5D543E" w14:textId="77777777" w:rsidR="000B5F1D" w:rsidRPr="004C544F" w:rsidRDefault="000B5F1D" w:rsidP="004C544F">
            <w:pPr>
              <w:pStyle w:val="ASymbol"/>
            </w:pPr>
            <w:r w:rsidRPr="004C544F">
              <w:rPr>
                <w:b/>
                <w:sz w:val="28"/>
              </w:rPr>
              <w:t>UNEP</w:t>
            </w:r>
            <w:r w:rsidRPr="004C544F">
              <w:t>/MC/COP.</w:t>
            </w:r>
            <w:bookmarkStart w:id="0" w:name="Symbol1A"/>
            <w:r w:rsidRPr="004C544F">
              <w:t>6</w:t>
            </w:r>
            <w:bookmarkStart w:id="1" w:name="Symbol1B"/>
            <w:bookmarkEnd w:id="0"/>
            <w:r w:rsidRPr="004C544F">
              <w:t>/11</w:t>
            </w:r>
            <w:bookmarkEnd w:id="1"/>
          </w:p>
        </w:tc>
      </w:tr>
    </w:tbl>
    <w:p w14:paraId="2D0643CB" w14:textId="77777777" w:rsidR="00035D73" w:rsidRPr="004C544F" w:rsidRDefault="00035D73" w:rsidP="004C544F">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35D73" w:rsidRPr="004C544F" w14:paraId="42EC19F5" w14:textId="77777777" w:rsidTr="00035D73">
        <w:trPr>
          <w:trHeight w:val="2098"/>
        </w:trPr>
        <w:tc>
          <w:tcPr>
            <w:tcW w:w="3685" w:type="dxa"/>
          </w:tcPr>
          <w:p w14:paraId="651BBC9F" w14:textId="4FA55328" w:rsidR="00035D73" w:rsidRPr="004C544F" w:rsidRDefault="00E01269" w:rsidP="004C544F">
            <w:pPr>
              <w:pStyle w:val="ALogo"/>
            </w:pPr>
            <w:r w:rsidRPr="004C544F">
              <w:rPr>
                <w:noProof/>
              </w:rPr>
              <w:drawing>
                <wp:inline distT="0" distB="0" distL="0" distR="0" wp14:anchorId="1473F70E" wp14:editId="3FD99F8A">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035D73" w:rsidRPr="004C544F">
              <w:rPr>
                <w:color w:val="000000"/>
              </w:rPr>
              <w:t xml:space="preserve"> </w:t>
            </w:r>
          </w:p>
          <w:p w14:paraId="097A3DBD" w14:textId="6BA99DE8" w:rsidR="00035D73" w:rsidRPr="004C544F" w:rsidRDefault="00035D73" w:rsidP="004C544F">
            <w:pPr>
              <w:pStyle w:val="ALogo"/>
            </w:pPr>
          </w:p>
        </w:tc>
        <w:tc>
          <w:tcPr>
            <w:tcW w:w="2693" w:type="dxa"/>
          </w:tcPr>
          <w:p w14:paraId="319F2CE4" w14:textId="77777777" w:rsidR="00035D73" w:rsidRPr="004C544F" w:rsidRDefault="00035D73" w:rsidP="004C544F">
            <w:pPr>
              <w:pStyle w:val="Normal-pool"/>
            </w:pPr>
          </w:p>
        </w:tc>
        <w:tc>
          <w:tcPr>
            <w:tcW w:w="3118" w:type="dxa"/>
          </w:tcPr>
          <w:p w14:paraId="35F2F81A" w14:textId="39E3A8A4" w:rsidR="00035D73" w:rsidRPr="004C544F" w:rsidRDefault="00035D73" w:rsidP="004C544F">
            <w:pPr>
              <w:pStyle w:val="AText"/>
            </w:pPr>
            <w:r w:rsidRPr="004C544F">
              <w:rPr>
                <w:color w:val="000000"/>
              </w:rPr>
              <w:t xml:space="preserve">Distr.: </w:t>
            </w:r>
            <w:bookmarkStart w:id="2" w:name="Distribution"/>
            <w:r w:rsidR="003F0E5B" w:rsidRPr="004C544F">
              <w:rPr>
                <w:color w:val="000000"/>
              </w:rPr>
              <w:t>General</w:t>
            </w:r>
            <w:bookmarkEnd w:id="2"/>
            <w:r w:rsidRPr="004C544F">
              <w:rPr>
                <w:color w:val="000000"/>
              </w:rPr>
              <w:t xml:space="preserve"> </w:t>
            </w:r>
          </w:p>
          <w:p w14:paraId="2409D175" w14:textId="3F73C117" w:rsidR="00035D73" w:rsidRPr="004C544F" w:rsidRDefault="003F0E5B" w:rsidP="004C544F">
            <w:pPr>
              <w:pStyle w:val="AText0"/>
            </w:pPr>
            <w:bookmarkStart w:id="3" w:name="DistributionDate"/>
            <w:r w:rsidRPr="004C544F">
              <w:rPr>
                <w:color w:val="000000"/>
              </w:rPr>
              <w:t>3 July 2025</w:t>
            </w:r>
            <w:bookmarkEnd w:id="3"/>
            <w:r w:rsidR="000B5F1D" w:rsidRPr="004C544F">
              <w:rPr>
                <w:color w:val="000000"/>
              </w:rPr>
              <w:t xml:space="preserve"> </w:t>
            </w:r>
          </w:p>
          <w:p w14:paraId="4289FE43" w14:textId="59EBA05C" w:rsidR="00035D73" w:rsidRPr="004C544F" w:rsidRDefault="0055012A" w:rsidP="004C544F">
            <w:pPr>
              <w:pStyle w:val="AText"/>
            </w:pPr>
            <w:bookmarkStart w:id="4" w:name="DistributionLang"/>
            <w:r w:rsidRPr="004C544F">
              <w:rPr>
                <w:rFonts w:eastAsiaTheme="minorEastAsia" w:hint="eastAsia"/>
                <w:color w:val="000000"/>
                <w:lang w:eastAsia="zh-CN"/>
              </w:rPr>
              <w:t>Chinese</w:t>
            </w:r>
            <w:r w:rsidR="000B5F1D" w:rsidRPr="004C544F">
              <w:rPr>
                <w:rFonts w:eastAsiaTheme="minorEastAsia"/>
                <w:color w:val="000000"/>
                <w:lang w:eastAsia="zh-CN"/>
              </w:rPr>
              <w:t xml:space="preserve"> </w:t>
            </w:r>
            <w:r w:rsidRPr="004C544F">
              <w:rPr>
                <w:rFonts w:eastAsiaTheme="minorEastAsia"/>
                <w:color w:val="000000"/>
                <w:lang w:eastAsia="zh-CN"/>
              </w:rPr>
              <w:br/>
            </w:r>
            <w:r w:rsidR="00035D73" w:rsidRPr="004C544F">
              <w:rPr>
                <w:color w:val="000000"/>
              </w:rPr>
              <w:t>Original: English</w:t>
            </w:r>
            <w:bookmarkEnd w:id="4"/>
          </w:p>
        </w:tc>
      </w:tr>
    </w:tbl>
    <w:p w14:paraId="26D3A770" w14:textId="77777777" w:rsidR="00035D73" w:rsidRPr="004C544F" w:rsidRDefault="00035D73" w:rsidP="004C544F">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35D73" w:rsidRPr="004C544F" w14:paraId="36BD4EC6" w14:textId="77777777" w:rsidTr="00035D73">
        <w:trPr>
          <w:trHeight w:val="57"/>
        </w:trPr>
        <w:tc>
          <w:tcPr>
            <w:tcW w:w="5301" w:type="dxa"/>
          </w:tcPr>
          <w:p w14:paraId="4BC4822C" w14:textId="77777777" w:rsidR="00035D73" w:rsidRPr="004C544F" w:rsidRDefault="00035D73" w:rsidP="004C544F">
            <w:pPr>
              <w:pStyle w:val="AATitle"/>
              <w:rPr>
                <w:rFonts w:eastAsia="SimHei"/>
                <w:sz w:val="24"/>
                <w:szCs w:val="24"/>
                <w:lang w:eastAsia="zh-CN"/>
              </w:rPr>
            </w:pPr>
            <w:bookmarkStart w:id="5" w:name="CorNot1Text"/>
            <w:r w:rsidRPr="004C544F">
              <w:rPr>
                <w:rFonts w:eastAsia="SimHei"/>
                <w:bCs/>
                <w:color w:val="000000"/>
                <w:sz w:val="24"/>
                <w:szCs w:val="24"/>
                <w:lang w:val="zh-CN" w:eastAsia="zh-CN"/>
              </w:rPr>
              <w:t>关于汞的水</w:t>
            </w:r>
            <w:proofErr w:type="gramStart"/>
            <w:r w:rsidRPr="004C544F">
              <w:rPr>
                <w:rFonts w:eastAsia="SimHei"/>
                <w:bCs/>
                <w:color w:val="000000"/>
                <w:sz w:val="24"/>
                <w:szCs w:val="24"/>
                <w:lang w:val="zh-CN" w:eastAsia="zh-CN"/>
              </w:rPr>
              <w:t>俣</w:t>
            </w:r>
            <w:proofErr w:type="gramEnd"/>
            <w:r w:rsidRPr="004C544F">
              <w:rPr>
                <w:rFonts w:eastAsia="SimHei"/>
                <w:bCs/>
                <w:color w:val="000000"/>
                <w:sz w:val="24"/>
                <w:szCs w:val="24"/>
                <w:lang w:val="zh-CN" w:eastAsia="zh-CN"/>
              </w:rPr>
              <w:t>公约缔约方大会</w:t>
            </w:r>
          </w:p>
          <w:p w14:paraId="00E49D0B" w14:textId="6637AD70" w:rsidR="00035D73" w:rsidRPr="004C544F" w:rsidRDefault="00035D73" w:rsidP="004C544F">
            <w:pPr>
              <w:pStyle w:val="AATitle"/>
              <w:rPr>
                <w:rFonts w:eastAsia="SimHei"/>
                <w:sz w:val="24"/>
                <w:szCs w:val="24"/>
                <w:lang w:eastAsia="zh-CN"/>
              </w:rPr>
            </w:pPr>
            <w:r w:rsidRPr="004C544F">
              <w:rPr>
                <w:rFonts w:eastAsia="SimHei"/>
                <w:bCs/>
                <w:color w:val="000000"/>
                <w:sz w:val="24"/>
                <w:szCs w:val="24"/>
                <w:lang w:val="zh-CN" w:eastAsia="zh-CN"/>
              </w:rPr>
              <w:t>第六次会议</w:t>
            </w:r>
            <w:bookmarkEnd w:id="5"/>
          </w:p>
          <w:p w14:paraId="0ACCD764" w14:textId="4F3A83D8" w:rsidR="00035D73" w:rsidRPr="004C544F" w:rsidRDefault="00035D73" w:rsidP="004C544F">
            <w:pPr>
              <w:pStyle w:val="AATitle1"/>
              <w:rPr>
                <w:rFonts w:eastAsia="SimSun"/>
                <w:sz w:val="24"/>
                <w:szCs w:val="24"/>
                <w:lang w:eastAsia="zh-CN"/>
              </w:rPr>
            </w:pPr>
            <w:bookmarkStart w:id="6" w:name="CorNot1VenueDate"/>
            <w:r w:rsidRPr="004C544F">
              <w:rPr>
                <w:rFonts w:eastAsia="SimSun"/>
                <w:color w:val="000000"/>
                <w:sz w:val="24"/>
                <w:szCs w:val="24"/>
                <w:lang w:val="zh-CN" w:eastAsia="zh-CN"/>
              </w:rPr>
              <w:t>2025</w:t>
            </w:r>
            <w:r w:rsidRPr="004C544F">
              <w:rPr>
                <w:rFonts w:eastAsia="SimSun"/>
                <w:color w:val="000000"/>
                <w:sz w:val="24"/>
                <w:szCs w:val="24"/>
                <w:lang w:val="zh-CN" w:eastAsia="zh-CN"/>
              </w:rPr>
              <w:t>年</w:t>
            </w:r>
            <w:r w:rsidRPr="004C544F">
              <w:rPr>
                <w:rFonts w:eastAsia="SimSun"/>
                <w:color w:val="000000"/>
                <w:sz w:val="24"/>
                <w:szCs w:val="24"/>
                <w:lang w:val="zh-CN" w:eastAsia="zh-CN"/>
              </w:rPr>
              <w:t>11</w:t>
            </w:r>
            <w:r w:rsidRPr="004C544F">
              <w:rPr>
                <w:rFonts w:eastAsia="SimSun"/>
                <w:color w:val="000000"/>
                <w:sz w:val="24"/>
                <w:szCs w:val="24"/>
                <w:lang w:val="zh-CN" w:eastAsia="zh-CN"/>
              </w:rPr>
              <w:t>月</w:t>
            </w:r>
            <w:r w:rsidRPr="004C544F">
              <w:rPr>
                <w:rFonts w:eastAsia="SimSun"/>
                <w:color w:val="000000"/>
                <w:sz w:val="24"/>
                <w:szCs w:val="24"/>
                <w:lang w:val="zh-CN" w:eastAsia="zh-CN"/>
              </w:rPr>
              <w:t>3</w:t>
            </w:r>
            <w:r w:rsidRPr="004C544F">
              <w:rPr>
                <w:rFonts w:eastAsia="SimSun"/>
                <w:color w:val="000000"/>
                <w:sz w:val="24"/>
                <w:szCs w:val="24"/>
                <w:lang w:val="zh-CN" w:eastAsia="zh-CN"/>
              </w:rPr>
              <w:t>日至</w:t>
            </w:r>
            <w:r w:rsidRPr="004C544F">
              <w:rPr>
                <w:rFonts w:eastAsia="SimSun"/>
                <w:color w:val="000000"/>
                <w:sz w:val="24"/>
                <w:szCs w:val="24"/>
                <w:lang w:val="zh-CN" w:eastAsia="zh-CN"/>
              </w:rPr>
              <w:t>7</w:t>
            </w:r>
            <w:r w:rsidRPr="004C544F">
              <w:rPr>
                <w:rFonts w:eastAsia="SimSun"/>
                <w:color w:val="000000"/>
                <w:sz w:val="24"/>
                <w:szCs w:val="24"/>
                <w:lang w:val="zh-CN" w:eastAsia="zh-CN"/>
              </w:rPr>
              <w:t>日，日内瓦</w:t>
            </w:r>
            <w:bookmarkEnd w:id="6"/>
          </w:p>
          <w:p w14:paraId="2AEEDA16" w14:textId="6D5D40BB" w:rsidR="00035D73" w:rsidRPr="004C544F" w:rsidRDefault="003F0E5B" w:rsidP="004C544F">
            <w:pPr>
              <w:pStyle w:val="AATitle1"/>
              <w:rPr>
                <w:rFonts w:eastAsia="SimSun"/>
                <w:sz w:val="24"/>
                <w:szCs w:val="24"/>
                <w:lang w:eastAsia="zh-CN"/>
              </w:rPr>
            </w:pPr>
            <w:bookmarkStart w:id="7" w:name="CorNot1AgItem"/>
            <w:r w:rsidRPr="004C544F">
              <w:rPr>
                <w:rFonts w:eastAsia="SimSun"/>
                <w:color w:val="000000"/>
                <w:sz w:val="24"/>
                <w:szCs w:val="24"/>
                <w:lang w:val="zh-CN" w:eastAsia="zh-CN"/>
              </w:rPr>
              <w:t>临时议程</w:t>
            </w:r>
            <w:r w:rsidR="00562DBA" w:rsidRPr="004C544F">
              <w:rPr>
                <w:rStyle w:val="FootnoteReference"/>
                <w:noProof/>
                <w:spacing w:val="0"/>
                <w:w w:val="100"/>
                <w:position w:val="0"/>
                <w:sz w:val="24"/>
                <w:szCs w:val="24"/>
                <w:vertAlign w:val="baseline"/>
                <w:lang w:val="zh-CN" w:eastAsia="zh-CN"/>
              </w:rPr>
              <w:footnoteReference w:customMarkFollows="1" w:id="2"/>
              <w:t>*</w:t>
            </w:r>
            <w:r w:rsidRPr="004C544F">
              <w:rPr>
                <w:rFonts w:eastAsia="SimSun"/>
                <w:color w:val="000000"/>
                <w:sz w:val="24"/>
                <w:szCs w:val="24"/>
                <w:lang w:val="zh-CN" w:eastAsia="zh-CN"/>
              </w:rPr>
              <w:t>项目</w:t>
            </w:r>
            <w:r w:rsidRPr="004C544F">
              <w:rPr>
                <w:rFonts w:eastAsia="SimSun"/>
                <w:color w:val="000000"/>
                <w:sz w:val="24"/>
                <w:szCs w:val="24"/>
                <w:lang w:val="zh-CN" w:eastAsia="zh-CN"/>
              </w:rPr>
              <w:t>4 (e) (</w:t>
            </w:r>
            <w:r w:rsidRPr="004C544F">
              <w:rPr>
                <w:rFonts w:eastAsia="SimSun"/>
                <w:color w:val="000000"/>
                <w:sz w:val="24"/>
                <w:szCs w:val="24"/>
                <w:lang w:val="zh-CN" w:eastAsia="zh-CN"/>
              </w:rPr>
              <w:t>二</w:t>
            </w:r>
            <w:r w:rsidRPr="004C544F">
              <w:rPr>
                <w:rFonts w:eastAsia="SimSun"/>
                <w:color w:val="000000"/>
                <w:sz w:val="24"/>
                <w:szCs w:val="24"/>
                <w:lang w:val="zh-CN" w:eastAsia="zh-CN"/>
              </w:rPr>
              <w:t>)</w:t>
            </w:r>
            <w:bookmarkEnd w:id="7"/>
          </w:p>
          <w:p w14:paraId="515809EC" w14:textId="406BD46C" w:rsidR="00035D73" w:rsidRPr="004C544F" w:rsidRDefault="002E3B3E" w:rsidP="004C544F">
            <w:pPr>
              <w:pStyle w:val="AATitle2"/>
              <w:rPr>
                <w:lang w:eastAsia="zh-CN"/>
              </w:rPr>
            </w:pPr>
            <w:bookmarkStart w:id="8" w:name="CorNot1AgTitle"/>
            <w:r w:rsidRPr="004C544F">
              <w:rPr>
                <w:rFonts w:eastAsia="SimHei"/>
                <w:bCs/>
                <w:color w:val="000000"/>
                <w:sz w:val="24"/>
                <w:szCs w:val="24"/>
                <w:lang w:val="zh-CN" w:eastAsia="zh-CN"/>
              </w:rPr>
              <w:t>供缔约方大会审议或采取行动的事项：</w:t>
            </w:r>
            <w:r w:rsidR="000B5F1D" w:rsidRPr="004C544F">
              <w:rPr>
                <w:rFonts w:eastAsia="SimHei"/>
                <w:bCs/>
                <w:color w:val="000000"/>
                <w:sz w:val="24"/>
                <w:szCs w:val="24"/>
                <w:lang w:val="en-US" w:eastAsia="zh-CN"/>
              </w:rPr>
              <w:br/>
            </w:r>
            <w:r w:rsidRPr="004C544F">
              <w:rPr>
                <w:rFonts w:eastAsia="SimHei"/>
                <w:bCs/>
                <w:color w:val="000000"/>
                <w:sz w:val="24"/>
                <w:szCs w:val="24"/>
                <w:lang w:val="zh-CN" w:eastAsia="zh-CN"/>
              </w:rPr>
              <w:t>财政资源和财务机制：支持能力建设和</w:t>
            </w:r>
            <w:r w:rsidR="000B5F1D" w:rsidRPr="004C544F">
              <w:rPr>
                <w:rFonts w:eastAsia="SimHei"/>
                <w:bCs/>
                <w:color w:val="000000"/>
                <w:sz w:val="24"/>
                <w:szCs w:val="24"/>
                <w:lang w:val="en-US" w:eastAsia="zh-CN"/>
              </w:rPr>
              <w:br/>
            </w:r>
            <w:r w:rsidRPr="004C544F">
              <w:rPr>
                <w:rFonts w:eastAsia="SimHei"/>
                <w:bCs/>
                <w:color w:val="000000"/>
                <w:sz w:val="24"/>
                <w:szCs w:val="24"/>
                <w:lang w:val="zh-CN" w:eastAsia="zh-CN"/>
              </w:rPr>
              <w:t>技术援助的专门国际方案</w:t>
            </w:r>
            <w:bookmarkEnd w:id="8"/>
          </w:p>
        </w:tc>
        <w:tc>
          <w:tcPr>
            <w:tcW w:w="4195" w:type="dxa"/>
          </w:tcPr>
          <w:p w14:paraId="398176F4" w14:textId="77777777" w:rsidR="00035D73" w:rsidRPr="004C544F" w:rsidRDefault="00035D73" w:rsidP="004C544F">
            <w:pPr>
              <w:pStyle w:val="Normal-pool"/>
              <w:rPr>
                <w:lang w:eastAsia="zh-CN"/>
              </w:rPr>
            </w:pPr>
          </w:p>
        </w:tc>
      </w:tr>
    </w:tbl>
    <w:p w14:paraId="5EEFD4AF" w14:textId="77777777" w:rsidR="00FF1D0E" w:rsidRPr="004C544F" w:rsidRDefault="00FF1D0E" w:rsidP="004C544F">
      <w:pPr>
        <w:pStyle w:val="BBTitle"/>
        <w:ind w:left="1253" w:right="0"/>
        <w:rPr>
          <w:rFonts w:eastAsia="SimHei"/>
          <w:noProof/>
          <w:sz w:val="32"/>
          <w:szCs w:val="32"/>
          <w:lang w:eastAsia="zh-CN"/>
        </w:rPr>
      </w:pPr>
      <w:r w:rsidRPr="004C544F">
        <w:rPr>
          <w:rFonts w:eastAsia="SimHei"/>
          <w:bCs/>
          <w:sz w:val="32"/>
          <w:szCs w:val="32"/>
          <w:lang w:val="zh-CN" w:eastAsia="zh-CN"/>
        </w:rPr>
        <w:t>关于支持能力建设和技术援助的专门国际方案的总体报告</w:t>
      </w:r>
    </w:p>
    <w:p w14:paraId="31BF1E15" w14:textId="77777777" w:rsidR="00FF1D0E" w:rsidRPr="004C544F" w:rsidRDefault="00FF1D0E" w:rsidP="004C544F">
      <w:pPr>
        <w:pStyle w:val="CH2"/>
        <w:rPr>
          <w:rFonts w:ascii="SimHei" w:eastAsia="SimHei" w:hAnsi="SimHei"/>
          <w:noProof/>
          <w:sz w:val="28"/>
          <w:szCs w:val="28"/>
          <w:lang w:eastAsia="zh-CN"/>
        </w:rPr>
      </w:pPr>
      <w:r w:rsidRPr="004C544F">
        <w:rPr>
          <w:lang w:val="zh-CN" w:eastAsia="zh-CN"/>
        </w:rPr>
        <w:tab/>
      </w:r>
      <w:r w:rsidRPr="004C544F">
        <w:rPr>
          <w:rFonts w:ascii="SimHei" w:eastAsia="SimHei" w:hAnsi="SimHei"/>
          <w:sz w:val="28"/>
          <w:szCs w:val="28"/>
          <w:lang w:val="zh-CN" w:eastAsia="zh-CN"/>
        </w:rPr>
        <w:tab/>
      </w:r>
      <w:r w:rsidRPr="004C544F">
        <w:rPr>
          <w:rFonts w:ascii="SimHei" w:eastAsia="SimHei" w:hAnsi="SimHei"/>
          <w:bCs/>
          <w:sz w:val="28"/>
          <w:szCs w:val="28"/>
          <w:lang w:val="zh-CN" w:eastAsia="zh-CN"/>
        </w:rPr>
        <w:t>秘书处的说明</w:t>
      </w:r>
    </w:p>
    <w:p w14:paraId="0BF1E3AC" w14:textId="61A54CB1" w:rsidR="00FF1D0E" w:rsidRPr="004C544F" w:rsidRDefault="00FF1D0E" w:rsidP="007D6F80">
      <w:pPr>
        <w:pStyle w:val="CH1"/>
        <w:numPr>
          <w:ilvl w:val="0"/>
          <w:numId w:val="24"/>
        </w:numPr>
        <w:tabs>
          <w:tab w:val="clear" w:pos="851"/>
          <w:tab w:val="clear" w:pos="1247"/>
          <w:tab w:val="clear" w:pos="1871"/>
          <w:tab w:val="clear" w:pos="2495"/>
          <w:tab w:val="clear" w:pos="3119"/>
          <w:tab w:val="clear" w:pos="3742"/>
          <w:tab w:val="clear" w:pos="4366"/>
          <w:tab w:val="clear" w:pos="4990"/>
        </w:tabs>
        <w:ind w:right="0" w:hanging="900"/>
        <w:rPr>
          <w:rFonts w:eastAsia="SimHei"/>
          <w:sz w:val="32"/>
          <w:szCs w:val="32"/>
          <w:lang w:eastAsia="zh-CN"/>
        </w:rPr>
      </w:pPr>
      <w:bookmarkStart w:id="9" w:name="_Hlk192252242"/>
      <w:r w:rsidRPr="004C544F">
        <w:rPr>
          <w:rFonts w:eastAsia="SimHei"/>
          <w:bCs/>
          <w:sz w:val="32"/>
          <w:szCs w:val="32"/>
          <w:lang w:val="zh-CN" w:eastAsia="zh-CN"/>
        </w:rPr>
        <w:t>导言</w:t>
      </w:r>
    </w:p>
    <w:bookmarkEnd w:id="9"/>
    <w:p w14:paraId="59B8015E" w14:textId="59390B1F"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proofErr w:type="gramStart"/>
      <w:r w:rsidRPr="004C544F">
        <w:rPr>
          <w:kern w:val="0"/>
          <w:lang w:val="zh-CN" w:eastAsia="zh-CN"/>
        </w:rPr>
        <w:t>本说明</w:t>
      </w:r>
      <w:proofErr w:type="gramEnd"/>
      <w:r w:rsidRPr="004C544F">
        <w:rPr>
          <w:kern w:val="0"/>
          <w:lang w:val="zh-CN" w:eastAsia="zh-CN"/>
        </w:rPr>
        <w:t>介绍了公约缔约方大会第五次会议通过的关于审查《关于汞的水俣公约》财务机制的</w:t>
      </w:r>
      <w:r w:rsidRPr="004C544F">
        <w:rPr>
          <w:kern w:val="0"/>
          <w:lang w:val="zh-CN" w:eastAsia="zh-CN"/>
        </w:rPr>
        <w:t>MC-5/11</w:t>
      </w:r>
      <w:r w:rsidRPr="004C544F">
        <w:rPr>
          <w:kern w:val="0"/>
          <w:lang w:val="zh-CN" w:eastAsia="zh-CN"/>
        </w:rPr>
        <w:t>号决定的执行情况。</w:t>
      </w:r>
      <w:proofErr w:type="gramStart"/>
      <w:r w:rsidRPr="004C544F">
        <w:rPr>
          <w:kern w:val="0"/>
          <w:lang w:val="zh-CN" w:eastAsia="zh-CN"/>
        </w:rPr>
        <w:t>本说明</w:t>
      </w:r>
      <w:proofErr w:type="gramEnd"/>
      <w:r w:rsidRPr="004C544F">
        <w:rPr>
          <w:kern w:val="0"/>
          <w:lang w:val="zh-CN" w:eastAsia="zh-CN"/>
        </w:rPr>
        <w:t>特别载列了秘书处提交的关于财务机制第二个组成部分，</w:t>
      </w:r>
      <w:r w:rsidRPr="004C544F">
        <w:rPr>
          <w:rStyle w:val="FootnoteReference"/>
          <w:noProof/>
          <w:spacing w:val="0"/>
          <w:w w:val="100"/>
          <w:kern w:val="0"/>
          <w:position w:val="0"/>
          <w:sz w:val="24"/>
          <w:szCs w:val="24"/>
          <w:lang w:val="zh-CN"/>
        </w:rPr>
        <w:footnoteReference w:id="3"/>
      </w:r>
      <w:r w:rsidRPr="004C544F">
        <w:rPr>
          <w:kern w:val="0"/>
          <w:lang w:val="zh-CN" w:eastAsia="zh-CN"/>
        </w:rPr>
        <w:t xml:space="preserve"> </w:t>
      </w:r>
      <w:r w:rsidRPr="004C544F">
        <w:rPr>
          <w:kern w:val="0"/>
          <w:lang w:val="zh-CN" w:eastAsia="zh-CN"/>
        </w:rPr>
        <w:t>即支持能力建设和技术援助的专门国际方案的总体报告，供缔约方大会第六次会议审议。</w:t>
      </w:r>
    </w:p>
    <w:p w14:paraId="031962B9" w14:textId="022F9368"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proofErr w:type="gramStart"/>
      <w:r w:rsidRPr="004C544F">
        <w:rPr>
          <w:kern w:val="0"/>
          <w:lang w:val="zh-CN" w:eastAsia="zh-CN"/>
        </w:rPr>
        <w:t>本说明</w:t>
      </w:r>
      <w:proofErr w:type="gramEnd"/>
      <w:r w:rsidRPr="004C544F">
        <w:rPr>
          <w:kern w:val="0"/>
          <w:lang w:val="zh-CN" w:eastAsia="zh-CN"/>
        </w:rPr>
        <w:t>应结合</w:t>
      </w:r>
      <w:r w:rsidRPr="004C544F">
        <w:rPr>
          <w:kern w:val="0"/>
          <w:lang w:val="zh-CN" w:eastAsia="zh-CN"/>
        </w:rPr>
        <w:t>UNEP/MC/COP.6/INF/15</w:t>
      </w:r>
      <w:r w:rsidRPr="004C544F">
        <w:rPr>
          <w:kern w:val="0"/>
          <w:lang w:val="zh-CN" w:eastAsia="zh-CN"/>
        </w:rPr>
        <w:t>号文件阅读，其中载有专门国际方案理事会第九和第十次会议的报告。</w:t>
      </w:r>
    </w:p>
    <w:p w14:paraId="7FECF213" w14:textId="77777777"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一项涉及财务机制两个组成部分的决定草案载于</w:t>
      </w:r>
      <w:r w:rsidRPr="004C544F">
        <w:rPr>
          <w:kern w:val="0"/>
          <w:lang w:val="zh-CN" w:eastAsia="zh-CN"/>
        </w:rPr>
        <w:t>UNEP/MC/COP.6/9</w:t>
      </w:r>
      <w:r w:rsidRPr="004C544F">
        <w:rPr>
          <w:kern w:val="0"/>
          <w:lang w:val="zh-CN" w:eastAsia="zh-CN"/>
        </w:rPr>
        <w:t>号文件，供缔约方大会审议。</w:t>
      </w:r>
    </w:p>
    <w:p w14:paraId="400FBCD0" w14:textId="4C346C24" w:rsidR="00FF1D0E" w:rsidRPr="004C544F" w:rsidRDefault="00FF1D0E" w:rsidP="007D6F80">
      <w:pPr>
        <w:pStyle w:val="CH1"/>
        <w:numPr>
          <w:ilvl w:val="0"/>
          <w:numId w:val="24"/>
        </w:numPr>
        <w:tabs>
          <w:tab w:val="clear" w:pos="851"/>
          <w:tab w:val="clear" w:pos="1247"/>
          <w:tab w:val="clear" w:pos="1871"/>
          <w:tab w:val="clear" w:pos="2495"/>
          <w:tab w:val="clear" w:pos="3119"/>
          <w:tab w:val="clear" w:pos="3742"/>
          <w:tab w:val="clear" w:pos="4366"/>
          <w:tab w:val="clear" w:pos="4990"/>
        </w:tabs>
        <w:ind w:right="0" w:hanging="900"/>
        <w:rPr>
          <w:rFonts w:eastAsia="SimHei"/>
          <w:sz w:val="32"/>
          <w:szCs w:val="32"/>
          <w:lang w:eastAsia="zh-CN"/>
        </w:rPr>
      </w:pPr>
      <w:r w:rsidRPr="004C544F">
        <w:rPr>
          <w:rFonts w:eastAsia="SimHei"/>
          <w:bCs/>
          <w:sz w:val="32"/>
          <w:szCs w:val="32"/>
          <w:lang w:val="zh-CN" w:eastAsia="zh-CN"/>
        </w:rPr>
        <w:t>关于汞的水</w:t>
      </w:r>
      <w:proofErr w:type="gramStart"/>
      <w:r w:rsidRPr="004C544F">
        <w:rPr>
          <w:rFonts w:eastAsia="SimHei"/>
          <w:bCs/>
          <w:sz w:val="32"/>
          <w:szCs w:val="32"/>
          <w:lang w:val="zh-CN" w:eastAsia="zh-CN"/>
        </w:rPr>
        <w:t>俣</w:t>
      </w:r>
      <w:proofErr w:type="gramEnd"/>
      <w:r w:rsidRPr="004C544F">
        <w:rPr>
          <w:rFonts w:eastAsia="SimHei"/>
          <w:bCs/>
          <w:sz w:val="32"/>
          <w:szCs w:val="32"/>
          <w:lang w:val="zh-CN" w:eastAsia="zh-CN"/>
        </w:rPr>
        <w:t>公约秘书处向专门国际方案提供的支持</w:t>
      </w:r>
    </w:p>
    <w:p w14:paraId="36CB5659" w14:textId="7D7A87FA"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关于汞的水</w:t>
      </w:r>
      <w:proofErr w:type="gramStart"/>
      <w:r w:rsidRPr="004C544F">
        <w:rPr>
          <w:kern w:val="0"/>
          <w:lang w:val="zh-CN" w:eastAsia="zh-CN"/>
        </w:rPr>
        <w:t>俣</w:t>
      </w:r>
      <w:proofErr w:type="gramEnd"/>
      <w:r w:rsidRPr="004C544F">
        <w:rPr>
          <w:kern w:val="0"/>
          <w:lang w:val="zh-CN" w:eastAsia="zh-CN"/>
        </w:rPr>
        <w:t>公约秘书处通过以下持续开展的活动管理专门国际方案：</w:t>
      </w:r>
    </w:p>
    <w:p w14:paraId="31BC658E" w14:textId="1F6434D0" w:rsidR="00FF1D0E" w:rsidRPr="004C544F" w:rsidRDefault="00FF1D0E" w:rsidP="004C544F">
      <w:pPr>
        <w:pStyle w:val="Normalnumber"/>
        <w:numPr>
          <w:ilvl w:val="0"/>
          <w:numId w:val="16"/>
        </w:numPr>
        <w:tabs>
          <w:tab w:val="left" w:pos="624"/>
        </w:tabs>
        <w:spacing w:line="240" w:lineRule="auto"/>
        <w:ind w:left="1247" w:firstLine="624"/>
        <w:rPr>
          <w:noProof/>
          <w:kern w:val="0"/>
          <w:lang w:eastAsia="zh-CN"/>
        </w:rPr>
      </w:pPr>
      <w:r w:rsidRPr="004C544F">
        <w:rPr>
          <w:rFonts w:eastAsia="KaiTi"/>
          <w:kern w:val="0"/>
          <w:lang w:val="zh-CN" w:eastAsia="zh-CN"/>
        </w:rPr>
        <w:t>支持理事会的运作。</w:t>
      </w:r>
      <w:r w:rsidRPr="004C544F">
        <w:rPr>
          <w:kern w:val="0"/>
          <w:lang w:val="zh-CN" w:eastAsia="zh-CN"/>
        </w:rPr>
        <w:t>秘书处组织了</w:t>
      </w:r>
      <w:r w:rsidRPr="004C544F">
        <w:rPr>
          <w:kern w:val="0"/>
          <w:lang w:val="zh-CN" w:eastAsia="zh-CN"/>
        </w:rPr>
        <w:t>2024</w:t>
      </w:r>
      <w:r w:rsidRPr="004C544F">
        <w:rPr>
          <w:kern w:val="0"/>
          <w:lang w:val="zh-CN" w:eastAsia="zh-CN"/>
        </w:rPr>
        <w:t>年</w:t>
      </w:r>
      <w:r w:rsidRPr="004C544F">
        <w:rPr>
          <w:kern w:val="0"/>
          <w:lang w:val="zh-CN" w:eastAsia="zh-CN"/>
        </w:rPr>
        <w:t>4</w:t>
      </w:r>
      <w:r w:rsidRPr="004C544F">
        <w:rPr>
          <w:kern w:val="0"/>
          <w:lang w:val="zh-CN" w:eastAsia="zh-CN"/>
        </w:rPr>
        <w:t>月</w:t>
      </w:r>
      <w:r w:rsidRPr="004C544F">
        <w:rPr>
          <w:kern w:val="0"/>
          <w:lang w:val="zh-CN" w:eastAsia="zh-CN"/>
        </w:rPr>
        <w:t>15</w:t>
      </w:r>
      <w:r w:rsidRPr="004C544F">
        <w:rPr>
          <w:kern w:val="0"/>
          <w:lang w:val="zh-CN" w:eastAsia="zh-CN"/>
        </w:rPr>
        <w:t>日和</w:t>
      </w:r>
      <w:r w:rsidRPr="004C544F">
        <w:rPr>
          <w:kern w:val="0"/>
          <w:lang w:val="zh-CN" w:eastAsia="zh-CN"/>
        </w:rPr>
        <w:t>16</w:t>
      </w:r>
      <w:r w:rsidRPr="004C544F">
        <w:rPr>
          <w:kern w:val="0"/>
          <w:lang w:val="zh-CN" w:eastAsia="zh-CN"/>
        </w:rPr>
        <w:t>日在线举行的理事会第九次会议和</w:t>
      </w:r>
      <w:r w:rsidRPr="004C544F">
        <w:rPr>
          <w:kern w:val="0"/>
          <w:lang w:val="zh-CN" w:eastAsia="zh-CN"/>
        </w:rPr>
        <w:t>2025</w:t>
      </w:r>
      <w:r w:rsidRPr="004C544F">
        <w:rPr>
          <w:kern w:val="0"/>
          <w:lang w:val="zh-CN" w:eastAsia="zh-CN"/>
        </w:rPr>
        <w:t>年</w:t>
      </w:r>
      <w:r w:rsidRPr="004C544F">
        <w:rPr>
          <w:kern w:val="0"/>
          <w:lang w:val="zh-CN" w:eastAsia="zh-CN"/>
        </w:rPr>
        <w:t>1</w:t>
      </w:r>
      <w:r w:rsidRPr="004C544F">
        <w:rPr>
          <w:kern w:val="0"/>
          <w:lang w:val="zh-CN" w:eastAsia="zh-CN"/>
        </w:rPr>
        <w:t>月</w:t>
      </w:r>
      <w:r w:rsidRPr="004C544F">
        <w:rPr>
          <w:kern w:val="0"/>
          <w:lang w:val="zh-CN" w:eastAsia="zh-CN"/>
        </w:rPr>
        <w:t>22</w:t>
      </w:r>
      <w:r w:rsidRPr="004C544F">
        <w:rPr>
          <w:kern w:val="0"/>
          <w:lang w:val="zh-CN" w:eastAsia="zh-CN"/>
        </w:rPr>
        <w:t>日至</w:t>
      </w:r>
      <w:r w:rsidRPr="004C544F">
        <w:rPr>
          <w:kern w:val="0"/>
          <w:lang w:val="zh-CN" w:eastAsia="zh-CN"/>
        </w:rPr>
        <w:t>24</w:t>
      </w:r>
      <w:r w:rsidRPr="004C544F">
        <w:rPr>
          <w:kern w:val="0"/>
          <w:lang w:val="zh-CN" w:eastAsia="zh-CN"/>
        </w:rPr>
        <w:t>日在日内瓦举行的第十次会议并为其编写了文件。关于理事会工作的更多信息载于</w:t>
      </w:r>
      <w:proofErr w:type="gramStart"/>
      <w:r w:rsidRPr="004C544F">
        <w:rPr>
          <w:kern w:val="0"/>
          <w:lang w:val="zh-CN" w:eastAsia="zh-CN"/>
        </w:rPr>
        <w:t>本说明</w:t>
      </w:r>
      <w:proofErr w:type="gramEnd"/>
      <w:r w:rsidRPr="004C544F">
        <w:rPr>
          <w:kern w:val="0"/>
          <w:lang w:val="zh-CN" w:eastAsia="zh-CN"/>
        </w:rPr>
        <w:t>第三节。</w:t>
      </w:r>
    </w:p>
    <w:p w14:paraId="2390CE88" w14:textId="55DDC417" w:rsidR="00FF1D0E" w:rsidRPr="004C544F" w:rsidRDefault="00FF1D0E" w:rsidP="004C544F">
      <w:pPr>
        <w:pStyle w:val="Normalnumber"/>
        <w:numPr>
          <w:ilvl w:val="0"/>
          <w:numId w:val="16"/>
        </w:numPr>
        <w:tabs>
          <w:tab w:val="left" w:pos="624"/>
        </w:tabs>
        <w:spacing w:line="240" w:lineRule="auto"/>
        <w:ind w:left="1247" w:firstLine="624"/>
        <w:rPr>
          <w:noProof/>
          <w:kern w:val="0"/>
          <w:lang w:eastAsia="zh-CN"/>
        </w:rPr>
      </w:pPr>
      <w:r w:rsidRPr="004C544F">
        <w:rPr>
          <w:rFonts w:eastAsia="KaiTi"/>
          <w:kern w:val="0"/>
          <w:lang w:val="zh-CN" w:eastAsia="zh-CN"/>
        </w:rPr>
        <w:lastRenderedPageBreak/>
        <w:t>启动和审查专门国际方案的各轮申请。</w:t>
      </w:r>
      <w:r w:rsidRPr="004C544F">
        <w:rPr>
          <w:kern w:val="0"/>
          <w:lang w:val="zh-CN" w:eastAsia="zh-CN"/>
        </w:rPr>
        <w:t>在理事会第九次会议</w:t>
      </w:r>
      <w:proofErr w:type="gramStart"/>
      <w:r w:rsidRPr="004C544F">
        <w:rPr>
          <w:kern w:val="0"/>
          <w:lang w:val="zh-CN" w:eastAsia="zh-CN"/>
        </w:rPr>
        <w:t>作出</w:t>
      </w:r>
      <w:proofErr w:type="gramEnd"/>
      <w:r w:rsidRPr="004C544F">
        <w:rPr>
          <w:kern w:val="0"/>
          <w:lang w:val="zh-CN" w:eastAsia="zh-CN"/>
        </w:rPr>
        <w:t>决定后，秘书处于</w:t>
      </w:r>
      <w:r w:rsidRPr="004C544F">
        <w:rPr>
          <w:kern w:val="0"/>
          <w:lang w:val="zh-CN" w:eastAsia="zh-CN"/>
        </w:rPr>
        <w:t>2024</w:t>
      </w:r>
      <w:r w:rsidRPr="004C544F">
        <w:rPr>
          <w:kern w:val="0"/>
          <w:lang w:val="zh-CN" w:eastAsia="zh-CN"/>
        </w:rPr>
        <w:t>年</w:t>
      </w:r>
      <w:r w:rsidRPr="004C544F">
        <w:rPr>
          <w:kern w:val="0"/>
          <w:lang w:val="zh-CN" w:eastAsia="zh-CN"/>
        </w:rPr>
        <w:t>4</w:t>
      </w:r>
      <w:r w:rsidRPr="004C544F">
        <w:rPr>
          <w:kern w:val="0"/>
          <w:lang w:val="zh-CN" w:eastAsia="zh-CN"/>
        </w:rPr>
        <w:t>月成功启动了第四轮申请。在提交过程中，秘书处以不同语文和</w:t>
      </w:r>
      <w:r w:rsidR="00966149" w:rsidRPr="004C544F">
        <w:rPr>
          <w:rFonts w:hint="eastAsia"/>
          <w:kern w:val="0"/>
          <w:lang w:val="zh-CN" w:eastAsia="zh-CN"/>
        </w:rPr>
        <w:t>在不同</w:t>
      </w:r>
      <w:r w:rsidRPr="004C544F">
        <w:rPr>
          <w:kern w:val="0"/>
          <w:lang w:val="zh-CN" w:eastAsia="zh-CN"/>
        </w:rPr>
        <w:t>时区举行了网络研讨会，并应潜在申请者的请求提供了技术支持。秘书处筛选了收到的所有资格和完整性申请，并召集了由全球环境基金、加强化学品群</w:t>
      </w:r>
      <w:proofErr w:type="gramStart"/>
      <w:r w:rsidRPr="004C544F">
        <w:rPr>
          <w:kern w:val="0"/>
          <w:lang w:val="zh-CN" w:eastAsia="zh-CN"/>
        </w:rPr>
        <w:t>组体制</w:t>
      </w:r>
      <w:proofErr w:type="gramEnd"/>
      <w:r w:rsidRPr="004C544F">
        <w:rPr>
          <w:kern w:val="0"/>
          <w:lang w:val="zh-CN" w:eastAsia="zh-CN"/>
        </w:rPr>
        <w:t>建设特别方案和全球汞伙伴关系的代表以及秘书处工作人员组成的跨秘书处任务小组，负责对申请的技术审查提供意见和建议。随后，秘书处针对所提交的</w:t>
      </w:r>
      <w:r w:rsidRPr="004C544F">
        <w:rPr>
          <w:kern w:val="0"/>
          <w:lang w:val="zh-CN" w:eastAsia="zh-CN"/>
        </w:rPr>
        <w:t>30</w:t>
      </w:r>
      <w:r w:rsidRPr="004C544F">
        <w:rPr>
          <w:kern w:val="0"/>
          <w:lang w:val="zh-CN" w:eastAsia="zh-CN"/>
        </w:rPr>
        <w:t>份合格项目提案提供了技术意见，并在订正提案重新提交后，编写了对</w:t>
      </w:r>
      <w:r w:rsidRPr="004C544F">
        <w:rPr>
          <w:kern w:val="0"/>
          <w:lang w:val="zh-CN" w:eastAsia="zh-CN"/>
        </w:rPr>
        <w:t>29</w:t>
      </w:r>
      <w:r w:rsidRPr="004C544F">
        <w:rPr>
          <w:kern w:val="0"/>
          <w:lang w:val="zh-CN" w:eastAsia="zh-CN"/>
        </w:rPr>
        <w:t>份合格申请的全面评估报告。这些评估报告依据的是理事会制定的标准，并结合了专门方案秘书处提供的书面意见，最终完</w:t>
      </w:r>
      <w:r w:rsidR="00AD57C4" w:rsidRPr="004C544F">
        <w:rPr>
          <w:rFonts w:hint="eastAsia"/>
          <w:kern w:val="0"/>
          <w:lang w:val="zh-CN" w:eastAsia="zh-CN"/>
        </w:rPr>
        <w:t>成</w:t>
      </w:r>
      <w:r w:rsidRPr="004C544F">
        <w:rPr>
          <w:kern w:val="0"/>
          <w:lang w:val="zh-CN" w:eastAsia="zh-CN"/>
        </w:rPr>
        <w:t>后提交理事会第十次会议。在理事会就拟资助项目</w:t>
      </w:r>
      <w:proofErr w:type="gramStart"/>
      <w:r w:rsidRPr="004C544F">
        <w:rPr>
          <w:kern w:val="0"/>
          <w:lang w:val="zh-CN" w:eastAsia="zh-CN"/>
        </w:rPr>
        <w:t>作出</w:t>
      </w:r>
      <w:proofErr w:type="gramEnd"/>
      <w:r w:rsidRPr="004C544F">
        <w:rPr>
          <w:kern w:val="0"/>
          <w:lang w:val="zh-CN" w:eastAsia="zh-CN"/>
        </w:rPr>
        <w:t>决定后，秘书处将结果通知了所有申请者，与申请通过者共同完善其项目文件，并起草了项目法律协定。</w:t>
      </w:r>
    </w:p>
    <w:p w14:paraId="054FF800" w14:textId="66335A8D" w:rsidR="00FF1D0E" w:rsidRPr="004C544F" w:rsidRDefault="00FF1D0E" w:rsidP="004C544F">
      <w:pPr>
        <w:pStyle w:val="Normalnumber"/>
        <w:numPr>
          <w:ilvl w:val="0"/>
          <w:numId w:val="16"/>
        </w:numPr>
        <w:tabs>
          <w:tab w:val="left" w:pos="624"/>
        </w:tabs>
        <w:spacing w:line="240" w:lineRule="auto"/>
        <w:ind w:left="1247" w:firstLine="624"/>
        <w:rPr>
          <w:noProof/>
          <w:kern w:val="0"/>
          <w:lang w:eastAsia="zh-CN"/>
        </w:rPr>
      </w:pPr>
      <w:r w:rsidRPr="004C544F">
        <w:rPr>
          <w:rFonts w:eastAsia="KaiTi"/>
          <w:kern w:val="0"/>
          <w:lang w:val="zh-CN" w:eastAsia="zh-CN"/>
        </w:rPr>
        <w:t>管理专项信托基金。</w:t>
      </w:r>
      <w:r w:rsidRPr="004C544F">
        <w:rPr>
          <w:kern w:val="0"/>
          <w:lang w:val="zh-CN" w:eastAsia="zh-CN"/>
        </w:rPr>
        <w:t>秘书处按照联合国环境规划署（环境署）的程序管理专项信托基金所收捐款及其付款，</w:t>
      </w:r>
      <w:r w:rsidRPr="004C544F">
        <w:rPr>
          <w:rFonts w:ascii="SimSun" w:hAnsi="SimSun" w:hint="eastAsia"/>
          <w:kern w:val="0"/>
          <w:lang w:val="zh-CN" w:eastAsia="zh-CN"/>
        </w:rPr>
        <w:t>包括在</w:t>
      </w:r>
      <w:r w:rsidRPr="004C544F">
        <w:rPr>
          <w:rFonts w:ascii="SimSun" w:hAnsi="SimSun"/>
          <w:kern w:val="0"/>
          <w:lang w:val="zh-CN" w:eastAsia="zh-CN"/>
        </w:rPr>
        <w:t>“</w:t>
      </w:r>
      <w:r w:rsidRPr="004C544F">
        <w:rPr>
          <w:rFonts w:ascii="SimSun" w:hAnsi="SimSun" w:hint="eastAsia"/>
          <w:kern w:val="0"/>
          <w:lang w:val="zh-CN" w:eastAsia="zh-CN"/>
        </w:rPr>
        <w:t>团结</w:t>
      </w:r>
      <w:r w:rsidRPr="004C544F">
        <w:rPr>
          <w:rFonts w:ascii="SimSun" w:hAnsi="SimSun"/>
          <w:kern w:val="0"/>
          <w:lang w:val="zh-CN" w:eastAsia="zh-CN"/>
        </w:rPr>
        <w:t>”</w:t>
      </w:r>
      <w:r w:rsidRPr="004C544F">
        <w:rPr>
          <w:kern w:val="0"/>
          <w:lang w:val="zh-CN" w:eastAsia="zh-CN"/>
        </w:rPr>
        <w:t>系统中管理所有赠款协定、修正、报告和付款的文件。</w:t>
      </w:r>
    </w:p>
    <w:p w14:paraId="67E9BB24" w14:textId="52E268A7" w:rsidR="00FF1D0E" w:rsidRPr="004C544F" w:rsidRDefault="00FF1D0E" w:rsidP="004C544F">
      <w:pPr>
        <w:pStyle w:val="Normalnumber"/>
        <w:numPr>
          <w:ilvl w:val="0"/>
          <w:numId w:val="16"/>
        </w:numPr>
        <w:tabs>
          <w:tab w:val="left" w:pos="624"/>
        </w:tabs>
        <w:spacing w:line="240" w:lineRule="auto"/>
        <w:ind w:left="1247" w:firstLine="624"/>
        <w:rPr>
          <w:noProof/>
          <w:kern w:val="0"/>
          <w:lang w:eastAsia="zh-CN"/>
        </w:rPr>
      </w:pPr>
      <w:r w:rsidRPr="004C544F">
        <w:rPr>
          <w:rFonts w:eastAsia="KaiTi"/>
          <w:kern w:val="0"/>
          <w:lang w:val="zh-CN" w:eastAsia="zh-CN"/>
        </w:rPr>
        <w:t>落实并监测对已核准项目的支持。</w:t>
      </w:r>
      <w:r w:rsidRPr="004C544F">
        <w:rPr>
          <w:kern w:val="0"/>
          <w:lang w:val="zh-CN" w:eastAsia="zh-CN"/>
        </w:rPr>
        <w:t>秘书处支持并监测了前三轮申请中已核准的</w:t>
      </w:r>
      <w:r w:rsidRPr="004C544F">
        <w:rPr>
          <w:kern w:val="0"/>
          <w:lang w:val="zh-CN" w:eastAsia="zh-CN"/>
        </w:rPr>
        <w:t>24</w:t>
      </w:r>
      <w:r w:rsidRPr="004C544F">
        <w:rPr>
          <w:kern w:val="0"/>
          <w:lang w:val="zh-CN" w:eastAsia="zh-CN"/>
        </w:rPr>
        <w:t>个项目的执行情况。向项目合作伙伴提供的协助涵盖：项目的整个生命周期，包括起草项目法律协定及其修正，以及协调签署进程；审查和核准提交秘书处的半年期和</w:t>
      </w:r>
      <w:proofErr w:type="gramStart"/>
      <w:r w:rsidRPr="004C544F">
        <w:rPr>
          <w:kern w:val="0"/>
          <w:lang w:val="zh-CN" w:eastAsia="zh-CN"/>
        </w:rPr>
        <w:t>最终项目</w:t>
      </w:r>
      <w:proofErr w:type="gramEnd"/>
      <w:r w:rsidRPr="004C544F">
        <w:rPr>
          <w:kern w:val="0"/>
          <w:lang w:val="zh-CN" w:eastAsia="zh-CN"/>
        </w:rPr>
        <w:t>进度和支出报告、设备清单、财务审计报告和项目产出；分期拨付资金和协调项目余额退款程序；关闭已完成的项目。</w:t>
      </w:r>
    </w:p>
    <w:p w14:paraId="0CBD3530" w14:textId="37B8916E" w:rsidR="00FF1D0E" w:rsidRPr="004C544F" w:rsidRDefault="00FF1D0E" w:rsidP="004C544F">
      <w:pPr>
        <w:pStyle w:val="Normalnumber"/>
        <w:numPr>
          <w:ilvl w:val="0"/>
          <w:numId w:val="16"/>
        </w:numPr>
        <w:tabs>
          <w:tab w:val="left" w:pos="624"/>
        </w:tabs>
        <w:spacing w:line="240" w:lineRule="auto"/>
        <w:ind w:left="1247" w:firstLine="624"/>
        <w:rPr>
          <w:color w:val="000000"/>
          <w:kern w:val="0"/>
          <w:shd w:val="clear" w:color="auto" w:fill="FFFFFF"/>
          <w:lang w:eastAsia="zh-CN"/>
        </w:rPr>
      </w:pPr>
      <w:r w:rsidRPr="004C544F">
        <w:rPr>
          <w:rFonts w:eastAsia="KaiTi"/>
          <w:kern w:val="0"/>
          <w:lang w:val="zh-CN" w:eastAsia="zh-CN"/>
        </w:rPr>
        <w:t>专项信托基金的资源调动、捐助方</w:t>
      </w:r>
      <w:r w:rsidR="00670FEA" w:rsidRPr="004C544F">
        <w:rPr>
          <w:rFonts w:eastAsia="KaiTi" w:hint="eastAsia"/>
          <w:kern w:val="0"/>
          <w:lang w:val="zh-CN" w:eastAsia="zh-CN"/>
        </w:rPr>
        <w:t>表彰</w:t>
      </w:r>
      <w:r w:rsidRPr="004C544F">
        <w:rPr>
          <w:rFonts w:eastAsia="KaiTi"/>
          <w:kern w:val="0"/>
          <w:lang w:val="zh-CN" w:eastAsia="zh-CN"/>
        </w:rPr>
        <w:t>和报告。</w:t>
      </w:r>
      <w:r w:rsidRPr="004C544F">
        <w:rPr>
          <w:kern w:val="0"/>
          <w:lang w:val="zh-CN" w:eastAsia="zh-CN"/>
        </w:rPr>
        <w:t>秘书处管理专项信托基金筹资和报告工作的所有方面。为提高专门国际方案的知名度并鼓励向专项信托基金捐款，秘书处提请注意方案在所有相关的参与活动、网络研讨会和会议中的工作。秘书处管理专项信托基金的捐款接收工作，同时满足个别捐助方对文件和报告的要求。在公约网站和相关出版物上重点介绍了捐助方。</w:t>
      </w:r>
      <w:r w:rsidRPr="004C544F">
        <w:rPr>
          <w:rStyle w:val="FootnoteReference"/>
          <w:noProof/>
          <w:spacing w:val="0"/>
          <w:w w:val="100"/>
          <w:kern w:val="0"/>
          <w:position w:val="0"/>
          <w:sz w:val="24"/>
          <w:szCs w:val="24"/>
          <w:lang w:val="zh-CN"/>
        </w:rPr>
        <w:footnoteReference w:id="4"/>
      </w:r>
    </w:p>
    <w:p w14:paraId="51AE357F" w14:textId="1F3C1AA4" w:rsidR="00FF1D0E" w:rsidRPr="004C544F" w:rsidRDefault="00FF1D0E" w:rsidP="004C544F">
      <w:pPr>
        <w:pStyle w:val="Normalnumber"/>
        <w:numPr>
          <w:ilvl w:val="0"/>
          <w:numId w:val="16"/>
        </w:numPr>
        <w:tabs>
          <w:tab w:val="left" w:pos="624"/>
        </w:tabs>
        <w:spacing w:line="240" w:lineRule="auto"/>
        <w:ind w:left="1247" w:firstLine="624"/>
        <w:rPr>
          <w:noProof/>
          <w:kern w:val="0"/>
          <w:lang w:eastAsia="zh-CN"/>
        </w:rPr>
      </w:pPr>
      <w:r w:rsidRPr="004C544F">
        <w:rPr>
          <w:rFonts w:eastAsia="KaiTi"/>
          <w:kern w:val="0"/>
          <w:lang w:val="zh-CN" w:eastAsia="zh-CN"/>
        </w:rPr>
        <w:t>宣传和外联。</w:t>
      </w:r>
      <w:r w:rsidRPr="004C544F">
        <w:rPr>
          <w:kern w:val="0"/>
          <w:lang w:val="zh-CN" w:eastAsia="zh-CN"/>
        </w:rPr>
        <w:t>秘书处开发了一个新标签页，其中载有与第四轮申请有关的所有信息，从而改进和更新了关于汞的水</w:t>
      </w:r>
      <w:proofErr w:type="gramStart"/>
      <w:r w:rsidRPr="004C544F">
        <w:rPr>
          <w:kern w:val="0"/>
          <w:lang w:val="zh-CN" w:eastAsia="zh-CN"/>
        </w:rPr>
        <w:t>俣</w:t>
      </w:r>
      <w:proofErr w:type="gramEnd"/>
      <w:r w:rsidRPr="004C544F">
        <w:rPr>
          <w:kern w:val="0"/>
          <w:lang w:val="zh-CN" w:eastAsia="zh-CN"/>
        </w:rPr>
        <w:t>公约网站的专门国际方案页面。</w:t>
      </w:r>
      <w:r w:rsidRPr="004C544F">
        <w:rPr>
          <w:rStyle w:val="FootnoteReference"/>
          <w:noProof/>
          <w:spacing w:val="0"/>
          <w:w w:val="100"/>
          <w:kern w:val="0"/>
          <w:position w:val="0"/>
          <w:sz w:val="24"/>
          <w:szCs w:val="24"/>
          <w:lang w:val="zh-CN"/>
        </w:rPr>
        <w:footnoteReference w:id="5"/>
      </w:r>
      <w:r w:rsidR="0006130D" w:rsidRPr="004C544F">
        <w:rPr>
          <w:rFonts w:hint="eastAsia"/>
          <w:kern w:val="0"/>
          <w:lang w:val="zh-CN" w:eastAsia="zh-CN"/>
        </w:rPr>
        <w:t xml:space="preserve"> </w:t>
      </w:r>
      <w:r w:rsidRPr="004C544F">
        <w:rPr>
          <w:kern w:val="0"/>
          <w:lang w:val="zh-CN" w:eastAsia="zh-CN"/>
        </w:rPr>
        <w:t>此外，秘书处开发了微软</w:t>
      </w:r>
      <w:r w:rsidRPr="004C544F">
        <w:rPr>
          <w:kern w:val="0"/>
          <w:lang w:val="zh-CN" w:eastAsia="zh-CN"/>
        </w:rPr>
        <w:t>PowerBI</w:t>
      </w:r>
      <w:r w:rsidRPr="004C544F">
        <w:rPr>
          <w:kern w:val="0"/>
          <w:lang w:val="zh-CN" w:eastAsia="zh-CN"/>
        </w:rPr>
        <w:t>看板，</w:t>
      </w:r>
      <w:r w:rsidRPr="004C544F">
        <w:rPr>
          <w:rStyle w:val="FootnoteReference"/>
          <w:noProof/>
          <w:spacing w:val="0"/>
          <w:w w:val="100"/>
          <w:kern w:val="0"/>
          <w:position w:val="0"/>
          <w:sz w:val="24"/>
          <w:szCs w:val="24"/>
          <w:lang w:val="zh-CN"/>
        </w:rPr>
        <w:footnoteReference w:id="6"/>
      </w:r>
      <w:r w:rsidRPr="004C544F">
        <w:rPr>
          <w:kern w:val="0"/>
          <w:lang w:val="zh-CN" w:eastAsia="zh-CN"/>
        </w:rPr>
        <w:t xml:space="preserve"> </w:t>
      </w:r>
      <w:r w:rsidRPr="004C544F">
        <w:rPr>
          <w:kern w:val="0"/>
          <w:lang w:val="zh-CN" w:eastAsia="zh-CN"/>
        </w:rPr>
        <w:t>并改进了其项目数据库，其中既包括专门国际方案的项目也包括全球环境基金的项目。</w:t>
      </w:r>
      <w:r w:rsidRPr="004C544F">
        <w:rPr>
          <w:rStyle w:val="FootnoteReference"/>
          <w:noProof/>
          <w:spacing w:val="0"/>
          <w:w w:val="100"/>
          <w:kern w:val="0"/>
          <w:position w:val="0"/>
          <w:sz w:val="24"/>
          <w:szCs w:val="24"/>
          <w:lang w:val="zh-CN"/>
        </w:rPr>
        <w:footnoteReference w:id="7"/>
      </w:r>
      <w:r w:rsidR="006F445B" w:rsidRPr="004C544F">
        <w:rPr>
          <w:rFonts w:hint="eastAsia"/>
          <w:kern w:val="0"/>
          <w:lang w:val="zh-CN" w:eastAsia="zh-CN"/>
        </w:rPr>
        <w:t xml:space="preserve"> </w:t>
      </w:r>
      <w:r w:rsidRPr="004C544F">
        <w:rPr>
          <w:kern w:val="0"/>
          <w:lang w:val="zh-CN" w:eastAsia="zh-CN"/>
        </w:rPr>
        <w:t>秘书处还组织了几次在线提高认识活动。</w:t>
      </w:r>
    </w:p>
    <w:p w14:paraId="234738C8" w14:textId="584C8F78"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专门国际方案自启动以来收到的关注稳步增加，</w:t>
      </w:r>
      <w:r w:rsidRPr="004C544F">
        <w:rPr>
          <w:kern w:val="0"/>
          <w:lang w:val="zh-CN" w:eastAsia="zh-CN"/>
        </w:rPr>
        <w:t>2018</w:t>
      </w:r>
      <w:r w:rsidRPr="004C544F">
        <w:rPr>
          <w:kern w:val="0"/>
          <w:lang w:val="zh-CN" w:eastAsia="zh-CN"/>
        </w:rPr>
        <w:t>年第一轮申请收到了</w:t>
      </w:r>
      <w:r w:rsidRPr="004C544F">
        <w:rPr>
          <w:kern w:val="0"/>
          <w:lang w:val="zh-CN" w:eastAsia="zh-CN"/>
        </w:rPr>
        <w:t>19</w:t>
      </w:r>
      <w:r w:rsidRPr="004C544F">
        <w:rPr>
          <w:kern w:val="0"/>
          <w:lang w:val="zh-CN" w:eastAsia="zh-CN"/>
        </w:rPr>
        <w:t>份申请，第四轮（</w:t>
      </w:r>
      <w:r w:rsidRPr="004C544F">
        <w:rPr>
          <w:kern w:val="0"/>
          <w:lang w:val="zh-CN" w:eastAsia="zh-CN"/>
        </w:rPr>
        <w:t>2024–2025</w:t>
      </w:r>
      <w:r w:rsidRPr="004C544F">
        <w:rPr>
          <w:kern w:val="0"/>
          <w:lang w:val="zh-CN" w:eastAsia="zh-CN"/>
        </w:rPr>
        <w:t>年）收到了</w:t>
      </w:r>
      <w:r w:rsidRPr="004C544F">
        <w:rPr>
          <w:kern w:val="0"/>
          <w:lang w:val="zh-CN" w:eastAsia="zh-CN"/>
        </w:rPr>
        <w:t>36</w:t>
      </w:r>
      <w:r w:rsidRPr="004C544F">
        <w:rPr>
          <w:kern w:val="0"/>
          <w:lang w:val="zh-CN" w:eastAsia="zh-CN"/>
        </w:rPr>
        <w:t>份申请。秘书处继续完善运作并提高其效率，以便按照环境署的程序，有效地管理日益增多的申请和受资助项目，同时保持高标准的信托责任。</w:t>
      </w:r>
    </w:p>
    <w:p w14:paraId="7E5A1CDB" w14:textId="7C60C133" w:rsidR="00FF1D0E" w:rsidRPr="004C544F" w:rsidRDefault="00FF1D0E" w:rsidP="007D6F80">
      <w:pPr>
        <w:pStyle w:val="CH1"/>
        <w:numPr>
          <w:ilvl w:val="0"/>
          <w:numId w:val="24"/>
        </w:numPr>
        <w:tabs>
          <w:tab w:val="clear" w:pos="851"/>
          <w:tab w:val="clear" w:pos="1247"/>
          <w:tab w:val="clear" w:pos="1871"/>
          <w:tab w:val="clear" w:pos="2495"/>
          <w:tab w:val="clear" w:pos="3119"/>
          <w:tab w:val="clear" w:pos="3742"/>
          <w:tab w:val="clear" w:pos="4366"/>
          <w:tab w:val="clear" w:pos="4990"/>
        </w:tabs>
        <w:ind w:right="0" w:hanging="900"/>
        <w:rPr>
          <w:rFonts w:eastAsia="SimHei"/>
          <w:sz w:val="32"/>
          <w:szCs w:val="32"/>
          <w:lang w:eastAsia="zh-CN"/>
        </w:rPr>
      </w:pPr>
      <w:r w:rsidRPr="004C544F">
        <w:rPr>
          <w:rFonts w:eastAsia="SimHei"/>
          <w:bCs/>
          <w:sz w:val="32"/>
          <w:szCs w:val="32"/>
          <w:lang w:val="zh-CN" w:eastAsia="zh-CN"/>
        </w:rPr>
        <w:t>专门国际方案理事会自缔约方大会第五次会议以来的工作</w:t>
      </w:r>
    </w:p>
    <w:p w14:paraId="6211F358" w14:textId="0CAC9C34"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理事会由来自缔约方的</w:t>
      </w:r>
      <w:r w:rsidRPr="004C544F">
        <w:rPr>
          <w:kern w:val="0"/>
          <w:lang w:val="zh-CN" w:eastAsia="zh-CN"/>
        </w:rPr>
        <w:t>10</w:t>
      </w:r>
      <w:r w:rsidRPr="004C544F">
        <w:rPr>
          <w:kern w:val="0"/>
          <w:lang w:val="zh-CN" w:eastAsia="zh-CN"/>
        </w:rPr>
        <w:t>名成员组成。联合国五个区域组通过其各自的主席团代表各提名两名成员。缔约方大会第五次会议确认了理事会的以下成员：</w:t>
      </w:r>
    </w:p>
    <w:p w14:paraId="65B1657C" w14:textId="77777777" w:rsidR="00FF1D0E" w:rsidRPr="004C544F" w:rsidRDefault="00FF1D0E" w:rsidP="004C544F">
      <w:pPr>
        <w:pStyle w:val="Normalnumber"/>
        <w:numPr>
          <w:ilvl w:val="0"/>
          <w:numId w:val="18"/>
        </w:numPr>
        <w:tabs>
          <w:tab w:val="left" w:pos="624"/>
        </w:tabs>
        <w:spacing w:line="240" w:lineRule="auto"/>
        <w:ind w:left="1247" w:firstLine="624"/>
        <w:rPr>
          <w:kern w:val="0"/>
        </w:rPr>
      </w:pPr>
      <w:proofErr w:type="spellStart"/>
      <w:r w:rsidRPr="004C544F">
        <w:rPr>
          <w:rFonts w:ascii="KaiTi" w:eastAsia="KaiTi" w:hAnsi="KaiTi"/>
          <w:kern w:val="0"/>
          <w:lang w:val="zh-CN"/>
        </w:rPr>
        <w:lastRenderedPageBreak/>
        <w:t>非洲国家</w:t>
      </w:r>
      <w:proofErr w:type="spellEnd"/>
      <w:r w:rsidRPr="004C544F">
        <w:rPr>
          <w:kern w:val="0"/>
          <w:lang w:val="zh-CN"/>
        </w:rPr>
        <w:t>：</w:t>
      </w:r>
      <w:r w:rsidRPr="004C544F">
        <w:rPr>
          <w:kern w:val="0"/>
          <w:lang w:val="zh-CN"/>
        </w:rPr>
        <w:t>Liliane Randrianomenjanahary</w:t>
      </w:r>
      <w:r w:rsidRPr="004C544F">
        <w:rPr>
          <w:kern w:val="0"/>
          <w:lang w:val="zh-CN"/>
        </w:rPr>
        <w:t>（</w:t>
      </w:r>
      <w:proofErr w:type="spellStart"/>
      <w:r w:rsidRPr="004C544F">
        <w:rPr>
          <w:kern w:val="0"/>
          <w:lang w:val="zh-CN"/>
        </w:rPr>
        <w:t>马达加斯加）和</w:t>
      </w:r>
      <w:proofErr w:type="spellEnd"/>
      <w:r w:rsidRPr="004C544F">
        <w:rPr>
          <w:kern w:val="0"/>
          <w:lang w:val="zh-CN"/>
        </w:rPr>
        <w:t>Obed Meringo Baloyi</w:t>
      </w:r>
      <w:r w:rsidRPr="004C544F">
        <w:rPr>
          <w:kern w:val="0"/>
          <w:lang w:val="zh-CN"/>
        </w:rPr>
        <w:t>（</w:t>
      </w:r>
      <w:proofErr w:type="spellStart"/>
      <w:r w:rsidRPr="004C544F">
        <w:rPr>
          <w:kern w:val="0"/>
          <w:lang w:val="zh-CN"/>
        </w:rPr>
        <w:t>南非</w:t>
      </w:r>
      <w:proofErr w:type="spellEnd"/>
      <w:r w:rsidRPr="004C544F">
        <w:rPr>
          <w:kern w:val="0"/>
          <w:lang w:val="zh-CN"/>
        </w:rPr>
        <w:t>）；</w:t>
      </w:r>
    </w:p>
    <w:p w14:paraId="618F432D" w14:textId="77777777" w:rsidR="00FF1D0E" w:rsidRPr="004C544F" w:rsidRDefault="00FF1D0E" w:rsidP="004C544F">
      <w:pPr>
        <w:pStyle w:val="Normalnumber"/>
        <w:numPr>
          <w:ilvl w:val="0"/>
          <w:numId w:val="18"/>
        </w:numPr>
        <w:tabs>
          <w:tab w:val="left" w:pos="624"/>
        </w:tabs>
        <w:spacing w:line="240" w:lineRule="auto"/>
        <w:ind w:left="1247" w:firstLine="624"/>
        <w:rPr>
          <w:kern w:val="0"/>
        </w:rPr>
      </w:pPr>
      <w:proofErr w:type="spellStart"/>
      <w:r w:rsidRPr="004C544F">
        <w:rPr>
          <w:rFonts w:ascii="KaiTi" w:eastAsia="KaiTi" w:hAnsi="KaiTi"/>
          <w:kern w:val="0"/>
          <w:lang w:val="zh-CN"/>
        </w:rPr>
        <w:t>亚太国家</w:t>
      </w:r>
      <w:proofErr w:type="spellEnd"/>
      <w:r w:rsidRPr="004C544F">
        <w:rPr>
          <w:kern w:val="0"/>
          <w:lang w:val="zh-CN"/>
        </w:rPr>
        <w:t>：</w:t>
      </w:r>
      <w:r w:rsidRPr="004C544F">
        <w:rPr>
          <w:kern w:val="0"/>
          <w:lang w:val="zh-CN"/>
        </w:rPr>
        <w:t>Luay Sadeq Almukhtar</w:t>
      </w:r>
      <w:r w:rsidRPr="004C544F">
        <w:rPr>
          <w:kern w:val="0"/>
          <w:lang w:val="zh-CN"/>
        </w:rPr>
        <w:t>（</w:t>
      </w:r>
      <w:proofErr w:type="spellStart"/>
      <w:r w:rsidRPr="004C544F">
        <w:rPr>
          <w:kern w:val="0"/>
          <w:lang w:val="zh-CN"/>
        </w:rPr>
        <w:t>伊拉克）和</w:t>
      </w:r>
      <w:proofErr w:type="spellEnd"/>
      <w:r w:rsidRPr="004C544F">
        <w:rPr>
          <w:kern w:val="0"/>
          <w:lang w:val="zh-CN"/>
        </w:rPr>
        <w:t>Wasantha Dissanayake</w:t>
      </w:r>
      <w:r w:rsidRPr="004C544F">
        <w:rPr>
          <w:kern w:val="0"/>
          <w:lang w:val="zh-CN"/>
        </w:rPr>
        <w:t>（</w:t>
      </w:r>
      <w:proofErr w:type="spellStart"/>
      <w:r w:rsidRPr="004C544F">
        <w:rPr>
          <w:kern w:val="0"/>
          <w:lang w:val="zh-CN"/>
        </w:rPr>
        <w:t>斯里兰卡</w:t>
      </w:r>
      <w:proofErr w:type="spellEnd"/>
      <w:r w:rsidRPr="004C544F">
        <w:rPr>
          <w:kern w:val="0"/>
          <w:lang w:val="zh-CN"/>
        </w:rPr>
        <w:t>）；</w:t>
      </w:r>
    </w:p>
    <w:p w14:paraId="5010FC39" w14:textId="43775BC1" w:rsidR="00FF1D0E" w:rsidRPr="004C544F" w:rsidRDefault="00FF1D0E" w:rsidP="004C544F">
      <w:pPr>
        <w:pStyle w:val="Normalnumber"/>
        <w:numPr>
          <w:ilvl w:val="0"/>
          <w:numId w:val="18"/>
        </w:numPr>
        <w:tabs>
          <w:tab w:val="left" w:pos="624"/>
        </w:tabs>
        <w:spacing w:line="240" w:lineRule="auto"/>
        <w:ind w:left="1247" w:firstLine="624"/>
        <w:rPr>
          <w:kern w:val="0"/>
        </w:rPr>
      </w:pPr>
      <w:proofErr w:type="spellStart"/>
      <w:r w:rsidRPr="00427165">
        <w:rPr>
          <w:rFonts w:ascii="KaiTi" w:eastAsia="KaiTi" w:hAnsi="KaiTi"/>
          <w:spacing w:val="4"/>
          <w:kern w:val="0"/>
          <w:lang w:val="zh-CN"/>
        </w:rPr>
        <w:t>东欧国家</w:t>
      </w:r>
      <w:proofErr w:type="spellEnd"/>
      <w:r w:rsidRPr="00427165">
        <w:rPr>
          <w:spacing w:val="4"/>
          <w:kern w:val="0"/>
          <w:lang w:val="zh-CN"/>
        </w:rPr>
        <w:t>：</w:t>
      </w:r>
      <w:r w:rsidRPr="00427165">
        <w:rPr>
          <w:spacing w:val="4"/>
          <w:kern w:val="0"/>
          <w:lang w:val="zh-CN"/>
        </w:rPr>
        <w:t>Mario Vujić</w:t>
      </w:r>
      <w:r w:rsidRPr="00427165">
        <w:rPr>
          <w:spacing w:val="4"/>
          <w:kern w:val="0"/>
          <w:lang w:val="zh-CN"/>
        </w:rPr>
        <w:t>（</w:t>
      </w:r>
      <w:proofErr w:type="spellStart"/>
      <w:r w:rsidRPr="00427165">
        <w:rPr>
          <w:spacing w:val="4"/>
          <w:kern w:val="0"/>
          <w:lang w:val="zh-CN"/>
        </w:rPr>
        <w:t>克罗地亚）和</w:t>
      </w:r>
      <w:proofErr w:type="spellEnd"/>
      <w:r w:rsidRPr="00427165">
        <w:rPr>
          <w:spacing w:val="4"/>
          <w:kern w:val="0"/>
          <w:lang w:val="zh-CN"/>
        </w:rPr>
        <w:t>Suzana Andonova</w:t>
      </w:r>
      <w:r w:rsidRPr="00427165">
        <w:rPr>
          <w:spacing w:val="4"/>
          <w:kern w:val="0"/>
          <w:lang w:val="zh-CN"/>
        </w:rPr>
        <w:t>（</w:t>
      </w:r>
      <w:proofErr w:type="spellStart"/>
      <w:r w:rsidRPr="00427165">
        <w:rPr>
          <w:spacing w:val="4"/>
          <w:kern w:val="0"/>
          <w:lang w:val="zh-CN"/>
        </w:rPr>
        <w:t>北马其顿</w:t>
      </w:r>
      <w:proofErr w:type="spellEnd"/>
      <w:r w:rsidRPr="004C544F">
        <w:rPr>
          <w:kern w:val="0"/>
          <w:lang w:val="zh-CN"/>
        </w:rPr>
        <w:t>）；</w:t>
      </w:r>
    </w:p>
    <w:p w14:paraId="36A8FF9C" w14:textId="77777777" w:rsidR="00FF1D0E" w:rsidRPr="004C544F" w:rsidRDefault="00FF1D0E" w:rsidP="004C544F">
      <w:pPr>
        <w:pStyle w:val="Normalnumber"/>
        <w:numPr>
          <w:ilvl w:val="0"/>
          <w:numId w:val="18"/>
        </w:numPr>
        <w:tabs>
          <w:tab w:val="left" w:pos="624"/>
        </w:tabs>
        <w:spacing w:line="240" w:lineRule="auto"/>
        <w:ind w:left="1247" w:firstLine="624"/>
        <w:rPr>
          <w:kern w:val="0"/>
        </w:rPr>
      </w:pPr>
      <w:proofErr w:type="spellStart"/>
      <w:r w:rsidRPr="004C544F">
        <w:rPr>
          <w:rFonts w:ascii="KaiTi" w:eastAsia="KaiTi" w:hAnsi="KaiTi"/>
          <w:kern w:val="0"/>
          <w:lang w:val="zh-CN"/>
        </w:rPr>
        <w:t>拉丁美洲和加勒比国家</w:t>
      </w:r>
      <w:proofErr w:type="spellEnd"/>
      <w:r w:rsidRPr="004C544F">
        <w:rPr>
          <w:kern w:val="0"/>
          <w:lang w:val="zh-CN"/>
        </w:rPr>
        <w:t>：</w:t>
      </w:r>
      <w:r w:rsidRPr="004C544F">
        <w:rPr>
          <w:kern w:val="0"/>
          <w:lang w:val="zh-CN"/>
        </w:rPr>
        <w:t>Ana Cristina Linhares</w:t>
      </w:r>
      <w:r w:rsidRPr="004C544F">
        <w:rPr>
          <w:kern w:val="0"/>
          <w:lang w:val="zh-CN"/>
        </w:rPr>
        <w:t>（</w:t>
      </w:r>
      <w:proofErr w:type="spellStart"/>
      <w:r w:rsidRPr="004C544F">
        <w:rPr>
          <w:kern w:val="0"/>
          <w:lang w:val="zh-CN"/>
        </w:rPr>
        <w:t>巴西）和</w:t>
      </w:r>
      <w:proofErr w:type="spellEnd"/>
      <w:r w:rsidRPr="004C544F">
        <w:rPr>
          <w:kern w:val="0"/>
          <w:lang w:val="zh-CN"/>
        </w:rPr>
        <w:t>Michelle Astwood</w:t>
      </w:r>
      <w:r w:rsidRPr="004C544F">
        <w:rPr>
          <w:kern w:val="0"/>
          <w:lang w:val="zh-CN"/>
        </w:rPr>
        <w:t>（</w:t>
      </w:r>
      <w:proofErr w:type="spellStart"/>
      <w:r w:rsidRPr="004C544F">
        <w:rPr>
          <w:kern w:val="0"/>
          <w:lang w:val="zh-CN"/>
        </w:rPr>
        <w:t>圭亚那</w:t>
      </w:r>
      <w:proofErr w:type="spellEnd"/>
      <w:r w:rsidRPr="004C544F">
        <w:rPr>
          <w:kern w:val="0"/>
          <w:lang w:val="zh-CN"/>
        </w:rPr>
        <w:t>）；</w:t>
      </w:r>
    </w:p>
    <w:p w14:paraId="0C62C28A" w14:textId="77777777" w:rsidR="00FF1D0E" w:rsidRPr="004C544F" w:rsidRDefault="00FF1D0E" w:rsidP="004C544F">
      <w:pPr>
        <w:pStyle w:val="Normalnumber"/>
        <w:numPr>
          <w:ilvl w:val="0"/>
          <w:numId w:val="18"/>
        </w:numPr>
        <w:tabs>
          <w:tab w:val="left" w:pos="624"/>
        </w:tabs>
        <w:spacing w:line="240" w:lineRule="auto"/>
        <w:ind w:left="1247" w:firstLine="624"/>
        <w:rPr>
          <w:kern w:val="0"/>
        </w:rPr>
      </w:pPr>
      <w:proofErr w:type="spellStart"/>
      <w:r w:rsidRPr="004C544F">
        <w:rPr>
          <w:rFonts w:ascii="KaiTi" w:eastAsia="KaiTi" w:hAnsi="KaiTi"/>
          <w:kern w:val="0"/>
          <w:lang w:val="zh-CN"/>
        </w:rPr>
        <w:t>西欧和其他国家</w:t>
      </w:r>
      <w:proofErr w:type="spellEnd"/>
      <w:r w:rsidRPr="004C544F">
        <w:rPr>
          <w:kern w:val="0"/>
          <w:lang w:val="zh-CN"/>
        </w:rPr>
        <w:t>：</w:t>
      </w:r>
      <w:r w:rsidRPr="004C544F">
        <w:rPr>
          <w:kern w:val="0"/>
          <w:lang w:val="zh-CN"/>
        </w:rPr>
        <w:t>Rafael Zubrzycki</w:t>
      </w:r>
      <w:r w:rsidRPr="004C544F">
        <w:rPr>
          <w:kern w:val="0"/>
          <w:lang w:val="zh-CN"/>
        </w:rPr>
        <w:t>（</w:t>
      </w:r>
      <w:proofErr w:type="spellStart"/>
      <w:r w:rsidRPr="004C544F">
        <w:rPr>
          <w:kern w:val="0"/>
          <w:lang w:val="zh-CN"/>
        </w:rPr>
        <w:t>德国）和</w:t>
      </w:r>
      <w:proofErr w:type="spellEnd"/>
      <w:r w:rsidRPr="004C544F">
        <w:rPr>
          <w:kern w:val="0"/>
          <w:lang w:val="zh-CN"/>
        </w:rPr>
        <w:t>Andrew Clark</w:t>
      </w:r>
      <w:r w:rsidRPr="004C544F">
        <w:rPr>
          <w:kern w:val="0"/>
          <w:lang w:val="zh-CN"/>
        </w:rPr>
        <w:t>（</w:t>
      </w:r>
      <w:proofErr w:type="spellStart"/>
      <w:r w:rsidRPr="004C544F">
        <w:rPr>
          <w:kern w:val="0"/>
          <w:lang w:val="zh-CN"/>
        </w:rPr>
        <w:t>美利坚合众国</w:t>
      </w:r>
      <w:proofErr w:type="spellEnd"/>
      <w:r w:rsidRPr="004C544F">
        <w:rPr>
          <w:kern w:val="0"/>
          <w:lang w:val="zh-CN"/>
        </w:rPr>
        <w:t>）。</w:t>
      </w:r>
    </w:p>
    <w:p w14:paraId="43CDEAD2" w14:textId="77777777" w:rsidR="00FF1D0E" w:rsidRPr="004C544F" w:rsidRDefault="00FF1D0E" w:rsidP="004C544F">
      <w:pPr>
        <w:pStyle w:val="Normalnumber"/>
        <w:numPr>
          <w:ilvl w:val="0"/>
          <w:numId w:val="17"/>
        </w:numPr>
        <w:tabs>
          <w:tab w:val="left" w:pos="624"/>
        </w:tabs>
        <w:spacing w:line="240" w:lineRule="auto"/>
        <w:ind w:left="1247" w:firstLine="0"/>
        <w:rPr>
          <w:noProof/>
          <w:kern w:val="0"/>
        </w:rPr>
      </w:pPr>
      <w:r w:rsidRPr="00427165">
        <w:rPr>
          <w:spacing w:val="4"/>
          <w:kern w:val="0"/>
          <w:lang w:val="en-US"/>
        </w:rPr>
        <w:t>2024</w:t>
      </w:r>
      <w:r w:rsidRPr="00427165">
        <w:rPr>
          <w:spacing w:val="4"/>
          <w:kern w:val="0"/>
          <w:lang w:val="zh-CN"/>
        </w:rPr>
        <w:t>年</w:t>
      </w:r>
      <w:r w:rsidRPr="00427165">
        <w:rPr>
          <w:spacing w:val="4"/>
          <w:kern w:val="0"/>
          <w:lang w:val="en-US"/>
        </w:rPr>
        <w:t>4</w:t>
      </w:r>
      <w:r w:rsidRPr="00427165">
        <w:rPr>
          <w:spacing w:val="4"/>
          <w:kern w:val="0"/>
          <w:lang w:val="zh-CN"/>
        </w:rPr>
        <w:t>月</w:t>
      </w:r>
      <w:r w:rsidRPr="00427165">
        <w:rPr>
          <w:spacing w:val="4"/>
          <w:kern w:val="0"/>
          <w:lang w:val="en-US"/>
        </w:rPr>
        <w:t>，</w:t>
      </w:r>
      <w:proofErr w:type="spellStart"/>
      <w:r w:rsidRPr="00427165">
        <w:rPr>
          <w:spacing w:val="4"/>
          <w:kern w:val="0"/>
          <w:lang w:val="en-US"/>
        </w:rPr>
        <w:t>Rathnappui</w:t>
      </w:r>
      <w:proofErr w:type="spellEnd"/>
      <w:r w:rsidRPr="00427165">
        <w:rPr>
          <w:spacing w:val="4"/>
          <w:kern w:val="0"/>
          <w:lang w:val="en-US"/>
        </w:rPr>
        <w:t xml:space="preserve"> </w:t>
      </w:r>
      <w:proofErr w:type="spellStart"/>
      <w:r w:rsidRPr="00427165">
        <w:rPr>
          <w:spacing w:val="4"/>
          <w:kern w:val="0"/>
          <w:lang w:val="en-US"/>
        </w:rPr>
        <w:t>Hewa</w:t>
      </w:r>
      <w:proofErr w:type="spellEnd"/>
      <w:r w:rsidRPr="00427165">
        <w:rPr>
          <w:spacing w:val="4"/>
          <w:kern w:val="0"/>
          <w:lang w:val="en-US"/>
        </w:rPr>
        <w:t xml:space="preserve"> </w:t>
      </w:r>
      <w:proofErr w:type="spellStart"/>
      <w:r w:rsidRPr="00427165">
        <w:rPr>
          <w:spacing w:val="4"/>
          <w:kern w:val="0"/>
          <w:lang w:val="en-US"/>
        </w:rPr>
        <w:t>Mynattuge</w:t>
      </w:r>
      <w:proofErr w:type="spellEnd"/>
      <w:r w:rsidRPr="00427165">
        <w:rPr>
          <w:spacing w:val="4"/>
          <w:kern w:val="0"/>
          <w:lang w:val="en-US"/>
        </w:rPr>
        <w:t xml:space="preserve"> </w:t>
      </w:r>
      <w:proofErr w:type="spellStart"/>
      <w:r w:rsidRPr="00427165">
        <w:rPr>
          <w:spacing w:val="4"/>
          <w:kern w:val="0"/>
          <w:lang w:val="en-US"/>
        </w:rPr>
        <w:t>Pathmaratha</w:t>
      </w:r>
      <w:proofErr w:type="spellEnd"/>
      <w:r w:rsidRPr="00427165">
        <w:rPr>
          <w:spacing w:val="4"/>
          <w:kern w:val="0"/>
          <w:lang w:val="en-US"/>
        </w:rPr>
        <w:t xml:space="preserve"> </w:t>
      </w:r>
      <w:proofErr w:type="spellStart"/>
      <w:r w:rsidRPr="00427165">
        <w:rPr>
          <w:spacing w:val="4"/>
          <w:kern w:val="0"/>
          <w:lang w:val="en-US"/>
        </w:rPr>
        <w:t>Abekoon</w:t>
      </w:r>
      <w:proofErr w:type="spellEnd"/>
      <w:r w:rsidRPr="00427165">
        <w:rPr>
          <w:spacing w:val="4"/>
          <w:kern w:val="0"/>
          <w:lang w:val="en-US"/>
        </w:rPr>
        <w:t>（</w:t>
      </w:r>
      <w:proofErr w:type="spellStart"/>
      <w:r w:rsidRPr="00427165">
        <w:rPr>
          <w:spacing w:val="4"/>
          <w:kern w:val="0"/>
          <w:lang w:val="zh-CN"/>
        </w:rPr>
        <w:t>斯里兰卡</w:t>
      </w:r>
      <w:r w:rsidRPr="004C544F">
        <w:rPr>
          <w:kern w:val="0"/>
          <w:lang w:val="en-US"/>
        </w:rPr>
        <w:t>）</w:t>
      </w:r>
      <w:r w:rsidRPr="004C544F">
        <w:rPr>
          <w:kern w:val="0"/>
          <w:lang w:val="zh-CN"/>
        </w:rPr>
        <w:t>被指定接替</w:t>
      </w:r>
      <w:r w:rsidRPr="004C544F">
        <w:rPr>
          <w:kern w:val="0"/>
          <w:lang w:val="en-US"/>
        </w:rPr>
        <w:t>Wasantha</w:t>
      </w:r>
      <w:proofErr w:type="spellEnd"/>
      <w:r w:rsidRPr="004C544F">
        <w:rPr>
          <w:kern w:val="0"/>
          <w:lang w:val="en-US"/>
        </w:rPr>
        <w:t xml:space="preserve"> Dissanayake</w:t>
      </w:r>
      <w:r w:rsidRPr="004C544F">
        <w:rPr>
          <w:kern w:val="0"/>
          <w:lang w:val="en-US"/>
        </w:rPr>
        <w:t>（</w:t>
      </w:r>
      <w:proofErr w:type="spellStart"/>
      <w:r w:rsidRPr="004C544F">
        <w:rPr>
          <w:kern w:val="0"/>
          <w:lang w:val="zh-CN"/>
        </w:rPr>
        <w:t>斯里兰卡</w:t>
      </w:r>
      <w:r w:rsidRPr="004C544F">
        <w:rPr>
          <w:kern w:val="0"/>
          <w:lang w:val="en-US"/>
        </w:rPr>
        <w:t>）</w:t>
      </w:r>
      <w:r w:rsidRPr="004C544F">
        <w:rPr>
          <w:kern w:val="0"/>
          <w:lang w:val="zh-CN"/>
        </w:rPr>
        <w:t>担任理事会成员</w:t>
      </w:r>
      <w:r w:rsidRPr="004C544F">
        <w:rPr>
          <w:kern w:val="0"/>
          <w:lang w:val="en-US"/>
        </w:rPr>
        <w:t>，</w:t>
      </w:r>
      <w:r w:rsidRPr="004C544F">
        <w:rPr>
          <w:kern w:val="0"/>
          <w:lang w:val="zh-CN"/>
        </w:rPr>
        <w:t>完成其剩余任期</w:t>
      </w:r>
      <w:proofErr w:type="spellEnd"/>
      <w:r w:rsidRPr="004C544F">
        <w:rPr>
          <w:kern w:val="0"/>
          <w:lang w:val="zh-CN"/>
        </w:rPr>
        <w:t>。</w:t>
      </w:r>
    </w:p>
    <w:p w14:paraId="4DB64717" w14:textId="0FB63C89" w:rsidR="00FF1D0E" w:rsidRPr="004C544F" w:rsidRDefault="00FF1D0E" w:rsidP="004C544F">
      <w:pPr>
        <w:pStyle w:val="Normalnumber"/>
        <w:numPr>
          <w:ilvl w:val="0"/>
          <w:numId w:val="17"/>
        </w:numPr>
        <w:tabs>
          <w:tab w:val="left" w:pos="624"/>
        </w:tabs>
        <w:spacing w:line="240" w:lineRule="auto"/>
        <w:ind w:left="1247" w:firstLine="0"/>
        <w:rPr>
          <w:noProof/>
          <w:kern w:val="0"/>
        </w:rPr>
      </w:pPr>
      <w:proofErr w:type="spellStart"/>
      <w:r w:rsidRPr="004C544F">
        <w:rPr>
          <w:kern w:val="0"/>
          <w:lang w:val="zh-CN"/>
        </w:rPr>
        <w:t>理事会第九次会议选举</w:t>
      </w:r>
      <w:proofErr w:type="spellEnd"/>
      <w:r w:rsidRPr="004C544F">
        <w:rPr>
          <w:kern w:val="0"/>
          <w:lang w:val="zh-CN"/>
        </w:rPr>
        <w:t>Obed Meringo Baloyi</w:t>
      </w:r>
      <w:r w:rsidRPr="004C544F">
        <w:rPr>
          <w:kern w:val="0"/>
          <w:lang w:val="zh-CN"/>
        </w:rPr>
        <w:t>（</w:t>
      </w:r>
      <w:proofErr w:type="spellStart"/>
      <w:r w:rsidRPr="004C544F">
        <w:rPr>
          <w:kern w:val="0"/>
          <w:lang w:val="zh-CN"/>
        </w:rPr>
        <w:t>南非）和</w:t>
      </w:r>
      <w:proofErr w:type="spellEnd"/>
      <w:r w:rsidRPr="004C544F">
        <w:rPr>
          <w:kern w:val="0"/>
          <w:lang w:val="zh-CN"/>
        </w:rPr>
        <w:t>Andrew Clark</w:t>
      </w:r>
      <w:r w:rsidRPr="004C544F">
        <w:rPr>
          <w:kern w:val="0"/>
          <w:lang w:val="zh-CN"/>
        </w:rPr>
        <w:t>（</w:t>
      </w:r>
      <w:proofErr w:type="spellStart"/>
      <w:r w:rsidRPr="004C544F">
        <w:rPr>
          <w:kern w:val="0"/>
          <w:lang w:val="zh-CN"/>
        </w:rPr>
        <w:t>美利坚合众国）担任本届任期的共同主席</w:t>
      </w:r>
      <w:proofErr w:type="spellEnd"/>
      <w:r w:rsidRPr="004C544F">
        <w:rPr>
          <w:kern w:val="0"/>
          <w:lang w:val="zh-CN"/>
        </w:rPr>
        <w:t>。</w:t>
      </w:r>
    </w:p>
    <w:p w14:paraId="64D21E29" w14:textId="1DE1B508"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理事会第九次会议收到并讨论了秘书处提交理事会的关于专门国际方案运作情况的</w:t>
      </w:r>
      <w:r w:rsidRPr="004C544F">
        <w:rPr>
          <w:kern w:val="0"/>
          <w:lang w:val="zh-CN" w:eastAsia="zh-CN"/>
        </w:rPr>
        <w:t>2024</w:t>
      </w:r>
      <w:r w:rsidRPr="004C544F">
        <w:rPr>
          <w:kern w:val="0"/>
          <w:lang w:val="zh-CN" w:eastAsia="zh-CN"/>
        </w:rPr>
        <w:t>年年度报告，包括专项信托基金收到的资金和认捐以及支出的最新情况。理事会决定启动第四轮申请，并审议了向理事会提交的专门国际方案中期评价中关于启动第四轮的各项建议。</w:t>
      </w:r>
    </w:p>
    <w:p w14:paraId="6BDBFECE" w14:textId="1ED49A5C"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理事会第十次会议于</w:t>
      </w:r>
      <w:r w:rsidRPr="004C544F">
        <w:rPr>
          <w:kern w:val="0"/>
          <w:lang w:val="zh-CN" w:eastAsia="zh-CN"/>
        </w:rPr>
        <w:t>2025</w:t>
      </w:r>
      <w:r w:rsidRPr="004C544F">
        <w:rPr>
          <w:kern w:val="0"/>
          <w:lang w:val="zh-CN" w:eastAsia="zh-CN"/>
        </w:rPr>
        <w:t>年</w:t>
      </w:r>
      <w:r w:rsidRPr="004C544F">
        <w:rPr>
          <w:kern w:val="0"/>
          <w:lang w:val="zh-CN" w:eastAsia="zh-CN"/>
        </w:rPr>
        <w:t>1</w:t>
      </w:r>
      <w:r w:rsidRPr="004C544F">
        <w:rPr>
          <w:kern w:val="0"/>
          <w:lang w:val="zh-CN" w:eastAsia="zh-CN"/>
        </w:rPr>
        <w:t>月</w:t>
      </w:r>
      <w:r w:rsidRPr="004C544F">
        <w:rPr>
          <w:kern w:val="0"/>
          <w:lang w:val="zh-CN" w:eastAsia="zh-CN"/>
        </w:rPr>
        <w:t>22</w:t>
      </w:r>
      <w:r w:rsidRPr="004C544F">
        <w:rPr>
          <w:kern w:val="0"/>
          <w:lang w:val="zh-CN" w:eastAsia="zh-CN"/>
        </w:rPr>
        <w:t>日至</w:t>
      </w:r>
      <w:r w:rsidRPr="004C544F">
        <w:rPr>
          <w:kern w:val="0"/>
          <w:lang w:val="zh-CN" w:eastAsia="zh-CN"/>
        </w:rPr>
        <w:t>24</w:t>
      </w:r>
      <w:r w:rsidRPr="004C544F">
        <w:rPr>
          <w:kern w:val="0"/>
          <w:lang w:val="zh-CN" w:eastAsia="zh-CN"/>
        </w:rPr>
        <w:t>日在日内瓦举行。在该次会议上，理事会审议了</w:t>
      </w:r>
      <w:r w:rsidR="00685608" w:rsidRPr="004C544F">
        <w:rPr>
          <w:rFonts w:hint="eastAsia"/>
          <w:kern w:val="0"/>
          <w:lang w:val="zh-CN" w:eastAsia="zh-CN"/>
        </w:rPr>
        <w:t>以下等事项</w:t>
      </w:r>
      <w:r w:rsidRPr="004C544F">
        <w:rPr>
          <w:kern w:val="0"/>
          <w:lang w:val="zh-CN" w:eastAsia="zh-CN"/>
        </w:rPr>
        <w:t>：秘书处关于专门国际方案运作情况的年度报告；专项信托基金的状况；财务机制第三次审查的职权范围草案；秘书处关于专门国际方案初始任期后半期的预期资金需求和相关人员配置需求分析报告草案的增订版。理事会审议了第四轮申请收到的</w:t>
      </w:r>
      <w:r w:rsidRPr="004C544F">
        <w:rPr>
          <w:kern w:val="0"/>
          <w:lang w:val="zh-CN" w:eastAsia="zh-CN"/>
        </w:rPr>
        <w:t>29</w:t>
      </w:r>
      <w:r w:rsidRPr="004C544F">
        <w:rPr>
          <w:kern w:val="0"/>
          <w:lang w:val="zh-CN" w:eastAsia="zh-CN"/>
        </w:rPr>
        <w:t>份合格申请，核准了为</w:t>
      </w:r>
      <w:r w:rsidRPr="004C544F">
        <w:rPr>
          <w:kern w:val="0"/>
          <w:lang w:val="zh-CN" w:eastAsia="zh-CN"/>
        </w:rPr>
        <w:t>10</w:t>
      </w:r>
      <w:r w:rsidRPr="004C544F">
        <w:rPr>
          <w:kern w:val="0"/>
          <w:lang w:val="zh-CN" w:eastAsia="zh-CN"/>
        </w:rPr>
        <w:t>个项目供资。</w:t>
      </w:r>
    </w:p>
    <w:p w14:paraId="71CB24F6" w14:textId="12EB0622" w:rsidR="00FF1D0E" w:rsidRPr="004C544F" w:rsidRDefault="00FF1D0E" w:rsidP="007D6F80">
      <w:pPr>
        <w:pStyle w:val="CH1"/>
        <w:numPr>
          <w:ilvl w:val="0"/>
          <w:numId w:val="24"/>
        </w:numPr>
        <w:tabs>
          <w:tab w:val="clear" w:pos="851"/>
          <w:tab w:val="clear" w:pos="1247"/>
          <w:tab w:val="clear" w:pos="1871"/>
          <w:tab w:val="clear" w:pos="2495"/>
          <w:tab w:val="clear" w:pos="3119"/>
          <w:tab w:val="clear" w:pos="3742"/>
          <w:tab w:val="clear" w:pos="4366"/>
          <w:tab w:val="clear" w:pos="4990"/>
        </w:tabs>
        <w:ind w:right="0" w:hanging="900"/>
        <w:rPr>
          <w:rFonts w:eastAsia="SimHei"/>
          <w:b w:val="0"/>
          <w:noProof/>
          <w:sz w:val="32"/>
          <w:szCs w:val="32"/>
          <w:lang w:eastAsia="zh-CN"/>
        </w:rPr>
      </w:pPr>
      <w:r w:rsidRPr="004C544F">
        <w:rPr>
          <w:rFonts w:eastAsia="SimHei"/>
          <w:bCs/>
          <w:sz w:val="32"/>
          <w:szCs w:val="32"/>
          <w:lang w:val="zh-CN" w:eastAsia="zh-CN"/>
        </w:rPr>
        <w:t>已核准的专门国际方案项目的执行情况</w:t>
      </w:r>
    </w:p>
    <w:p w14:paraId="1955E296" w14:textId="2426DD28" w:rsidR="00FF1D0E" w:rsidRPr="004C544F" w:rsidRDefault="00FF1D0E" w:rsidP="004C544F">
      <w:pPr>
        <w:pStyle w:val="Normalnumber"/>
        <w:numPr>
          <w:ilvl w:val="0"/>
          <w:numId w:val="17"/>
        </w:numPr>
        <w:tabs>
          <w:tab w:val="left" w:pos="624"/>
        </w:tabs>
        <w:spacing w:line="240" w:lineRule="auto"/>
        <w:ind w:left="1247" w:firstLine="0"/>
        <w:rPr>
          <w:noProof/>
          <w:kern w:val="0"/>
        </w:rPr>
      </w:pPr>
      <w:r w:rsidRPr="00E0213E">
        <w:rPr>
          <w:spacing w:val="8"/>
          <w:kern w:val="0"/>
          <w:lang w:val="zh-CN" w:eastAsia="zh-CN"/>
        </w:rPr>
        <w:t>理事会在第四轮申请（</w:t>
      </w:r>
      <w:r w:rsidRPr="00E0213E">
        <w:rPr>
          <w:spacing w:val="8"/>
          <w:kern w:val="0"/>
          <w:lang w:val="zh-CN" w:eastAsia="zh-CN"/>
        </w:rPr>
        <w:t>2024–2025</w:t>
      </w:r>
      <w:r w:rsidRPr="00E0213E">
        <w:rPr>
          <w:spacing w:val="8"/>
          <w:kern w:val="0"/>
          <w:lang w:val="zh-CN" w:eastAsia="zh-CN"/>
        </w:rPr>
        <w:t>年）中核准了</w:t>
      </w:r>
      <w:r w:rsidRPr="00E0213E">
        <w:rPr>
          <w:spacing w:val="8"/>
          <w:kern w:val="0"/>
          <w:lang w:val="zh-CN" w:eastAsia="zh-CN"/>
        </w:rPr>
        <w:t>10</w:t>
      </w:r>
      <w:r w:rsidRPr="00E0213E">
        <w:rPr>
          <w:spacing w:val="8"/>
          <w:kern w:val="0"/>
          <w:lang w:val="zh-CN" w:eastAsia="zh-CN"/>
        </w:rPr>
        <w:t>个项目，总预算为</w:t>
      </w:r>
      <w:r w:rsidRPr="004C544F">
        <w:rPr>
          <w:kern w:val="0"/>
          <w:lang w:val="zh-CN" w:eastAsia="zh-CN"/>
        </w:rPr>
        <w:t>2 104 630</w:t>
      </w:r>
      <w:r w:rsidRPr="004C544F">
        <w:rPr>
          <w:kern w:val="0"/>
          <w:lang w:val="zh-CN" w:eastAsia="zh-CN"/>
        </w:rPr>
        <w:t>美元（加上</w:t>
      </w:r>
      <w:r w:rsidRPr="004C544F">
        <w:rPr>
          <w:kern w:val="0"/>
          <w:lang w:val="zh-CN" w:eastAsia="zh-CN"/>
        </w:rPr>
        <w:t>13%</w:t>
      </w:r>
      <w:r w:rsidRPr="004C544F">
        <w:rPr>
          <w:kern w:val="0"/>
          <w:lang w:val="zh-CN" w:eastAsia="zh-CN"/>
        </w:rPr>
        <w:t>方案支助费用为</w:t>
      </w:r>
      <w:r w:rsidRPr="004C544F">
        <w:rPr>
          <w:kern w:val="0"/>
          <w:lang w:val="zh-CN" w:eastAsia="zh-CN"/>
        </w:rPr>
        <w:t>2 378 231</w:t>
      </w:r>
      <w:r w:rsidRPr="004C544F">
        <w:rPr>
          <w:kern w:val="0"/>
          <w:lang w:val="zh-CN" w:eastAsia="zh-CN"/>
        </w:rPr>
        <w:t>美元）。</w:t>
      </w:r>
      <w:proofErr w:type="spellStart"/>
      <w:r w:rsidRPr="004C544F">
        <w:rPr>
          <w:kern w:val="0"/>
          <w:lang w:val="zh-CN"/>
        </w:rPr>
        <w:t>已核准的项目及其预算如下</w:t>
      </w:r>
      <w:proofErr w:type="spellEnd"/>
      <w:r w:rsidRPr="004C544F">
        <w:rPr>
          <w:kern w:val="0"/>
          <w:lang w:val="zh-CN"/>
        </w:rPr>
        <w:t>：</w:t>
      </w:r>
    </w:p>
    <w:p w14:paraId="0EE259A8" w14:textId="31A202DA" w:rsidR="00FF1D0E" w:rsidRPr="004C544F" w:rsidRDefault="00FF1D0E" w:rsidP="004C544F">
      <w:pPr>
        <w:pStyle w:val="Normalnumber"/>
        <w:numPr>
          <w:ilvl w:val="0"/>
          <w:numId w:val="19"/>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巴西</w:t>
      </w:r>
      <w:r w:rsidRPr="004C544F">
        <w:rPr>
          <w:kern w:val="0"/>
          <w:lang w:val="zh-CN" w:eastAsia="zh-CN"/>
        </w:rPr>
        <w:t>：手工和小规模采金业：</w:t>
      </w:r>
      <w:proofErr w:type="gramStart"/>
      <w:r w:rsidRPr="004C544F">
        <w:rPr>
          <w:kern w:val="0"/>
          <w:lang w:val="zh-CN" w:eastAsia="zh-CN"/>
        </w:rPr>
        <w:t>汞使用</w:t>
      </w:r>
      <w:proofErr w:type="gramEnd"/>
      <w:r w:rsidRPr="004C544F">
        <w:rPr>
          <w:kern w:val="0"/>
          <w:lang w:val="zh-CN" w:eastAsia="zh-CN"/>
        </w:rPr>
        <w:t>的健康和环境影响（</w:t>
      </w:r>
      <w:r w:rsidRPr="004C544F">
        <w:rPr>
          <w:kern w:val="0"/>
          <w:lang w:val="zh-CN" w:eastAsia="zh-CN"/>
        </w:rPr>
        <w:t>250 000</w:t>
      </w:r>
      <w:r w:rsidRPr="004C544F">
        <w:rPr>
          <w:kern w:val="0"/>
          <w:lang w:val="zh-CN" w:eastAsia="zh-CN"/>
        </w:rPr>
        <w:t>美元）；</w:t>
      </w:r>
    </w:p>
    <w:p w14:paraId="1C96283F" w14:textId="4BFADC5A" w:rsidR="00FF1D0E" w:rsidRPr="004C544F" w:rsidRDefault="00FF1D0E" w:rsidP="004C544F">
      <w:pPr>
        <w:pStyle w:val="Normalnumber"/>
        <w:numPr>
          <w:ilvl w:val="0"/>
          <w:numId w:val="19"/>
        </w:numPr>
        <w:tabs>
          <w:tab w:val="left" w:pos="624"/>
        </w:tabs>
        <w:spacing w:line="240" w:lineRule="auto"/>
        <w:ind w:left="1247" w:firstLine="624"/>
        <w:rPr>
          <w:noProof/>
          <w:kern w:val="0"/>
          <w:lang w:eastAsia="zh-CN"/>
        </w:rPr>
      </w:pPr>
      <w:r w:rsidRPr="004C544F">
        <w:rPr>
          <w:rFonts w:ascii="KaiTi" w:eastAsia="KaiTi" w:hAnsi="KaiTi"/>
          <w:kern w:val="0"/>
          <w:lang w:val="zh-CN" w:eastAsia="zh-CN"/>
        </w:rPr>
        <w:t>乍得</w:t>
      </w:r>
      <w:r w:rsidRPr="004C544F">
        <w:rPr>
          <w:kern w:val="0"/>
          <w:lang w:val="zh-CN" w:eastAsia="zh-CN"/>
        </w:rPr>
        <w:t>：控制汞和含汞产品的贸易（</w:t>
      </w:r>
      <w:r w:rsidRPr="004C544F">
        <w:rPr>
          <w:kern w:val="0"/>
          <w:lang w:val="zh-CN" w:eastAsia="zh-CN"/>
        </w:rPr>
        <w:t>230 000</w:t>
      </w:r>
      <w:r w:rsidRPr="004C544F">
        <w:rPr>
          <w:kern w:val="0"/>
          <w:lang w:val="zh-CN" w:eastAsia="zh-CN"/>
        </w:rPr>
        <w:t>美元）；</w:t>
      </w:r>
    </w:p>
    <w:p w14:paraId="4792C4CA" w14:textId="71E44A06" w:rsidR="00FF1D0E" w:rsidRPr="00E0213E" w:rsidRDefault="00FF1D0E" w:rsidP="004C544F">
      <w:pPr>
        <w:pStyle w:val="Normalnumber"/>
        <w:numPr>
          <w:ilvl w:val="0"/>
          <w:numId w:val="19"/>
        </w:numPr>
        <w:tabs>
          <w:tab w:val="left" w:pos="624"/>
        </w:tabs>
        <w:spacing w:line="240" w:lineRule="auto"/>
        <w:ind w:left="1247" w:firstLine="624"/>
        <w:rPr>
          <w:noProof/>
          <w:spacing w:val="-8"/>
          <w:kern w:val="0"/>
          <w:lang w:eastAsia="zh-CN"/>
        </w:rPr>
      </w:pPr>
      <w:r w:rsidRPr="00E0213E">
        <w:rPr>
          <w:rFonts w:ascii="KaiTi" w:eastAsia="KaiTi" w:hAnsi="KaiTi"/>
          <w:spacing w:val="-8"/>
          <w:kern w:val="0"/>
          <w:lang w:val="zh-CN" w:eastAsia="zh-CN"/>
        </w:rPr>
        <w:t>吉布提</w:t>
      </w:r>
      <w:r w:rsidRPr="00E0213E">
        <w:rPr>
          <w:spacing w:val="-8"/>
          <w:kern w:val="0"/>
          <w:lang w:val="zh-CN" w:eastAsia="zh-CN"/>
        </w:rPr>
        <w:t>：加强汞和含汞废物无害环境管理的法律和体制框架（</w:t>
      </w:r>
      <w:r w:rsidRPr="00E0213E">
        <w:rPr>
          <w:spacing w:val="-8"/>
          <w:kern w:val="0"/>
          <w:lang w:val="zh-CN" w:eastAsia="zh-CN"/>
        </w:rPr>
        <w:t>201 000</w:t>
      </w:r>
      <w:r w:rsidRPr="00E0213E">
        <w:rPr>
          <w:spacing w:val="-8"/>
          <w:kern w:val="0"/>
          <w:lang w:val="zh-CN" w:eastAsia="zh-CN"/>
        </w:rPr>
        <w:t>美元）；</w:t>
      </w:r>
    </w:p>
    <w:p w14:paraId="6494534B" w14:textId="3F32ECF6" w:rsidR="00FF1D0E" w:rsidRPr="004C544F" w:rsidRDefault="00FF1D0E" w:rsidP="004C544F">
      <w:pPr>
        <w:pStyle w:val="Normalnumber"/>
        <w:numPr>
          <w:ilvl w:val="0"/>
          <w:numId w:val="19"/>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厄立特里亚</w:t>
      </w:r>
      <w:r w:rsidRPr="004C544F">
        <w:rPr>
          <w:kern w:val="0"/>
          <w:lang w:val="zh-CN" w:eastAsia="zh-CN"/>
        </w:rPr>
        <w:t>：国家能力建设，以提高对手工和小规模采金业活动中汞的健康和环境影响的认识（</w:t>
      </w:r>
      <w:r w:rsidRPr="004C544F">
        <w:rPr>
          <w:kern w:val="0"/>
          <w:lang w:val="zh-CN" w:eastAsia="zh-CN"/>
        </w:rPr>
        <w:t>85 000</w:t>
      </w:r>
      <w:r w:rsidRPr="004C544F">
        <w:rPr>
          <w:kern w:val="0"/>
          <w:lang w:val="zh-CN" w:eastAsia="zh-CN"/>
        </w:rPr>
        <w:t>美元）；</w:t>
      </w:r>
    </w:p>
    <w:p w14:paraId="294C6340" w14:textId="04DB28FD" w:rsidR="00FF1D0E" w:rsidRPr="004C544F" w:rsidRDefault="00FF1D0E" w:rsidP="004C544F">
      <w:pPr>
        <w:pStyle w:val="Normalnumber"/>
        <w:numPr>
          <w:ilvl w:val="0"/>
          <w:numId w:val="19"/>
        </w:numPr>
        <w:tabs>
          <w:tab w:val="left" w:pos="624"/>
        </w:tabs>
        <w:spacing w:line="240" w:lineRule="auto"/>
        <w:ind w:left="1247" w:firstLine="624"/>
        <w:rPr>
          <w:noProof/>
          <w:kern w:val="0"/>
          <w:lang w:eastAsia="zh-CN"/>
        </w:rPr>
      </w:pPr>
      <w:r w:rsidRPr="004C544F">
        <w:rPr>
          <w:rFonts w:ascii="KaiTi" w:eastAsia="KaiTi" w:hAnsi="KaiTi"/>
          <w:kern w:val="0"/>
          <w:lang w:val="zh-CN" w:eastAsia="zh-CN"/>
        </w:rPr>
        <w:t>格鲁吉亚</w:t>
      </w:r>
      <w:r w:rsidRPr="004C544F">
        <w:rPr>
          <w:kern w:val="0"/>
          <w:lang w:val="zh-CN" w:eastAsia="zh-CN"/>
        </w:rPr>
        <w:t>：增强国家能力和知识管理，以促进遵守《关于汞的水俣公约》（</w:t>
      </w:r>
      <w:r w:rsidRPr="004C544F">
        <w:rPr>
          <w:kern w:val="0"/>
          <w:lang w:val="zh-CN" w:eastAsia="zh-CN"/>
        </w:rPr>
        <w:t>244 000</w:t>
      </w:r>
      <w:r w:rsidRPr="004C544F">
        <w:rPr>
          <w:kern w:val="0"/>
          <w:lang w:val="zh-CN" w:eastAsia="zh-CN"/>
        </w:rPr>
        <w:t>美元）；</w:t>
      </w:r>
    </w:p>
    <w:p w14:paraId="72886384" w14:textId="733C2615" w:rsidR="00FF1D0E" w:rsidRPr="004C544F" w:rsidRDefault="00FF1D0E" w:rsidP="004C544F">
      <w:pPr>
        <w:pStyle w:val="Normalnumber"/>
        <w:numPr>
          <w:ilvl w:val="0"/>
          <w:numId w:val="19"/>
        </w:numPr>
        <w:tabs>
          <w:tab w:val="left" w:pos="624"/>
        </w:tabs>
        <w:spacing w:line="240" w:lineRule="auto"/>
        <w:ind w:left="1247" w:firstLine="624"/>
        <w:rPr>
          <w:noProof/>
          <w:kern w:val="0"/>
          <w:lang w:eastAsia="zh-CN"/>
        </w:rPr>
      </w:pPr>
      <w:r w:rsidRPr="004C544F">
        <w:rPr>
          <w:rFonts w:ascii="KaiTi" w:eastAsia="KaiTi" w:hAnsi="KaiTi"/>
          <w:kern w:val="0"/>
          <w:lang w:val="zh-CN" w:eastAsia="zh-CN"/>
        </w:rPr>
        <w:lastRenderedPageBreak/>
        <w:t>马达加斯加</w:t>
      </w:r>
      <w:r w:rsidRPr="004C544F">
        <w:rPr>
          <w:kern w:val="0"/>
          <w:lang w:val="zh-CN" w:eastAsia="zh-CN"/>
        </w:rPr>
        <w:t>：加强马达加斯加执行《关于汞的水俣公约》和管理含汞产品的能力（</w:t>
      </w:r>
      <w:r w:rsidRPr="004C544F">
        <w:rPr>
          <w:kern w:val="0"/>
          <w:lang w:val="zh-CN" w:eastAsia="zh-CN"/>
        </w:rPr>
        <w:t>244 000</w:t>
      </w:r>
      <w:r w:rsidRPr="004C544F">
        <w:rPr>
          <w:kern w:val="0"/>
          <w:lang w:val="zh-CN" w:eastAsia="zh-CN"/>
        </w:rPr>
        <w:t>美元）；</w:t>
      </w:r>
    </w:p>
    <w:p w14:paraId="755EB3EA" w14:textId="26445F0E" w:rsidR="00FF1D0E" w:rsidRPr="004C544F" w:rsidRDefault="00FF1D0E" w:rsidP="004C544F">
      <w:pPr>
        <w:pStyle w:val="Normalnumber"/>
        <w:numPr>
          <w:ilvl w:val="0"/>
          <w:numId w:val="19"/>
        </w:numPr>
        <w:tabs>
          <w:tab w:val="left" w:pos="624"/>
        </w:tabs>
        <w:spacing w:line="240" w:lineRule="auto"/>
        <w:ind w:left="1247" w:firstLine="624"/>
        <w:rPr>
          <w:noProof/>
          <w:kern w:val="0"/>
          <w:lang w:eastAsia="zh-CN"/>
        </w:rPr>
      </w:pPr>
      <w:r w:rsidRPr="004C544F">
        <w:rPr>
          <w:rFonts w:ascii="KaiTi" w:eastAsia="KaiTi" w:hAnsi="KaiTi"/>
          <w:kern w:val="0"/>
          <w:lang w:val="zh-CN" w:eastAsia="zh-CN"/>
        </w:rPr>
        <w:t>黑山</w:t>
      </w:r>
      <w:r w:rsidRPr="004C544F">
        <w:rPr>
          <w:kern w:val="0"/>
          <w:lang w:val="zh-CN" w:eastAsia="zh-CN"/>
        </w:rPr>
        <w:t>：</w:t>
      </w:r>
      <w:r w:rsidRPr="004C544F">
        <w:rPr>
          <w:kern w:val="0"/>
          <w:lang w:val="zh-CN" w:eastAsia="zh-CN"/>
        </w:rPr>
        <w:t>Brskovo</w:t>
      </w:r>
      <w:r w:rsidRPr="004C544F">
        <w:rPr>
          <w:kern w:val="0"/>
          <w:lang w:val="zh-CN" w:eastAsia="zh-CN"/>
        </w:rPr>
        <w:t>受污染的前金属矿区汞污染修复开发方案（</w:t>
      </w:r>
      <w:r w:rsidRPr="004C544F">
        <w:rPr>
          <w:kern w:val="0"/>
          <w:lang w:val="zh-CN" w:eastAsia="zh-CN"/>
        </w:rPr>
        <w:t>247 980</w:t>
      </w:r>
      <w:r w:rsidRPr="004C544F">
        <w:rPr>
          <w:kern w:val="0"/>
          <w:lang w:val="zh-CN" w:eastAsia="zh-CN"/>
        </w:rPr>
        <w:t>美元）；</w:t>
      </w:r>
    </w:p>
    <w:p w14:paraId="4D2906AD" w14:textId="0B81B79F" w:rsidR="00FF1D0E" w:rsidRPr="004C544F" w:rsidRDefault="00FF1D0E" w:rsidP="004C544F">
      <w:pPr>
        <w:pStyle w:val="Normalnumber"/>
        <w:numPr>
          <w:ilvl w:val="0"/>
          <w:numId w:val="19"/>
        </w:numPr>
        <w:tabs>
          <w:tab w:val="left" w:pos="624"/>
        </w:tabs>
        <w:spacing w:line="240" w:lineRule="auto"/>
        <w:ind w:left="1247" w:firstLine="624"/>
        <w:rPr>
          <w:noProof/>
          <w:kern w:val="0"/>
          <w:lang w:eastAsia="zh-CN"/>
        </w:rPr>
      </w:pPr>
      <w:r w:rsidRPr="004C544F">
        <w:rPr>
          <w:rFonts w:ascii="KaiTi" w:eastAsia="KaiTi" w:hAnsi="KaiTi"/>
          <w:kern w:val="0"/>
          <w:lang w:val="zh-CN" w:eastAsia="zh-CN"/>
        </w:rPr>
        <w:t>斯里兰卡</w:t>
      </w:r>
      <w:r w:rsidRPr="004C544F">
        <w:rPr>
          <w:kern w:val="0"/>
          <w:lang w:val="zh-CN" w:eastAsia="zh-CN"/>
        </w:rPr>
        <w:t>：为对阿育吠</w:t>
      </w:r>
      <w:proofErr w:type="gramStart"/>
      <w:r w:rsidRPr="004C544F">
        <w:rPr>
          <w:kern w:val="0"/>
          <w:lang w:val="zh-CN" w:eastAsia="zh-CN"/>
        </w:rPr>
        <w:t>陀</w:t>
      </w:r>
      <w:proofErr w:type="gramEnd"/>
      <w:r w:rsidRPr="004C544F">
        <w:rPr>
          <w:kern w:val="0"/>
          <w:lang w:val="zh-CN" w:eastAsia="zh-CN"/>
        </w:rPr>
        <w:t>药物制造过程中产生</w:t>
      </w:r>
      <w:proofErr w:type="gramStart"/>
      <w:r w:rsidRPr="004C544F">
        <w:rPr>
          <w:kern w:val="0"/>
          <w:lang w:val="zh-CN" w:eastAsia="zh-CN"/>
        </w:rPr>
        <w:t>的由汞或</w:t>
      </w:r>
      <w:proofErr w:type="gramEnd"/>
      <w:r w:rsidRPr="004C544F">
        <w:rPr>
          <w:kern w:val="0"/>
          <w:lang w:val="zh-CN" w:eastAsia="zh-CN"/>
        </w:rPr>
        <w:t>汞化合物构成、含有此类物质或受其污染的废物进行无害环境管理提供综合解决方案，以保护人类健康和环境</w:t>
      </w:r>
      <w:r w:rsidRPr="004C544F">
        <w:rPr>
          <w:kern w:val="0"/>
          <w:lang w:val="zh-CN" w:eastAsia="zh-CN"/>
        </w:rPr>
        <w:t>——</w:t>
      </w:r>
      <w:r w:rsidRPr="004C544F">
        <w:rPr>
          <w:kern w:val="0"/>
          <w:lang w:val="zh-CN" w:eastAsia="zh-CN"/>
        </w:rPr>
        <w:t>斯里兰卡的详细研究（</w:t>
      </w:r>
      <w:r w:rsidRPr="004C544F">
        <w:rPr>
          <w:kern w:val="0"/>
          <w:lang w:val="zh-CN" w:eastAsia="zh-CN"/>
        </w:rPr>
        <w:t>197 650</w:t>
      </w:r>
      <w:r w:rsidRPr="004C544F">
        <w:rPr>
          <w:kern w:val="0"/>
          <w:lang w:val="zh-CN" w:eastAsia="zh-CN"/>
        </w:rPr>
        <w:t>美元）；</w:t>
      </w:r>
    </w:p>
    <w:p w14:paraId="39F1FFA0" w14:textId="25207529" w:rsidR="00FF1D0E" w:rsidRPr="004C544F" w:rsidRDefault="00FF1D0E" w:rsidP="004C544F">
      <w:pPr>
        <w:pStyle w:val="Normalnumber"/>
        <w:numPr>
          <w:ilvl w:val="0"/>
          <w:numId w:val="19"/>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坦桑尼亚联合共和国</w:t>
      </w:r>
      <w:r w:rsidRPr="004C544F">
        <w:rPr>
          <w:kern w:val="0"/>
          <w:lang w:val="zh-CN" w:eastAsia="zh-CN"/>
        </w:rPr>
        <w:t>：为执行《关于汞的水俣公约》加强国家能力（</w:t>
      </w:r>
      <w:r w:rsidRPr="004C544F">
        <w:rPr>
          <w:kern w:val="0"/>
          <w:lang w:val="zh-CN" w:eastAsia="zh-CN"/>
        </w:rPr>
        <w:t>211 000</w:t>
      </w:r>
      <w:r w:rsidRPr="004C544F">
        <w:rPr>
          <w:kern w:val="0"/>
          <w:lang w:val="zh-CN" w:eastAsia="zh-CN"/>
        </w:rPr>
        <w:t>美元）；</w:t>
      </w:r>
    </w:p>
    <w:p w14:paraId="13E882BB" w14:textId="3EF3655A" w:rsidR="00FF1D0E" w:rsidRPr="004C544F" w:rsidRDefault="00FF1D0E" w:rsidP="004C544F">
      <w:pPr>
        <w:pStyle w:val="Normalnumber"/>
        <w:numPr>
          <w:ilvl w:val="0"/>
          <w:numId w:val="19"/>
        </w:numPr>
        <w:tabs>
          <w:tab w:val="left" w:pos="624"/>
        </w:tabs>
        <w:spacing w:line="240" w:lineRule="auto"/>
        <w:ind w:left="1247" w:firstLine="624"/>
        <w:rPr>
          <w:noProof/>
          <w:kern w:val="0"/>
          <w:lang w:eastAsia="zh-CN"/>
        </w:rPr>
      </w:pPr>
      <w:r w:rsidRPr="004C544F">
        <w:rPr>
          <w:rFonts w:ascii="KaiTi" w:eastAsia="KaiTi" w:hAnsi="KaiTi"/>
          <w:kern w:val="0"/>
          <w:lang w:val="zh-CN" w:eastAsia="zh-CN"/>
        </w:rPr>
        <w:t>津巴布韦</w:t>
      </w:r>
      <w:r w:rsidRPr="004C544F">
        <w:rPr>
          <w:kern w:val="0"/>
          <w:lang w:val="zh-CN" w:eastAsia="zh-CN"/>
        </w:rPr>
        <w:t>：减少津巴布韦燃煤发电厂的汞排放和释放，以履行《关于汞的水俣公约》第八条规定的义务（</w:t>
      </w:r>
      <w:r w:rsidRPr="004C544F">
        <w:rPr>
          <w:kern w:val="0"/>
          <w:lang w:val="zh-CN" w:eastAsia="zh-CN"/>
        </w:rPr>
        <w:t>194 000</w:t>
      </w:r>
      <w:r w:rsidRPr="004C544F">
        <w:rPr>
          <w:kern w:val="0"/>
          <w:lang w:val="zh-CN" w:eastAsia="zh-CN"/>
        </w:rPr>
        <w:t>美元）。</w:t>
      </w:r>
    </w:p>
    <w:p w14:paraId="59EBFF19" w14:textId="77777777"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秘书处正与各国政府合作，定稿已核准项目的文件，并编写法律协定供签署，以便可以开始拨付项目资金。</w:t>
      </w:r>
    </w:p>
    <w:p w14:paraId="4DA640A4" w14:textId="1153134A"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理事会在第三轮申请（</w:t>
      </w:r>
      <w:r w:rsidRPr="004C544F">
        <w:rPr>
          <w:kern w:val="0"/>
          <w:lang w:val="zh-CN" w:eastAsia="zh-CN"/>
        </w:rPr>
        <w:t>2020–2021</w:t>
      </w:r>
      <w:r w:rsidRPr="004C544F">
        <w:rPr>
          <w:kern w:val="0"/>
          <w:lang w:val="zh-CN" w:eastAsia="zh-CN"/>
        </w:rPr>
        <w:t>年）中核准了以下</w:t>
      </w:r>
      <w:r w:rsidRPr="004C544F">
        <w:rPr>
          <w:kern w:val="0"/>
          <w:lang w:val="zh-CN" w:eastAsia="zh-CN"/>
        </w:rPr>
        <w:t>9</w:t>
      </w:r>
      <w:r w:rsidRPr="004C544F">
        <w:rPr>
          <w:kern w:val="0"/>
          <w:lang w:val="zh-CN" w:eastAsia="zh-CN"/>
        </w:rPr>
        <w:t>个项目，总预算为</w:t>
      </w:r>
      <w:r w:rsidRPr="004C544F">
        <w:rPr>
          <w:kern w:val="0"/>
          <w:lang w:val="zh-CN" w:eastAsia="zh-CN"/>
        </w:rPr>
        <w:t>2 193 842</w:t>
      </w:r>
      <w:r w:rsidRPr="004C544F">
        <w:rPr>
          <w:kern w:val="0"/>
          <w:lang w:val="zh-CN" w:eastAsia="zh-CN"/>
        </w:rPr>
        <w:t>美元（加上</w:t>
      </w:r>
      <w:r w:rsidRPr="004C544F">
        <w:rPr>
          <w:kern w:val="0"/>
          <w:lang w:val="zh-CN" w:eastAsia="zh-CN"/>
        </w:rPr>
        <w:t>13%</w:t>
      </w:r>
      <w:r w:rsidRPr="004C544F">
        <w:rPr>
          <w:kern w:val="0"/>
          <w:lang w:val="zh-CN" w:eastAsia="zh-CN"/>
        </w:rPr>
        <w:t>方案支助费用为</w:t>
      </w:r>
      <w:r w:rsidRPr="004C544F">
        <w:rPr>
          <w:kern w:val="0"/>
          <w:lang w:val="zh-CN" w:eastAsia="zh-CN"/>
        </w:rPr>
        <w:t>2 479 041</w:t>
      </w:r>
      <w:r w:rsidRPr="004C544F">
        <w:rPr>
          <w:kern w:val="0"/>
          <w:lang w:val="zh-CN" w:eastAsia="zh-CN"/>
        </w:rPr>
        <w:t>美元）</w:t>
      </w:r>
      <w:r w:rsidR="00894746" w:rsidRPr="004C544F">
        <w:rPr>
          <w:kern w:val="0"/>
          <w:lang w:val="zh-CN" w:eastAsia="zh-CN"/>
        </w:rPr>
        <w:t>：</w:t>
      </w:r>
    </w:p>
    <w:p w14:paraId="7E0AB641" w14:textId="51A25FB3" w:rsidR="00FF1D0E" w:rsidRPr="004C544F" w:rsidRDefault="00FF1D0E" w:rsidP="004C544F">
      <w:pPr>
        <w:pStyle w:val="Normalnumber"/>
        <w:numPr>
          <w:ilvl w:val="0"/>
          <w:numId w:val="20"/>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布隆迪</w:t>
      </w:r>
      <w:r w:rsidRPr="004C544F">
        <w:rPr>
          <w:kern w:val="0"/>
          <w:lang w:val="zh-CN" w:eastAsia="zh-CN"/>
        </w:rPr>
        <w:t>：为执行《关于汞的水俣公约》提供能力建设支持（</w:t>
      </w:r>
      <w:r w:rsidRPr="004C544F">
        <w:rPr>
          <w:kern w:val="0"/>
          <w:lang w:val="zh-CN" w:eastAsia="zh-CN"/>
        </w:rPr>
        <w:t>250 000</w:t>
      </w:r>
      <w:r w:rsidRPr="004C544F">
        <w:rPr>
          <w:kern w:val="0"/>
          <w:lang w:val="zh-CN" w:eastAsia="zh-CN"/>
        </w:rPr>
        <w:t>美元）；</w:t>
      </w:r>
    </w:p>
    <w:p w14:paraId="7BFEE447" w14:textId="5D3E3C4E" w:rsidR="00FF1D0E" w:rsidRPr="004C544F" w:rsidRDefault="00FF1D0E" w:rsidP="004C544F">
      <w:pPr>
        <w:pStyle w:val="Normalnumber"/>
        <w:numPr>
          <w:ilvl w:val="0"/>
          <w:numId w:val="20"/>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古巴</w:t>
      </w:r>
      <w:r w:rsidRPr="004C544F">
        <w:rPr>
          <w:kern w:val="0"/>
          <w:lang w:val="zh-CN" w:eastAsia="zh-CN"/>
        </w:rPr>
        <w:t>：改进古巴关于汞用途清单和环境周期的信息，以支持执行《关于汞的水俣公约》（</w:t>
      </w:r>
      <w:r w:rsidRPr="004C544F">
        <w:rPr>
          <w:kern w:val="0"/>
          <w:lang w:val="zh-CN" w:eastAsia="zh-CN"/>
        </w:rPr>
        <w:t>249 210</w:t>
      </w:r>
      <w:r w:rsidRPr="004C544F">
        <w:rPr>
          <w:kern w:val="0"/>
          <w:lang w:val="zh-CN" w:eastAsia="zh-CN"/>
        </w:rPr>
        <w:t>美元）；</w:t>
      </w:r>
    </w:p>
    <w:p w14:paraId="7C8883FB" w14:textId="379C53DA" w:rsidR="00FF1D0E" w:rsidRPr="004C544F" w:rsidRDefault="00FF1D0E" w:rsidP="004C544F">
      <w:pPr>
        <w:pStyle w:val="Normalnumber"/>
        <w:numPr>
          <w:ilvl w:val="0"/>
          <w:numId w:val="20"/>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加蓬</w:t>
      </w:r>
      <w:r w:rsidRPr="004C544F">
        <w:rPr>
          <w:kern w:val="0"/>
          <w:lang w:val="zh-CN" w:eastAsia="zh-CN"/>
        </w:rPr>
        <w:t>：通过技术援助和技术转让推动能力建设以监测和管理中部非洲的汞问题（</w:t>
      </w:r>
      <w:r w:rsidRPr="004C544F">
        <w:rPr>
          <w:kern w:val="0"/>
          <w:lang w:val="zh-CN" w:eastAsia="zh-CN"/>
        </w:rPr>
        <w:t>249 500</w:t>
      </w:r>
      <w:r w:rsidRPr="004C544F">
        <w:rPr>
          <w:kern w:val="0"/>
          <w:lang w:val="zh-CN" w:eastAsia="zh-CN"/>
        </w:rPr>
        <w:t>美元）；</w:t>
      </w:r>
    </w:p>
    <w:p w14:paraId="1C3C2EB2" w14:textId="0349B208" w:rsidR="00FF1D0E" w:rsidRPr="004C544F" w:rsidRDefault="00FF1D0E" w:rsidP="004C544F">
      <w:pPr>
        <w:pStyle w:val="Normalnumber"/>
        <w:numPr>
          <w:ilvl w:val="0"/>
          <w:numId w:val="20"/>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印度</w:t>
      </w:r>
      <w:r w:rsidRPr="004C544F">
        <w:rPr>
          <w:kern w:val="0"/>
          <w:lang w:val="zh-CN" w:eastAsia="zh-CN"/>
        </w:rPr>
        <w:t>：为印度执行《关于汞的水俣公约》制定体制和监管框架（</w:t>
      </w:r>
      <w:r w:rsidRPr="004C544F">
        <w:rPr>
          <w:kern w:val="0"/>
          <w:lang w:val="zh-CN" w:eastAsia="zh-CN"/>
        </w:rPr>
        <w:t>240 000</w:t>
      </w:r>
      <w:r w:rsidRPr="004C544F">
        <w:rPr>
          <w:kern w:val="0"/>
          <w:lang w:val="zh-CN" w:eastAsia="zh-CN"/>
        </w:rPr>
        <w:t>美元）；</w:t>
      </w:r>
    </w:p>
    <w:p w14:paraId="4BD8158A" w14:textId="3D3F9C99" w:rsidR="00FF1D0E" w:rsidRPr="004C544F" w:rsidRDefault="00FF1D0E" w:rsidP="004C544F">
      <w:pPr>
        <w:pStyle w:val="Normalnumber"/>
        <w:numPr>
          <w:ilvl w:val="0"/>
          <w:numId w:val="20"/>
        </w:numPr>
        <w:tabs>
          <w:tab w:val="left" w:pos="624"/>
        </w:tabs>
        <w:spacing w:line="240" w:lineRule="auto"/>
        <w:ind w:left="1247" w:firstLine="624"/>
        <w:rPr>
          <w:noProof/>
          <w:kern w:val="0"/>
          <w:lang w:eastAsia="zh-CN"/>
        </w:rPr>
      </w:pPr>
      <w:r w:rsidRPr="004C544F">
        <w:rPr>
          <w:rFonts w:ascii="KaiTi" w:eastAsia="KaiTi" w:hAnsi="KaiTi"/>
          <w:kern w:val="0"/>
          <w:lang w:val="zh-CN" w:eastAsia="zh-CN"/>
        </w:rPr>
        <w:t>伊朗伊斯兰共和国</w:t>
      </w:r>
      <w:r w:rsidRPr="004C544F">
        <w:rPr>
          <w:kern w:val="0"/>
          <w:lang w:val="zh-CN" w:eastAsia="zh-CN"/>
        </w:rPr>
        <w:t>：改进伊朗伊斯兰共和国更换含汞灯具的能力建设方案（</w:t>
      </w:r>
      <w:r w:rsidRPr="004C544F">
        <w:rPr>
          <w:kern w:val="0"/>
          <w:lang w:val="zh-CN" w:eastAsia="zh-CN"/>
        </w:rPr>
        <w:t>238 000</w:t>
      </w:r>
      <w:r w:rsidRPr="004C544F">
        <w:rPr>
          <w:kern w:val="0"/>
          <w:lang w:val="zh-CN" w:eastAsia="zh-CN"/>
        </w:rPr>
        <w:t>美元）；</w:t>
      </w:r>
    </w:p>
    <w:p w14:paraId="3BBF35C9" w14:textId="4C675C32" w:rsidR="00FF1D0E" w:rsidRPr="00E0213E" w:rsidRDefault="00FF1D0E" w:rsidP="004C544F">
      <w:pPr>
        <w:pStyle w:val="Normalnumber"/>
        <w:numPr>
          <w:ilvl w:val="0"/>
          <w:numId w:val="20"/>
        </w:numPr>
        <w:tabs>
          <w:tab w:val="left" w:pos="624"/>
        </w:tabs>
        <w:spacing w:line="240" w:lineRule="auto"/>
        <w:ind w:left="1247" w:firstLine="624"/>
        <w:rPr>
          <w:noProof/>
          <w:spacing w:val="8"/>
          <w:kern w:val="0"/>
          <w:lang w:eastAsia="zh-CN"/>
        </w:rPr>
      </w:pPr>
      <w:r w:rsidRPr="00E0213E">
        <w:rPr>
          <w:rFonts w:ascii="KaiTi" w:eastAsia="KaiTi" w:hAnsi="KaiTi"/>
          <w:spacing w:val="8"/>
          <w:kern w:val="0"/>
          <w:lang w:val="zh-CN" w:eastAsia="zh-CN"/>
        </w:rPr>
        <w:t>约旦</w:t>
      </w:r>
      <w:r w:rsidRPr="00E0213E">
        <w:rPr>
          <w:spacing w:val="8"/>
          <w:kern w:val="0"/>
          <w:lang w:val="zh-CN" w:eastAsia="zh-CN"/>
        </w:rPr>
        <w:t>：约旦的含汞废物无害环境管理和减少含汞产品（</w:t>
      </w:r>
      <w:r w:rsidRPr="00E0213E">
        <w:rPr>
          <w:spacing w:val="8"/>
          <w:kern w:val="0"/>
          <w:lang w:val="zh-CN" w:eastAsia="zh-CN"/>
        </w:rPr>
        <w:t>250 000</w:t>
      </w:r>
      <w:r w:rsidRPr="00E0213E">
        <w:rPr>
          <w:spacing w:val="8"/>
          <w:kern w:val="0"/>
          <w:lang w:val="zh-CN" w:eastAsia="zh-CN"/>
        </w:rPr>
        <w:t>美元）；</w:t>
      </w:r>
    </w:p>
    <w:p w14:paraId="317F3404" w14:textId="3448C700" w:rsidR="00FF1D0E" w:rsidRPr="004C544F" w:rsidRDefault="00FF1D0E" w:rsidP="004C544F">
      <w:pPr>
        <w:pStyle w:val="Normalnumber"/>
        <w:numPr>
          <w:ilvl w:val="0"/>
          <w:numId w:val="20"/>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北马其顿</w:t>
      </w:r>
      <w:r w:rsidRPr="004C544F">
        <w:rPr>
          <w:kern w:val="0"/>
          <w:lang w:val="zh-CN" w:eastAsia="zh-CN"/>
        </w:rPr>
        <w:t>：以制定评估汞污染场地的战略为重点，加强执行《关于汞的水俣公约》的国家能力（</w:t>
      </w:r>
      <w:r w:rsidRPr="004C544F">
        <w:rPr>
          <w:kern w:val="0"/>
          <w:lang w:val="zh-CN" w:eastAsia="zh-CN"/>
        </w:rPr>
        <w:t>248 500</w:t>
      </w:r>
      <w:r w:rsidRPr="004C544F">
        <w:rPr>
          <w:kern w:val="0"/>
          <w:lang w:val="zh-CN" w:eastAsia="zh-CN"/>
        </w:rPr>
        <w:t>美元）；</w:t>
      </w:r>
    </w:p>
    <w:p w14:paraId="77FB48AE" w14:textId="670726DC" w:rsidR="00FF1D0E" w:rsidRPr="004C544F" w:rsidRDefault="00FF1D0E" w:rsidP="004C544F">
      <w:pPr>
        <w:pStyle w:val="Normalnumber"/>
        <w:numPr>
          <w:ilvl w:val="0"/>
          <w:numId w:val="20"/>
        </w:numPr>
        <w:tabs>
          <w:tab w:val="left" w:pos="624"/>
        </w:tabs>
        <w:spacing w:line="240" w:lineRule="auto"/>
        <w:ind w:left="1247" w:firstLine="624"/>
        <w:rPr>
          <w:noProof/>
          <w:kern w:val="0"/>
          <w:lang w:eastAsia="zh-CN"/>
        </w:rPr>
      </w:pPr>
      <w:r w:rsidRPr="00E0213E">
        <w:rPr>
          <w:rFonts w:ascii="KaiTi" w:eastAsia="KaiTi" w:hAnsi="KaiTi"/>
          <w:spacing w:val="-8"/>
          <w:kern w:val="0"/>
          <w:lang w:val="zh-CN" w:eastAsia="zh-CN"/>
        </w:rPr>
        <w:t>卢旺达</w:t>
      </w:r>
      <w:r w:rsidRPr="00E0213E">
        <w:rPr>
          <w:spacing w:val="-8"/>
          <w:kern w:val="0"/>
          <w:lang w:val="zh-CN" w:eastAsia="zh-CN"/>
        </w:rPr>
        <w:t>：加强卢旺达执行《关于汞的水俣公约》的机构能力（</w:t>
      </w:r>
      <w:r w:rsidRPr="00E0213E">
        <w:rPr>
          <w:spacing w:val="-8"/>
          <w:kern w:val="0"/>
          <w:lang w:val="zh-CN" w:eastAsia="zh-CN"/>
        </w:rPr>
        <w:t>220 000</w:t>
      </w:r>
      <w:r w:rsidRPr="004C544F">
        <w:rPr>
          <w:kern w:val="0"/>
          <w:lang w:val="zh-CN" w:eastAsia="zh-CN"/>
        </w:rPr>
        <w:t>美元）；</w:t>
      </w:r>
    </w:p>
    <w:p w14:paraId="7E202322" w14:textId="186ABA4A" w:rsidR="00FF1D0E" w:rsidRPr="004C544F" w:rsidRDefault="00FF1D0E" w:rsidP="004C544F">
      <w:pPr>
        <w:pStyle w:val="Normalnumber"/>
        <w:numPr>
          <w:ilvl w:val="0"/>
          <w:numId w:val="20"/>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塞内加尔</w:t>
      </w:r>
      <w:r w:rsidRPr="004C544F">
        <w:rPr>
          <w:kern w:val="0"/>
          <w:lang w:val="zh-CN" w:eastAsia="zh-CN"/>
        </w:rPr>
        <w:t>：加强西非国家经济共同体国家（布基纳法索、塞内加尔和多哥）执行《关于汞的水俣公约》第三和第四条的法律框架和机构能力（</w:t>
      </w:r>
      <w:r w:rsidRPr="004C544F">
        <w:rPr>
          <w:kern w:val="0"/>
          <w:lang w:val="zh-CN" w:eastAsia="zh-CN"/>
        </w:rPr>
        <w:t>248 632</w:t>
      </w:r>
      <w:r w:rsidRPr="004C544F">
        <w:rPr>
          <w:kern w:val="0"/>
          <w:lang w:val="zh-CN" w:eastAsia="zh-CN"/>
        </w:rPr>
        <w:t>美元）。</w:t>
      </w:r>
    </w:p>
    <w:p w14:paraId="31F0CD28" w14:textId="51795FBB"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第三轮项目的九份法律协定均已签署，目前正在执行中。迄今已有四个项目请求免费延长项目期限。第三轮的九个项目中，有六个定于</w:t>
      </w:r>
      <w:r w:rsidRPr="004C544F">
        <w:rPr>
          <w:kern w:val="0"/>
          <w:lang w:val="zh-CN" w:eastAsia="zh-CN"/>
        </w:rPr>
        <w:t>2025</w:t>
      </w:r>
      <w:r w:rsidRPr="004C544F">
        <w:rPr>
          <w:kern w:val="0"/>
          <w:lang w:val="zh-CN" w:eastAsia="zh-CN"/>
        </w:rPr>
        <w:t>年关闭。</w:t>
      </w:r>
    </w:p>
    <w:p w14:paraId="7DFB5078" w14:textId="599AB8E0"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E0213E">
        <w:rPr>
          <w:spacing w:val="-12"/>
          <w:kern w:val="0"/>
          <w:lang w:val="zh-CN" w:eastAsia="zh-CN"/>
        </w:rPr>
        <w:t>理事会在第二轮申请（</w:t>
      </w:r>
      <w:r w:rsidRPr="00E0213E">
        <w:rPr>
          <w:spacing w:val="-12"/>
          <w:kern w:val="0"/>
          <w:lang w:val="zh-CN" w:eastAsia="zh-CN"/>
        </w:rPr>
        <w:t>2019</w:t>
      </w:r>
      <w:r w:rsidRPr="00E0213E">
        <w:rPr>
          <w:spacing w:val="-12"/>
          <w:kern w:val="0"/>
          <w:lang w:val="zh-CN" w:eastAsia="zh-CN"/>
        </w:rPr>
        <w:t>年）中核准了以下</w:t>
      </w:r>
      <w:r w:rsidRPr="00E0213E">
        <w:rPr>
          <w:spacing w:val="-12"/>
          <w:kern w:val="0"/>
          <w:lang w:val="zh-CN" w:eastAsia="zh-CN"/>
        </w:rPr>
        <w:t>10</w:t>
      </w:r>
      <w:r w:rsidRPr="00E0213E">
        <w:rPr>
          <w:spacing w:val="-12"/>
          <w:kern w:val="0"/>
          <w:lang w:val="zh-CN" w:eastAsia="zh-CN"/>
        </w:rPr>
        <w:t>个项目，总预算为</w:t>
      </w:r>
      <w:r w:rsidRPr="00E0213E">
        <w:rPr>
          <w:spacing w:val="-12"/>
          <w:kern w:val="0"/>
          <w:lang w:val="zh-CN" w:eastAsia="zh-CN"/>
        </w:rPr>
        <w:t>1 977 564</w:t>
      </w:r>
      <w:r w:rsidRPr="004C544F">
        <w:rPr>
          <w:kern w:val="0"/>
          <w:lang w:val="zh-CN" w:eastAsia="zh-CN"/>
        </w:rPr>
        <w:t>美元（加上</w:t>
      </w:r>
      <w:r w:rsidRPr="004C544F">
        <w:rPr>
          <w:kern w:val="0"/>
          <w:lang w:val="zh-CN" w:eastAsia="zh-CN"/>
        </w:rPr>
        <w:t>13%</w:t>
      </w:r>
      <w:r w:rsidRPr="004C544F">
        <w:rPr>
          <w:kern w:val="0"/>
          <w:lang w:val="zh-CN" w:eastAsia="zh-CN"/>
        </w:rPr>
        <w:t>方案支助费用为</w:t>
      </w:r>
      <w:r w:rsidRPr="004C544F">
        <w:rPr>
          <w:kern w:val="0"/>
          <w:lang w:val="zh-CN" w:eastAsia="zh-CN"/>
        </w:rPr>
        <w:t>2 234 647</w:t>
      </w:r>
      <w:r w:rsidRPr="004C544F">
        <w:rPr>
          <w:kern w:val="0"/>
          <w:lang w:val="zh-CN" w:eastAsia="zh-CN"/>
        </w:rPr>
        <w:t>美元）：</w:t>
      </w:r>
    </w:p>
    <w:p w14:paraId="2D4AFCBD" w14:textId="470EA8D6" w:rsidR="00FF1D0E" w:rsidRPr="004C544F" w:rsidRDefault="00FF1D0E" w:rsidP="004C544F">
      <w:pPr>
        <w:pStyle w:val="Normalnumber"/>
        <w:numPr>
          <w:ilvl w:val="0"/>
          <w:numId w:val="21"/>
        </w:numPr>
        <w:tabs>
          <w:tab w:val="left" w:pos="624"/>
        </w:tabs>
        <w:spacing w:line="240" w:lineRule="auto"/>
        <w:ind w:left="1247" w:firstLine="624"/>
        <w:rPr>
          <w:noProof/>
          <w:kern w:val="0"/>
          <w:lang w:eastAsia="zh-CN"/>
        </w:rPr>
      </w:pPr>
      <w:r w:rsidRPr="004C544F">
        <w:rPr>
          <w:rFonts w:ascii="KaiTi" w:eastAsia="KaiTi" w:hAnsi="KaiTi"/>
          <w:kern w:val="0"/>
          <w:lang w:val="zh-CN" w:eastAsia="zh-CN"/>
        </w:rPr>
        <w:lastRenderedPageBreak/>
        <w:t>安提瓜和巴布达</w:t>
      </w:r>
      <w:r w:rsidRPr="004C544F">
        <w:rPr>
          <w:kern w:val="0"/>
          <w:lang w:val="zh-CN" w:eastAsia="zh-CN"/>
        </w:rPr>
        <w:t>：通过技术援助和技术转让推动能力建设以管理加勒比地区的汞问题（</w:t>
      </w:r>
      <w:r w:rsidRPr="004C544F">
        <w:rPr>
          <w:kern w:val="0"/>
          <w:lang w:val="zh-CN" w:eastAsia="zh-CN"/>
        </w:rPr>
        <w:t>210 000</w:t>
      </w:r>
      <w:r w:rsidRPr="004C544F">
        <w:rPr>
          <w:kern w:val="0"/>
          <w:lang w:val="zh-CN" w:eastAsia="zh-CN"/>
        </w:rPr>
        <w:t>美元）；</w:t>
      </w:r>
    </w:p>
    <w:p w14:paraId="30CE9CED" w14:textId="186FFE13" w:rsidR="00FF1D0E" w:rsidRPr="004C544F" w:rsidRDefault="00FF1D0E" w:rsidP="004C544F">
      <w:pPr>
        <w:pStyle w:val="Normalnumber"/>
        <w:numPr>
          <w:ilvl w:val="0"/>
          <w:numId w:val="21"/>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厄瓜多尔</w:t>
      </w:r>
      <w:r w:rsidRPr="004C544F">
        <w:rPr>
          <w:kern w:val="0"/>
          <w:lang w:val="zh-CN" w:eastAsia="zh-CN"/>
        </w:rPr>
        <w:t>：加强厄瓜多尔执行《关于汞的水俣公约》能力的项目（</w:t>
      </w:r>
      <w:r w:rsidRPr="004C544F">
        <w:rPr>
          <w:kern w:val="0"/>
          <w:lang w:val="zh-CN" w:eastAsia="zh-CN"/>
        </w:rPr>
        <w:t>250 000</w:t>
      </w:r>
      <w:r w:rsidRPr="004C544F">
        <w:rPr>
          <w:kern w:val="0"/>
          <w:lang w:val="zh-CN" w:eastAsia="zh-CN"/>
        </w:rPr>
        <w:t>美元）；</w:t>
      </w:r>
    </w:p>
    <w:p w14:paraId="016707C5" w14:textId="1B72DAB3" w:rsidR="00FF1D0E" w:rsidRPr="004C544F" w:rsidRDefault="00FF1D0E" w:rsidP="004C544F">
      <w:pPr>
        <w:pStyle w:val="Normalnumber"/>
        <w:numPr>
          <w:ilvl w:val="0"/>
          <w:numId w:val="21"/>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加纳</w:t>
      </w:r>
      <w:r w:rsidRPr="004C544F">
        <w:rPr>
          <w:kern w:val="0"/>
          <w:lang w:val="zh-CN" w:eastAsia="zh-CN"/>
        </w:rPr>
        <w:t>：加强加纳的卫生部门以执行《关于汞的水俣公约》（</w:t>
      </w:r>
      <w:r w:rsidRPr="004C544F">
        <w:rPr>
          <w:kern w:val="0"/>
          <w:lang w:val="zh-CN" w:eastAsia="zh-CN"/>
        </w:rPr>
        <w:t>250 000</w:t>
      </w:r>
      <w:r w:rsidRPr="004C544F">
        <w:rPr>
          <w:kern w:val="0"/>
          <w:lang w:val="zh-CN" w:eastAsia="zh-CN"/>
        </w:rPr>
        <w:t>美元）；</w:t>
      </w:r>
    </w:p>
    <w:p w14:paraId="68A1B19C" w14:textId="203CB68F" w:rsidR="00FF1D0E" w:rsidRPr="004C544F" w:rsidRDefault="00FF1D0E" w:rsidP="004C544F">
      <w:pPr>
        <w:pStyle w:val="Normalnumber"/>
        <w:numPr>
          <w:ilvl w:val="0"/>
          <w:numId w:val="21"/>
        </w:numPr>
        <w:tabs>
          <w:tab w:val="left" w:pos="624"/>
        </w:tabs>
        <w:spacing w:line="240" w:lineRule="auto"/>
        <w:ind w:left="1247" w:firstLine="624"/>
        <w:rPr>
          <w:noProof/>
          <w:kern w:val="0"/>
          <w:lang w:eastAsia="zh-CN"/>
        </w:rPr>
      </w:pPr>
      <w:r w:rsidRPr="004C544F">
        <w:rPr>
          <w:rFonts w:ascii="KaiTi" w:eastAsia="KaiTi" w:hAnsi="KaiTi"/>
          <w:kern w:val="0"/>
          <w:lang w:val="zh-CN" w:eastAsia="zh-CN"/>
        </w:rPr>
        <w:t>印度尼西亚</w:t>
      </w:r>
      <w:r w:rsidRPr="004C544F">
        <w:rPr>
          <w:kern w:val="0"/>
          <w:lang w:val="zh-CN" w:eastAsia="zh-CN"/>
        </w:rPr>
        <w:t>：通过制定参与</w:t>
      </w:r>
      <w:proofErr w:type="gramStart"/>
      <w:r w:rsidRPr="004C544F">
        <w:rPr>
          <w:kern w:val="0"/>
          <w:lang w:val="zh-CN" w:eastAsia="zh-CN"/>
        </w:rPr>
        <w:t>式办法</w:t>
      </w:r>
      <w:proofErr w:type="gramEnd"/>
      <w:r w:rsidRPr="004C544F">
        <w:rPr>
          <w:kern w:val="0"/>
          <w:lang w:val="zh-CN" w:eastAsia="zh-CN"/>
        </w:rPr>
        <w:t>模型来改善对手工和小规模采金场地及周边地区汞接触情况的健康风险控制（</w:t>
      </w:r>
      <w:r w:rsidRPr="004C544F">
        <w:rPr>
          <w:kern w:val="0"/>
          <w:lang w:val="zh-CN" w:eastAsia="zh-CN"/>
        </w:rPr>
        <w:t>143 340</w:t>
      </w:r>
      <w:r w:rsidRPr="004C544F">
        <w:rPr>
          <w:kern w:val="0"/>
          <w:lang w:val="zh-CN" w:eastAsia="zh-CN"/>
        </w:rPr>
        <w:t>美元）；</w:t>
      </w:r>
    </w:p>
    <w:p w14:paraId="1E278B7C" w14:textId="543441E6" w:rsidR="00FF1D0E" w:rsidRPr="004C544F" w:rsidRDefault="00FF1D0E" w:rsidP="004C544F">
      <w:pPr>
        <w:pStyle w:val="Normalnumber"/>
        <w:numPr>
          <w:ilvl w:val="0"/>
          <w:numId w:val="21"/>
        </w:numPr>
        <w:tabs>
          <w:tab w:val="left" w:pos="624"/>
        </w:tabs>
        <w:spacing w:line="240" w:lineRule="auto"/>
        <w:ind w:left="1247" w:firstLine="624"/>
        <w:rPr>
          <w:noProof/>
          <w:kern w:val="0"/>
          <w:lang w:eastAsia="zh-CN"/>
        </w:rPr>
      </w:pPr>
      <w:r w:rsidRPr="004C544F">
        <w:rPr>
          <w:rFonts w:ascii="KaiTi" w:eastAsia="KaiTi" w:hAnsi="KaiTi"/>
          <w:kern w:val="0"/>
          <w:lang w:val="zh-CN" w:eastAsia="zh-CN"/>
        </w:rPr>
        <w:t>伊朗伊斯兰共和国</w:t>
      </w:r>
      <w:r w:rsidRPr="004C544F">
        <w:rPr>
          <w:kern w:val="0"/>
          <w:lang w:val="zh-CN" w:eastAsia="zh-CN"/>
        </w:rPr>
        <w:t>：开展以汞清单为重点的能力建设以有效执行《关于汞的水俣公约》（</w:t>
      </w:r>
      <w:r w:rsidRPr="004C544F">
        <w:rPr>
          <w:kern w:val="0"/>
          <w:lang w:val="zh-CN" w:eastAsia="zh-CN"/>
        </w:rPr>
        <w:t>149 800</w:t>
      </w:r>
      <w:r w:rsidRPr="004C544F">
        <w:rPr>
          <w:kern w:val="0"/>
          <w:lang w:val="zh-CN" w:eastAsia="zh-CN"/>
        </w:rPr>
        <w:t>美元）；</w:t>
      </w:r>
    </w:p>
    <w:p w14:paraId="6E1EE2DE" w14:textId="73D0E600" w:rsidR="00FF1D0E" w:rsidRPr="004C544F" w:rsidRDefault="00FF1D0E" w:rsidP="004C544F">
      <w:pPr>
        <w:pStyle w:val="Normalnumber"/>
        <w:numPr>
          <w:ilvl w:val="0"/>
          <w:numId w:val="21"/>
        </w:numPr>
        <w:tabs>
          <w:tab w:val="left" w:pos="624"/>
        </w:tabs>
        <w:spacing w:line="240" w:lineRule="auto"/>
        <w:ind w:left="1247" w:firstLine="624"/>
        <w:rPr>
          <w:noProof/>
          <w:kern w:val="0"/>
          <w:lang w:eastAsia="zh-CN"/>
        </w:rPr>
      </w:pPr>
      <w:r w:rsidRPr="006F5FA8">
        <w:rPr>
          <w:rFonts w:ascii="KaiTi" w:eastAsia="KaiTi" w:hAnsi="KaiTi"/>
          <w:spacing w:val="-12"/>
          <w:kern w:val="0"/>
          <w:lang w:val="zh-CN" w:eastAsia="zh-CN"/>
        </w:rPr>
        <w:t>尼日利亚</w:t>
      </w:r>
      <w:r w:rsidRPr="006F5FA8">
        <w:rPr>
          <w:spacing w:val="-12"/>
          <w:kern w:val="0"/>
          <w:lang w:val="zh-CN" w:eastAsia="zh-CN"/>
        </w:rPr>
        <w:t>：加强尼日利亚执行《关于汞的水俣公约》的能力</w:t>
      </w:r>
      <w:r w:rsidRPr="004C544F">
        <w:rPr>
          <w:kern w:val="0"/>
          <w:lang w:val="zh-CN" w:eastAsia="zh-CN"/>
        </w:rPr>
        <w:t>（</w:t>
      </w:r>
      <w:r w:rsidRPr="004C544F">
        <w:rPr>
          <w:kern w:val="0"/>
          <w:lang w:val="zh-CN" w:eastAsia="zh-CN"/>
        </w:rPr>
        <w:t>250 000</w:t>
      </w:r>
      <w:r w:rsidRPr="004C544F">
        <w:rPr>
          <w:kern w:val="0"/>
          <w:lang w:val="zh-CN" w:eastAsia="zh-CN"/>
        </w:rPr>
        <w:t>美元）；</w:t>
      </w:r>
    </w:p>
    <w:p w14:paraId="31F26226" w14:textId="301478D9" w:rsidR="00FF1D0E" w:rsidRPr="004C544F" w:rsidRDefault="00FF1D0E" w:rsidP="004C544F">
      <w:pPr>
        <w:pStyle w:val="Normalnumber"/>
        <w:numPr>
          <w:ilvl w:val="0"/>
          <w:numId w:val="21"/>
        </w:numPr>
        <w:tabs>
          <w:tab w:val="left" w:pos="624"/>
        </w:tabs>
        <w:spacing w:line="240" w:lineRule="auto"/>
        <w:ind w:left="1247" w:firstLine="624"/>
        <w:rPr>
          <w:noProof/>
          <w:kern w:val="0"/>
          <w:lang w:eastAsia="zh-CN"/>
        </w:rPr>
      </w:pPr>
      <w:r w:rsidRPr="004C544F">
        <w:rPr>
          <w:rFonts w:ascii="KaiTi" w:eastAsia="KaiTi" w:hAnsi="KaiTi"/>
          <w:kern w:val="0"/>
          <w:lang w:val="zh-CN" w:eastAsia="zh-CN"/>
        </w:rPr>
        <w:t>秘鲁</w:t>
      </w:r>
      <w:r w:rsidRPr="004C544F">
        <w:rPr>
          <w:kern w:val="0"/>
          <w:lang w:val="zh-CN" w:eastAsia="zh-CN"/>
        </w:rPr>
        <w:t>：加强控制汞排放和释放的能力（</w:t>
      </w:r>
      <w:r w:rsidRPr="004C544F">
        <w:rPr>
          <w:kern w:val="0"/>
          <w:lang w:val="zh-CN" w:eastAsia="zh-CN"/>
        </w:rPr>
        <w:t>126 000</w:t>
      </w:r>
      <w:r w:rsidRPr="004C544F">
        <w:rPr>
          <w:kern w:val="0"/>
          <w:lang w:val="zh-CN" w:eastAsia="zh-CN"/>
        </w:rPr>
        <w:t>美元）；</w:t>
      </w:r>
    </w:p>
    <w:p w14:paraId="3AAC1D41" w14:textId="5F45C74A" w:rsidR="00FF1D0E" w:rsidRPr="004C544F" w:rsidRDefault="00FF1D0E" w:rsidP="004C544F">
      <w:pPr>
        <w:pStyle w:val="Normalnumber"/>
        <w:numPr>
          <w:ilvl w:val="0"/>
          <w:numId w:val="21"/>
        </w:numPr>
        <w:tabs>
          <w:tab w:val="left" w:pos="624"/>
        </w:tabs>
        <w:spacing w:line="240" w:lineRule="auto"/>
        <w:ind w:left="1247" w:firstLine="624"/>
        <w:rPr>
          <w:noProof/>
          <w:kern w:val="0"/>
          <w:lang w:eastAsia="zh-CN"/>
        </w:rPr>
      </w:pPr>
      <w:r w:rsidRPr="004C544F">
        <w:rPr>
          <w:rFonts w:ascii="KaiTi" w:eastAsia="KaiTi" w:hAnsi="KaiTi"/>
          <w:kern w:val="0"/>
          <w:lang w:val="zh-CN" w:eastAsia="zh-CN"/>
        </w:rPr>
        <w:t>摩尔多瓦共和国</w:t>
      </w:r>
      <w:r w:rsidRPr="004C544F">
        <w:rPr>
          <w:kern w:val="0"/>
          <w:lang w:val="zh-CN" w:eastAsia="zh-CN"/>
        </w:rPr>
        <w:t>：在《关于汞的水俣公约》</w:t>
      </w:r>
      <w:r w:rsidR="0093161B" w:rsidRPr="004C544F">
        <w:rPr>
          <w:rFonts w:hint="eastAsia"/>
          <w:kern w:val="0"/>
          <w:lang w:val="zh-CN" w:eastAsia="zh-CN"/>
        </w:rPr>
        <w:t>得到</w:t>
      </w:r>
      <w:r w:rsidRPr="004C544F">
        <w:rPr>
          <w:kern w:val="0"/>
          <w:lang w:val="zh-CN" w:eastAsia="zh-CN"/>
        </w:rPr>
        <w:t>批准后，支持建设逐步削减能力和降低与</w:t>
      </w:r>
      <w:proofErr w:type="gramStart"/>
      <w:r w:rsidRPr="004C544F">
        <w:rPr>
          <w:kern w:val="0"/>
          <w:lang w:val="zh-CN" w:eastAsia="zh-CN"/>
        </w:rPr>
        <w:t>汞有关</w:t>
      </w:r>
      <w:proofErr w:type="gramEnd"/>
      <w:r w:rsidRPr="004C544F">
        <w:rPr>
          <w:kern w:val="0"/>
          <w:lang w:val="zh-CN" w:eastAsia="zh-CN"/>
        </w:rPr>
        <w:t>的风险（</w:t>
      </w:r>
      <w:r w:rsidRPr="004C544F">
        <w:rPr>
          <w:kern w:val="0"/>
          <w:lang w:val="zh-CN" w:eastAsia="zh-CN"/>
        </w:rPr>
        <w:t>219 765</w:t>
      </w:r>
      <w:r w:rsidRPr="004C544F">
        <w:rPr>
          <w:kern w:val="0"/>
          <w:lang w:val="zh-CN" w:eastAsia="zh-CN"/>
        </w:rPr>
        <w:t>美元）；</w:t>
      </w:r>
    </w:p>
    <w:p w14:paraId="77EB0B18" w14:textId="7737E0E5" w:rsidR="00FF1D0E" w:rsidRPr="004C544F" w:rsidRDefault="00FF1D0E" w:rsidP="004C544F">
      <w:pPr>
        <w:pStyle w:val="Normalnumber"/>
        <w:numPr>
          <w:ilvl w:val="0"/>
          <w:numId w:val="21"/>
        </w:numPr>
        <w:tabs>
          <w:tab w:val="left" w:pos="624"/>
        </w:tabs>
        <w:spacing w:line="240" w:lineRule="auto"/>
        <w:ind w:left="1247" w:firstLine="624"/>
        <w:rPr>
          <w:noProof/>
          <w:kern w:val="0"/>
          <w:lang w:eastAsia="zh-CN"/>
        </w:rPr>
      </w:pPr>
      <w:r w:rsidRPr="004C544F">
        <w:rPr>
          <w:rFonts w:ascii="KaiTi" w:eastAsia="KaiTi" w:hAnsi="KaiTi"/>
          <w:kern w:val="0"/>
          <w:lang w:val="zh-CN" w:eastAsia="zh-CN"/>
        </w:rPr>
        <w:t>斯里兰卡</w:t>
      </w:r>
      <w:r w:rsidRPr="004C544F">
        <w:rPr>
          <w:kern w:val="0"/>
          <w:lang w:val="zh-CN" w:eastAsia="zh-CN"/>
        </w:rPr>
        <w:t>：加强逐步淘汰</w:t>
      </w:r>
      <w:proofErr w:type="gramStart"/>
      <w:r w:rsidRPr="004C544F">
        <w:rPr>
          <w:kern w:val="0"/>
          <w:lang w:val="zh-CN" w:eastAsia="zh-CN"/>
        </w:rPr>
        <w:t>添汞产品</w:t>
      </w:r>
      <w:proofErr w:type="gramEnd"/>
      <w:r w:rsidRPr="004C544F">
        <w:rPr>
          <w:kern w:val="0"/>
          <w:lang w:val="zh-CN" w:eastAsia="zh-CN"/>
        </w:rPr>
        <w:t>并进行含汞废物无害环境管理的国家能力（</w:t>
      </w:r>
      <w:r w:rsidRPr="004C544F">
        <w:rPr>
          <w:kern w:val="0"/>
          <w:lang w:val="zh-CN" w:eastAsia="zh-CN"/>
        </w:rPr>
        <w:t>178 659</w:t>
      </w:r>
      <w:r w:rsidRPr="004C544F">
        <w:rPr>
          <w:kern w:val="0"/>
          <w:lang w:val="zh-CN" w:eastAsia="zh-CN"/>
        </w:rPr>
        <w:t>美元）；</w:t>
      </w:r>
    </w:p>
    <w:p w14:paraId="0F1598AC" w14:textId="78DCAC1D" w:rsidR="00FF1D0E" w:rsidRPr="004C544F" w:rsidRDefault="00FF1D0E" w:rsidP="004C544F">
      <w:pPr>
        <w:pStyle w:val="Normalnumber"/>
        <w:numPr>
          <w:ilvl w:val="0"/>
          <w:numId w:val="21"/>
        </w:numPr>
        <w:tabs>
          <w:tab w:val="left" w:pos="624"/>
        </w:tabs>
        <w:spacing w:line="240" w:lineRule="auto"/>
        <w:ind w:left="1247" w:firstLine="624"/>
        <w:rPr>
          <w:noProof/>
          <w:kern w:val="0"/>
          <w:lang w:eastAsia="zh-CN"/>
        </w:rPr>
      </w:pPr>
      <w:r w:rsidRPr="004C544F">
        <w:rPr>
          <w:rFonts w:ascii="KaiTi" w:eastAsia="KaiTi" w:hAnsi="KaiTi"/>
          <w:kern w:val="0"/>
          <w:lang w:val="zh-CN" w:eastAsia="zh-CN"/>
        </w:rPr>
        <w:t>赞比亚</w:t>
      </w:r>
      <w:r w:rsidRPr="004C544F">
        <w:rPr>
          <w:kern w:val="0"/>
          <w:lang w:val="zh-CN" w:eastAsia="zh-CN"/>
        </w:rPr>
        <w:t>：加强赞比亚履行《关于汞的水俣公约》各项义务的机构</w:t>
      </w:r>
      <w:r w:rsidRPr="006F5FA8">
        <w:rPr>
          <w:spacing w:val="4"/>
          <w:kern w:val="0"/>
          <w:lang w:val="zh-CN" w:eastAsia="zh-CN"/>
        </w:rPr>
        <w:t>能力，使其按照第十六和第十八条的规定减少汞在弱势群体中的存在（</w:t>
      </w:r>
      <w:r w:rsidRPr="006F5FA8">
        <w:rPr>
          <w:spacing w:val="4"/>
          <w:kern w:val="0"/>
          <w:lang w:val="zh-CN" w:eastAsia="zh-CN"/>
        </w:rPr>
        <w:t>200 000</w:t>
      </w:r>
      <w:r w:rsidRPr="006F5FA8">
        <w:rPr>
          <w:spacing w:val="4"/>
          <w:kern w:val="0"/>
          <w:lang w:val="zh-CN" w:eastAsia="zh-CN"/>
        </w:rPr>
        <w:t>美元）</w:t>
      </w:r>
      <w:r w:rsidRPr="004C544F">
        <w:rPr>
          <w:kern w:val="0"/>
          <w:lang w:val="zh-CN" w:eastAsia="zh-CN"/>
        </w:rPr>
        <w:t>。</w:t>
      </w:r>
    </w:p>
    <w:p w14:paraId="4A8EC930" w14:textId="77777777" w:rsidR="00FF1D0E" w:rsidRPr="004C544F" w:rsidRDefault="00FF1D0E" w:rsidP="004C544F">
      <w:pPr>
        <w:pStyle w:val="Normalnumber"/>
        <w:numPr>
          <w:ilvl w:val="0"/>
          <w:numId w:val="17"/>
        </w:numPr>
        <w:tabs>
          <w:tab w:val="left" w:pos="624"/>
        </w:tabs>
        <w:spacing w:line="240" w:lineRule="auto"/>
        <w:ind w:left="1247" w:firstLine="0"/>
        <w:rPr>
          <w:noProof/>
          <w:kern w:val="0"/>
        </w:rPr>
      </w:pPr>
      <w:proofErr w:type="spellStart"/>
      <w:r w:rsidRPr="004C544F">
        <w:rPr>
          <w:kern w:val="0"/>
          <w:lang w:val="zh-CN"/>
        </w:rPr>
        <w:t>第二轮项目均已完成</w:t>
      </w:r>
      <w:proofErr w:type="spellEnd"/>
      <w:r w:rsidRPr="004C544F">
        <w:rPr>
          <w:kern w:val="0"/>
          <w:lang w:val="zh-CN"/>
        </w:rPr>
        <w:t>。</w:t>
      </w:r>
    </w:p>
    <w:p w14:paraId="62C913F2" w14:textId="52067597" w:rsidR="00FF1D0E" w:rsidRPr="004C544F" w:rsidRDefault="00C507B2" w:rsidP="004C544F">
      <w:pPr>
        <w:pStyle w:val="Normalnumber"/>
        <w:numPr>
          <w:ilvl w:val="0"/>
          <w:numId w:val="17"/>
        </w:numPr>
        <w:tabs>
          <w:tab w:val="left" w:pos="624"/>
        </w:tabs>
        <w:spacing w:line="240" w:lineRule="auto"/>
        <w:ind w:left="1247" w:firstLine="0"/>
        <w:rPr>
          <w:noProof/>
          <w:kern w:val="0"/>
          <w:lang w:eastAsia="zh-CN"/>
        </w:rPr>
      </w:pPr>
      <w:r w:rsidRPr="00FD53AC">
        <w:rPr>
          <w:spacing w:val="-8"/>
          <w:kern w:val="0"/>
          <w:lang w:val="zh-CN" w:eastAsia="zh-CN"/>
        </w:rPr>
        <w:t>理事会在第一轮申请（</w:t>
      </w:r>
      <w:r w:rsidRPr="00FD53AC">
        <w:rPr>
          <w:spacing w:val="-8"/>
          <w:kern w:val="0"/>
          <w:lang w:val="zh-CN" w:eastAsia="zh-CN"/>
        </w:rPr>
        <w:t>2018</w:t>
      </w:r>
      <w:r w:rsidRPr="00FD53AC">
        <w:rPr>
          <w:spacing w:val="-8"/>
          <w:kern w:val="0"/>
          <w:lang w:val="zh-CN" w:eastAsia="zh-CN"/>
        </w:rPr>
        <w:t>年）中核准了以下</w:t>
      </w:r>
      <w:r w:rsidRPr="00FD53AC">
        <w:rPr>
          <w:spacing w:val="-8"/>
          <w:kern w:val="0"/>
          <w:lang w:val="zh-CN" w:eastAsia="zh-CN"/>
        </w:rPr>
        <w:t>5</w:t>
      </w:r>
      <w:r w:rsidRPr="00FD53AC">
        <w:rPr>
          <w:spacing w:val="-8"/>
          <w:kern w:val="0"/>
          <w:lang w:val="zh-CN" w:eastAsia="zh-CN"/>
        </w:rPr>
        <w:t>个项目，总预算为</w:t>
      </w:r>
      <w:r w:rsidRPr="00FD53AC">
        <w:rPr>
          <w:spacing w:val="-8"/>
          <w:kern w:val="0"/>
          <w:lang w:val="zh-CN" w:eastAsia="zh-CN"/>
        </w:rPr>
        <w:t>961 663</w:t>
      </w:r>
      <w:r w:rsidRPr="00FD53AC">
        <w:rPr>
          <w:spacing w:val="-8"/>
          <w:kern w:val="0"/>
          <w:lang w:val="zh-CN" w:eastAsia="zh-CN"/>
        </w:rPr>
        <w:t>美元</w:t>
      </w:r>
      <w:r w:rsidRPr="004C544F">
        <w:rPr>
          <w:kern w:val="0"/>
          <w:lang w:val="zh-CN" w:eastAsia="zh-CN"/>
        </w:rPr>
        <w:t>（加上</w:t>
      </w:r>
      <w:r w:rsidRPr="004C544F">
        <w:rPr>
          <w:kern w:val="0"/>
          <w:lang w:val="zh-CN" w:eastAsia="zh-CN"/>
        </w:rPr>
        <w:t>13%</w:t>
      </w:r>
      <w:r w:rsidRPr="004C544F">
        <w:rPr>
          <w:kern w:val="0"/>
          <w:lang w:val="zh-CN" w:eastAsia="zh-CN"/>
        </w:rPr>
        <w:t>方案支助费用为</w:t>
      </w:r>
      <w:r w:rsidRPr="004C544F">
        <w:rPr>
          <w:kern w:val="0"/>
          <w:lang w:val="zh-CN" w:eastAsia="zh-CN"/>
        </w:rPr>
        <w:t>1 086 679</w:t>
      </w:r>
      <w:r w:rsidRPr="004C544F">
        <w:rPr>
          <w:kern w:val="0"/>
          <w:lang w:val="zh-CN" w:eastAsia="zh-CN"/>
        </w:rPr>
        <w:t>美元）：</w:t>
      </w:r>
    </w:p>
    <w:p w14:paraId="570F1F20" w14:textId="5CD9F3C0" w:rsidR="00FF1D0E" w:rsidRPr="004C544F" w:rsidRDefault="00FF1D0E" w:rsidP="004C544F">
      <w:pPr>
        <w:pStyle w:val="Normalnumber"/>
        <w:numPr>
          <w:ilvl w:val="0"/>
          <w:numId w:val="22"/>
        </w:numPr>
        <w:tabs>
          <w:tab w:val="left" w:pos="624"/>
        </w:tabs>
        <w:spacing w:line="240" w:lineRule="auto"/>
        <w:ind w:left="1247" w:firstLine="624"/>
        <w:rPr>
          <w:kern w:val="0"/>
          <w:lang w:eastAsia="zh-CN"/>
        </w:rPr>
      </w:pPr>
      <w:r w:rsidRPr="004C544F">
        <w:rPr>
          <w:rFonts w:ascii="KaiTi" w:eastAsia="KaiTi" w:hAnsi="KaiTi"/>
          <w:kern w:val="0"/>
          <w:lang w:val="zh-CN" w:eastAsia="zh-CN"/>
        </w:rPr>
        <w:t>阿根廷</w:t>
      </w:r>
      <w:r w:rsidRPr="004C544F">
        <w:rPr>
          <w:kern w:val="0"/>
          <w:lang w:val="zh-CN" w:eastAsia="zh-CN"/>
        </w:rPr>
        <w:t>：为执行《关于汞的水俣公约》的能力建设方案（</w:t>
      </w:r>
      <w:r w:rsidRPr="004C544F">
        <w:rPr>
          <w:kern w:val="0"/>
          <w:lang w:val="zh-CN" w:eastAsia="zh-CN"/>
        </w:rPr>
        <w:t>250 000</w:t>
      </w:r>
      <w:r w:rsidRPr="004C544F">
        <w:rPr>
          <w:kern w:val="0"/>
          <w:lang w:val="zh-CN" w:eastAsia="zh-CN"/>
        </w:rPr>
        <w:t>美元）；</w:t>
      </w:r>
    </w:p>
    <w:p w14:paraId="7A2A0442" w14:textId="4673BD39" w:rsidR="00FF1D0E" w:rsidRPr="004C544F" w:rsidRDefault="00FF1D0E" w:rsidP="004C544F">
      <w:pPr>
        <w:pStyle w:val="Normalnumber"/>
        <w:numPr>
          <w:ilvl w:val="0"/>
          <w:numId w:val="22"/>
        </w:numPr>
        <w:tabs>
          <w:tab w:val="left" w:pos="624"/>
        </w:tabs>
        <w:spacing w:line="240" w:lineRule="auto"/>
        <w:ind w:left="1247" w:firstLine="624"/>
        <w:rPr>
          <w:kern w:val="0"/>
          <w:lang w:eastAsia="zh-CN"/>
        </w:rPr>
      </w:pPr>
      <w:r w:rsidRPr="004C544F">
        <w:rPr>
          <w:rFonts w:ascii="KaiTi" w:eastAsia="KaiTi" w:hAnsi="KaiTi"/>
          <w:kern w:val="0"/>
          <w:lang w:val="zh-CN" w:eastAsia="zh-CN"/>
        </w:rPr>
        <w:t>亚美尼亚</w:t>
      </w:r>
      <w:r w:rsidRPr="004C544F">
        <w:rPr>
          <w:kern w:val="0"/>
          <w:lang w:val="zh-CN" w:eastAsia="zh-CN"/>
        </w:rPr>
        <w:t>：加强能力以促进逐步</w:t>
      </w:r>
      <w:proofErr w:type="gramStart"/>
      <w:r w:rsidRPr="004C544F">
        <w:rPr>
          <w:kern w:val="0"/>
          <w:lang w:val="zh-CN" w:eastAsia="zh-CN"/>
        </w:rPr>
        <w:t>淘汰添汞产品</w:t>
      </w:r>
      <w:proofErr w:type="gramEnd"/>
      <w:r w:rsidRPr="004C544F">
        <w:rPr>
          <w:kern w:val="0"/>
          <w:lang w:val="zh-CN" w:eastAsia="zh-CN"/>
        </w:rPr>
        <w:t>（灯具）（</w:t>
      </w:r>
      <w:r w:rsidRPr="004C544F">
        <w:rPr>
          <w:kern w:val="0"/>
          <w:lang w:val="zh-CN" w:eastAsia="zh-CN"/>
        </w:rPr>
        <w:t>162 000</w:t>
      </w:r>
      <w:r w:rsidRPr="004C544F">
        <w:rPr>
          <w:kern w:val="0"/>
          <w:lang w:val="zh-CN" w:eastAsia="zh-CN"/>
        </w:rPr>
        <w:t>美元）；</w:t>
      </w:r>
    </w:p>
    <w:p w14:paraId="38F25EEC" w14:textId="612F0095" w:rsidR="00FF1D0E" w:rsidRPr="004C544F" w:rsidRDefault="00FF1D0E" w:rsidP="004C544F">
      <w:pPr>
        <w:pStyle w:val="Normalnumber"/>
        <w:numPr>
          <w:ilvl w:val="0"/>
          <w:numId w:val="22"/>
        </w:numPr>
        <w:tabs>
          <w:tab w:val="left" w:pos="624"/>
        </w:tabs>
        <w:spacing w:line="240" w:lineRule="auto"/>
        <w:ind w:left="1247" w:firstLine="624"/>
        <w:rPr>
          <w:kern w:val="0"/>
          <w:lang w:eastAsia="zh-CN"/>
        </w:rPr>
      </w:pPr>
      <w:r w:rsidRPr="004C544F">
        <w:rPr>
          <w:rFonts w:ascii="KaiTi" w:eastAsia="KaiTi" w:hAnsi="KaiTi"/>
          <w:kern w:val="0"/>
          <w:lang w:val="zh-CN" w:eastAsia="zh-CN"/>
        </w:rPr>
        <w:t>贝宁</w:t>
      </w:r>
      <w:r w:rsidRPr="004C544F">
        <w:rPr>
          <w:kern w:val="0"/>
          <w:lang w:val="zh-CN" w:eastAsia="zh-CN"/>
        </w:rPr>
        <w:t>：完善含汞产品和废物的管理框架（</w:t>
      </w:r>
      <w:r w:rsidRPr="004C544F">
        <w:rPr>
          <w:kern w:val="0"/>
          <w:lang w:val="zh-CN" w:eastAsia="zh-CN"/>
        </w:rPr>
        <w:t>249 113</w:t>
      </w:r>
      <w:r w:rsidRPr="004C544F">
        <w:rPr>
          <w:kern w:val="0"/>
          <w:lang w:val="zh-CN" w:eastAsia="zh-CN"/>
        </w:rPr>
        <w:t>美元）；</w:t>
      </w:r>
    </w:p>
    <w:p w14:paraId="453062D2" w14:textId="32A4FCB6" w:rsidR="00FF1D0E" w:rsidRPr="004C544F" w:rsidRDefault="00FF1D0E" w:rsidP="004C544F">
      <w:pPr>
        <w:pStyle w:val="Normalnumber"/>
        <w:numPr>
          <w:ilvl w:val="0"/>
          <w:numId w:val="22"/>
        </w:numPr>
        <w:tabs>
          <w:tab w:val="left" w:pos="624"/>
        </w:tabs>
        <w:spacing w:line="240" w:lineRule="auto"/>
        <w:ind w:left="1247" w:firstLine="624"/>
        <w:rPr>
          <w:kern w:val="0"/>
          <w:lang w:eastAsia="zh-CN"/>
        </w:rPr>
      </w:pPr>
      <w:r w:rsidRPr="004C544F">
        <w:rPr>
          <w:rFonts w:ascii="KaiTi" w:eastAsia="KaiTi" w:hAnsi="KaiTi"/>
          <w:kern w:val="0"/>
          <w:lang w:val="zh-CN" w:eastAsia="zh-CN"/>
        </w:rPr>
        <w:t>伊朗伊斯兰共和国</w:t>
      </w:r>
      <w:r w:rsidRPr="004C544F">
        <w:rPr>
          <w:kern w:val="0"/>
          <w:lang w:val="zh-CN" w:eastAsia="zh-CN"/>
        </w:rPr>
        <w:t>：在石化行业的氯</w:t>
      </w:r>
      <w:proofErr w:type="gramStart"/>
      <w:r w:rsidRPr="004C544F">
        <w:rPr>
          <w:kern w:val="0"/>
          <w:lang w:val="zh-CN" w:eastAsia="zh-CN"/>
        </w:rPr>
        <w:t>碱工厂</w:t>
      </w:r>
      <w:proofErr w:type="gramEnd"/>
      <w:r w:rsidRPr="004C544F">
        <w:rPr>
          <w:kern w:val="0"/>
          <w:lang w:val="zh-CN" w:eastAsia="zh-CN"/>
        </w:rPr>
        <w:t>执行《关于汞的水俣公约》的管理制度（</w:t>
      </w:r>
      <w:r w:rsidRPr="004C544F">
        <w:rPr>
          <w:kern w:val="0"/>
          <w:lang w:val="zh-CN" w:eastAsia="zh-CN"/>
        </w:rPr>
        <w:t>100 000</w:t>
      </w:r>
      <w:r w:rsidRPr="004C544F">
        <w:rPr>
          <w:kern w:val="0"/>
          <w:lang w:val="zh-CN" w:eastAsia="zh-CN"/>
        </w:rPr>
        <w:t>美元）；</w:t>
      </w:r>
    </w:p>
    <w:p w14:paraId="6C4BD905" w14:textId="7E7FAC41" w:rsidR="00FF1D0E" w:rsidRPr="004C544F" w:rsidRDefault="00FF1D0E" w:rsidP="004C544F">
      <w:pPr>
        <w:pStyle w:val="Normalnumber"/>
        <w:numPr>
          <w:ilvl w:val="0"/>
          <w:numId w:val="22"/>
        </w:numPr>
        <w:tabs>
          <w:tab w:val="left" w:pos="624"/>
        </w:tabs>
        <w:spacing w:line="240" w:lineRule="auto"/>
        <w:ind w:left="1247" w:firstLine="624"/>
        <w:rPr>
          <w:kern w:val="0"/>
          <w:lang w:eastAsia="zh-CN"/>
        </w:rPr>
      </w:pPr>
      <w:r w:rsidRPr="004C544F">
        <w:rPr>
          <w:rFonts w:ascii="KaiTi" w:eastAsia="KaiTi" w:hAnsi="KaiTi"/>
          <w:kern w:val="0"/>
          <w:lang w:val="zh-CN" w:eastAsia="zh-CN"/>
        </w:rPr>
        <w:t>莱索托</w:t>
      </w:r>
      <w:r w:rsidRPr="004C544F">
        <w:rPr>
          <w:kern w:val="0"/>
          <w:lang w:val="zh-CN" w:eastAsia="zh-CN"/>
        </w:rPr>
        <w:t>：加强莱索托在制定</w:t>
      </w:r>
      <w:proofErr w:type="gramStart"/>
      <w:r w:rsidRPr="004C544F">
        <w:rPr>
          <w:kern w:val="0"/>
          <w:lang w:val="zh-CN" w:eastAsia="zh-CN"/>
        </w:rPr>
        <w:t>添汞产品</w:t>
      </w:r>
      <w:proofErr w:type="gramEnd"/>
      <w:r w:rsidRPr="004C544F">
        <w:rPr>
          <w:kern w:val="0"/>
          <w:lang w:val="zh-CN" w:eastAsia="zh-CN"/>
        </w:rPr>
        <w:t>逐步削减和逐步淘汰战略方面的机构能力（</w:t>
      </w:r>
      <w:r w:rsidRPr="004C544F">
        <w:rPr>
          <w:kern w:val="0"/>
          <w:lang w:val="zh-CN" w:eastAsia="zh-CN"/>
        </w:rPr>
        <w:t>200 550</w:t>
      </w:r>
      <w:r w:rsidRPr="004C544F">
        <w:rPr>
          <w:kern w:val="0"/>
          <w:lang w:val="zh-CN" w:eastAsia="zh-CN"/>
        </w:rPr>
        <w:t>美元）。</w:t>
      </w:r>
    </w:p>
    <w:p w14:paraId="34D180A4" w14:textId="77777777" w:rsidR="00FF1D0E" w:rsidRPr="004C544F" w:rsidRDefault="00FF1D0E" w:rsidP="004C544F">
      <w:pPr>
        <w:pStyle w:val="Normalnumber"/>
        <w:numPr>
          <w:ilvl w:val="0"/>
          <w:numId w:val="17"/>
        </w:numPr>
        <w:tabs>
          <w:tab w:val="left" w:pos="1247"/>
          <w:tab w:val="left" w:pos="1814"/>
          <w:tab w:val="left" w:pos="2381"/>
          <w:tab w:val="left" w:pos="2948"/>
          <w:tab w:val="left" w:pos="3515"/>
          <w:tab w:val="left" w:pos="4082"/>
        </w:tabs>
        <w:spacing w:line="240" w:lineRule="auto"/>
        <w:ind w:left="1247" w:firstLine="0"/>
        <w:rPr>
          <w:noProof/>
          <w:kern w:val="0"/>
          <w:lang w:eastAsia="zh-CN"/>
        </w:rPr>
      </w:pPr>
      <w:r w:rsidRPr="004C544F">
        <w:rPr>
          <w:kern w:val="0"/>
          <w:lang w:val="zh-CN" w:eastAsia="zh-CN"/>
        </w:rPr>
        <w:t>第一轮的项目均已完成。秘书处聘请了咨询人，按照商定的项目预算，对第一轮项目中的四个进行了终期评价。</w:t>
      </w:r>
    </w:p>
    <w:p w14:paraId="6440D5BD" w14:textId="73B138A6" w:rsidR="00FF1D0E" w:rsidRPr="004C544F" w:rsidRDefault="00FF1D0E" w:rsidP="007D6F80">
      <w:pPr>
        <w:pStyle w:val="CH1"/>
        <w:numPr>
          <w:ilvl w:val="0"/>
          <w:numId w:val="24"/>
        </w:numPr>
        <w:tabs>
          <w:tab w:val="clear" w:pos="851"/>
          <w:tab w:val="clear" w:pos="1247"/>
          <w:tab w:val="clear" w:pos="1871"/>
          <w:tab w:val="clear" w:pos="2495"/>
          <w:tab w:val="clear" w:pos="3119"/>
          <w:tab w:val="clear" w:pos="3742"/>
          <w:tab w:val="clear" w:pos="4366"/>
          <w:tab w:val="clear" w:pos="4990"/>
        </w:tabs>
        <w:ind w:right="0" w:hanging="900"/>
        <w:rPr>
          <w:rFonts w:eastAsia="SimHei"/>
          <w:sz w:val="32"/>
          <w:szCs w:val="32"/>
          <w:lang w:eastAsia="zh-CN"/>
        </w:rPr>
      </w:pPr>
      <w:r w:rsidRPr="004C544F">
        <w:rPr>
          <w:rFonts w:eastAsia="SimHei"/>
          <w:bCs/>
          <w:sz w:val="32"/>
          <w:szCs w:val="32"/>
          <w:lang w:val="zh-CN" w:eastAsia="zh-CN"/>
        </w:rPr>
        <w:t>向专项信托基金捐款的状况</w:t>
      </w:r>
    </w:p>
    <w:p w14:paraId="26549C69" w14:textId="7D003725" w:rsidR="00FF1D0E" w:rsidRPr="004C544F" w:rsidRDefault="00FF1D0E"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自</w:t>
      </w:r>
      <w:r w:rsidRPr="004C544F">
        <w:rPr>
          <w:kern w:val="0"/>
          <w:lang w:val="zh-CN" w:eastAsia="zh-CN"/>
        </w:rPr>
        <w:t>2018</w:t>
      </w:r>
      <w:r w:rsidRPr="004C544F">
        <w:rPr>
          <w:kern w:val="0"/>
          <w:lang w:val="zh-CN" w:eastAsia="zh-CN"/>
        </w:rPr>
        <w:t>年专项信托基金设立以来，已收到奥地利、丹麦、法国、德国、荷兰王国、挪威、瑞典、瑞士、大不列颠及北爱尔兰联合王国和美利坚合众国的捐款和认捐，如下表所示。</w:t>
      </w:r>
    </w:p>
    <w:p w14:paraId="17013F70" w14:textId="7D935F1C" w:rsidR="00FF1D0E" w:rsidRPr="004C544F" w:rsidRDefault="00F66B29" w:rsidP="004C544F">
      <w:pPr>
        <w:pStyle w:val="Titletable"/>
        <w:tabs>
          <w:tab w:val="clear" w:pos="4990"/>
        </w:tabs>
        <w:spacing w:before="240"/>
        <w:rPr>
          <w:rFonts w:ascii="SimHei" w:eastAsia="SimHei" w:hAnsi="SimHei"/>
          <w:sz w:val="24"/>
          <w:szCs w:val="24"/>
          <w:lang w:eastAsia="zh-CN"/>
        </w:rPr>
      </w:pPr>
      <w:r w:rsidRPr="004C544F">
        <w:rPr>
          <w:rFonts w:ascii="SimHei" w:eastAsia="SimHei" w:hAnsi="SimHei"/>
          <w:sz w:val="24"/>
          <w:szCs w:val="24"/>
          <w:lang w:val="zh-CN" w:eastAsia="zh-CN"/>
        </w:rPr>
        <w:lastRenderedPageBreak/>
        <w:t>自专门国际方案设立以来专项信托基金所收捐款和认捐</w:t>
      </w:r>
    </w:p>
    <w:p w14:paraId="25EB769E" w14:textId="69F680C6" w:rsidR="00FF1D0E" w:rsidRPr="004C544F" w:rsidRDefault="00FF1D0E" w:rsidP="004C544F">
      <w:pPr>
        <w:pStyle w:val="Normal-pool"/>
        <w:keepNext/>
        <w:keepLines/>
        <w:spacing w:after="60"/>
        <w:ind w:left="1247"/>
        <w:rPr>
          <w:rFonts w:eastAsia="SimSun"/>
          <w:color w:val="000000" w:themeColor="text1"/>
          <w:sz w:val="18"/>
          <w:szCs w:val="18"/>
        </w:rPr>
      </w:pPr>
      <w:r w:rsidRPr="004C544F">
        <w:rPr>
          <w:rFonts w:eastAsia="SimSun"/>
          <w:lang w:val="zh-CN"/>
        </w:rPr>
        <w:t>（</w:t>
      </w:r>
      <w:proofErr w:type="spellStart"/>
      <w:r w:rsidRPr="004C544F">
        <w:rPr>
          <w:rFonts w:eastAsia="SimSun"/>
          <w:lang w:val="zh-CN"/>
        </w:rPr>
        <w:t>美元，截至</w:t>
      </w:r>
      <w:proofErr w:type="spellEnd"/>
      <w:r w:rsidRPr="004C544F">
        <w:rPr>
          <w:rFonts w:eastAsia="SimSun"/>
          <w:lang w:val="zh-CN"/>
        </w:rPr>
        <w:t>2025</w:t>
      </w:r>
      <w:r w:rsidRPr="004C544F">
        <w:rPr>
          <w:rFonts w:eastAsia="SimSun"/>
          <w:lang w:val="zh-CN"/>
        </w:rPr>
        <w:t>年</w:t>
      </w:r>
      <w:r w:rsidRPr="004C544F">
        <w:rPr>
          <w:rFonts w:eastAsia="SimSun"/>
          <w:lang w:val="zh-CN"/>
        </w:rPr>
        <w:t>5</w:t>
      </w:r>
      <w:r w:rsidRPr="004C544F">
        <w:rPr>
          <w:rFonts w:eastAsia="SimSun"/>
          <w:lang w:val="zh-CN"/>
        </w:rPr>
        <w:t>月</w:t>
      </w:r>
      <w:r w:rsidRPr="004C544F">
        <w:rPr>
          <w:rFonts w:eastAsia="SimSun"/>
          <w:lang w:val="zh-CN"/>
        </w:rPr>
        <w:t>28</w:t>
      </w:r>
      <w:r w:rsidRPr="004C544F">
        <w:rPr>
          <w:rFonts w:eastAsia="SimSun"/>
          <w:lang w:val="zh-CN"/>
        </w:rPr>
        <w:t>日）</w:t>
      </w:r>
    </w:p>
    <w:tbl>
      <w:tblPr>
        <w:tblW w:w="8080" w:type="dxa"/>
        <w:tblInd w:w="1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3"/>
        <w:gridCol w:w="3827"/>
      </w:tblGrid>
      <w:tr w:rsidR="00FF1D0E" w:rsidRPr="004C544F" w14:paraId="660AF6E2" w14:textId="77777777" w:rsidTr="00D43CA6">
        <w:trPr>
          <w:trHeight w:val="184"/>
        </w:trPr>
        <w:tc>
          <w:tcPr>
            <w:tcW w:w="4253" w:type="dxa"/>
            <w:tcBorders>
              <w:top w:val="single" w:sz="6" w:space="0" w:color="auto"/>
              <w:left w:val="nil"/>
              <w:bottom w:val="single" w:sz="12" w:space="0" w:color="auto"/>
              <w:right w:val="nil"/>
            </w:tcBorders>
            <w:shd w:val="clear" w:color="auto" w:fill="FFFFFF" w:themeFill="background1"/>
            <w:vAlign w:val="bottom"/>
            <w:hideMark/>
          </w:tcPr>
          <w:p w14:paraId="55325773" w14:textId="77777777" w:rsidR="00FF1D0E" w:rsidRPr="004C544F" w:rsidRDefault="00FF1D0E" w:rsidP="004C544F">
            <w:pPr>
              <w:pStyle w:val="Normal-pool-Table"/>
              <w:ind w:left="57"/>
              <w:rPr>
                <w:rFonts w:ascii="KaiTi" w:eastAsia="KaiTi" w:hAnsi="KaiTi"/>
                <w:sz w:val="20"/>
              </w:rPr>
            </w:pPr>
            <w:proofErr w:type="spellStart"/>
            <w:r w:rsidRPr="004C544F">
              <w:rPr>
                <w:rFonts w:ascii="KaiTi" w:eastAsia="KaiTi" w:hAnsi="KaiTi"/>
                <w:color w:val="000000"/>
                <w:sz w:val="20"/>
                <w:lang w:val="zh-CN"/>
              </w:rPr>
              <w:t>捐助方</w:t>
            </w:r>
            <w:proofErr w:type="spellEnd"/>
          </w:p>
        </w:tc>
        <w:tc>
          <w:tcPr>
            <w:tcW w:w="3827" w:type="dxa"/>
            <w:tcBorders>
              <w:top w:val="single" w:sz="6" w:space="0" w:color="auto"/>
              <w:left w:val="nil"/>
              <w:bottom w:val="single" w:sz="12" w:space="0" w:color="auto"/>
              <w:right w:val="nil"/>
            </w:tcBorders>
            <w:shd w:val="clear" w:color="auto" w:fill="FFFFFF" w:themeFill="background1"/>
            <w:vAlign w:val="bottom"/>
            <w:hideMark/>
          </w:tcPr>
          <w:p w14:paraId="0751BEA2" w14:textId="77777777" w:rsidR="00FF1D0E" w:rsidRPr="004C544F" w:rsidRDefault="00FF1D0E" w:rsidP="004C544F">
            <w:pPr>
              <w:pStyle w:val="Normal-pool-Table"/>
              <w:jc w:val="right"/>
              <w:rPr>
                <w:rFonts w:ascii="KaiTi" w:eastAsia="KaiTi" w:hAnsi="KaiTi"/>
                <w:sz w:val="20"/>
              </w:rPr>
            </w:pPr>
            <w:proofErr w:type="spellStart"/>
            <w:r w:rsidRPr="004C544F">
              <w:rPr>
                <w:rFonts w:ascii="KaiTi" w:eastAsia="KaiTi" w:hAnsi="KaiTi"/>
                <w:color w:val="000000"/>
                <w:sz w:val="20"/>
                <w:lang w:val="zh-CN"/>
              </w:rPr>
              <w:t>认捐</w:t>
            </w:r>
            <w:proofErr w:type="spellEnd"/>
            <w:r w:rsidRPr="004C544F">
              <w:rPr>
                <w:rFonts w:ascii="KaiTi" w:eastAsia="KaiTi" w:hAnsi="KaiTi"/>
                <w:color w:val="000000"/>
                <w:sz w:val="20"/>
                <w:lang w:val="zh-CN"/>
              </w:rPr>
              <w:t>/</w:t>
            </w:r>
            <w:proofErr w:type="spellStart"/>
            <w:r w:rsidRPr="004C544F">
              <w:rPr>
                <w:rFonts w:ascii="KaiTi" w:eastAsia="KaiTi" w:hAnsi="KaiTi"/>
                <w:color w:val="000000"/>
                <w:sz w:val="20"/>
                <w:lang w:val="zh-CN"/>
              </w:rPr>
              <w:t>捐款总额</w:t>
            </w:r>
            <w:proofErr w:type="spellEnd"/>
          </w:p>
        </w:tc>
      </w:tr>
      <w:tr w:rsidR="00FF1D0E" w:rsidRPr="004C544F" w14:paraId="025263B2" w14:textId="77777777" w:rsidTr="00D43CA6">
        <w:trPr>
          <w:trHeight w:val="20"/>
        </w:trPr>
        <w:tc>
          <w:tcPr>
            <w:tcW w:w="4253" w:type="dxa"/>
            <w:tcBorders>
              <w:top w:val="single" w:sz="12" w:space="0" w:color="auto"/>
              <w:left w:val="nil"/>
              <w:bottom w:val="nil"/>
              <w:right w:val="nil"/>
            </w:tcBorders>
            <w:vAlign w:val="bottom"/>
            <w:hideMark/>
          </w:tcPr>
          <w:p w14:paraId="4DAE387B" w14:textId="4D049CD9" w:rsidR="00FF1D0E" w:rsidRPr="004C544F" w:rsidRDefault="00FF1D0E" w:rsidP="004C544F">
            <w:pPr>
              <w:pStyle w:val="Normal-pool-Table"/>
              <w:ind w:left="57"/>
              <w:rPr>
                <w:rFonts w:eastAsia="SimSun"/>
                <w:sz w:val="20"/>
              </w:rPr>
            </w:pPr>
            <w:proofErr w:type="spellStart"/>
            <w:r w:rsidRPr="004C544F">
              <w:rPr>
                <w:rFonts w:eastAsia="SimSun"/>
                <w:color w:val="000000"/>
                <w:sz w:val="20"/>
                <w:lang w:val="zh-CN"/>
              </w:rPr>
              <w:t>奥地利</w:t>
            </w:r>
            <w:proofErr w:type="spellEnd"/>
          </w:p>
        </w:tc>
        <w:tc>
          <w:tcPr>
            <w:tcW w:w="3827" w:type="dxa"/>
            <w:tcBorders>
              <w:top w:val="single" w:sz="12" w:space="0" w:color="auto"/>
              <w:left w:val="nil"/>
              <w:bottom w:val="nil"/>
              <w:right w:val="nil"/>
            </w:tcBorders>
            <w:vAlign w:val="bottom"/>
            <w:hideMark/>
          </w:tcPr>
          <w:p w14:paraId="2FB9B49B" w14:textId="77777777" w:rsidR="00FF1D0E" w:rsidRPr="004C544F" w:rsidRDefault="00FF1D0E" w:rsidP="004C544F">
            <w:pPr>
              <w:pStyle w:val="Normal-pool-Table"/>
              <w:jc w:val="right"/>
              <w:rPr>
                <w:rFonts w:eastAsia="SimSun"/>
                <w:sz w:val="20"/>
              </w:rPr>
            </w:pPr>
            <w:r w:rsidRPr="004C544F">
              <w:rPr>
                <w:rFonts w:eastAsia="SimSun"/>
                <w:color w:val="000000"/>
                <w:sz w:val="20"/>
                <w:lang w:val="zh-CN"/>
              </w:rPr>
              <w:t>505 194</w:t>
            </w:r>
          </w:p>
        </w:tc>
      </w:tr>
      <w:tr w:rsidR="00FF1D0E" w:rsidRPr="004C544F" w14:paraId="1A97D3FE" w14:textId="77777777" w:rsidTr="00D43CA6">
        <w:trPr>
          <w:trHeight w:val="50"/>
        </w:trPr>
        <w:tc>
          <w:tcPr>
            <w:tcW w:w="4253" w:type="dxa"/>
            <w:tcBorders>
              <w:top w:val="nil"/>
              <w:left w:val="nil"/>
              <w:bottom w:val="nil"/>
              <w:right w:val="nil"/>
            </w:tcBorders>
            <w:vAlign w:val="bottom"/>
            <w:hideMark/>
          </w:tcPr>
          <w:p w14:paraId="2DC75EC9" w14:textId="50ECA661" w:rsidR="00FF1D0E" w:rsidRPr="004C544F" w:rsidRDefault="00FF1D0E" w:rsidP="004C544F">
            <w:pPr>
              <w:pStyle w:val="Normal-pool-Table"/>
              <w:ind w:left="57"/>
              <w:rPr>
                <w:rFonts w:eastAsia="SimSun"/>
                <w:sz w:val="20"/>
              </w:rPr>
            </w:pPr>
            <w:proofErr w:type="spellStart"/>
            <w:r w:rsidRPr="004C544F">
              <w:rPr>
                <w:rFonts w:eastAsia="SimSun"/>
                <w:color w:val="000000"/>
                <w:sz w:val="20"/>
                <w:lang w:val="zh-CN"/>
              </w:rPr>
              <w:t>丹麦</w:t>
            </w:r>
            <w:proofErr w:type="spellEnd"/>
          </w:p>
        </w:tc>
        <w:tc>
          <w:tcPr>
            <w:tcW w:w="3827" w:type="dxa"/>
            <w:tcBorders>
              <w:top w:val="nil"/>
              <w:left w:val="nil"/>
              <w:bottom w:val="nil"/>
              <w:right w:val="nil"/>
            </w:tcBorders>
            <w:vAlign w:val="bottom"/>
            <w:hideMark/>
          </w:tcPr>
          <w:p w14:paraId="548C048F" w14:textId="77777777" w:rsidR="00FF1D0E" w:rsidRPr="004C544F" w:rsidRDefault="00FF1D0E" w:rsidP="004C544F">
            <w:pPr>
              <w:pStyle w:val="Normal-pool-Table"/>
              <w:jc w:val="right"/>
              <w:rPr>
                <w:rFonts w:eastAsia="SimSun"/>
                <w:sz w:val="20"/>
              </w:rPr>
            </w:pPr>
            <w:r w:rsidRPr="004C544F">
              <w:rPr>
                <w:rFonts w:eastAsia="SimSun"/>
                <w:color w:val="000000"/>
                <w:sz w:val="20"/>
                <w:lang w:val="zh-CN"/>
              </w:rPr>
              <w:t>175 748</w:t>
            </w:r>
          </w:p>
        </w:tc>
      </w:tr>
      <w:tr w:rsidR="00FF1D0E" w:rsidRPr="004C544F" w14:paraId="4EA0E80A" w14:textId="77777777" w:rsidTr="00D43CA6">
        <w:trPr>
          <w:trHeight w:val="50"/>
        </w:trPr>
        <w:tc>
          <w:tcPr>
            <w:tcW w:w="4253" w:type="dxa"/>
            <w:tcBorders>
              <w:top w:val="nil"/>
              <w:left w:val="nil"/>
              <w:bottom w:val="nil"/>
              <w:right w:val="nil"/>
            </w:tcBorders>
            <w:vAlign w:val="bottom"/>
            <w:hideMark/>
          </w:tcPr>
          <w:p w14:paraId="4DAC7C48" w14:textId="77777777" w:rsidR="00FF1D0E" w:rsidRPr="004C544F" w:rsidRDefault="00FF1D0E" w:rsidP="004C544F">
            <w:pPr>
              <w:pStyle w:val="Normal-pool-Table"/>
              <w:ind w:left="57"/>
              <w:rPr>
                <w:rFonts w:eastAsia="SimSun"/>
                <w:sz w:val="20"/>
              </w:rPr>
            </w:pPr>
            <w:proofErr w:type="spellStart"/>
            <w:r w:rsidRPr="004C544F">
              <w:rPr>
                <w:rFonts w:eastAsia="SimSun"/>
                <w:color w:val="000000"/>
                <w:sz w:val="20"/>
                <w:lang w:val="zh-CN"/>
              </w:rPr>
              <w:t>法国</w:t>
            </w:r>
            <w:proofErr w:type="spellEnd"/>
          </w:p>
        </w:tc>
        <w:tc>
          <w:tcPr>
            <w:tcW w:w="3827" w:type="dxa"/>
            <w:tcBorders>
              <w:top w:val="nil"/>
              <w:left w:val="nil"/>
              <w:bottom w:val="nil"/>
              <w:right w:val="nil"/>
            </w:tcBorders>
            <w:vAlign w:val="bottom"/>
            <w:hideMark/>
          </w:tcPr>
          <w:p w14:paraId="6D28BB28" w14:textId="77777777" w:rsidR="00FF1D0E" w:rsidRPr="004C544F" w:rsidRDefault="00FF1D0E" w:rsidP="004C544F">
            <w:pPr>
              <w:pStyle w:val="Normal-pool-Table"/>
              <w:jc w:val="right"/>
              <w:rPr>
                <w:rFonts w:eastAsia="SimSun"/>
                <w:sz w:val="20"/>
              </w:rPr>
            </w:pPr>
            <w:r w:rsidRPr="004C544F">
              <w:rPr>
                <w:rFonts w:eastAsia="SimSun"/>
                <w:color w:val="000000"/>
                <w:sz w:val="20"/>
                <w:lang w:val="zh-CN"/>
              </w:rPr>
              <w:t>324 144</w:t>
            </w:r>
          </w:p>
        </w:tc>
      </w:tr>
      <w:tr w:rsidR="00FF1D0E" w:rsidRPr="004C544F" w14:paraId="4E9F5AC0" w14:textId="77777777" w:rsidTr="00D43CA6">
        <w:trPr>
          <w:trHeight w:val="50"/>
        </w:trPr>
        <w:tc>
          <w:tcPr>
            <w:tcW w:w="4253" w:type="dxa"/>
            <w:tcBorders>
              <w:top w:val="nil"/>
              <w:left w:val="nil"/>
              <w:bottom w:val="nil"/>
              <w:right w:val="nil"/>
            </w:tcBorders>
            <w:vAlign w:val="bottom"/>
            <w:hideMark/>
          </w:tcPr>
          <w:p w14:paraId="0DF2A0E0" w14:textId="77777777" w:rsidR="00FF1D0E" w:rsidRPr="004C544F" w:rsidRDefault="00FF1D0E" w:rsidP="004C544F">
            <w:pPr>
              <w:pStyle w:val="Normal-pool-Table"/>
              <w:ind w:left="57"/>
              <w:rPr>
                <w:rFonts w:eastAsia="SimSun"/>
                <w:sz w:val="20"/>
              </w:rPr>
            </w:pPr>
            <w:proofErr w:type="spellStart"/>
            <w:r w:rsidRPr="004C544F">
              <w:rPr>
                <w:rFonts w:eastAsia="SimSun"/>
                <w:color w:val="000000"/>
                <w:sz w:val="20"/>
                <w:lang w:val="zh-CN"/>
              </w:rPr>
              <w:t>德国</w:t>
            </w:r>
            <w:proofErr w:type="spellEnd"/>
          </w:p>
        </w:tc>
        <w:tc>
          <w:tcPr>
            <w:tcW w:w="3827" w:type="dxa"/>
            <w:tcBorders>
              <w:top w:val="nil"/>
              <w:left w:val="nil"/>
              <w:bottom w:val="nil"/>
              <w:right w:val="nil"/>
            </w:tcBorders>
            <w:vAlign w:val="bottom"/>
            <w:hideMark/>
          </w:tcPr>
          <w:p w14:paraId="301271AA" w14:textId="77777777" w:rsidR="00FF1D0E" w:rsidRPr="004C544F" w:rsidRDefault="00FF1D0E" w:rsidP="004C544F">
            <w:pPr>
              <w:pStyle w:val="Normal-pool-Table"/>
              <w:jc w:val="right"/>
              <w:rPr>
                <w:rFonts w:eastAsia="SimSun"/>
                <w:sz w:val="20"/>
              </w:rPr>
            </w:pPr>
            <w:r w:rsidRPr="004C544F">
              <w:rPr>
                <w:rFonts w:eastAsia="SimSun"/>
                <w:color w:val="000000"/>
                <w:sz w:val="20"/>
                <w:lang w:val="zh-CN"/>
              </w:rPr>
              <w:t>1 118 927</w:t>
            </w:r>
          </w:p>
        </w:tc>
      </w:tr>
      <w:tr w:rsidR="00FF1D0E" w:rsidRPr="004C544F" w14:paraId="2B9C36C6" w14:textId="77777777" w:rsidTr="00D43CA6">
        <w:trPr>
          <w:trHeight w:val="159"/>
        </w:trPr>
        <w:tc>
          <w:tcPr>
            <w:tcW w:w="4253" w:type="dxa"/>
            <w:tcBorders>
              <w:top w:val="nil"/>
              <w:left w:val="nil"/>
              <w:bottom w:val="nil"/>
              <w:right w:val="nil"/>
            </w:tcBorders>
            <w:vAlign w:val="bottom"/>
            <w:hideMark/>
          </w:tcPr>
          <w:p w14:paraId="52696957" w14:textId="77777777" w:rsidR="00FF1D0E" w:rsidRPr="004C544F" w:rsidRDefault="00FF1D0E" w:rsidP="004C544F">
            <w:pPr>
              <w:pStyle w:val="Normal-pool-Table"/>
              <w:ind w:left="57"/>
              <w:rPr>
                <w:rFonts w:eastAsia="SimSun"/>
                <w:sz w:val="20"/>
              </w:rPr>
            </w:pPr>
            <w:proofErr w:type="spellStart"/>
            <w:r w:rsidRPr="004C544F">
              <w:rPr>
                <w:rFonts w:eastAsia="SimSun"/>
                <w:color w:val="000000"/>
                <w:sz w:val="20"/>
                <w:lang w:val="zh-CN"/>
              </w:rPr>
              <w:t>荷兰王国</w:t>
            </w:r>
            <w:proofErr w:type="spellEnd"/>
          </w:p>
        </w:tc>
        <w:tc>
          <w:tcPr>
            <w:tcW w:w="3827" w:type="dxa"/>
            <w:tcBorders>
              <w:top w:val="nil"/>
              <w:left w:val="nil"/>
              <w:bottom w:val="nil"/>
              <w:right w:val="nil"/>
            </w:tcBorders>
            <w:vAlign w:val="bottom"/>
            <w:hideMark/>
          </w:tcPr>
          <w:p w14:paraId="30FB1688" w14:textId="77777777" w:rsidR="00FF1D0E" w:rsidRPr="004C544F" w:rsidRDefault="00FF1D0E" w:rsidP="004C544F">
            <w:pPr>
              <w:pStyle w:val="Normal-pool-Table"/>
              <w:jc w:val="right"/>
              <w:rPr>
                <w:rFonts w:eastAsia="SimSun"/>
                <w:sz w:val="20"/>
              </w:rPr>
            </w:pPr>
            <w:r w:rsidRPr="004C544F">
              <w:rPr>
                <w:rFonts w:eastAsia="SimSun"/>
                <w:color w:val="000000"/>
                <w:sz w:val="20"/>
                <w:lang w:val="zh-CN"/>
              </w:rPr>
              <w:t>331 193</w:t>
            </w:r>
          </w:p>
        </w:tc>
      </w:tr>
      <w:tr w:rsidR="00FF1D0E" w:rsidRPr="004C544F" w14:paraId="730A3B23" w14:textId="77777777" w:rsidTr="00D43CA6">
        <w:trPr>
          <w:trHeight w:val="50"/>
        </w:trPr>
        <w:tc>
          <w:tcPr>
            <w:tcW w:w="4253" w:type="dxa"/>
            <w:tcBorders>
              <w:top w:val="nil"/>
              <w:left w:val="nil"/>
              <w:bottom w:val="nil"/>
              <w:right w:val="nil"/>
            </w:tcBorders>
            <w:vAlign w:val="bottom"/>
            <w:hideMark/>
          </w:tcPr>
          <w:p w14:paraId="22EE1BD4" w14:textId="77777777" w:rsidR="00FF1D0E" w:rsidRPr="004C544F" w:rsidRDefault="00FF1D0E" w:rsidP="004C544F">
            <w:pPr>
              <w:pStyle w:val="Normal-pool-Table"/>
              <w:ind w:left="57"/>
              <w:rPr>
                <w:rFonts w:eastAsia="SimSun"/>
                <w:sz w:val="20"/>
              </w:rPr>
            </w:pPr>
            <w:proofErr w:type="spellStart"/>
            <w:r w:rsidRPr="004C544F">
              <w:rPr>
                <w:rFonts w:eastAsia="SimSun"/>
                <w:color w:val="000000"/>
                <w:sz w:val="20"/>
                <w:lang w:val="zh-CN"/>
              </w:rPr>
              <w:t>挪威</w:t>
            </w:r>
            <w:proofErr w:type="spellEnd"/>
          </w:p>
        </w:tc>
        <w:tc>
          <w:tcPr>
            <w:tcW w:w="3827" w:type="dxa"/>
            <w:tcBorders>
              <w:top w:val="nil"/>
              <w:left w:val="nil"/>
              <w:bottom w:val="nil"/>
              <w:right w:val="nil"/>
            </w:tcBorders>
            <w:vAlign w:val="bottom"/>
            <w:hideMark/>
          </w:tcPr>
          <w:p w14:paraId="23AE5BF3" w14:textId="77777777" w:rsidR="00FF1D0E" w:rsidRPr="004C544F" w:rsidRDefault="00FF1D0E" w:rsidP="004C544F">
            <w:pPr>
              <w:pStyle w:val="Normal-pool-Table"/>
              <w:jc w:val="right"/>
              <w:rPr>
                <w:rFonts w:eastAsia="SimSun"/>
                <w:sz w:val="20"/>
              </w:rPr>
            </w:pPr>
            <w:r w:rsidRPr="004C544F">
              <w:rPr>
                <w:rFonts w:eastAsia="SimSun"/>
                <w:color w:val="000000"/>
                <w:sz w:val="20"/>
                <w:lang w:val="zh-CN"/>
              </w:rPr>
              <w:t>2 748 661</w:t>
            </w:r>
          </w:p>
        </w:tc>
      </w:tr>
      <w:tr w:rsidR="00FF1D0E" w:rsidRPr="004C544F" w14:paraId="70ABCA0A" w14:textId="77777777" w:rsidTr="00D43CA6">
        <w:trPr>
          <w:trHeight w:val="50"/>
        </w:trPr>
        <w:tc>
          <w:tcPr>
            <w:tcW w:w="4253" w:type="dxa"/>
            <w:tcBorders>
              <w:top w:val="nil"/>
              <w:left w:val="nil"/>
              <w:bottom w:val="nil"/>
              <w:right w:val="nil"/>
            </w:tcBorders>
            <w:vAlign w:val="bottom"/>
            <w:hideMark/>
          </w:tcPr>
          <w:p w14:paraId="6A8BA0F4" w14:textId="77777777" w:rsidR="00FF1D0E" w:rsidRPr="004C544F" w:rsidRDefault="00FF1D0E" w:rsidP="004C544F">
            <w:pPr>
              <w:pStyle w:val="Normal-pool-Table"/>
              <w:ind w:left="57"/>
              <w:rPr>
                <w:rFonts w:eastAsia="SimSun"/>
                <w:sz w:val="20"/>
              </w:rPr>
            </w:pPr>
            <w:proofErr w:type="spellStart"/>
            <w:r w:rsidRPr="004C544F">
              <w:rPr>
                <w:rFonts w:eastAsia="SimSun"/>
                <w:color w:val="000000"/>
                <w:sz w:val="20"/>
                <w:lang w:val="zh-CN"/>
              </w:rPr>
              <w:t>瑞典</w:t>
            </w:r>
            <w:proofErr w:type="spellEnd"/>
          </w:p>
        </w:tc>
        <w:tc>
          <w:tcPr>
            <w:tcW w:w="3827" w:type="dxa"/>
            <w:tcBorders>
              <w:top w:val="nil"/>
              <w:left w:val="nil"/>
              <w:bottom w:val="nil"/>
              <w:right w:val="nil"/>
            </w:tcBorders>
            <w:vAlign w:val="bottom"/>
            <w:hideMark/>
          </w:tcPr>
          <w:p w14:paraId="09AA9892" w14:textId="77777777" w:rsidR="00FF1D0E" w:rsidRPr="004C544F" w:rsidRDefault="00FF1D0E" w:rsidP="004C544F">
            <w:pPr>
              <w:pStyle w:val="Normal-pool-Table"/>
              <w:jc w:val="right"/>
              <w:rPr>
                <w:rFonts w:eastAsia="SimSun"/>
                <w:sz w:val="20"/>
              </w:rPr>
            </w:pPr>
            <w:r w:rsidRPr="004C544F">
              <w:rPr>
                <w:rFonts w:eastAsia="SimSun"/>
                <w:color w:val="000000"/>
                <w:sz w:val="20"/>
                <w:lang w:val="zh-CN"/>
              </w:rPr>
              <w:t>844 663</w:t>
            </w:r>
          </w:p>
        </w:tc>
      </w:tr>
      <w:tr w:rsidR="00FF1D0E" w:rsidRPr="004C544F" w14:paraId="1547E35C" w14:textId="77777777" w:rsidTr="00D43CA6">
        <w:trPr>
          <w:trHeight w:val="50"/>
        </w:trPr>
        <w:tc>
          <w:tcPr>
            <w:tcW w:w="4253" w:type="dxa"/>
            <w:tcBorders>
              <w:top w:val="nil"/>
              <w:left w:val="nil"/>
              <w:bottom w:val="nil"/>
              <w:right w:val="nil"/>
            </w:tcBorders>
            <w:vAlign w:val="bottom"/>
            <w:hideMark/>
          </w:tcPr>
          <w:p w14:paraId="0972D9E5" w14:textId="77777777" w:rsidR="00FF1D0E" w:rsidRPr="004C544F" w:rsidRDefault="00FF1D0E" w:rsidP="004C544F">
            <w:pPr>
              <w:pStyle w:val="Normal-pool-Table"/>
              <w:ind w:left="57"/>
              <w:rPr>
                <w:rFonts w:eastAsia="SimSun"/>
                <w:sz w:val="20"/>
              </w:rPr>
            </w:pPr>
            <w:proofErr w:type="spellStart"/>
            <w:r w:rsidRPr="004C544F">
              <w:rPr>
                <w:rFonts w:eastAsia="SimSun"/>
                <w:color w:val="000000"/>
                <w:sz w:val="20"/>
                <w:lang w:val="zh-CN"/>
              </w:rPr>
              <w:t>瑞士</w:t>
            </w:r>
            <w:proofErr w:type="spellEnd"/>
          </w:p>
        </w:tc>
        <w:tc>
          <w:tcPr>
            <w:tcW w:w="3827" w:type="dxa"/>
            <w:tcBorders>
              <w:top w:val="nil"/>
              <w:left w:val="nil"/>
              <w:bottom w:val="nil"/>
              <w:right w:val="nil"/>
            </w:tcBorders>
            <w:vAlign w:val="bottom"/>
            <w:hideMark/>
          </w:tcPr>
          <w:p w14:paraId="161DEE33" w14:textId="77777777" w:rsidR="00FF1D0E" w:rsidRPr="004C544F" w:rsidRDefault="00FF1D0E" w:rsidP="004C544F">
            <w:pPr>
              <w:pStyle w:val="Normal-pool-Table"/>
              <w:jc w:val="right"/>
              <w:rPr>
                <w:rFonts w:eastAsia="SimSun"/>
                <w:sz w:val="20"/>
              </w:rPr>
            </w:pPr>
            <w:r w:rsidRPr="004C544F">
              <w:rPr>
                <w:rFonts w:eastAsia="SimSun"/>
                <w:color w:val="000000"/>
                <w:sz w:val="20"/>
                <w:lang w:val="zh-CN"/>
              </w:rPr>
              <w:t>1 243 145</w:t>
            </w:r>
          </w:p>
        </w:tc>
      </w:tr>
      <w:tr w:rsidR="00FF1D0E" w:rsidRPr="004C544F" w14:paraId="5C4D5369" w14:textId="77777777" w:rsidTr="00D43CA6">
        <w:trPr>
          <w:trHeight w:val="50"/>
        </w:trPr>
        <w:tc>
          <w:tcPr>
            <w:tcW w:w="4253" w:type="dxa"/>
            <w:tcBorders>
              <w:top w:val="nil"/>
              <w:left w:val="nil"/>
              <w:bottom w:val="nil"/>
              <w:right w:val="nil"/>
            </w:tcBorders>
            <w:vAlign w:val="bottom"/>
            <w:hideMark/>
          </w:tcPr>
          <w:p w14:paraId="01EA092E" w14:textId="77777777" w:rsidR="00FF1D0E" w:rsidRPr="004C544F" w:rsidRDefault="00FF1D0E" w:rsidP="004C544F">
            <w:pPr>
              <w:pStyle w:val="Normal-pool-Table"/>
              <w:ind w:left="57"/>
              <w:rPr>
                <w:rFonts w:eastAsia="SimSun"/>
                <w:sz w:val="20"/>
                <w:lang w:eastAsia="zh-CN"/>
              </w:rPr>
            </w:pPr>
            <w:r w:rsidRPr="004C544F">
              <w:rPr>
                <w:rFonts w:eastAsia="SimSun"/>
                <w:color w:val="000000"/>
                <w:sz w:val="20"/>
                <w:lang w:val="zh-CN" w:eastAsia="zh-CN"/>
              </w:rPr>
              <w:t>大不列颠及北爱尔兰联合王国</w:t>
            </w:r>
          </w:p>
        </w:tc>
        <w:tc>
          <w:tcPr>
            <w:tcW w:w="3827" w:type="dxa"/>
            <w:tcBorders>
              <w:top w:val="nil"/>
              <w:left w:val="nil"/>
              <w:bottom w:val="nil"/>
              <w:right w:val="nil"/>
            </w:tcBorders>
            <w:vAlign w:val="bottom"/>
            <w:hideMark/>
          </w:tcPr>
          <w:p w14:paraId="0A6EEB80" w14:textId="77777777" w:rsidR="00FF1D0E" w:rsidRPr="004C544F" w:rsidRDefault="00FF1D0E" w:rsidP="004C544F">
            <w:pPr>
              <w:pStyle w:val="Normal-pool-Table"/>
              <w:jc w:val="right"/>
              <w:rPr>
                <w:rFonts w:eastAsia="SimSun"/>
                <w:sz w:val="20"/>
              </w:rPr>
            </w:pPr>
            <w:r w:rsidRPr="004C544F">
              <w:rPr>
                <w:rFonts w:eastAsia="SimSun"/>
                <w:color w:val="000000"/>
                <w:sz w:val="20"/>
                <w:lang w:val="zh-CN"/>
              </w:rPr>
              <w:t>305 235</w:t>
            </w:r>
          </w:p>
        </w:tc>
      </w:tr>
      <w:tr w:rsidR="00FF1D0E" w:rsidRPr="004C544F" w14:paraId="207CFD9D" w14:textId="77777777" w:rsidTr="00D43CA6">
        <w:trPr>
          <w:trHeight w:val="50"/>
        </w:trPr>
        <w:tc>
          <w:tcPr>
            <w:tcW w:w="4253" w:type="dxa"/>
            <w:tcBorders>
              <w:top w:val="nil"/>
              <w:left w:val="nil"/>
              <w:bottom w:val="single" w:sz="6" w:space="0" w:color="auto"/>
              <w:right w:val="nil"/>
            </w:tcBorders>
            <w:vAlign w:val="bottom"/>
            <w:hideMark/>
          </w:tcPr>
          <w:p w14:paraId="1D85BFAD" w14:textId="77777777" w:rsidR="00FF1D0E" w:rsidRPr="004C544F" w:rsidRDefault="00FF1D0E" w:rsidP="004C544F">
            <w:pPr>
              <w:pStyle w:val="Normal-pool-Table"/>
              <w:ind w:left="57"/>
              <w:rPr>
                <w:rFonts w:eastAsia="SimSun"/>
                <w:sz w:val="20"/>
              </w:rPr>
            </w:pPr>
            <w:proofErr w:type="spellStart"/>
            <w:r w:rsidRPr="004C544F">
              <w:rPr>
                <w:rFonts w:eastAsia="SimSun"/>
                <w:color w:val="000000"/>
                <w:sz w:val="20"/>
                <w:lang w:val="zh-CN"/>
              </w:rPr>
              <w:t>美国</w:t>
            </w:r>
            <w:proofErr w:type="spellEnd"/>
          </w:p>
        </w:tc>
        <w:tc>
          <w:tcPr>
            <w:tcW w:w="3827" w:type="dxa"/>
            <w:tcBorders>
              <w:top w:val="nil"/>
              <w:left w:val="nil"/>
              <w:bottom w:val="single" w:sz="6" w:space="0" w:color="auto"/>
              <w:right w:val="nil"/>
            </w:tcBorders>
            <w:vAlign w:val="bottom"/>
            <w:hideMark/>
          </w:tcPr>
          <w:p w14:paraId="2F17008D" w14:textId="77777777" w:rsidR="00FF1D0E" w:rsidRPr="004C544F" w:rsidRDefault="00FF1D0E" w:rsidP="004C544F">
            <w:pPr>
              <w:pStyle w:val="Normal-pool-Table"/>
              <w:jc w:val="right"/>
              <w:rPr>
                <w:rFonts w:eastAsia="SimSun"/>
                <w:sz w:val="20"/>
              </w:rPr>
            </w:pPr>
            <w:r w:rsidRPr="004C544F">
              <w:rPr>
                <w:rFonts w:eastAsia="SimSun"/>
                <w:color w:val="000000"/>
                <w:sz w:val="20"/>
                <w:lang w:val="zh-CN"/>
              </w:rPr>
              <w:t>853 083</w:t>
            </w:r>
          </w:p>
        </w:tc>
      </w:tr>
      <w:tr w:rsidR="00FF1D0E" w:rsidRPr="004C544F" w14:paraId="3B1549E2" w14:textId="77777777" w:rsidTr="00D43CA6">
        <w:trPr>
          <w:trHeight w:val="35"/>
        </w:trPr>
        <w:tc>
          <w:tcPr>
            <w:tcW w:w="4253" w:type="dxa"/>
            <w:tcBorders>
              <w:top w:val="single" w:sz="6" w:space="0" w:color="auto"/>
              <w:left w:val="nil"/>
              <w:bottom w:val="single" w:sz="12" w:space="0" w:color="auto"/>
              <w:right w:val="nil"/>
            </w:tcBorders>
            <w:vAlign w:val="bottom"/>
            <w:hideMark/>
          </w:tcPr>
          <w:p w14:paraId="761A2216" w14:textId="19B4A0D9" w:rsidR="00FF1D0E" w:rsidRPr="004C544F" w:rsidRDefault="00FF1D0E" w:rsidP="004C544F">
            <w:pPr>
              <w:pStyle w:val="Normal-pool-Table"/>
              <w:ind w:left="57"/>
              <w:rPr>
                <w:rFonts w:ascii="SimHei" w:eastAsia="SimHei" w:hAnsi="SimHei"/>
                <w:sz w:val="20"/>
              </w:rPr>
            </w:pPr>
            <w:proofErr w:type="spellStart"/>
            <w:r w:rsidRPr="004C544F">
              <w:rPr>
                <w:rFonts w:ascii="SimHei" w:eastAsia="SimHei" w:hAnsi="SimHei"/>
                <w:b/>
                <w:bCs/>
                <w:color w:val="000000"/>
                <w:sz w:val="20"/>
                <w:lang w:val="zh-CN"/>
              </w:rPr>
              <w:t>共计</w:t>
            </w:r>
            <w:proofErr w:type="spellEnd"/>
          </w:p>
        </w:tc>
        <w:tc>
          <w:tcPr>
            <w:tcW w:w="3827" w:type="dxa"/>
            <w:tcBorders>
              <w:top w:val="single" w:sz="6" w:space="0" w:color="auto"/>
              <w:left w:val="nil"/>
              <w:bottom w:val="single" w:sz="12" w:space="0" w:color="auto"/>
              <w:right w:val="nil"/>
            </w:tcBorders>
            <w:vAlign w:val="bottom"/>
            <w:hideMark/>
          </w:tcPr>
          <w:p w14:paraId="639A8CB8" w14:textId="77777777" w:rsidR="00FF1D0E" w:rsidRPr="004C544F" w:rsidRDefault="00FF1D0E" w:rsidP="004C544F">
            <w:pPr>
              <w:pStyle w:val="Normal-pool-Table"/>
              <w:jc w:val="right"/>
              <w:rPr>
                <w:rFonts w:eastAsia="SimSun"/>
                <w:sz w:val="20"/>
              </w:rPr>
            </w:pPr>
            <w:r w:rsidRPr="004C544F">
              <w:rPr>
                <w:rFonts w:eastAsia="SimSun"/>
                <w:b/>
                <w:bCs/>
                <w:color w:val="000000"/>
                <w:sz w:val="20"/>
                <w:lang w:val="zh-CN"/>
              </w:rPr>
              <w:t>8 449 992</w:t>
            </w:r>
          </w:p>
        </w:tc>
      </w:tr>
    </w:tbl>
    <w:p w14:paraId="7A2B6F86" w14:textId="77777777" w:rsidR="00FF1D0E" w:rsidRPr="005E0994" w:rsidRDefault="00FF1D0E" w:rsidP="005E0994">
      <w:pPr>
        <w:spacing w:line="240" w:lineRule="auto"/>
        <w:rPr>
          <w:kern w:val="0"/>
          <w:sz w:val="20"/>
          <w:szCs w:val="20"/>
          <w:lang w:eastAsia="en-US"/>
        </w:rPr>
      </w:pPr>
      <w:r w:rsidRPr="004C544F">
        <w:rPr>
          <w:kern w:val="0"/>
          <w:sz w:val="10"/>
          <w:szCs w:val="10"/>
        </w:rPr>
        <w:br w:type="page"/>
      </w:r>
    </w:p>
    <w:p w14:paraId="6F626243" w14:textId="2EE5D9CA" w:rsidR="00FF1D0E" w:rsidRPr="004C544F" w:rsidRDefault="00FF1D0E" w:rsidP="004C544F">
      <w:pPr>
        <w:pStyle w:val="Titlefigure"/>
        <w:rPr>
          <w:rFonts w:ascii="SimHei" w:eastAsia="SimHei" w:hAnsi="SimHei"/>
          <w:bCs/>
          <w:sz w:val="24"/>
          <w:szCs w:val="24"/>
          <w:lang w:val="zh-CN" w:eastAsia="zh-CN"/>
        </w:rPr>
      </w:pPr>
      <w:r w:rsidRPr="004C544F">
        <w:rPr>
          <w:rFonts w:ascii="SimHei" w:eastAsia="SimHei" w:hAnsi="SimHei"/>
          <w:bCs/>
          <w:sz w:val="24"/>
          <w:szCs w:val="24"/>
          <w:lang w:val="zh-CN" w:eastAsia="zh-CN"/>
        </w:rPr>
        <w:lastRenderedPageBreak/>
        <w:t>对第四轮申请的捐款（美元）</w:t>
      </w:r>
    </w:p>
    <w:p w14:paraId="73AB05A5" w14:textId="42D26067" w:rsidR="00EC2C26" w:rsidRPr="004C544F" w:rsidRDefault="006355F1" w:rsidP="006B0024">
      <w:pPr>
        <w:pStyle w:val="NormalNonumber"/>
        <w:tabs>
          <w:tab w:val="clear" w:pos="624"/>
          <w:tab w:val="clear" w:pos="1247"/>
          <w:tab w:val="clear" w:pos="1871"/>
          <w:tab w:val="clear" w:pos="2495"/>
          <w:tab w:val="clear" w:pos="3119"/>
          <w:tab w:val="clear" w:pos="3742"/>
          <w:tab w:val="clear" w:pos="4366"/>
          <w:tab w:val="clear" w:pos="4990"/>
        </w:tabs>
        <w:ind w:left="0"/>
        <w:rPr>
          <w:rFonts w:eastAsiaTheme="minorEastAsia"/>
          <w:lang w:val="zh-CN" w:eastAsia="zh-CN"/>
        </w:rPr>
      </w:pPr>
      <w:r>
        <w:rPr>
          <w:noProof/>
        </w:rPr>
        <w:drawing>
          <wp:inline distT="0" distB="0" distL="0" distR="0" wp14:anchorId="1BC935B3" wp14:editId="4851D7A7">
            <wp:extent cx="6030595" cy="3144520"/>
            <wp:effectExtent l="0" t="0" r="8255" b="0"/>
            <wp:docPr id="1536115260" name="图片 1" descr="图表, 树状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15260" name="图片 1" descr="图表, 树状图&#10;&#10;AI 生成的内容可能不正确。"/>
                    <pic:cNvPicPr/>
                  </pic:nvPicPr>
                  <pic:blipFill>
                    <a:blip r:embed="rId13"/>
                    <a:stretch>
                      <a:fillRect/>
                    </a:stretch>
                  </pic:blipFill>
                  <pic:spPr>
                    <a:xfrm>
                      <a:off x="0" y="0"/>
                      <a:ext cx="6030595" cy="3144520"/>
                    </a:xfrm>
                    <a:prstGeom prst="rect">
                      <a:avLst/>
                    </a:prstGeom>
                  </pic:spPr>
                </pic:pic>
              </a:graphicData>
            </a:graphic>
          </wp:inline>
        </w:drawing>
      </w:r>
    </w:p>
    <w:p w14:paraId="7036A594" w14:textId="77777777" w:rsidR="00EC2C26" w:rsidRPr="004C544F" w:rsidRDefault="00EC2C26" w:rsidP="004C544F">
      <w:pPr>
        <w:pStyle w:val="Normal-pool"/>
      </w:pPr>
    </w:p>
    <w:p w14:paraId="242F33AE" w14:textId="050C94C8" w:rsidR="00FF1D0E" w:rsidRPr="004C544F" w:rsidRDefault="00FF1D0E" w:rsidP="004C544F">
      <w:pPr>
        <w:pStyle w:val="Normalnumber"/>
        <w:numPr>
          <w:ilvl w:val="0"/>
          <w:numId w:val="17"/>
        </w:numPr>
        <w:tabs>
          <w:tab w:val="left" w:pos="624"/>
        </w:tabs>
        <w:spacing w:line="240" w:lineRule="auto"/>
        <w:ind w:left="1247" w:firstLine="0"/>
        <w:rPr>
          <w:kern w:val="0"/>
          <w:lang w:eastAsia="zh-CN"/>
        </w:rPr>
      </w:pPr>
      <w:r w:rsidRPr="004C544F">
        <w:rPr>
          <w:kern w:val="0"/>
          <w:lang w:val="zh-CN" w:eastAsia="zh-CN"/>
        </w:rPr>
        <w:t>对专项信托基金的捐款主要用于向理事会选定和核准的国家主导项目拨款。按照</w:t>
      </w:r>
      <w:r w:rsidRPr="004C544F">
        <w:rPr>
          <w:kern w:val="0"/>
          <w:lang w:val="zh-CN" w:eastAsia="zh-CN"/>
        </w:rPr>
        <w:t>MC-1/6</w:t>
      </w:r>
      <w:r w:rsidRPr="004C544F">
        <w:rPr>
          <w:kern w:val="0"/>
          <w:lang w:val="zh-CN" w:eastAsia="zh-CN"/>
        </w:rPr>
        <w:t>号决定的概述，捐款还用于支付与理事会的会议和工作以及专门国际方案运作有关的费用。</w:t>
      </w:r>
    </w:p>
    <w:p w14:paraId="41DE5D6C" w14:textId="09126FA7" w:rsidR="00FF1D0E" w:rsidRPr="004C544F" w:rsidRDefault="006E55F5" w:rsidP="004C544F">
      <w:pPr>
        <w:pStyle w:val="Normalnumber"/>
        <w:numPr>
          <w:ilvl w:val="0"/>
          <w:numId w:val="17"/>
        </w:numPr>
        <w:tabs>
          <w:tab w:val="left" w:pos="624"/>
        </w:tabs>
        <w:spacing w:line="240" w:lineRule="auto"/>
        <w:ind w:left="1247" w:firstLine="0"/>
        <w:rPr>
          <w:noProof/>
          <w:kern w:val="0"/>
          <w:lang w:eastAsia="zh-CN"/>
        </w:rPr>
      </w:pPr>
      <w:r w:rsidRPr="004C544F">
        <w:rPr>
          <w:kern w:val="0"/>
          <w:lang w:val="zh-CN" w:eastAsia="zh-CN"/>
        </w:rPr>
        <w:t>上图按国家分列了对第四轮申请的捐款。截至</w:t>
      </w:r>
      <w:r w:rsidRPr="004C544F">
        <w:rPr>
          <w:kern w:val="0"/>
          <w:lang w:val="zh-CN" w:eastAsia="zh-CN"/>
        </w:rPr>
        <w:t>2025</w:t>
      </w:r>
      <w:r w:rsidRPr="004C544F">
        <w:rPr>
          <w:kern w:val="0"/>
          <w:lang w:val="zh-CN" w:eastAsia="zh-CN"/>
        </w:rPr>
        <w:t>年</w:t>
      </w:r>
      <w:r w:rsidRPr="004C544F">
        <w:rPr>
          <w:kern w:val="0"/>
          <w:lang w:val="zh-CN" w:eastAsia="zh-CN"/>
        </w:rPr>
        <w:t>6</w:t>
      </w:r>
      <w:r w:rsidRPr="004C544F">
        <w:rPr>
          <w:kern w:val="0"/>
          <w:lang w:val="zh-CN" w:eastAsia="zh-CN"/>
        </w:rPr>
        <w:t>月</w:t>
      </w:r>
      <w:r w:rsidRPr="004C544F">
        <w:rPr>
          <w:kern w:val="0"/>
          <w:lang w:val="zh-CN" w:eastAsia="zh-CN"/>
        </w:rPr>
        <w:t>24</w:t>
      </w:r>
      <w:r w:rsidRPr="004C544F">
        <w:rPr>
          <w:kern w:val="0"/>
          <w:lang w:val="zh-CN" w:eastAsia="zh-CN"/>
        </w:rPr>
        <w:t>日，法国承诺为第五轮申请认捐</w:t>
      </w:r>
      <w:r w:rsidRPr="004C544F">
        <w:rPr>
          <w:kern w:val="0"/>
          <w:lang w:val="zh-CN" w:eastAsia="zh-CN"/>
        </w:rPr>
        <w:t>100 000</w:t>
      </w:r>
      <w:r w:rsidRPr="004C544F">
        <w:rPr>
          <w:kern w:val="0"/>
          <w:lang w:val="zh-CN" w:eastAsia="zh-CN"/>
        </w:rPr>
        <w:t>欧元。持续收到对专项信托基金的捐款对于秘书处能够启动第五轮申请以支持缔约</w:t>
      </w:r>
      <w:proofErr w:type="gramStart"/>
      <w:r w:rsidRPr="004C544F">
        <w:rPr>
          <w:kern w:val="0"/>
          <w:lang w:val="zh-CN" w:eastAsia="zh-CN"/>
        </w:rPr>
        <w:t>方执行</w:t>
      </w:r>
      <w:proofErr w:type="gramEnd"/>
      <w:r w:rsidRPr="004C544F">
        <w:rPr>
          <w:kern w:val="0"/>
          <w:lang w:val="zh-CN" w:eastAsia="zh-CN"/>
        </w:rPr>
        <w:t>《公约》至关重要。</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FF1D0E" w:rsidRPr="000B5B5B" w14:paraId="7601B6C4" w14:textId="77777777" w:rsidTr="000B5B5B">
        <w:trPr>
          <w:jc w:val="center"/>
        </w:trPr>
        <w:tc>
          <w:tcPr>
            <w:tcW w:w="1897" w:type="dxa"/>
          </w:tcPr>
          <w:p w14:paraId="08CD591B" w14:textId="77777777" w:rsidR="00FF1D0E" w:rsidRPr="000B5B5B" w:rsidRDefault="00FF1D0E" w:rsidP="004C544F">
            <w:pPr>
              <w:pStyle w:val="Normal-pool"/>
              <w:spacing w:before="520"/>
              <w:rPr>
                <w:sz w:val="24"/>
                <w:szCs w:val="24"/>
                <w:lang w:eastAsia="zh-CN"/>
              </w:rPr>
            </w:pPr>
          </w:p>
        </w:tc>
        <w:tc>
          <w:tcPr>
            <w:tcW w:w="1897" w:type="dxa"/>
          </w:tcPr>
          <w:p w14:paraId="48E00A9E" w14:textId="77777777" w:rsidR="00FF1D0E" w:rsidRPr="000B5B5B" w:rsidRDefault="00FF1D0E" w:rsidP="004C544F">
            <w:pPr>
              <w:pStyle w:val="Normal-pool"/>
              <w:spacing w:before="520"/>
              <w:rPr>
                <w:sz w:val="24"/>
                <w:szCs w:val="24"/>
                <w:lang w:eastAsia="zh-CN"/>
              </w:rPr>
            </w:pPr>
          </w:p>
        </w:tc>
        <w:tc>
          <w:tcPr>
            <w:tcW w:w="1897" w:type="dxa"/>
            <w:tcBorders>
              <w:bottom w:val="single" w:sz="4" w:space="0" w:color="auto"/>
            </w:tcBorders>
          </w:tcPr>
          <w:p w14:paraId="560436E0" w14:textId="77777777" w:rsidR="00FF1D0E" w:rsidRPr="000B5B5B" w:rsidRDefault="00FF1D0E" w:rsidP="004C544F">
            <w:pPr>
              <w:pStyle w:val="Normal-pool"/>
              <w:spacing w:before="520"/>
              <w:rPr>
                <w:sz w:val="24"/>
                <w:szCs w:val="24"/>
                <w:lang w:eastAsia="zh-CN"/>
              </w:rPr>
            </w:pPr>
          </w:p>
        </w:tc>
        <w:tc>
          <w:tcPr>
            <w:tcW w:w="1897" w:type="dxa"/>
          </w:tcPr>
          <w:p w14:paraId="7ABA034B" w14:textId="77777777" w:rsidR="00FF1D0E" w:rsidRPr="000B5B5B" w:rsidRDefault="00FF1D0E" w:rsidP="004C544F">
            <w:pPr>
              <w:pStyle w:val="Normal-pool"/>
              <w:spacing w:before="520"/>
              <w:rPr>
                <w:sz w:val="24"/>
                <w:szCs w:val="24"/>
                <w:lang w:eastAsia="zh-CN"/>
              </w:rPr>
            </w:pPr>
          </w:p>
        </w:tc>
        <w:tc>
          <w:tcPr>
            <w:tcW w:w="1898" w:type="dxa"/>
          </w:tcPr>
          <w:p w14:paraId="4D1D3EDE" w14:textId="77777777" w:rsidR="00FF1D0E" w:rsidRPr="000B5B5B" w:rsidRDefault="00FF1D0E" w:rsidP="004C544F">
            <w:pPr>
              <w:pStyle w:val="Normal-pool"/>
              <w:spacing w:before="520"/>
              <w:rPr>
                <w:sz w:val="24"/>
                <w:szCs w:val="24"/>
                <w:lang w:eastAsia="zh-CN"/>
              </w:rPr>
            </w:pPr>
          </w:p>
        </w:tc>
      </w:tr>
    </w:tbl>
    <w:p w14:paraId="3ACD8187" w14:textId="77777777" w:rsidR="00FF1D0E" w:rsidRPr="004C544F" w:rsidRDefault="00FF1D0E" w:rsidP="004C544F">
      <w:pPr>
        <w:pStyle w:val="Normal-pool"/>
        <w:rPr>
          <w:lang w:eastAsia="zh-CN"/>
        </w:rPr>
      </w:pPr>
    </w:p>
    <w:sectPr w:rsidR="00FF1D0E" w:rsidRPr="004C544F" w:rsidSect="00035D73">
      <w:headerReference w:type="even" r:id="rId14"/>
      <w:headerReference w:type="default" r:id="rId15"/>
      <w:footerReference w:type="even" r:id="rId16"/>
      <w:footerReference w:type="default" r:id="rId17"/>
      <w:headerReference w:type="first" r:id="rId18"/>
      <w:footerReference w:type="first" r:id="rId19"/>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23A3" w14:textId="77777777" w:rsidR="00A8256E" w:rsidRPr="00035D73" w:rsidRDefault="00A8256E" w:rsidP="00035D73">
      <w:r w:rsidRPr="00035D73">
        <w:separator/>
      </w:r>
    </w:p>
  </w:endnote>
  <w:endnote w:type="continuationSeparator" w:id="0">
    <w:p w14:paraId="2CC1B59F" w14:textId="77777777" w:rsidR="00A8256E" w:rsidRPr="00035D73" w:rsidRDefault="00A8256E" w:rsidP="00035D73">
      <w:r w:rsidRPr="00035D73">
        <w:continuationSeparator/>
      </w:r>
    </w:p>
  </w:endnote>
  <w:endnote w:type="continuationNotice" w:id="1">
    <w:p w14:paraId="1910F050" w14:textId="77777777" w:rsidR="00A8256E" w:rsidRDefault="00A82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7EB8" w14:textId="0CFAD0C8" w:rsidR="00035D73" w:rsidRPr="000B5B5B" w:rsidRDefault="00035D73" w:rsidP="00035D73">
    <w:pPr>
      <w:pStyle w:val="Footer-pool"/>
      <w:rPr>
        <w:sz w:val="20"/>
      </w:rPr>
    </w:pPr>
    <w:r w:rsidRPr="000B5B5B">
      <w:rPr>
        <w:sz w:val="20"/>
      </w:rPr>
      <w:fldChar w:fldCharType="begin"/>
    </w:r>
    <w:r w:rsidRPr="000B5B5B">
      <w:rPr>
        <w:sz w:val="20"/>
      </w:rPr>
      <w:instrText xml:space="preserve"> PAGE </w:instrText>
    </w:r>
    <w:r w:rsidRPr="000B5B5B">
      <w:rPr>
        <w:sz w:val="20"/>
      </w:rPr>
      <w:fldChar w:fldCharType="separate"/>
    </w:r>
    <w:r w:rsidRPr="000B5B5B">
      <w:rPr>
        <w:noProof/>
        <w:sz w:val="20"/>
      </w:rPr>
      <w:t>1</w:t>
    </w:r>
    <w:r w:rsidRPr="000B5B5B">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B29B" w14:textId="0C5F2943" w:rsidR="00035D73" w:rsidRPr="000B5B5B" w:rsidRDefault="00035D73" w:rsidP="00035D73">
    <w:pPr>
      <w:pStyle w:val="Footer-pool"/>
      <w:jc w:val="right"/>
      <w:rPr>
        <w:sz w:val="20"/>
      </w:rPr>
    </w:pPr>
    <w:r w:rsidRPr="000B5B5B">
      <w:rPr>
        <w:sz w:val="20"/>
      </w:rPr>
      <w:fldChar w:fldCharType="begin"/>
    </w:r>
    <w:r w:rsidRPr="000B5B5B">
      <w:rPr>
        <w:sz w:val="20"/>
      </w:rPr>
      <w:instrText xml:space="preserve"> PAGE \* MERGEFORMAT </w:instrText>
    </w:r>
    <w:r w:rsidRPr="000B5B5B">
      <w:rPr>
        <w:sz w:val="20"/>
      </w:rPr>
      <w:fldChar w:fldCharType="separate"/>
    </w:r>
    <w:r w:rsidRPr="000B5B5B">
      <w:rPr>
        <w:noProof/>
        <w:sz w:val="20"/>
      </w:rPr>
      <w:t>1</w:t>
    </w:r>
    <w:r w:rsidRPr="000B5B5B">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142" w14:textId="268E8F0F" w:rsidR="00035D73" w:rsidRPr="00035D73" w:rsidRDefault="003F0E5B" w:rsidP="00035D73">
    <w:pPr>
      <w:pStyle w:val="Footer-jobnumber"/>
    </w:pPr>
    <w:bookmarkStart w:id="10" w:name="FooterJobDate"/>
    <w:r>
      <w:t>K2510939[</w:t>
    </w:r>
    <w:r w:rsidR="0055012A">
      <w:rPr>
        <w:rFonts w:eastAsiaTheme="minorEastAsia" w:hint="eastAsia"/>
        <w:lang w:eastAsia="zh-CN"/>
      </w:rPr>
      <w:t>C</w:t>
    </w:r>
    <w:r>
      <w:t>]</w:t>
    </w:r>
    <w:r>
      <w:tab/>
    </w:r>
    <w:r w:rsidR="00C57082">
      <w:t>0109</w:t>
    </w:r>
    <w:r>
      <w:t>25</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7437" w14:textId="77777777" w:rsidR="00A8256E" w:rsidRPr="00035D73" w:rsidRDefault="00A8256E" w:rsidP="008253F8">
      <w:pPr>
        <w:spacing w:after="0" w:line="240" w:lineRule="auto"/>
      </w:pPr>
      <w:r w:rsidRPr="00035D73">
        <w:separator/>
      </w:r>
    </w:p>
  </w:footnote>
  <w:footnote w:type="continuationSeparator" w:id="0">
    <w:p w14:paraId="073142BD" w14:textId="77777777" w:rsidR="00A8256E" w:rsidRPr="00035D73" w:rsidRDefault="00A8256E" w:rsidP="00035D73">
      <w:r w:rsidRPr="00035D73">
        <w:continuationSeparator/>
      </w:r>
    </w:p>
  </w:footnote>
  <w:footnote w:type="continuationNotice" w:id="1">
    <w:p w14:paraId="4F754535" w14:textId="77777777" w:rsidR="00A8256E" w:rsidRDefault="00A8256E"/>
  </w:footnote>
  <w:footnote w:id="2">
    <w:p w14:paraId="2D892BB0" w14:textId="28145501" w:rsidR="00562DBA" w:rsidRPr="007C7765" w:rsidRDefault="00562DBA" w:rsidP="008253F8">
      <w:pPr>
        <w:pStyle w:val="Footnote-Text"/>
        <w:ind w:left="1253"/>
        <w:rPr>
          <w:rFonts w:eastAsia="SimSun"/>
          <w:sz w:val="20"/>
          <w:lang w:eastAsia="zh-CN"/>
        </w:rPr>
      </w:pPr>
      <w:r w:rsidRPr="007C7765">
        <w:rPr>
          <w:rFonts w:eastAsia="SimSun"/>
          <w:sz w:val="20"/>
          <w:lang w:val="zh-CN" w:eastAsia="zh-CN"/>
        </w:rPr>
        <w:t>* UNEP/MC/COP.6/1</w:t>
      </w:r>
      <w:r w:rsidR="00C57082">
        <w:rPr>
          <w:rFonts w:eastAsia="SimSun"/>
          <w:sz w:val="20"/>
          <w:lang w:val="fr-CH" w:eastAsia="zh-CN"/>
        </w:rPr>
        <w:t>/Rev.1</w:t>
      </w:r>
      <w:r w:rsidRPr="007C7765">
        <w:rPr>
          <w:rFonts w:eastAsia="SimSun"/>
          <w:sz w:val="20"/>
          <w:lang w:val="zh-CN" w:eastAsia="zh-CN"/>
        </w:rPr>
        <w:t>。</w:t>
      </w:r>
    </w:p>
  </w:footnote>
  <w:footnote w:id="3">
    <w:p w14:paraId="54D3FDB7" w14:textId="77777777" w:rsidR="00FF1D0E" w:rsidRPr="007C7765" w:rsidRDefault="00FF1D0E" w:rsidP="008253F8">
      <w:pPr>
        <w:pStyle w:val="Footnote-Text"/>
        <w:ind w:left="1253"/>
        <w:rPr>
          <w:rFonts w:eastAsia="SimSun"/>
          <w:sz w:val="20"/>
          <w:lang w:eastAsia="zh-CN"/>
        </w:rPr>
      </w:pPr>
      <w:r w:rsidRPr="007C7765">
        <w:rPr>
          <w:rStyle w:val="FootnoteReference"/>
          <w:spacing w:val="0"/>
          <w:w w:val="100"/>
          <w:position w:val="0"/>
          <w:szCs w:val="20"/>
          <w:lang w:val="zh-CN"/>
        </w:rPr>
        <w:footnoteRef/>
      </w:r>
      <w:r w:rsidRPr="007C7765">
        <w:rPr>
          <w:rFonts w:eastAsia="SimSun"/>
          <w:sz w:val="20"/>
          <w:lang w:val="zh-CN" w:eastAsia="zh-CN"/>
        </w:rPr>
        <w:t xml:space="preserve"> UNEP/MC/COP.6/10</w:t>
      </w:r>
      <w:r w:rsidRPr="007C7765">
        <w:rPr>
          <w:rFonts w:eastAsia="SimSun"/>
          <w:sz w:val="20"/>
          <w:lang w:val="zh-CN" w:eastAsia="zh-CN"/>
        </w:rPr>
        <w:t>号文件概述了与财务机制的第一个实体，即全球环境基金信托基金有关的事项。</w:t>
      </w:r>
    </w:p>
  </w:footnote>
  <w:footnote w:id="4">
    <w:p w14:paraId="63B92E0C" w14:textId="32EE1BEF" w:rsidR="00FF1D0E" w:rsidRPr="007C7765" w:rsidRDefault="00FF1D0E" w:rsidP="008253F8">
      <w:pPr>
        <w:pStyle w:val="Footnote-Text"/>
        <w:ind w:left="1253"/>
        <w:rPr>
          <w:rFonts w:eastAsia="SimSun"/>
          <w:sz w:val="20"/>
        </w:rPr>
      </w:pPr>
      <w:r w:rsidRPr="007C7765">
        <w:rPr>
          <w:rStyle w:val="FootnoteReference"/>
          <w:spacing w:val="0"/>
          <w:w w:val="100"/>
          <w:position w:val="0"/>
          <w:szCs w:val="20"/>
          <w:lang w:val="zh-CN"/>
        </w:rPr>
        <w:footnoteRef/>
      </w:r>
      <w:r w:rsidRPr="007C7765">
        <w:rPr>
          <w:rFonts w:eastAsia="SimSun"/>
          <w:sz w:val="20"/>
        </w:rPr>
        <w:t xml:space="preserve"> </w:t>
      </w:r>
      <w:r w:rsidRPr="007C7765">
        <w:rPr>
          <w:rFonts w:eastAsia="SimSun"/>
          <w:sz w:val="20"/>
          <w:lang w:val="zh-CN"/>
        </w:rPr>
        <w:t>见</w:t>
      </w:r>
      <w:hyperlink r:id="rId1" w:history="1">
        <w:r w:rsidR="00704A89" w:rsidRPr="007C7765">
          <w:rPr>
            <w:rStyle w:val="Hyperlink"/>
            <w:color w:val="0000FF"/>
            <w:sz w:val="20"/>
          </w:rPr>
          <w:t>https://minamataconvention.org/en/implementation/specific-international-programme/donors</w:t>
        </w:r>
      </w:hyperlink>
      <w:r w:rsidRPr="007C7765">
        <w:rPr>
          <w:rFonts w:eastAsia="SimSun"/>
          <w:sz w:val="20"/>
          <w:lang w:val="zh-CN"/>
        </w:rPr>
        <w:t>。</w:t>
      </w:r>
      <w:hyperlink r:id="rId2" w:history="1"/>
    </w:p>
  </w:footnote>
  <w:footnote w:id="5">
    <w:p w14:paraId="52285C1F" w14:textId="7079C897" w:rsidR="00FF1D0E" w:rsidRPr="007C7765" w:rsidRDefault="00FF1D0E" w:rsidP="008253F8">
      <w:pPr>
        <w:pStyle w:val="Footnote-Text"/>
        <w:ind w:left="1253"/>
        <w:rPr>
          <w:rFonts w:eastAsia="SimSun"/>
          <w:sz w:val="20"/>
        </w:rPr>
      </w:pPr>
      <w:r w:rsidRPr="007C7765">
        <w:rPr>
          <w:rStyle w:val="FootnoteReference"/>
          <w:spacing w:val="0"/>
          <w:w w:val="100"/>
          <w:position w:val="0"/>
          <w:szCs w:val="20"/>
          <w:lang w:val="zh-CN"/>
        </w:rPr>
        <w:footnoteRef/>
      </w:r>
      <w:r w:rsidRPr="007C7765">
        <w:rPr>
          <w:rFonts w:eastAsia="SimSun"/>
          <w:sz w:val="20"/>
        </w:rPr>
        <w:t xml:space="preserve"> </w:t>
      </w:r>
      <w:hyperlink r:id="rId3" w:history="1">
        <w:r w:rsidR="00B70C8B" w:rsidRPr="007C7765">
          <w:rPr>
            <w:rStyle w:val="Hyperlink"/>
            <w:rFonts w:eastAsia="SimSun"/>
            <w:color w:val="0000FF"/>
            <w:sz w:val="20"/>
          </w:rPr>
          <w:t>https://minamataconvention.org/en/implementation/specific-international-programme/</w:t>
        </w:r>
        <w:r w:rsidR="00B70C8B" w:rsidRPr="007C7765">
          <w:rPr>
            <w:rStyle w:val="Hyperlink"/>
            <w:rFonts w:eastAsia="SimSun"/>
            <w:color w:val="0000FF"/>
            <w:sz w:val="20"/>
          </w:rPr>
          <w:br/>
          <w:t>fourth-round</w:t>
        </w:r>
      </w:hyperlink>
      <w:r w:rsidRPr="007C7765">
        <w:rPr>
          <w:rFonts w:eastAsia="SimSun"/>
          <w:sz w:val="20"/>
          <w:lang w:val="zh-CN"/>
        </w:rPr>
        <w:t>。</w:t>
      </w:r>
      <w:hyperlink r:id="rId4" w:history="1"/>
    </w:p>
  </w:footnote>
  <w:footnote w:id="6">
    <w:p w14:paraId="71630253" w14:textId="389CBFE0" w:rsidR="00FF1D0E" w:rsidRPr="007C7765" w:rsidRDefault="00FF1D0E" w:rsidP="008253F8">
      <w:pPr>
        <w:pStyle w:val="Footnote-Text"/>
        <w:ind w:left="1253"/>
        <w:rPr>
          <w:rFonts w:eastAsia="SimSun"/>
          <w:sz w:val="20"/>
        </w:rPr>
      </w:pPr>
      <w:r w:rsidRPr="007C7765">
        <w:rPr>
          <w:rStyle w:val="FootnoteReference"/>
          <w:spacing w:val="0"/>
          <w:w w:val="100"/>
          <w:position w:val="0"/>
          <w:szCs w:val="20"/>
          <w:lang w:val="zh-CN"/>
        </w:rPr>
        <w:footnoteRef/>
      </w:r>
      <w:r w:rsidRPr="007C7765">
        <w:rPr>
          <w:rFonts w:eastAsia="SimSun"/>
          <w:sz w:val="20"/>
        </w:rPr>
        <w:t xml:space="preserve"> </w:t>
      </w:r>
      <w:r w:rsidRPr="007C7765">
        <w:rPr>
          <w:rFonts w:eastAsia="SimSun"/>
          <w:sz w:val="20"/>
          <w:lang w:val="zh-CN"/>
        </w:rPr>
        <w:t>见</w:t>
      </w:r>
      <w:hyperlink r:id="rId5" w:history="1">
        <w:r w:rsidR="00EF551B" w:rsidRPr="007C7765">
          <w:rPr>
            <w:rStyle w:val="Hyperlink"/>
            <w:rFonts w:eastAsia="SimSun"/>
            <w:color w:val="0000FF"/>
            <w:sz w:val="20"/>
          </w:rPr>
          <w:t>https://minamataconvention.org/en/implementation/specific-international-programme/</w:t>
        </w:r>
        <w:r w:rsidR="00EF551B" w:rsidRPr="007C7765">
          <w:rPr>
            <w:rStyle w:val="Hyperlink"/>
            <w:rFonts w:eastAsia="SimSun"/>
            <w:color w:val="0000FF"/>
            <w:sz w:val="20"/>
          </w:rPr>
          <w:br/>
          <w:t>dashboard</w:t>
        </w:r>
      </w:hyperlink>
      <w:r w:rsidRPr="007C7765">
        <w:rPr>
          <w:rFonts w:eastAsia="SimSun"/>
          <w:sz w:val="20"/>
          <w:lang w:val="zh-CN"/>
        </w:rPr>
        <w:t>。</w:t>
      </w:r>
      <w:hyperlink r:id="rId6" w:history="1"/>
    </w:p>
  </w:footnote>
  <w:footnote w:id="7">
    <w:p w14:paraId="7E5D2E06" w14:textId="214F3B28" w:rsidR="00FF1D0E" w:rsidRPr="007C7765" w:rsidRDefault="00FF1D0E" w:rsidP="008253F8">
      <w:pPr>
        <w:pStyle w:val="Footnote-Text"/>
        <w:ind w:left="1253"/>
        <w:rPr>
          <w:sz w:val="20"/>
        </w:rPr>
      </w:pPr>
      <w:r w:rsidRPr="007C7765">
        <w:rPr>
          <w:rStyle w:val="FootnoteReference"/>
          <w:spacing w:val="0"/>
          <w:w w:val="100"/>
          <w:position w:val="0"/>
          <w:szCs w:val="20"/>
          <w:lang w:val="zh-CN"/>
        </w:rPr>
        <w:footnoteRef/>
      </w:r>
      <w:r w:rsidRPr="007C7765">
        <w:rPr>
          <w:rFonts w:eastAsia="SimSun"/>
          <w:sz w:val="20"/>
        </w:rPr>
        <w:t xml:space="preserve"> </w:t>
      </w:r>
      <w:r w:rsidRPr="007C7765">
        <w:rPr>
          <w:rFonts w:eastAsia="SimSun"/>
          <w:sz w:val="20"/>
          <w:lang w:val="zh-CN"/>
        </w:rPr>
        <w:t>见</w:t>
      </w:r>
      <w:hyperlink r:id="rId7" w:history="1">
        <w:r w:rsidR="00E65B55" w:rsidRPr="007C7765">
          <w:rPr>
            <w:rStyle w:val="Hyperlink"/>
            <w:rFonts w:eastAsia="SimSun"/>
            <w:color w:val="0000FF"/>
            <w:sz w:val="20"/>
          </w:rPr>
          <w:t>https://minamataconvention.org/en/projects/list</w:t>
        </w:r>
      </w:hyperlink>
      <w:r w:rsidRPr="007C7765">
        <w:rPr>
          <w:rFonts w:eastAsia="SimSun"/>
          <w:sz w:val="20"/>
          <w:lang w:val="zh-CN"/>
        </w:rPr>
        <w:t>。</w:t>
      </w:r>
      <w:hyperlink r:id="rId8"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804B" w14:textId="6866BDB9" w:rsidR="00035D73" w:rsidRPr="000B5B5B" w:rsidRDefault="00C902CD" w:rsidP="000B5B5B">
    <w:pPr>
      <w:pStyle w:val="Header-pool"/>
      <w:spacing w:line="240" w:lineRule="auto"/>
      <w:rPr>
        <w:sz w:val="20"/>
        <w:szCs w:val="20"/>
      </w:rPr>
    </w:pPr>
    <w:r w:rsidRPr="000B5B5B">
      <w:rPr>
        <w:noProof/>
        <w:sz w:val="20"/>
        <w:szCs w:val="20"/>
      </w:rPr>
      <w:t>UNEP/MC/COP.6/11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A5D7" w14:textId="27E2EF12" w:rsidR="00035D73" w:rsidRPr="000B5B5B" w:rsidRDefault="00C902CD" w:rsidP="000B5B5B">
    <w:pPr>
      <w:pStyle w:val="Header-pool"/>
      <w:spacing w:line="240" w:lineRule="auto"/>
      <w:jc w:val="right"/>
      <w:rPr>
        <w:sz w:val="20"/>
        <w:szCs w:val="20"/>
      </w:rPr>
    </w:pPr>
    <w:r w:rsidRPr="000B5B5B">
      <w:rPr>
        <w:noProof/>
        <w:sz w:val="20"/>
        <w:szCs w:val="20"/>
      </w:rPr>
      <w:t>UNEP/MC/COP.6/11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5AA0" w14:textId="77777777" w:rsidR="00BF7CEB" w:rsidRDefault="00BF7CEB" w:rsidP="00BF7CE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18B562E"/>
    <w:multiLevelType w:val="hybridMultilevel"/>
    <w:tmpl w:val="CC4642A6"/>
    <w:lvl w:ilvl="0" w:tplc="FFFFFFFF">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2" w15:restartNumberingAfterBreak="0">
    <w:nsid w:val="15842DE7"/>
    <w:multiLevelType w:val="hybridMultilevel"/>
    <w:tmpl w:val="735AC280"/>
    <w:lvl w:ilvl="0" w:tplc="55029A6E">
      <w:start w:val="1"/>
      <w:numFmt w:val="chineseCountingThousand"/>
      <w:lvlText w:val="%1、"/>
      <w:lvlJc w:val="left"/>
      <w:pPr>
        <w:ind w:left="1260" w:hanging="360"/>
      </w:pPr>
      <w:rPr>
        <w:rFonts w:hint="default"/>
        <w:b/>
        <w:bCs/>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2F8D7FF6"/>
    <w:multiLevelType w:val="hybridMultilevel"/>
    <w:tmpl w:val="848C92F8"/>
    <w:lvl w:ilvl="0" w:tplc="0409000F">
      <w:start w:val="1"/>
      <w:numFmt w:val="decimal"/>
      <w:lvlText w:val="%1."/>
      <w:lvlJc w:val="lef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CB78E7"/>
    <w:multiLevelType w:val="hybridMultilevel"/>
    <w:tmpl w:val="CC4642A6"/>
    <w:lvl w:ilvl="0" w:tplc="FFFFFFFF">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7" w15:restartNumberingAfterBreak="0">
    <w:nsid w:val="393A1E9B"/>
    <w:multiLevelType w:val="hybridMultilevel"/>
    <w:tmpl w:val="CC4642A6"/>
    <w:lvl w:ilvl="0" w:tplc="B776CA36">
      <w:start w:val="1"/>
      <w:numFmt w:val="lowerLetter"/>
      <w:lvlText w:val="(%1)"/>
      <w:lvlJc w:val="left"/>
      <w:pPr>
        <w:ind w:left="893" w:hanging="360"/>
      </w:pPr>
      <w:rPr>
        <w:rFonts w:hint="default"/>
      </w:rPr>
    </w:lvl>
    <w:lvl w:ilvl="1" w:tplc="100C0019">
      <w:start w:val="1"/>
      <w:numFmt w:val="lowerLetter"/>
      <w:lvlText w:val="%2."/>
      <w:lvlJc w:val="left"/>
      <w:pPr>
        <w:ind w:left="1613" w:hanging="360"/>
      </w:pPr>
    </w:lvl>
    <w:lvl w:ilvl="2" w:tplc="100C001B" w:tentative="1">
      <w:start w:val="1"/>
      <w:numFmt w:val="lowerRoman"/>
      <w:lvlText w:val="%3."/>
      <w:lvlJc w:val="right"/>
      <w:pPr>
        <w:ind w:left="2333" w:hanging="180"/>
      </w:pPr>
    </w:lvl>
    <w:lvl w:ilvl="3" w:tplc="100C000F" w:tentative="1">
      <w:start w:val="1"/>
      <w:numFmt w:val="decimal"/>
      <w:lvlText w:val="%4."/>
      <w:lvlJc w:val="left"/>
      <w:pPr>
        <w:ind w:left="3053" w:hanging="360"/>
      </w:pPr>
    </w:lvl>
    <w:lvl w:ilvl="4" w:tplc="100C0019" w:tentative="1">
      <w:start w:val="1"/>
      <w:numFmt w:val="lowerLetter"/>
      <w:lvlText w:val="%5."/>
      <w:lvlJc w:val="left"/>
      <w:pPr>
        <w:ind w:left="3773" w:hanging="360"/>
      </w:pPr>
    </w:lvl>
    <w:lvl w:ilvl="5" w:tplc="100C001B" w:tentative="1">
      <w:start w:val="1"/>
      <w:numFmt w:val="lowerRoman"/>
      <w:lvlText w:val="%6."/>
      <w:lvlJc w:val="right"/>
      <w:pPr>
        <w:ind w:left="4493" w:hanging="180"/>
      </w:pPr>
    </w:lvl>
    <w:lvl w:ilvl="6" w:tplc="100C000F" w:tentative="1">
      <w:start w:val="1"/>
      <w:numFmt w:val="decimal"/>
      <w:lvlText w:val="%7."/>
      <w:lvlJc w:val="left"/>
      <w:pPr>
        <w:ind w:left="5213" w:hanging="360"/>
      </w:pPr>
    </w:lvl>
    <w:lvl w:ilvl="7" w:tplc="100C0019" w:tentative="1">
      <w:start w:val="1"/>
      <w:numFmt w:val="lowerLetter"/>
      <w:lvlText w:val="%8."/>
      <w:lvlJc w:val="left"/>
      <w:pPr>
        <w:ind w:left="5933" w:hanging="360"/>
      </w:pPr>
    </w:lvl>
    <w:lvl w:ilvl="8" w:tplc="100C001B" w:tentative="1">
      <w:start w:val="1"/>
      <w:numFmt w:val="lowerRoman"/>
      <w:lvlText w:val="%9."/>
      <w:lvlJc w:val="right"/>
      <w:pPr>
        <w:ind w:left="6653" w:hanging="180"/>
      </w:pPr>
    </w:lvl>
  </w:abstractNum>
  <w:abstractNum w:abstractNumId="18" w15:restartNumberingAfterBreak="0">
    <w:nsid w:val="3A187CA9"/>
    <w:multiLevelType w:val="hybridMultilevel"/>
    <w:tmpl w:val="CC4642A6"/>
    <w:lvl w:ilvl="0" w:tplc="FFFFFFFF">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9" w15:restartNumberingAfterBreak="0">
    <w:nsid w:val="40900C77"/>
    <w:multiLevelType w:val="hybridMultilevel"/>
    <w:tmpl w:val="CC4642A6"/>
    <w:lvl w:ilvl="0" w:tplc="FFFFFFFF">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20"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1" w15:restartNumberingAfterBreak="0">
    <w:nsid w:val="60DB0A1E"/>
    <w:multiLevelType w:val="hybridMultilevel"/>
    <w:tmpl w:val="F9E2E15C"/>
    <w:lvl w:ilvl="0" w:tplc="7480C512">
      <w:start w:val="1"/>
      <w:numFmt w:val="japaneseCounting"/>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64221F4"/>
    <w:multiLevelType w:val="hybridMultilevel"/>
    <w:tmpl w:val="CC4642A6"/>
    <w:lvl w:ilvl="0" w:tplc="FFFFFFFF">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num w:numId="1" w16cid:durableId="560672902">
    <w:abstractNumId w:val="20"/>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22"/>
  </w:num>
  <w:num w:numId="3" w16cid:durableId="1933662228">
    <w:abstractNumId w:val="15"/>
  </w:num>
  <w:num w:numId="4" w16cid:durableId="1991909117">
    <w:abstractNumId w:val="10"/>
  </w:num>
  <w:num w:numId="5" w16cid:durableId="1138956019">
    <w:abstractNumId w:val="13"/>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075006139">
    <w:abstractNumId w:val="17"/>
  </w:num>
  <w:num w:numId="17" w16cid:durableId="456608139">
    <w:abstractNumId w:val="14"/>
  </w:num>
  <w:num w:numId="18" w16cid:durableId="1267881763">
    <w:abstractNumId w:val="23"/>
  </w:num>
  <w:num w:numId="19" w16cid:durableId="413094655">
    <w:abstractNumId w:val="16"/>
  </w:num>
  <w:num w:numId="20" w16cid:durableId="1937907965">
    <w:abstractNumId w:val="11"/>
  </w:num>
  <w:num w:numId="21" w16cid:durableId="1019116208">
    <w:abstractNumId w:val="18"/>
  </w:num>
  <w:num w:numId="22" w16cid:durableId="1516920085">
    <w:abstractNumId w:val="19"/>
  </w:num>
  <w:num w:numId="23" w16cid:durableId="350911419">
    <w:abstractNumId w:val="20"/>
  </w:num>
  <w:num w:numId="24" w16cid:durableId="1961261701">
    <w:abstractNumId w:val="12"/>
  </w:num>
  <w:num w:numId="25" w16cid:durableId="5638786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61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239A9"/>
    <w:rsid w:val="00025EE5"/>
    <w:rsid w:val="00035D73"/>
    <w:rsid w:val="000507FF"/>
    <w:rsid w:val="0006130D"/>
    <w:rsid w:val="000721B7"/>
    <w:rsid w:val="000834DC"/>
    <w:rsid w:val="00094AC8"/>
    <w:rsid w:val="000A6B20"/>
    <w:rsid w:val="000B5B5B"/>
    <w:rsid w:val="000B5F1D"/>
    <w:rsid w:val="000B7D74"/>
    <w:rsid w:val="000E7CF7"/>
    <w:rsid w:val="000F2CC2"/>
    <w:rsid w:val="001109B1"/>
    <w:rsid w:val="00115D7B"/>
    <w:rsid w:val="00143924"/>
    <w:rsid w:val="0015008E"/>
    <w:rsid w:val="00154296"/>
    <w:rsid w:val="00161E4F"/>
    <w:rsid w:val="001740DD"/>
    <w:rsid w:val="001A7D77"/>
    <w:rsid w:val="001B2E9B"/>
    <w:rsid w:val="001B7488"/>
    <w:rsid w:val="001C1FEA"/>
    <w:rsid w:val="001E0E53"/>
    <w:rsid w:val="001E16AD"/>
    <w:rsid w:val="001E2AEA"/>
    <w:rsid w:val="001E63E1"/>
    <w:rsid w:val="001F0046"/>
    <w:rsid w:val="001F6DC4"/>
    <w:rsid w:val="00202A06"/>
    <w:rsid w:val="00204069"/>
    <w:rsid w:val="00207266"/>
    <w:rsid w:val="002104D7"/>
    <w:rsid w:val="00236DC5"/>
    <w:rsid w:val="002423A3"/>
    <w:rsid w:val="0025040A"/>
    <w:rsid w:val="0026041D"/>
    <w:rsid w:val="0026465F"/>
    <w:rsid w:val="00292223"/>
    <w:rsid w:val="00293924"/>
    <w:rsid w:val="002A206E"/>
    <w:rsid w:val="002B385A"/>
    <w:rsid w:val="002D5051"/>
    <w:rsid w:val="002E3B3E"/>
    <w:rsid w:val="002E4A14"/>
    <w:rsid w:val="002E67C4"/>
    <w:rsid w:val="002E7F87"/>
    <w:rsid w:val="003069FC"/>
    <w:rsid w:val="003071B0"/>
    <w:rsid w:val="00314596"/>
    <w:rsid w:val="00321731"/>
    <w:rsid w:val="00321BA4"/>
    <w:rsid w:val="00323D27"/>
    <w:rsid w:val="0032404B"/>
    <w:rsid w:val="00336A18"/>
    <w:rsid w:val="00344753"/>
    <w:rsid w:val="0037103B"/>
    <w:rsid w:val="00375A6A"/>
    <w:rsid w:val="00380897"/>
    <w:rsid w:val="003A532B"/>
    <w:rsid w:val="003A7517"/>
    <w:rsid w:val="003E12DC"/>
    <w:rsid w:val="003F0E5B"/>
    <w:rsid w:val="003F2759"/>
    <w:rsid w:val="003F7001"/>
    <w:rsid w:val="00403B33"/>
    <w:rsid w:val="0041279A"/>
    <w:rsid w:val="00413A40"/>
    <w:rsid w:val="0041461A"/>
    <w:rsid w:val="00417B4C"/>
    <w:rsid w:val="0042071B"/>
    <w:rsid w:val="004251E9"/>
    <w:rsid w:val="00427165"/>
    <w:rsid w:val="004355FD"/>
    <w:rsid w:val="00436FCD"/>
    <w:rsid w:val="00440685"/>
    <w:rsid w:val="004408EC"/>
    <w:rsid w:val="00452A41"/>
    <w:rsid w:val="00457FFD"/>
    <w:rsid w:val="00462419"/>
    <w:rsid w:val="00463A93"/>
    <w:rsid w:val="00464D18"/>
    <w:rsid w:val="00476FFD"/>
    <w:rsid w:val="004973C9"/>
    <w:rsid w:val="004A30A8"/>
    <w:rsid w:val="004A5D85"/>
    <w:rsid w:val="004B5E55"/>
    <w:rsid w:val="004C1349"/>
    <w:rsid w:val="004C3015"/>
    <w:rsid w:val="004C4DA0"/>
    <w:rsid w:val="004C544F"/>
    <w:rsid w:val="004D0CF2"/>
    <w:rsid w:val="005031A4"/>
    <w:rsid w:val="005125F5"/>
    <w:rsid w:val="005170E2"/>
    <w:rsid w:val="00536523"/>
    <w:rsid w:val="00545280"/>
    <w:rsid w:val="0055012A"/>
    <w:rsid w:val="00562DBA"/>
    <w:rsid w:val="00584A2B"/>
    <w:rsid w:val="005A2770"/>
    <w:rsid w:val="005B3726"/>
    <w:rsid w:val="005D2B6F"/>
    <w:rsid w:val="005D3579"/>
    <w:rsid w:val="005D76F9"/>
    <w:rsid w:val="005E0994"/>
    <w:rsid w:val="005E0A90"/>
    <w:rsid w:val="005E561A"/>
    <w:rsid w:val="005F1BA0"/>
    <w:rsid w:val="00601569"/>
    <w:rsid w:val="00625F32"/>
    <w:rsid w:val="00626349"/>
    <w:rsid w:val="006355F1"/>
    <w:rsid w:val="00653DB5"/>
    <w:rsid w:val="00664C96"/>
    <w:rsid w:val="00670FEA"/>
    <w:rsid w:val="00674457"/>
    <w:rsid w:val="00675187"/>
    <w:rsid w:val="00680A10"/>
    <w:rsid w:val="00684C92"/>
    <w:rsid w:val="00685608"/>
    <w:rsid w:val="006944EE"/>
    <w:rsid w:val="006A0130"/>
    <w:rsid w:val="006A3087"/>
    <w:rsid w:val="006A65E6"/>
    <w:rsid w:val="006B0024"/>
    <w:rsid w:val="006D1BC2"/>
    <w:rsid w:val="006D7F4A"/>
    <w:rsid w:val="006E55F5"/>
    <w:rsid w:val="006F06B2"/>
    <w:rsid w:val="006F445B"/>
    <w:rsid w:val="006F5FA8"/>
    <w:rsid w:val="00704A89"/>
    <w:rsid w:val="007112C8"/>
    <w:rsid w:val="00715765"/>
    <w:rsid w:val="00720A5E"/>
    <w:rsid w:val="00727130"/>
    <w:rsid w:val="007463B9"/>
    <w:rsid w:val="00751F83"/>
    <w:rsid w:val="00760831"/>
    <w:rsid w:val="00781F8F"/>
    <w:rsid w:val="00784DF8"/>
    <w:rsid w:val="00791985"/>
    <w:rsid w:val="007A69E8"/>
    <w:rsid w:val="007B113D"/>
    <w:rsid w:val="007B7998"/>
    <w:rsid w:val="007C3D2A"/>
    <w:rsid w:val="007C5BDC"/>
    <w:rsid w:val="007C7765"/>
    <w:rsid w:val="007D6F80"/>
    <w:rsid w:val="007E5108"/>
    <w:rsid w:val="00801EF2"/>
    <w:rsid w:val="00803F33"/>
    <w:rsid w:val="0080428F"/>
    <w:rsid w:val="00812E06"/>
    <w:rsid w:val="008227A1"/>
    <w:rsid w:val="0082515C"/>
    <w:rsid w:val="008253F8"/>
    <w:rsid w:val="0084263F"/>
    <w:rsid w:val="00843A5F"/>
    <w:rsid w:val="00844318"/>
    <w:rsid w:val="008448AD"/>
    <w:rsid w:val="008472A0"/>
    <w:rsid w:val="008549CC"/>
    <w:rsid w:val="00865683"/>
    <w:rsid w:val="00875069"/>
    <w:rsid w:val="00881F77"/>
    <w:rsid w:val="0089319D"/>
    <w:rsid w:val="00894746"/>
    <w:rsid w:val="0089511D"/>
    <w:rsid w:val="008B24A7"/>
    <w:rsid w:val="008B5E65"/>
    <w:rsid w:val="008B6DBD"/>
    <w:rsid w:val="008D7661"/>
    <w:rsid w:val="008F254D"/>
    <w:rsid w:val="008F5031"/>
    <w:rsid w:val="008F7DA4"/>
    <w:rsid w:val="00907084"/>
    <w:rsid w:val="009136B9"/>
    <w:rsid w:val="009143CB"/>
    <w:rsid w:val="009165C1"/>
    <w:rsid w:val="009208CF"/>
    <w:rsid w:val="009233BE"/>
    <w:rsid w:val="009256E0"/>
    <w:rsid w:val="00926193"/>
    <w:rsid w:val="0093161B"/>
    <w:rsid w:val="009336E9"/>
    <w:rsid w:val="009443D7"/>
    <w:rsid w:val="009543C1"/>
    <w:rsid w:val="00957531"/>
    <w:rsid w:val="00960EF8"/>
    <w:rsid w:val="009632FB"/>
    <w:rsid w:val="00966149"/>
    <w:rsid w:val="00990D32"/>
    <w:rsid w:val="00991490"/>
    <w:rsid w:val="009D1BD4"/>
    <w:rsid w:val="009F1B88"/>
    <w:rsid w:val="00A024FB"/>
    <w:rsid w:val="00A31654"/>
    <w:rsid w:val="00A33322"/>
    <w:rsid w:val="00A35441"/>
    <w:rsid w:val="00A379D2"/>
    <w:rsid w:val="00A37ED7"/>
    <w:rsid w:val="00A446B6"/>
    <w:rsid w:val="00A56CCC"/>
    <w:rsid w:val="00A60CEC"/>
    <w:rsid w:val="00A8256E"/>
    <w:rsid w:val="00A93903"/>
    <w:rsid w:val="00AA5C4F"/>
    <w:rsid w:val="00AB57CB"/>
    <w:rsid w:val="00AD57C4"/>
    <w:rsid w:val="00AE3465"/>
    <w:rsid w:val="00B04634"/>
    <w:rsid w:val="00B1198A"/>
    <w:rsid w:val="00B17FFC"/>
    <w:rsid w:val="00B32791"/>
    <w:rsid w:val="00B404FF"/>
    <w:rsid w:val="00B41556"/>
    <w:rsid w:val="00B435F2"/>
    <w:rsid w:val="00B506E5"/>
    <w:rsid w:val="00B5320F"/>
    <w:rsid w:val="00B60795"/>
    <w:rsid w:val="00B67ED4"/>
    <w:rsid w:val="00B70C8B"/>
    <w:rsid w:val="00B8479D"/>
    <w:rsid w:val="00BA4CAB"/>
    <w:rsid w:val="00BA69C8"/>
    <w:rsid w:val="00BB0191"/>
    <w:rsid w:val="00BB08AF"/>
    <w:rsid w:val="00BB7ACC"/>
    <w:rsid w:val="00BC46E8"/>
    <w:rsid w:val="00BC7464"/>
    <w:rsid w:val="00BC7825"/>
    <w:rsid w:val="00BD14E5"/>
    <w:rsid w:val="00BF23DB"/>
    <w:rsid w:val="00BF3779"/>
    <w:rsid w:val="00BF6767"/>
    <w:rsid w:val="00BF7CEB"/>
    <w:rsid w:val="00BF7EEF"/>
    <w:rsid w:val="00C05759"/>
    <w:rsid w:val="00C064F4"/>
    <w:rsid w:val="00C06C32"/>
    <w:rsid w:val="00C16A4C"/>
    <w:rsid w:val="00C327F6"/>
    <w:rsid w:val="00C3646E"/>
    <w:rsid w:val="00C446AB"/>
    <w:rsid w:val="00C45D6F"/>
    <w:rsid w:val="00C47294"/>
    <w:rsid w:val="00C507B2"/>
    <w:rsid w:val="00C567E7"/>
    <w:rsid w:val="00C57082"/>
    <w:rsid w:val="00C6237A"/>
    <w:rsid w:val="00C769B1"/>
    <w:rsid w:val="00C76E10"/>
    <w:rsid w:val="00C833CD"/>
    <w:rsid w:val="00C84FD3"/>
    <w:rsid w:val="00C850DD"/>
    <w:rsid w:val="00C902CD"/>
    <w:rsid w:val="00C9242E"/>
    <w:rsid w:val="00C95979"/>
    <w:rsid w:val="00CB5337"/>
    <w:rsid w:val="00CB63DA"/>
    <w:rsid w:val="00CB7EB2"/>
    <w:rsid w:val="00CD38C0"/>
    <w:rsid w:val="00CD540B"/>
    <w:rsid w:val="00CD6122"/>
    <w:rsid w:val="00CE1582"/>
    <w:rsid w:val="00CF08E3"/>
    <w:rsid w:val="00CF4286"/>
    <w:rsid w:val="00D11068"/>
    <w:rsid w:val="00D24161"/>
    <w:rsid w:val="00D2654D"/>
    <w:rsid w:val="00D30343"/>
    <w:rsid w:val="00D407CE"/>
    <w:rsid w:val="00D43AF7"/>
    <w:rsid w:val="00D43BD3"/>
    <w:rsid w:val="00D43CA6"/>
    <w:rsid w:val="00D43FE0"/>
    <w:rsid w:val="00D903EF"/>
    <w:rsid w:val="00D92449"/>
    <w:rsid w:val="00D948A8"/>
    <w:rsid w:val="00DA1394"/>
    <w:rsid w:val="00DB38E2"/>
    <w:rsid w:val="00DC0670"/>
    <w:rsid w:val="00DC56AD"/>
    <w:rsid w:val="00DC7034"/>
    <w:rsid w:val="00DE647A"/>
    <w:rsid w:val="00DF0003"/>
    <w:rsid w:val="00DF634C"/>
    <w:rsid w:val="00E009D6"/>
    <w:rsid w:val="00E01269"/>
    <w:rsid w:val="00E0213E"/>
    <w:rsid w:val="00E07C17"/>
    <w:rsid w:val="00E14DBF"/>
    <w:rsid w:val="00E40CA5"/>
    <w:rsid w:val="00E5144D"/>
    <w:rsid w:val="00E60E59"/>
    <w:rsid w:val="00E65B55"/>
    <w:rsid w:val="00E66C73"/>
    <w:rsid w:val="00EA0D88"/>
    <w:rsid w:val="00EC2C26"/>
    <w:rsid w:val="00ED78D5"/>
    <w:rsid w:val="00EF551B"/>
    <w:rsid w:val="00F078B8"/>
    <w:rsid w:val="00F24445"/>
    <w:rsid w:val="00F31D27"/>
    <w:rsid w:val="00F33645"/>
    <w:rsid w:val="00F454C7"/>
    <w:rsid w:val="00F456FA"/>
    <w:rsid w:val="00F45FD8"/>
    <w:rsid w:val="00F56428"/>
    <w:rsid w:val="00F66B29"/>
    <w:rsid w:val="00F7048E"/>
    <w:rsid w:val="00F73F11"/>
    <w:rsid w:val="00F7796B"/>
    <w:rsid w:val="00F9293B"/>
    <w:rsid w:val="00F95A1C"/>
    <w:rsid w:val="00FA0841"/>
    <w:rsid w:val="00FD53AC"/>
    <w:rsid w:val="00FE3096"/>
    <w:rsid w:val="00FF103D"/>
    <w:rsid w:val="00FF1D0E"/>
    <w:rsid w:val="00FF2E6B"/>
    <w:rsid w:val="650C59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DF0902C4-75FD-48B8-99E9-9C791CE3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D0E"/>
    <w:pPr>
      <w:spacing w:after="120" w:line="280" w:lineRule="exact"/>
      <w:jc w:val="both"/>
    </w:p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hAnsi="Arial"/>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unhideWhenUsed/>
    <w:rsid w:val="00035D73"/>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035D73"/>
    <w:pPr>
      <w:spacing w:after="0" w:line="240" w:lineRule="auto"/>
    </w:pPr>
    <w:rPr>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rFonts w:eastAsia="PMingLiU"/>
      <w:b/>
      <w:noProof/>
      <w:sz w:val="18"/>
      <w:lang w:val="en-US" w:eastAsia="zh-CN"/>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23"/>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rsid w:val="00035D73"/>
    <w:pPr>
      <w:numPr>
        <w:numId w:val="1"/>
      </w:numPr>
      <w:tabs>
        <w:tab w:val="clear" w:pos="624"/>
      </w:tabs>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rsid w:val="00035D73"/>
    <w:rPr>
      <w:b/>
      <w:bCs/>
      <w:sz w:val="28"/>
      <w:szCs w:val="22"/>
    </w:rPr>
  </w:style>
  <w:style w:type="paragraph" w:customStyle="1" w:styleId="ZZAnxtitle">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035D73"/>
    <w:rPr>
      <w:rFonts w:ascii="Times New Roman" w:eastAsia="SimSun" w:hAnsi="Times New Roman"/>
      <w:sz w:val="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rsid w:val="00035D7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nhideWhenUsed/>
    <w:rsid w:val="00035D73"/>
    <w:pPr>
      <w:tabs>
        <w:tab w:val="right" w:pos="8641"/>
      </w:tabs>
    </w:pPr>
    <w:rPr>
      <w:rFonts w:eastAsia="PMingLiU"/>
      <w:b/>
      <w:noProof/>
      <w:sz w:val="17"/>
      <w:lang w:val="en-US" w:eastAsia="zh-CN"/>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eastAsia="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FootnoteReference"/>
    <w:uiPriority w:val="99"/>
    <w:semiHidden/>
    <w:unhideWhenUsed/>
    <w:rsid w:val="00035D73"/>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035D73"/>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uiPriority w:val="99"/>
    <w:semiHidden/>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ind w:left="200" w:hanging="200"/>
    </w:pPr>
  </w:style>
  <w:style w:type="paragraph" w:styleId="Index2">
    <w:name w:val="index 2"/>
    <w:basedOn w:val="Normal"/>
    <w:next w:val="Normal"/>
    <w:autoRedefine/>
    <w:uiPriority w:val="99"/>
    <w:semiHidden/>
    <w:unhideWhenUsed/>
    <w:rsid w:val="00035D73"/>
    <w:pPr>
      <w:ind w:left="400" w:hanging="200"/>
    </w:pPr>
  </w:style>
  <w:style w:type="paragraph" w:styleId="Index3">
    <w:name w:val="index 3"/>
    <w:basedOn w:val="Normal"/>
    <w:next w:val="Normal"/>
    <w:autoRedefine/>
    <w:uiPriority w:val="99"/>
    <w:semiHidden/>
    <w:unhideWhenUsed/>
    <w:rsid w:val="00035D73"/>
    <w:pPr>
      <w:ind w:left="600" w:hanging="200"/>
    </w:pPr>
  </w:style>
  <w:style w:type="paragraph" w:styleId="Index4">
    <w:name w:val="index 4"/>
    <w:basedOn w:val="Normal"/>
    <w:next w:val="Normal"/>
    <w:autoRedefine/>
    <w:uiPriority w:val="99"/>
    <w:semiHidden/>
    <w:unhideWhenUsed/>
    <w:rsid w:val="00035D73"/>
    <w:pPr>
      <w:ind w:left="800" w:hanging="200"/>
    </w:pPr>
  </w:style>
  <w:style w:type="paragraph" w:styleId="Index5">
    <w:name w:val="index 5"/>
    <w:basedOn w:val="Normal"/>
    <w:next w:val="Normal"/>
    <w:autoRedefine/>
    <w:uiPriority w:val="99"/>
    <w:semiHidden/>
    <w:unhideWhenUsed/>
    <w:rsid w:val="00035D73"/>
    <w:pPr>
      <w:ind w:left="1000" w:hanging="200"/>
    </w:pPr>
  </w:style>
  <w:style w:type="paragraph" w:styleId="Index6">
    <w:name w:val="index 6"/>
    <w:basedOn w:val="Normal"/>
    <w:next w:val="Normal"/>
    <w:autoRedefine/>
    <w:uiPriority w:val="99"/>
    <w:semiHidden/>
    <w:unhideWhenUsed/>
    <w:rsid w:val="00035D73"/>
    <w:pPr>
      <w:ind w:left="1200" w:hanging="200"/>
    </w:pPr>
  </w:style>
  <w:style w:type="paragraph" w:styleId="Index7">
    <w:name w:val="index 7"/>
    <w:basedOn w:val="Normal"/>
    <w:next w:val="Normal"/>
    <w:autoRedefine/>
    <w:uiPriority w:val="99"/>
    <w:semiHidden/>
    <w:unhideWhenUsed/>
    <w:rsid w:val="00035D73"/>
    <w:pPr>
      <w:ind w:left="1400" w:hanging="200"/>
    </w:pPr>
  </w:style>
  <w:style w:type="paragraph" w:styleId="Index8">
    <w:name w:val="index 8"/>
    <w:basedOn w:val="Normal"/>
    <w:next w:val="Normal"/>
    <w:autoRedefine/>
    <w:uiPriority w:val="99"/>
    <w:semiHidden/>
    <w:unhideWhenUsed/>
    <w:rsid w:val="00035D73"/>
    <w:pPr>
      <w:ind w:left="1600" w:hanging="200"/>
    </w:pPr>
  </w:style>
  <w:style w:type="paragraph" w:styleId="Index9">
    <w:name w:val="index 9"/>
    <w:basedOn w:val="Normal"/>
    <w:next w:val="Normal"/>
    <w:autoRedefine/>
    <w:uiPriority w:val="99"/>
    <w:semiHidden/>
    <w:unhideWhenUsed/>
    <w:rsid w:val="00035D73"/>
    <w:pPr>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sz w:val="14"/>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ind w:left="283"/>
      <w:contextualSpacing/>
    </w:pPr>
  </w:style>
  <w:style w:type="paragraph" w:styleId="ListContinue2">
    <w:name w:val="List Continue 2"/>
    <w:basedOn w:val="Normal"/>
    <w:uiPriority w:val="99"/>
    <w:semiHidden/>
    <w:unhideWhenUsed/>
    <w:rsid w:val="00035D73"/>
    <w:pPr>
      <w:ind w:left="566"/>
      <w:contextualSpacing/>
    </w:pPr>
  </w:style>
  <w:style w:type="paragraph" w:styleId="ListContinue3">
    <w:name w:val="List Continue 3"/>
    <w:basedOn w:val="Normal"/>
    <w:uiPriority w:val="99"/>
    <w:semiHidden/>
    <w:unhideWhenUsed/>
    <w:rsid w:val="00035D73"/>
    <w:pPr>
      <w:ind w:left="849"/>
      <w:contextualSpacing/>
    </w:pPr>
  </w:style>
  <w:style w:type="paragraph" w:styleId="ListContinue4">
    <w:name w:val="List Continue 4"/>
    <w:basedOn w:val="Normal"/>
    <w:uiPriority w:val="99"/>
    <w:semiHidden/>
    <w:unhideWhenUsed/>
    <w:rsid w:val="00035D73"/>
    <w:pPr>
      <w:ind w:left="1132"/>
      <w:contextualSpacing/>
    </w:pPr>
  </w:style>
  <w:style w:type="paragraph" w:styleId="ListContinue5">
    <w:name w:val="List Continue 5"/>
    <w:basedOn w:val="Normal"/>
    <w:uiPriority w:val="99"/>
    <w:semiHidden/>
    <w:unhideWhenUsed/>
    <w:rsid w:val="00035D73"/>
    <w:pPr>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poolChar">
    <w:name w:val="Normal-pool Char"/>
    <w:link w:val="Normal-pool"/>
    <w:locked/>
    <w:rsid w:val="00FF1D0E"/>
    <w:rPr>
      <w:rFonts w:ascii="Times New Roman" w:eastAsia="Times New Roman" w:hAnsi="Times New Roman" w:cs="Times New Roman"/>
      <w:kern w:val="0"/>
      <w:sz w:val="20"/>
      <w:szCs w:val="20"/>
      <w:lang w:eastAsia="en-US"/>
      <w14:ligatures w14:val="none"/>
    </w:rPr>
  </w:style>
  <w:style w:type="character" w:customStyle="1" w:styleId="CH2Char">
    <w:name w:val="CH2 Char"/>
    <w:link w:val="CH2"/>
    <w:rsid w:val="00FF1D0E"/>
    <w:rPr>
      <w:rFonts w:ascii="Times New Roman" w:eastAsia="Times New Roman" w:hAnsi="Times New Roman" w:cs="Times New Roman"/>
      <w:b/>
      <w:kern w:val="0"/>
      <w:lang w:eastAsia="en-US"/>
      <w14:ligatures w14:val="none"/>
    </w:rPr>
  </w:style>
  <w:style w:type="paragraph" w:styleId="Revision">
    <w:name w:val="Revision"/>
    <w:hidden/>
    <w:uiPriority w:val="99"/>
    <w:semiHidden/>
    <w:rsid w:val="001E0E53"/>
    <w:pPr>
      <w:spacing w:after="0" w:line="240" w:lineRule="auto"/>
    </w:pPr>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minamataconvention.org/en/projects/list" TargetMode="External"/><Relationship Id="rId3" Type="http://schemas.openxmlformats.org/officeDocument/2006/relationships/hyperlink" Target="https://minamataconvention.org/en/implementation/specific-international-programme/fourth-round" TargetMode="External"/><Relationship Id="rId7" Type="http://schemas.openxmlformats.org/officeDocument/2006/relationships/hyperlink" Target="https://minamataconvention.org/en/projects/list" TargetMode="External"/><Relationship Id="rId2" Type="http://schemas.openxmlformats.org/officeDocument/2006/relationships/hyperlink" Target="https://minamataconvention.org/en/implementation/specific-international-programme/donors" TargetMode="External"/><Relationship Id="rId1" Type="http://schemas.openxmlformats.org/officeDocument/2006/relationships/hyperlink" Target="https://minamataconvention.org/en/implementation/specific-international-programme/donors" TargetMode="External"/><Relationship Id="rId6" Type="http://schemas.openxmlformats.org/officeDocument/2006/relationships/hyperlink" Target="https://minamataconvention.org/en/implementation/specific-international-programme/dashboard" TargetMode="External"/><Relationship Id="rId5" Type="http://schemas.openxmlformats.org/officeDocument/2006/relationships/hyperlink" Target="https://minamataconvention.org/en/implementation/specific-international-programme/dashboard" TargetMode="External"/><Relationship Id="rId4" Type="http://schemas.openxmlformats.org/officeDocument/2006/relationships/hyperlink" Target="https://minamataconvention.org/en/implementation/specific-international-programme/fourth-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2.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customXml/itemProps3.xml><?xml version="1.0" encoding="utf-8"?>
<ds:datastoreItem xmlns:ds="http://schemas.openxmlformats.org/officeDocument/2006/customXml" ds:itemID="{8224E3E4-7A15-46B5-ACBC-288E8C01DF56}">
  <ds:schemaRefs>
    <ds:schemaRef ds:uri="http://schemas.openxmlformats.org/officeDocument/2006/bibliography"/>
  </ds:schemaRefs>
</ds:datastoreItem>
</file>

<file path=customXml/itemProps4.xml><?xml version="1.0" encoding="utf-8"?>
<ds:datastoreItem xmlns:ds="http://schemas.openxmlformats.org/officeDocument/2006/customXml" ds:itemID="{59704D86-16CB-48FC-9952-77A371EC1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149</TotalTime>
  <Pages>7</Pages>
  <Words>765</Words>
  <Characters>4361</Characters>
  <Application>Microsoft Office Word</Application>
  <DocSecurity>0</DocSecurity>
  <PresentationFormat/>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30</cp:revision>
  <cp:lastPrinted>2025-07-21T13:50:00Z</cp:lastPrinted>
  <dcterms:created xsi:type="dcterms:W3CDTF">2025-07-29T05:05:00Z</dcterms:created>
  <dcterms:modified xsi:type="dcterms:W3CDTF">2025-09-02T14:01:00Z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y fmtid="{D5CDD505-2E9C-101B-9397-08002B2CF9AE}" pid="12" name="TranslatedWith">
    <vt:lpwstr>Mercury</vt:lpwstr>
  </property>
  <property fmtid="{D5CDD505-2E9C-101B-9397-08002B2CF9AE}" pid="13" name="GeneratedBy">
    <vt:lpwstr>yuyao.wang@un.org</vt:lpwstr>
  </property>
  <property fmtid="{D5CDD505-2E9C-101B-9397-08002B2CF9AE}" pid="14" name="GeneratedDate">
    <vt:lpwstr>07/28/2025 06:02:50</vt:lpwstr>
  </property>
  <property fmtid="{D5CDD505-2E9C-101B-9397-08002B2CF9AE}" pid="15" name="OriginalDocID">
    <vt:lpwstr>b94953a7-a35a-405e-9c65-60d8c3196b9e</vt:lpwstr>
  </property>
</Properties>
</file>