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6134B" w:rsidRPr="0076134B" w14:paraId="59B78D54" w14:textId="77777777" w:rsidTr="0076134B">
        <w:trPr>
          <w:trHeight w:val="850"/>
        </w:trPr>
        <w:tc>
          <w:tcPr>
            <w:tcW w:w="2693" w:type="dxa"/>
          </w:tcPr>
          <w:p w14:paraId="49A81422" w14:textId="3975B1C4" w:rsidR="0076134B" w:rsidRPr="0076134B" w:rsidRDefault="0076134B" w:rsidP="00D04628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</w:tcPr>
          <w:p w14:paraId="50193584" w14:textId="3F284941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78F06BA" wp14:editId="344FD4A1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7226E8A2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5702D231" w14:textId="77777777" w:rsidR="009443D7" w:rsidRPr="0076134B" w:rsidRDefault="009443D7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6134B" w:rsidRPr="0076134B" w14:paraId="6EFD610F" w14:textId="77777777" w:rsidTr="0076134B">
        <w:trPr>
          <w:trHeight w:val="340"/>
        </w:trPr>
        <w:tc>
          <w:tcPr>
            <w:tcW w:w="3358" w:type="pct"/>
            <w:vAlign w:val="bottom"/>
          </w:tcPr>
          <w:p w14:paraId="5E3A7DE6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04FCBD78" w14:textId="101452C8" w:rsidR="0076134B" w:rsidRPr="0076134B" w:rsidRDefault="0076134B" w:rsidP="00D04628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</w:t>
            </w:r>
            <w:bookmarkStart w:id="0" w:name="Symbol1A"/>
            <w:r w:rsidRPr="0076134B">
              <w:t>6</w:t>
            </w:r>
            <w:bookmarkStart w:id="1" w:name="Symbol1B"/>
            <w:bookmarkEnd w:id="0"/>
            <w:r w:rsidR="00866DBA">
              <w:t>/10</w:t>
            </w:r>
            <w:bookmarkStart w:id="2" w:name="Symbol1C"/>
            <w:bookmarkEnd w:id="1"/>
            <w:r w:rsidR="00866DBA">
              <w:t>/Add.1</w:t>
            </w:r>
            <w:bookmarkEnd w:id="2"/>
          </w:p>
        </w:tc>
      </w:tr>
    </w:tbl>
    <w:p w14:paraId="65E44F55" w14:textId="77777777" w:rsidR="0076134B" w:rsidRPr="0076134B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6134B" w:rsidRPr="00AD2BCA" w14:paraId="098A385D" w14:textId="77777777" w:rsidTr="0076134B">
        <w:trPr>
          <w:trHeight w:val="2098"/>
        </w:trPr>
        <w:tc>
          <w:tcPr>
            <w:tcW w:w="3685" w:type="dxa"/>
          </w:tcPr>
          <w:p w14:paraId="0EDA627C" w14:textId="1A6F7255" w:rsidR="0076134B" w:rsidRPr="0076134B" w:rsidRDefault="0076134B" w:rsidP="00D04628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4081D75C" wp14:editId="0FCAC89D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32750347" w14:textId="67E31CF2" w:rsidR="0076134B" w:rsidRPr="0076134B" w:rsidRDefault="0076134B" w:rsidP="00D04628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4E0B8978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55D4596B" w14:textId="4AC26771" w:rsidR="0076134B" w:rsidRPr="00D04628" w:rsidRDefault="0076134B" w:rsidP="00D04628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D04628">
              <w:rPr>
                <w:lang w:val="en-GB"/>
              </w:rPr>
              <w:t xml:space="preserve">Distr.: </w:t>
            </w:r>
            <w:r w:rsidR="00D04628">
              <w:rPr>
                <w:lang w:val="en-US"/>
              </w:rPr>
              <w:t>General</w:t>
            </w:r>
            <w:r w:rsidRPr="00D04628">
              <w:rPr>
                <w:lang w:val="en-GB"/>
              </w:rPr>
              <w:t xml:space="preserve"> </w:t>
            </w:r>
          </w:p>
          <w:p w14:paraId="1660A9F2" w14:textId="02E81CF2" w:rsidR="0076134B" w:rsidRPr="00D04628" w:rsidRDefault="00D20FF1" w:rsidP="00D04628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>
              <w:rPr>
                <w:lang w:val="en-GB"/>
              </w:rPr>
              <w:t>6 August</w:t>
            </w:r>
            <w:r w:rsidR="00D04628">
              <w:rPr>
                <w:lang w:val="en-GB"/>
              </w:rPr>
              <w:t xml:space="preserve"> 2025</w:t>
            </w:r>
          </w:p>
          <w:p w14:paraId="2BA58FCB" w14:textId="6BE88133" w:rsidR="0076134B" w:rsidRPr="00D04628" w:rsidRDefault="00866DBA" w:rsidP="00D04628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0"/>
              <w:rPr>
                <w:lang w:val="en-GB"/>
              </w:rPr>
            </w:pPr>
            <w:bookmarkStart w:id="3" w:name="DistributionLang"/>
            <w:r>
              <w:rPr>
                <w:lang w:val="en-GB"/>
              </w:rPr>
              <w:t xml:space="preserve">Russian </w:t>
            </w:r>
            <w:r>
              <w:rPr>
                <w:lang w:val="en-GB"/>
              </w:rPr>
              <w:br/>
              <w:t>Original: English</w:t>
            </w:r>
            <w:bookmarkEnd w:id="3"/>
          </w:p>
        </w:tc>
      </w:tr>
    </w:tbl>
    <w:p w14:paraId="0CEC6DCB" w14:textId="77777777" w:rsidR="0076134B" w:rsidRPr="00D04628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6134B" w:rsidRPr="0076134B" w14:paraId="398E14F1" w14:textId="77777777" w:rsidTr="0076134B">
        <w:trPr>
          <w:trHeight w:val="57"/>
        </w:trPr>
        <w:tc>
          <w:tcPr>
            <w:tcW w:w="5301" w:type="dxa"/>
          </w:tcPr>
          <w:p w14:paraId="7951F96A" w14:textId="77777777" w:rsidR="0076134B" w:rsidRPr="0076134B" w:rsidRDefault="0076134B" w:rsidP="00D04628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4" w:name="CorNot1Text"/>
            <w:r w:rsidRPr="0076134B">
              <w:t xml:space="preserve">Конференция Сторон Минаматской </w:t>
            </w:r>
            <w:r w:rsidRPr="0076134B">
              <w:br/>
              <w:t>конвенции о ртути</w:t>
            </w:r>
          </w:p>
          <w:p w14:paraId="74F5F56E" w14:textId="493BCBB2" w:rsidR="0076134B" w:rsidRPr="0076134B" w:rsidRDefault="0076134B" w:rsidP="00D04628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>Шестое совещание</w:t>
            </w:r>
            <w:bookmarkEnd w:id="4"/>
            <w:r w:rsidRPr="0076134B">
              <w:t xml:space="preserve"> </w:t>
            </w:r>
          </w:p>
          <w:p w14:paraId="2C07D41B" w14:textId="3161DF03" w:rsidR="0076134B" w:rsidRPr="005B1274" w:rsidRDefault="0076134B" w:rsidP="00D04628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VenueDate"/>
            <w:r w:rsidRPr="0076134B">
              <w:t>Женева, 3–7 ноября 2025 года</w:t>
            </w:r>
            <w:bookmarkEnd w:id="5"/>
          </w:p>
          <w:p w14:paraId="27D97BB2" w14:textId="1B15B994" w:rsidR="0076134B" w:rsidRPr="00610545" w:rsidRDefault="000B48C9" w:rsidP="00D04628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AgItem"/>
            <w:r>
              <w:t>Пункт 4 e) i) предварительной повестки дня</w:t>
            </w:r>
            <w:bookmarkEnd w:id="6"/>
            <w:r w:rsidR="003B766A" w:rsidRPr="007F3B3B">
              <w:rPr>
                <w:rStyle w:val="FootnoteReference"/>
                <w:vertAlign w:val="baseline"/>
              </w:rPr>
              <w:footnoteReference w:customMarkFollows="1" w:id="1"/>
              <w:t>*</w:t>
            </w:r>
          </w:p>
          <w:p w14:paraId="66A1B727" w14:textId="268361F6" w:rsidR="0076134B" w:rsidRPr="00610545" w:rsidRDefault="000B48C9" w:rsidP="00D04628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AgTitle"/>
            <w:r>
              <w:t>Вопросы для рассмотрения или принятия мер Конференцией Сторон: финансовые ресурсы и механизм финансирования: Глобальный экологический фонд</w:t>
            </w:r>
            <w:bookmarkEnd w:id="7"/>
          </w:p>
        </w:tc>
        <w:tc>
          <w:tcPr>
            <w:tcW w:w="4195" w:type="dxa"/>
          </w:tcPr>
          <w:p w14:paraId="64FC2E6E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A44B965" w14:textId="77777777" w:rsidR="00902848" w:rsidRPr="00D70D6F" w:rsidRDefault="00902848" w:rsidP="00D20FF1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Обновленная информация о вопросах, касающихся Глобального экологического фонда</w:t>
      </w:r>
    </w:p>
    <w:p w14:paraId="69893C78" w14:textId="604C3804" w:rsidR="00902848" w:rsidRPr="00955032" w:rsidRDefault="00902848" w:rsidP="00D20FF1">
      <w:pPr>
        <w:pStyle w:val="CH3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082"/>
          <w:tab w:val="clear" w:pos="4366"/>
        </w:tabs>
        <w:ind w:firstLine="0"/>
      </w:pPr>
      <w:r>
        <w:rPr>
          <w:bCs/>
        </w:rPr>
        <w:t>Добавление</w:t>
      </w:r>
    </w:p>
    <w:p w14:paraId="50E1AD32" w14:textId="1BA0BB5B" w:rsidR="00902848" w:rsidRDefault="00902848" w:rsidP="00D20FF1">
      <w:pPr>
        <w:pStyle w:val="CH1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rPr>
          <w:bCs/>
        </w:rPr>
        <w:t>Краткое изложение доклада Совета Глобального экологического фонда для Конференции Сторон Минаматской конвенции о ртути на ее шестом совещании</w:t>
      </w:r>
    </w:p>
    <w:p w14:paraId="7CBE3CB0" w14:textId="3CA44B59" w:rsidR="00902848" w:rsidRPr="00F41F37" w:rsidRDefault="00902848" w:rsidP="00D20FF1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rPr>
          <w:bCs/>
        </w:rPr>
        <w:t>Записка секретариата</w:t>
      </w:r>
    </w:p>
    <w:p w14:paraId="292B30DD" w14:textId="77777777" w:rsidR="00902848" w:rsidRPr="00F41F37" w:rsidRDefault="00902848" w:rsidP="00D20FF1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Краткое изложение доклада Совета Глобального экологического фонда для Конференции Сторон Минаматской конвенции о ртути на ее шестом совещании содержится в приложении к настоящей записке. Приложение воспроизводится в том виде, в каком оно было получено; его оригинал на английском языке официально не редактировался. Полный текст доклада приводится в приложении к документу UNEP/MC/COP.6/INF/13.</w:t>
      </w:r>
    </w:p>
    <w:p w14:paraId="78FE4AC0" w14:textId="77777777" w:rsidR="00902848" w:rsidRPr="00F41F37" w:rsidRDefault="00902848" w:rsidP="00392241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F41F37">
        <w:br w:type="page"/>
      </w:r>
    </w:p>
    <w:p w14:paraId="4E8697FE" w14:textId="2459AA1B" w:rsidR="00902848" w:rsidRPr="00C850E8" w:rsidRDefault="00902848" w:rsidP="00392241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>Приложение</w:t>
      </w:r>
      <w:r w:rsidR="00C850E8" w:rsidRPr="00C850E8">
        <w:rPr>
          <w:rStyle w:val="FootnoteReference"/>
          <w:b w:val="0"/>
          <w:bCs w:val="0"/>
          <w:sz w:val="28"/>
          <w:szCs w:val="28"/>
          <w:vertAlign w:val="baseline"/>
        </w:rPr>
        <w:footnoteReference w:customMarkFollows="1" w:id="2"/>
        <w:t>*</w:t>
      </w:r>
    </w:p>
    <w:p w14:paraId="1C81C903" w14:textId="77777777" w:rsidR="00902848" w:rsidRPr="00F41F37" w:rsidRDefault="00902848" w:rsidP="00392241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t>Краткое изложение доклада Совета Глобального экологического фонда для Конференции Сторон Минаматской конвенции о ртути на ее шестом совещании</w:t>
      </w:r>
    </w:p>
    <w:p w14:paraId="3A09347C" w14:textId="77777777" w:rsidR="00902848" w:rsidRDefault="00902848" w:rsidP="00392241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ectPr w:rsidR="00902848" w:rsidSect="00902848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907" w:right="992" w:bottom="1418" w:left="1418" w:header="539" w:footer="975" w:gutter="0"/>
          <w:cols w:space="539"/>
          <w:titlePg/>
          <w:docGrid w:linePitch="360"/>
        </w:sectPr>
      </w:pPr>
    </w:p>
    <w:p w14:paraId="0E2F3BF6" w14:textId="77777777" w:rsidR="00902848" w:rsidRDefault="00902848" w:rsidP="00902848">
      <w:pPr>
        <w:pStyle w:val="BodyText"/>
        <w:ind w:left="3014"/>
      </w:pPr>
      <w:r>
        <w:rPr>
          <w:noProof/>
        </w:rPr>
        <w:lastRenderedPageBreak/>
        <w:drawing>
          <wp:inline distT="0" distB="0" distL="0" distR="0" wp14:anchorId="61BFB0D7" wp14:editId="11F024F0">
            <wp:extent cx="2141542" cy="1005840"/>
            <wp:effectExtent l="0" t="0" r="0" b="0"/>
            <wp:docPr id="2" name="Image 2" descr="A logo for a compan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for a company  AI-generated content may be incorrect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54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C07B6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10"/>
      </w:pPr>
    </w:p>
    <w:p w14:paraId="5F60A58F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line="20" w:lineRule="exact"/>
        <w:ind w:left="-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C5D631" wp14:editId="74B6E8D2">
                <wp:extent cx="6090920" cy="27940"/>
                <wp:effectExtent l="19050" t="0" r="5079" b="63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27940"/>
                          <a:chOff x="0" y="0"/>
                          <a:chExt cx="6090920" cy="279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3868"/>
                            <a:ext cx="609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>
                                <a:moveTo>
                                  <a:pt x="0" y="0"/>
                                </a:moveTo>
                                <a:lnTo>
                                  <a:pt x="6090920" y="0"/>
                                </a:lnTo>
                              </a:path>
                            </a:pathLst>
                          </a:custGeom>
                          <a:ln w="27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29B33" id="Group 3" o:spid="_x0000_s1026" style="width:479.6pt;height:2.2pt;mso-position-horizontal-relative:char;mso-position-vertical-relative:line" coordsize="6090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">
                <v:shape id="Graphic 4" o:spid="_x0000_s1027" style="position:absolute;top:138;width:60909;height:13;visibility:visible;mso-wrap-style:square;v-text-anchor:top" coordsize="609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" path="m,l6090920,e" filled="f" strokeweight=".77044mm">
                  <v:path arrowok="t"/>
                </v:shape>
                <w10:anchorlock/>
              </v:group>
            </w:pict>
          </mc:Fallback>
        </mc:AlternateContent>
      </w:r>
    </w:p>
    <w:p w14:paraId="19BC53FD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68EEE01B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2F186BCA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56EBE126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3229548F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769DBF0C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1CB72C0B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3A215F10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2D48C414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32"/>
        </w:rPr>
      </w:pPr>
    </w:p>
    <w:p w14:paraId="5B96EFE2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41"/>
        <w:rPr>
          <w:sz w:val="32"/>
        </w:rPr>
      </w:pPr>
    </w:p>
    <w:p w14:paraId="487D88EB" w14:textId="1B2084F1" w:rsidR="00902848" w:rsidRPr="007026DD" w:rsidRDefault="00902848" w:rsidP="00A14830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right="1701"/>
        <w:jc w:val="center"/>
        <w:rPr>
          <w:b/>
          <w:sz w:val="32"/>
          <w:szCs w:val="32"/>
        </w:rPr>
      </w:pPr>
      <w:r w:rsidRPr="007026DD">
        <w:rPr>
          <w:b/>
          <w:bCs/>
          <w:sz w:val="32"/>
          <w:szCs w:val="32"/>
        </w:rPr>
        <w:t xml:space="preserve">Доклад Глобального экологического фонда </w:t>
      </w:r>
      <w:r w:rsidR="00FF094C" w:rsidRPr="005B1274">
        <w:rPr>
          <w:b/>
          <w:bCs/>
          <w:sz w:val="32"/>
          <w:szCs w:val="32"/>
        </w:rPr>
        <w:br/>
      </w:r>
      <w:r w:rsidRPr="007026DD">
        <w:rPr>
          <w:b/>
          <w:bCs/>
          <w:sz w:val="32"/>
          <w:szCs w:val="32"/>
        </w:rPr>
        <w:t xml:space="preserve">шестому совещанию </w:t>
      </w:r>
      <w:r w:rsidR="00FF094C" w:rsidRPr="005B1274">
        <w:rPr>
          <w:b/>
          <w:bCs/>
          <w:sz w:val="32"/>
          <w:szCs w:val="32"/>
        </w:rPr>
        <w:br/>
      </w:r>
      <w:r w:rsidRPr="007026DD">
        <w:rPr>
          <w:b/>
          <w:bCs/>
          <w:sz w:val="32"/>
          <w:szCs w:val="32"/>
        </w:rPr>
        <w:t xml:space="preserve">Конференции Сторон </w:t>
      </w:r>
      <w:r w:rsidR="00FF094C" w:rsidRPr="005B1274">
        <w:rPr>
          <w:b/>
          <w:bCs/>
          <w:sz w:val="32"/>
          <w:szCs w:val="32"/>
        </w:rPr>
        <w:br/>
      </w:r>
      <w:r w:rsidRPr="007026DD">
        <w:rPr>
          <w:b/>
          <w:bCs/>
          <w:sz w:val="32"/>
          <w:szCs w:val="32"/>
        </w:rPr>
        <w:t>Минаматской конвенции о ртути</w:t>
      </w:r>
    </w:p>
    <w:p w14:paraId="12FA74B8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sz w:val="32"/>
        </w:rPr>
      </w:pPr>
    </w:p>
    <w:p w14:paraId="2D5C660D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sz w:val="32"/>
        </w:rPr>
      </w:pPr>
    </w:p>
    <w:p w14:paraId="4CC3C4D5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sz w:val="32"/>
        </w:rPr>
      </w:pPr>
    </w:p>
    <w:p w14:paraId="0D62FD7E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sz w:val="32"/>
        </w:rPr>
      </w:pPr>
    </w:p>
    <w:p w14:paraId="29A383A5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sz w:val="32"/>
        </w:rPr>
      </w:pPr>
    </w:p>
    <w:p w14:paraId="00FE259D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sz w:val="32"/>
        </w:rPr>
      </w:pPr>
    </w:p>
    <w:p w14:paraId="30F5B541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sz w:val="32"/>
        </w:rPr>
      </w:pPr>
    </w:p>
    <w:p w14:paraId="5D374173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01"/>
        <w:rPr>
          <w:b/>
          <w:sz w:val="32"/>
        </w:rPr>
      </w:pPr>
    </w:p>
    <w:p w14:paraId="2BD6BF05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01"/>
        <w:rPr>
          <w:b/>
          <w:sz w:val="32"/>
        </w:rPr>
      </w:pPr>
    </w:p>
    <w:p w14:paraId="686AE3B4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01"/>
        <w:rPr>
          <w:b/>
          <w:sz w:val="32"/>
        </w:rPr>
      </w:pPr>
    </w:p>
    <w:p w14:paraId="67AE55C4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01"/>
        <w:rPr>
          <w:b/>
          <w:sz w:val="32"/>
        </w:rPr>
      </w:pPr>
    </w:p>
    <w:p w14:paraId="261D3731" w14:textId="77777777" w:rsidR="00902848" w:rsidRDefault="00902848" w:rsidP="007026DD">
      <w:pPr>
        <w:pStyle w:val="Body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669" w:right="2012"/>
        <w:jc w:val="center"/>
      </w:pPr>
      <w:r>
        <w:t>31 августа 2025 года</w:t>
      </w:r>
    </w:p>
    <w:p w14:paraId="49DB175C" w14:textId="77777777" w:rsidR="00902848" w:rsidRDefault="00902848" w:rsidP="00902848">
      <w:pPr>
        <w:pStyle w:val="BodyText"/>
        <w:jc w:val="center"/>
        <w:sectPr w:rsidR="00902848" w:rsidSect="00902848">
          <w:footerReference w:type="default" r:id="rId19"/>
          <w:headerReference w:type="first" r:id="rId20"/>
          <w:footerReference w:type="first" r:id="rId21"/>
          <w:pgSz w:w="11907" w:h="16839" w:code="9"/>
          <w:pgMar w:top="907" w:right="992" w:bottom="1418" w:left="1418" w:header="539" w:footer="975" w:gutter="0"/>
          <w:cols w:space="720"/>
          <w:titlePg/>
          <w:docGrid w:linePitch="272"/>
        </w:sectPr>
      </w:pPr>
    </w:p>
    <w:p w14:paraId="751C05FA" w14:textId="5D6C4A5C" w:rsidR="00902848" w:rsidRPr="00AA25A3" w:rsidRDefault="00902848" w:rsidP="002D2539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0" w:firstLine="0"/>
        <w:rPr>
          <w:rFonts w:eastAsia="Cambria"/>
        </w:rPr>
      </w:pPr>
      <w:r>
        <w:lastRenderedPageBreak/>
        <w:tab/>
      </w:r>
      <w:r>
        <w:rPr>
          <w:bCs/>
        </w:rPr>
        <w:t>Краткое изложение</w:t>
      </w:r>
    </w:p>
    <w:p w14:paraId="4F1E34B1" w14:textId="77777777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В статье 13 Минаматской конвенции о ртути Глобальный экологический фонд (ГЭФ) включен в состав механизма финансирования для своевременного обеспечения новых и достаточных финансовых ресурсов на предсказуемой основе для покрытия расходов на поддержание осуществления Конвенции в соответствии с решениями Конференции Сторон (КС).</w:t>
      </w:r>
    </w:p>
    <w:p w14:paraId="54D8414B" w14:textId="77777777" w:rsidR="00902848" w:rsidRPr="004E7DDB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В настоящем докладе представлена информация о работе ГЭФ в части выполнения его мандата в соответствии с Минаматской конвенцией за отчетный период (с 1 июля 2022 года по 30 июня 2025 года) и его обновленный ответ на руководящие указания, полученные от КС.</w:t>
      </w:r>
    </w:p>
    <w:p w14:paraId="074DAFAB" w14:textId="351C87D9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Восьмое пополнение ГЭФ началось 1 июля 2022 года и завершится 30 июня 2026 года. В рамках пополнения 800 млн долл. США было решено направить на основное направление деятельности «Химические вещества и отходы»; из них 269 млн долл. США предназначаются для осуществления Минаматской конвенции.</w:t>
      </w:r>
    </w:p>
    <w:p w14:paraId="4A58E94B" w14:textId="568B2C7B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За отчетный период ГЭФ утвердил четыре программных подхода, охватывающих двад</w:t>
      </w:r>
      <w:r w:rsidR="002D2539">
        <w:t>ц</w:t>
      </w:r>
      <w:r>
        <w:t>ать одну страну, двенадцать полномасштабных проектов (ПМП), охватывающих тридцать стран, два проекта среднего масштаба (ПСМ), охватывающих две страны, и три стимулирующих мероприятия (СМ), осуществляемых в одной стране.</w:t>
      </w:r>
    </w:p>
    <w:p w14:paraId="4FFAC899" w14:textId="77777777" w:rsidR="00902848" w:rsidRPr="004E7DDB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Из четырех программных подходов два непосредственно касаются приоритетов Конвенции, включая принятие мер по сокращению выбросов ртути в секторе цветных металлов в рамках Глобальной инициативы по ликвидации ртути в цветных металлах (ГЕМИНИ) и мониторинг ртути для оценки эффективности в рамках Глобальной программы мониторинга химических веществ. Две другие программы касаются ртути в электронике и в инфраструктуре туристического сектора.</w:t>
      </w:r>
    </w:p>
    <w:p w14:paraId="62EE7411" w14:textId="77777777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Проекты, осуществленные в ходе отчетного периода, охватывают широкий спектр ключевых положений Конвенции, включая ртуть в кустарной и мелкомасштабной золотодобыче (КМЗ), выбросы ртути в цементной промышленности и в секторе цветных металлов, использование ртути в хлорно-щелочном секторе и в косметике, регулирование торговли ртутью, глобальный мониторинг, первичное производство ртути и регулирование ртутных отходов и отходов продукции.</w:t>
      </w:r>
    </w:p>
    <w:p w14:paraId="70E78BE3" w14:textId="530664C7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Объем ресурсов ГЭФ, выделенных за отчетный период на цели осуществления Минаматской конвенции, достиг 155,5 млн долл. США</w:t>
      </w:r>
      <w:r>
        <w:rPr>
          <w:rStyle w:val="FootnoteReference"/>
          <w:rFonts w:eastAsiaTheme="majorEastAsia"/>
        </w:rPr>
        <w:footnoteReference w:id="3"/>
      </w:r>
      <w:r>
        <w:t xml:space="preserve">. Кроме того, субсидии на подготовку проектов (СПП) составили 4,0 млн долл. США, а комиссионное вознаграждение – 14,5 млн долл. США. Таким образом, общий объем финансирования ГЭФ, запланированный на отчетный период, составил 174,0 млн долл. США, что составляет </w:t>
      </w:r>
      <w:r w:rsidR="00617575">
        <w:t>65</w:t>
      </w:r>
      <w:r>
        <w:t xml:space="preserve"> процентов от 269,0 млн долл. США, выделенных в рамках пополнения.</w:t>
      </w:r>
    </w:p>
    <w:p w14:paraId="7DEE69E3" w14:textId="77777777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В отчетный период за счет средств ГЭФ была оказана поддержка проведению одной первоначальной оценки в рамках Минаматской конвенции (ПОМК). В общей сложности, после ГЭФ-5 за счет средств ГЭФ поддержка в проведении ПОМК была оказана 120 странам. По настоящее время в секретариат Минаматской конвенции было представлено 82 ПОМК</w:t>
      </w:r>
      <w:r>
        <w:rPr>
          <w:rStyle w:val="FootnoteReference"/>
          <w:rFonts w:eastAsiaTheme="majorEastAsia"/>
          <w:spacing w:val="-2"/>
        </w:rPr>
        <w:footnoteReference w:id="4"/>
      </w:r>
      <w:r>
        <w:t>.</w:t>
      </w:r>
    </w:p>
    <w:p w14:paraId="3E61355B" w14:textId="0D909164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 xml:space="preserve">За отчетный период также была оказана поддержка </w:t>
      </w:r>
      <w:r w:rsidR="00101B45">
        <w:t>2</w:t>
      </w:r>
      <w:r>
        <w:t xml:space="preserve"> национальным планам действий (НПД) по КМЗ, в результате чего общее число стран, получающих поддержку, достигло 50. По настоящее время в секретариат Минаматской конвенции было представлено 37</w:t>
      </w:r>
      <w:r w:rsidR="002524AB">
        <w:t> </w:t>
      </w:r>
      <w:r>
        <w:t>НПД</w:t>
      </w:r>
      <w:r>
        <w:rPr>
          <w:rStyle w:val="FootnoteReference"/>
          <w:rFonts w:eastAsiaTheme="majorEastAsia"/>
        </w:rPr>
        <w:footnoteReference w:id="5"/>
      </w:r>
      <w:r>
        <w:t>.</w:t>
      </w:r>
    </w:p>
    <w:p w14:paraId="3248C2B2" w14:textId="6B1C16B9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 xml:space="preserve">В течение отчетного периода поддержку получили в общей сложности 45 стран, включая </w:t>
      </w:r>
      <w:r w:rsidR="00101B45">
        <w:t>16</w:t>
      </w:r>
      <w:r>
        <w:t xml:space="preserve"> наименее развитых стран (НРС) и </w:t>
      </w:r>
      <w:r w:rsidR="00101B45">
        <w:t>3</w:t>
      </w:r>
      <w:r>
        <w:t xml:space="preserve"> малых островных развивающихся государства (МОСТРАГ).</w:t>
      </w:r>
    </w:p>
    <w:p w14:paraId="2C61E9F4" w14:textId="7FB47C28" w:rsidR="00902848" w:rsidRPr="004E7DDB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 xml:space="preserve">На каждый доллар </w:t>
      </w:r>
      <w:r w:rsidR="00B35BCD">
        <w:t xml:space="preserve">США </w:t>
      </w:r>
      <w:r>
        <w:t>инвестиций ГЭФ, сделанных в течение отчетного периода, пришлось тринадцать долларов, полученных за счет совместного финансирования</w:t>
      </w:r>
      <w:r>
        <w:rPr>
          <w:rStyle w:val="FootnoteReference"/>
          <w:rFonts w:eastAsiaTheme="majorEastAsia"/>
        </w:rPr>
        <w:footnoteReference w:id="6"/>
      </w:r>
      <w:r>
        <w:t>.</w:t>
      </w:r>
      <w:hyperlink w:anchor="_bookmark3" w:history="1"/>
    </w:p>
    <w:p w14:paraId="4358ED76" w14:textId="23EB206B" w:rsidR="00902848" w:rsidRPr="00AA25A3" w:rsidRDefault="005C1749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lastRenderedPageBreak/>
        <w:t>Система показателей результативности</w:t>
      </w:r>
      <w:r w:rsidR="00902848">
        <w:t xml:space="preserve"> ГЭФ-8 включала основной показатель для измерения результатов направления деятельности «Химические вещества и отходы»</w:t>
      </w:r>
      <w:r w:rsidR="00902848">
        <w:rPr>
          <w:rStyle w:val="FootnoteReference"/>
          <w:rFonts w:eastAsiaTheme="majorEastAsia"/>
        </w:rPr>
        <w:footnoteReference w:id="7"/>
      </w:r>
      <w:r w:rsidR="00902848">
        <w:t>. Этот основной показатель предусматривал целевой показатель для принятия мер в отношении 300</w:t>
      </w:r>
      <w:r w:rsidR="0001645B">
        <w:t> </w:t>
      </w:r>
      <w:r w:rsidR="00902848">
        <w:t xml:space="preserve">000 т химических веществ и отходов, включая ртуть. Хотя в рамках ГЭФ-8 не имелось отдельного целевого показателя в отношении ртути, информация о количестве ртути, на которое направлены проекты, приводилась в </w:t>
      </w:r>
      <w:proofErr w:type="spellStart"/>
      <w:r w:rsidR="00902848">
        <w:t>подпоказателе</w:t>
      </w:r>
      <w:proofErr w:type="spellEnd"/>
      <w:r w:rsidR="00902848">
        <w:t xml:space="preserve"> 9.2 </w:t>
      </w:r>
      <w:r>
        <w:t>системы показателей результативности</w:t>
      </w:r>
      <w:r w:rsidR="00902848">
        <w:t xml:space="preserve"> ГЭФ. В результате осуществления проектов, утвержденных в ходе отчетного периода, в отношении этого </w:t>
      </w:r>
      <w:proofErr w:type="spellStart"/>
      <w:r w:rsidR="00902848">
        <w:t>подпоказателя</w:t>
      </w:r>
      <w:proofErr w:type="spellEnd"/>
      <w:r w:rsidR="00902848">
        <w:t xml:space="preserve"> ожидается сокращение на 911 т ртути.</w:t>
      </w:r>
    </w:p>
    <w:p w14:paraId="459AAE12" w14:textId="66F64AD1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>Помимо сокращения выбросов ртути, проекты, утвержденные в ходе отчетного периода, позволили добиться сокращения стойких органических загрязнителей (СОЗ) на 8097 т и утилизации 1,6 млн т СОЗ и ртутьсодержащих материалов, а также обработки 1,1 млн т пластмасс.</w:t>
      </w:r>
    </w:p>
    <w:p w14:paraId="5A14B916" w14:textId="043FAF99" w:rsidR="00902848" w:rsidRPr="00AA25A3" w:rsidRDefault="00902848" w:rsidP="002D2539">
      <w:pPr>
        <w:pStyle w:val="ListParagraph"/>
        <w:widowControl w:val="0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autoSpaceDE w:val="0"/>
        <w:autoSpaceDN w:val="0"/>
        <w:spacing w:after="120"/>
        <w:ind w:left="1247" w:firstLine="0"/>
        <w:contextualSpacing w:val="0"/>
        <w:rPr>
          <w:rFonts w:asciiTheme="majorBidi" w:hAnsiTheme="majorBidi" w:cstheme="majorBidi"/>
        </w:rPr>
      </w:pPr>
      <w:r>
        <w:t xml:space="preserve">Портфель проектов также охватил </w:t>
      </w:r>
      <w:r w:rsidR="00AC6B60">
        <w:t xml:space="preserve">основные </w:t>
      </w:r>
      <w:r>
        <w:t>показатели в отношении наземных охраняемых районов, ландшафтов с улучшенным управлением, поглощенного углерода и предотвращенных выбросов.</w:t>
      </w:r>
    </w:p>
    <w:p w14:paraId="680D64F2" w14:textId="77777777" w:rsidR="00902848" w:rsidRPr="00AA25A3" w:rsidRDefault="00902848" w:rsidP="00C31342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902848" w:rsidRPr="00AA25A3" w14:paraId="71CEB5C9" w14:textId="77777777" w:rsidTr="0037116C">
        <w:tc>
          <w:tcPr>
            <w:tcW w:w="1897" w:type="dxa"/>
          </w:tcPr>
          <w:p w14:paraId="64E67D97" w14:textId="77777777" w:rsidR="00902848" w:rsidRPr="00AA25A3" w:rsidRDefault="00902848" w:rsidP="00C3134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796CF659" w14:textId="77777777" w:rsidR="00902848" w:rsidRPr="00AA25A3" w:rsidRDefault="00902848" w:rsidP="00C3134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433B522" w14:textId="77777777" w:rsidR="00902848" w:rsidRPr="00AA25A3" w:rsidRDefault="00902848" w:rsidP="00C3134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2EB8BC7C" w14:textId="77777777" w:rsidR="00902848" w:rsidRPr="00AA25A3" w:rsidRDefault="00902848" w:rsidP="00C3134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0023A071" w14:textId="77777777" w:rsidR="00902848" w:rsidRPr="00AA25A3" w:rsidRDefault="00902848" w:rsidP="00C3134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60EC347B" w14:textId="16A1048E" w:rsidR="0076134B" w:rsidRPr="00AD2BCA" w:rsidRDefault="0076134B" w:rsidP="00C31342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76134B" w:rsidRPr="00AD2BCA" w:rsidSect="00A1483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907" w:right="992" w:bottom="1418" w:left="1418" w:header="53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6167" w14:textId="77777777" w:rsidR="00122CD5" w:rsidRPr="0076134B" w:rsidRDefault="00122CD5" w:rsidP="00660A66">
      <w:r w:rsidRPr="0076134B">
        <w:separator/>
      </w:r>
    </w:p>
  </w:endnote>
  <w:endnote w:type="continuationSeparator" w:id="0">
    <w:p w14:paraId="0999406B" w14:textId="77777777" w:rsidR="00122CD5" w:rsidRPr="0076134B" w:rsidRDefault="00122CD5" w:rsidP="00660A66">
      <w:r w:rsidRPr="00761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4690" w14:textId="77777777" w:rsidR="00902848" w:rsidRPr="00BF2359" w:rsidRDefault="00902848" w:rsidP="00BF2359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rPr>
        <w:b w:val="0"/>
      </w:rPr>
    </w:pPr>
    <w:r w:rsidRPr="00BF2359">
      <w:rPr>
        <w:rStyle w:val="PageNumber"/>
        <w:b/>
      </w:rPr>
      <w:fldChar w:fldCharType="begin"/>
    </w:r>
    <w:r w:rsidRPr="00BF2359">
      <w:rPr>
        <w:rStyle w:val="PageNumber"/>
        <w:b/>
      </w:rPr>
      <w:instrText xml:space="preserve"> PAGE </w:instrText>
    </w:r>
    <w:r w:rsidRPr="00BF2359">
      <w:rPr>
        <w:rStyle w:val="PageNumber"/>
        <w:b/>
      </w:rPr>
      <w:fldChar w:fldCharType="separate"/>
    </w:r>
    <w:r w:rsidRPr="00BF2359">
      <w:rPr>
        <w:rStyle w:val="PageNumber"/>
        <w:b/>
      </w:rPr>
      <w:t>1</w:t>
    </w:r>
    <w:r w:rsidRPr="00BF235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44EB" w14:textId="77777777" w:rsidR="00902848" w:rsidRPr="008B1C43" w:rsidRDefault="00902848" w:rsidP="00761383">
    <w:pPr>
      <w:pStyle w:val="Footer-pool"/>
      <w:jc w:val="right"/>
    </w:pPr>
    <w:r w:rsidRPr="008B1C43">
      <w:rPr>
        <w:rStyle w:val="PageNumber"/>
        <w:b/>
      </w:rPr>
      <w:fldChar w:fldCharType="begin"/>
    </w:r>
    <w:r w:rsidRPr="008B1C43">
      <w:rPr>
        <w:rStyle w:val="PageNumber"/>
      </w:rPr>
      <w:instrText xml:space="preserve"> PAGE \* MERGEFORMAT </w:instrText>
    </w:r>
    <w:r w:rsidRPr="008B1C43">
      <w:rPr>
        <w:rStyle w:val="PageNumber"/>
        <w:b/>
      </w:rPr>
      <w:fldChar w:fldCharType="separate"/>
    </w:r>
    <w:r w:rsidRPr="00A52B24">
      <w:rPr>
        <w:rStyle w:val="PageNumber"/>
      </w:rPr>
      <w:t>1</w:t>
    </w:r>
    <w:r w:rsidRPr="008B1C43">
      <w:rPr>
        <w:rStyle w:val="PageNumber"/>
        <w:b/>
      </w:rPr>
      <w:fldChar w:fldCharType="end"/>
    </w:r>
  </w:p>
  <w:p w14:paraId="1A10A24C" w14:textId="77777777" w:rsidR="00902848" w:rsidRDefault="009028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058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5813A" w14:textId="42D0F817" w:rsidR="00902848" w:rsidRDefault="00902848" w:rsidP="00A87C08">
        <w:pPr>
          <w:pStyle w:val="Footer-jobnumber"/>
        </w:pPr>
        <w:r>
          <w:t>K2512682[</w:t>
        </w:r>
        <w:r w:rsidR="007F3B3B">
          <w:rPr>
            <w:lang w:val="en-US"/>
          </w:rPr>
          <w:t>R</w:t>
        </w:r>
        <w:r>
          <w:t>]</w:t>
        </w:r>
        <w:r>
          <w:tab/>
        </w:r>
        <w:r w:rsidR="007F3B3B">
          <w:rPr>
            <w:lang w:val="en-US"/>
          </w:rPr>
          <w:t>0</w:t>
        </w:r>
        <w:r w:rsidR="005B1274">
          <w:t>8</w:t>
        </w:r>
        <w:r w:rsidR="007F3B3B">
          <w:rPr>
            <w:lang w:val="en-US"/>
          </w:rPr>
          <w:t>09</w:t>
        </w:r>
        <w:r>
          <w:t>25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FD4" w14:textId="77777777" w:rsidR="00902848" w:rsidRDefault="0090284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4E6B1F" wp14:editId="0E707063">
              <wp:simplePos x="0" y="0"/>
              <wp:positionH relativeFrom="page">
                <wp:posOffset>6654545</wp:posOffset>
              </wp:positionH>
              <wp:positionV relativeFrom="page">
                <wp:posOffset>9728327</wp:posOffset>
              </wp:positionV>
              <wp:extent cx="8769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93CC4" w14:textId="77777777" w:rsidR="00902848" w:rsidRDefault="00902848">
                          <w:pPr>
                            <w:spacing w:line="223" w:lineRule="exact"/>
                            <w:ind w:left="20"/>
                          </w:pPr>
                          <w:r>
                            <w:t>Только для служебного пользования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E6B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pt;margin-top:766pt;width:69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" filled="f" stroked="f">
              <v:textbox inset="0,0,0,0">
                <w:txbxContent>
                  <w:p w14:paraId="10B93CC4" w14:textId="77777777" w:rsidR="00902848" w:rsidRDefault="00902848">
                    <w:pPr>
                      <w:spacing w:line="223" w:lineRule="exact"/>
                      <w:ind w:left="20"/>
                    </w:pPr>
                    <w:r>
                      <w:t>Только для служебного пользования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189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80D99" w14:textId="18F0AE4F" w:rsidR="00902848" w:rsidRPr="00FD61CA" w:rsidRDefault="00902848" w:rsidP="00BF2359">
        <w:pPr>
          <w:pStyle w:val="Footer-pool"/>
          <w:tabs>
            <w:tab w:val="clear" w:pos="624"/>
            <w:tab w:val="clear" w:pos="1247"/>
            <w:tab w:val="clear" w:pos="1871"/>
            <w:tab w:val="clear" w:pos="2495"/>
            <w:tab w:val="clear" w:pos="3119"/>
            <w:tab w:val="clear" w:pos="3742"/>
            <w:tab w:val="clear" w:pos="4321"/>
            <w:tab w:val="clear" w:pos="4366"/>
            <w:tab w:val="clear" w:pos="8641"/>
          </w:tabs>
          <w:jc w:val="right"/>
        </w:pPr>
        <w:r w:rsidRPr="00FD61CA">
          <w:fldChar w:fldCharType="begin"/>
        </w:r>
        <w:r w:rsidRPr="00FD61CA">
          <w:instrText xml:space="preserve"> PAGE   \* MERGEFORMAT </w:instrText>
        </w:r>
        <w:r w:rsidRPr="00FD61CA">
          <w:fldChar w:fldCharType="separate"/>
        </w:r>
        <w:r w:rsidRPr="00FD61CA">
          <w:rPr>
            <w:noProof/>
          </w:rPr>
          <w:t>2</w:t>
        </w:r>
        <w:r w:rsidRPr="00FD61CA"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3C462EA" w:rsidR="0076134B" w:rsidRPr="0076134B" w:rsidRDefault="0076134B" w:rsidP="00A1483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76134B">
      <w:fldChar w:fldCharType="begin"/>
    </w:r>
    <w:r w:rsidRPr="0076134B">
      <w:instrText xml:space="preserve"> PAGE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01F20844" w:rsidR="0076134B" w:rsidRPr="0076134B" w:rsidRDefault="0076134B" w:rsidP="00A1483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76134B">
      <w:fldChar w:fldCharType="begin"/>
    </w:r>
    <w:r w:rsidRPr="0076134B">
      <w:instrText xml:space="preserve"> PAGE \* MERGEFORMAT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1FAB6D33" w:rsidR="0076134B" w:rsidRPr="0076134B" w:rsidRDefault="00866DBA" w:rsidP="0076134B">
    <w:pPr>
      <w:pStyle w:val="Footer-jobnumber"/>
    </w:pPr>
    <w:bookmarkStart w:id="8" w:name="FooterJobDate"/>
    <w:r>
      <w:t>K2512682[R]</w:t>
    </w:r>
    <w:r>
      <w:tab/>
      <w:t>040925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C3DF" w14:textId="77777777" w:rsidR="00122CD5" w:rsidRPr="0076134B" w:rsidRDefault="00122CD5" w:rsidP="00392241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76134B">
        <w:separator/>
      </w:r>
    </w:p>
  </w:footnote>
  <w:footnote w:type="continuationSeparator" w:id="0">
    <w:p w14:paraId="7A546E02" w14:textId="77777777" w:rsidR="00122CD5" w:rsidRPr="0076134B" w:rsidRDefault="00122CD5" w:rsidP="00660A66">
      <w:r w:rsidRPr="0076134B">
        <w:continuationSeparator/>
      </w:r>
    </w:p>
  </w:footnote>
  <w:footnote w:id="1">
    <w:p w14:paraId="2B7D1951" w14:textId="0B0466A4" w:rsidR="003B766A" w:rsidRPr="00392241" w:rsidRDefault="003B766A" w:rsidP="00392241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92241">
        <w:rPr>
          <w:rStyle w:val="FootnoteReference"/>
          <w:sz w:val="18"/>
          <w:vertAlign w:val="baseline"/>
        </w:rPr>
        <w:t>*</w:t>
      </w:r>
      <w:r w:rsidRPr="00392241">
        <w:rPr>
          <w:szCs w:val="18"/>
        </w:rPr>
        <w:t xml:space="preserve"> </w:t>
      </w:r>
      <w:r w:rsidR="007F3B3B" w:rsidRPr="00392241">
        <w:rPr>
          <w:szCs w:val="18"/>
        </w:rPr>
        <w:tab/>
      </w:r>
      <w:r w:rsidRPr="00392241">
        <w:rPr>
          <w:szCs w:val="18"/>
        </w:rPr>
        <w:t>UNEP/MC/COP.6/1/Rev.1.</w:t>
      </w:r>
    </w:p>
  </w:footnote>
  <w:footnote w:id="2">
    <w:p w14:paraId="1EDF99A3" w14:textId="5BE6DE53" w:rsidR="00C850E8" w:rsidRPr="005B1274" w:rsidRDefault="00C850E8" w:rsidP="00C850E8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C850E8">
        <w:rPr>
          <w:rStyle w:val="FootnoteReference"/>
          <w:sz w:val="18"/>
          <w:vertAlign w:val="baseline"/>
        </w:rPr>
        <w:t>*</w:t>
      </w:r>
      <w:r w:rsidRPr="00C850E8">
        <w:rPr>
          <w:szCs w:val="18"/>
        </w:rPr>
        <w:t xml:space="preserve"> </w:t>
      </w:r>
      <w:r w:rsidRPr="005B1274">
        <w:rPr>
          <w:szCs w:val="18"/>
        </w:rPr>
        <w:tab/>
      </w:r>
      <w:r w:rsidRPr="00C850E8">
        <w:rPr>
          <w:szCs w:val="18"/>
        </w:rPr>
        <w:t>Оригинал настоящего приложения на английском языке официально не редактировался.</w:t>
      </w:r>
    </w:p>
  </w:footnote>
  <w:footnote w:id="3">
    <w:p w14:paraId="54B724AA" w14:textId="29A2CC2E" w:rsidR="00902848" w:rsidRPr="00392241" w:rsidRDefault="00902848" w:rsidP="00392241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392241">
        <w:rPr>
          <w:rStyle w:val="FootnoteReference"/>
          <w:sz w:val="18"/>
        </w:rPr>
        <w:footnoteRef/>
      </w:r>
      <w:r w:rsidRPr="00392241">
        <w:rPr>
          <w:szCs w:val="18"/>
        </w:rPr>
        <w:t xml:space="preserve"> </w:t>
      </w:r>
      <w:r w:rsidR="00392241" w:rsidRPr="00C850E8">
        <w:rPr>
          <w:szCs w:val="18"/>
        </w:rPr>
        <w:tab/>
      </w:r>
      <w:r w:rsidRPr="00392241">
        <w:rPr>
          <w:szCs w:val="18"/>
        </w:rPr>
        <w:t>Без учета субсидий на подготовку проектов (СПП) и комиссионных вознаграждений.</w:t>
      </w:r>
    </w:p>
  </w:footnote>
  <w:footnote w:id="4">
    <w:p w14:paraId="1106673A" w14:textId="3D97AB80" w:rsidR="00902848" w:rsidRPr="00392241" w:rsidRDefault="00902848" w:rsidP="00392241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392241">
        <w:rPr>
          <w:rStyle w:val="FootnoteReference"/>
          <w:sz w:val="18"/>
        </w:rPr>
        <w:footnoteRef/>
      </w:r>
      <w:r w:rsidRPr="00392241">
        <w:rPr>
          <w:szCs w:val="18"/>
        </w:rPr>
        <w:t xml:space="preserve"> </w:t>
      </w:r>
      <w:r w:rsidR="00392241" w:rsidRPr="00732276">
        <w:rPr>
          <w:szCs w:val="18"/>
        </w:rPr>
        <w:tab/>
      </w:r>
      <w:r w:rsidRPr="00392241">
        <w:rPr>
          <w:szCs w:val="18"/>
        </w:rPr>
        <w:t xml:space="preserve">Перечень ПОМК, представленных в секретариат Конвенции, имеется по адресу: </w:t>
      </w:r>
      <w:hyperlink r:id="rId1" w:history="1">
        <w:r w:rsidRPr="00732276">
          <w:rPr>
            <w:rStyle w:val="Hyperlink"/>
            <w:color w:val="0000FF"/>
            <w:szCs w:val="18"/>
          </w:rPr>
          <w:t>https://mercuryconvention.org/en/parties/minamata-initial-assessments</w:t>
        </w:r>
      </w:hyperlink>
      <w:r w:rsidRPr="00392241">
        <w:rPr>
          <w:szCs w:val="18"/>
        </w:rPr>
        <w:t>.</w:t>
      </w:r>
      <w:hyperlink r:id="rId2"/>
      <w:hyperlink r:id="rId3"/>
    </w:p>
  </w:footnote>
  <w:footnote w:id="5">
    <w:p w14:paraId="3DB2CAE7" w14:textId="0A0A8E42" w:rsidR="00902848" w:rsidRPr="00392241" w:rsidRDefault="00902848" w:rsidP="00392241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392241">
        <w:rPr>
          <w:rStyle w:val="FootnoteReference"/>
          <w:sz w:val="18"/>
        </w:rPr>
        <w:footnoteRef/>
      </w:r>
      <w:r w:rsidRPr="00392241">
        <w:rPr>
          <w:szCs w:val="18"/>
        </w:rPr>
        <w:t xml:space="preserve"> </w:t>
      </w:r>
      <w:r w:rsidR="00392241" w:rsidRPr="00732276">
        <w:rPr>
          <w:szCs w:val="18"/>
        </w:rPr>
        <w:tab/>
      </w:r>
      <w:r w:rsidRPr="00392241">
        <w:rPr>
          <w:szCs w:val="18"/>
        </w:rPr>
        <w:t xml:space="preserve">Перечень НПД, представленных в </w:t>
      </w:r>
      <w:r w:rsidR="002D2539" w:rsidRPr="00392241">
        <w:rPr>
          <w:szCs w:val="18"/>
        </w:rPr>
        <w:t>секретариат</w:t>
      </w:r>
      <w:r w:rsidRPr="00392241">
        <w:rPr>
          <w:szCs w:val="18"/>
        </w:rPr>
        <w:t xml:space="preserve"> Конвенции, имеется по адресу: </w:t>
      </w:r>
      <w:hyperlink r:id="rId4" w:history="1">
        <w:r w:rsidRPr="00732276">
          <w:rPr>
            <w:rStyle w:val="Hyperlink"/>
            <w:color w:val="0000FF"/>
            <w:szCs w:val="18"/>
          </w:rPr>
          <w:t xml:space="preserve">https://mercuryconvention.org/en/parties/national- </w:t>
        </w:r>
        <w:proofErr w:type="spellStart"/>
        <w:r w:rsidRPr="00732276">
          <w:rPr>
            <w:rStyle w:val="Hyperlink"/>
            <w:color w:val="0000FF"/>
            <w:szCs w:val="18"/>
          </w:rPr>
          <w:t>action-plans</w:t>
        </w:r>
        <w:proofErr w:type="spellEnd"/>
      </w:hyperlink>
      <w:r w:rsidRPr="00392241">
        <w:rPr>
          <w:szCs w:val="18"/>
        </w:rPr>
        <w:t>.</w:t>
      </w:r>
      <w:hyperlink r:id="rId5"/>
      <w:hyperlink r:id="rId6"/>
    </w:p>
  </w:footnote>
  <w:footnote w:id="6">
    <w:p w14:paraId="0F1EC78D" w14:textId="69173670" w:rsidR="00902848" w:rsidRPr="00392241" w:rsidRDefault="00902848" w:rsidP="00392241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392241">
        <w:rPr>
          <w:rStyle w:val="FootnoteReference"/>
          <w:sz w:val="18"/>
        </w:rPr>
        <w:footnoteRef/>
      </w:r>
      <w:r w:rsidRPr="00392241">
        <w:rPr>
          <w:szCs w:val="18"/>
        </w:rPr>
        <w:t xml:space="preserve"> </w:t>
      </w:r>
      <w:r w:rsidR="00392241" w:rsidRPr="004B58E4">
        <w:rPr>
          <w:szCs w:val="18"/>
        </w:rPr>
        <w:tab/>
      </w:r>
      <w:r w:rsidRPr="00392241">
        <w:rPr>
          <w:szCs w:val="18"/>
        </w:rPr>
        <w:t>Сумма совместного финансирования рассчитывается на основе проектного финансирования ГЭФ для программ, ПМП и ПСМ. Без учета СМ, СПП и комиссионных вознаграждений.</w:t>
      </w:r>
    </w:p>
  </w:footnote>
  <w:footnote w:id="7">
    <w:p w14:paraId="2ADA3894" w14:textId="1759AB8E" w:rsidR="00902848" w:rsidRPr="0061798F" w:rsidRDefault="00902848" w:rsidP="00392241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b/>
          <w:bCs/>
          <w:szCs w:val="18"/>
          <w:lang w:val="en-GB"/>
        </w:rPr>
      </w:pPr>
      <w:r w:rsidRPr="00392241">
        <w:rPr>
          <w:rStyle w:val="FootnoteReference"/>
          <w:sz w:val="18"/>
        </w:rPr>
        <w:footnoteRef/>
      </w:r>
      <w:r w:rsidRPr="0061798F">
        <w:rPr>
          <w:szCs w:val="18"/>
          <w:lang w:val="en-GB"/>
        </w:rPr>
        <w:t xml:space="preserve"> </w:t>
      </w:r>
      <w:r w:rsidR="00392241">
        <w:rPr>
          <w:szCs w:val="18"/>
          <w:lang w:val="en-US"/>
        </w:rPr>
        <w:tab/>
      </w:r>
      <w:r w:rsidRPr="00392241">
        <w:rPr>
          <w:szCs w:val="18"/>
        </w:rPr>
        <w:t>ГЭФ</w:t>
      </w:r>
      <w:r w:rsidRPr="0061798F">
        <w:rPr>
          <w:szCs w:val="18"/>
          <w:lang w:val="en-GB"/>
        </w:rPr>
        <w:t xml:space="preserve">, 2023 </w:t>
      </w:r>
      <w:r w:rsidRPr="00392241">
        <w:rPr>
          <w:szCs w:val="18"/>
        </w:rPr>
        <w:t>год</w:t>
      </w:r>
      <w:r w:rsidRPr="0061798F">
        <w:rPr>
          <w:szCs w:val="18"/>
          <w:lang w:val="en-GB"/>
        </w:rPr>
        <w:t xml:space="preserve">, </w:t>
      </w:r>
      <w:hyperlink r:id="rId7" w:history="1">
        <w:r w:rsidRPr="0061798F">
          <w:rPr>
            <w:rStyle w:val="Hyperlink"/>
            <w:i/>
            <w:iCs/>
            <w:color w:val="0000FF"/>
            <w:szCs w:val="18"/>
            <w:lang w:val="en-US"/>
          </w:rPr>
          <w:t>Report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of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the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Eighth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Replenishment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of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the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GEF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Trust</w:t>
        </w:r>
        <w:r w:rsidRPr="0061798F">
          <w:rPr>
            <w:rStyle w:val="Hyperlink"/>
            <w:i/>
            <w:iCs/>
            <w:color w:val="0000FF"/>
            <w:szCs w:val="18"/>
            <w:lang w:val="en-GB"/>
          </w:rPr>
          <w:t xml:space="preserve"> </w:t>
        </w:r>
        <w:r w:rsidRPr="0061798F">
          <w:rPr>
            <w:rStyle w:val="Hyperlink"/>
            <w:i/>
            <w:iCs/>
            <w:color w:val="0000FF"/>
            <w:szCs w:val="18"/>
            <w:lang w:val="en-US"/>
          </w:rPr>
          <w:t>Fund</w:t>
        </w:r>
      </w:hyperlink>
      <w:r w:rsidRPr="0061798F">
        <w:rPr>
          <w:i/>
          <w:iCs/>
          <w:szCs w:val="18"/>
          <w:lang w:val="en-GB"/>
        </w:rPr>
        <w:t>,</w:t>
      </w:r>
      <w:r w:rsidRPr="0061798F">
        <w:rPr>
          <w:szCs w:val="18"/>
          <w:lang w:val="en-GB"/>
        </w:rPr>
        <w:t xml:space="preserve"> </w:t>
      </w:r>
      <w:r w:rsidRPr="00392241">
        <w:rPr>
          <w:szCs w:val="18"/>
          <w:lang w:val="en-US"/>
        </w:rPr>
        <w:t>Assembly</w:t>
      </w:r>
      <w:r w:rsidRPr="0061798F">
        <w:rPr>
          <w:szCs w:val="18"/>
          <w:lang w:val="en-GB"/>
        </w:rPr>
        <w:t xml:space="preserve"> </w:t>
      </w:r>
      <w:r w:rsidRPr="00392241">
        <w:rPr>
          <w:szCs w:val="18"/>
          <w:lang w:val="en-US"/>
        </w:rPr>
        <w:t>Document</w:t>
      </w:r>
      <w:r w:rsidRPr="0061798F">
        <w:rPr>
          <w:szCs w:val="18"/>
          <w:lang w:val="en-GB"/>
        </w:rPr>
        <w:t xml:space="preserve"> </w:t>
      </w:r>
      <w:r w:rsidRPr="00392241">
        <w:rPr>
          <w:szCs w:val="18"/>
          <w:lang w:val="en-US"/>
        </w:rPr>
        <w:t>GEF</w:t>
      </w:r>
      <w:r w:rsidRPr="0061798F">
        <w:rPr>
          <w:szCs w:val="18"/>
          <w:lang w:val="en-GB"/>
        </w:rPr>
        <w:t>/</w:t>
      </w:r>
      <w:r w:rsidRPr="00392241">
        <w:rPr>
          <w:szCs w:val="18"/>
          <w:lang w:val="en-US"/>
        </w:rPr>
        <w:t>A</w:t>
      </w:r>
      <w:r w:rsidRPr="0061798F">
        <w:rPr>
          <w:szCs w:val="18"/>
          <w:lang w:val="en-GB"/>
        </w:rPr>
        <w:t>.7/04.</w:t>
      </w:r>
      <w:hyperlink r:id="rId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B56A" w14:textId="77777777" w:rsidR="00902848" w:rsidRPr="008B1C43" w:rsidRDefault="00902848" w:rsidP="00BF2359">
    <w:pPr>
      <w:pStyle w:val="Header-pool"/>
      <w:pBdr>
        <w:bottom w:val="single" w:sz="4" w:space="0" w:color="auto"/>
      </w:pBd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>
      <w:rPr>
        <w:noProof/>
      </w:rPr>
      <w:t>UNEP/MC/COP.6/10/Add.1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86A9" w14:textId="77777777" w:rsidR="00902848" w:rsidRPr="008B1C43" w:rsidRDefault="00902848" w:rsidP="00761383">
    <w:pPr>
      <w:pStyle w:val="Header-pool"/>
      <w:jc w:val="right"/>
    </w:pPr>
    <w:r>
      <w:rPr>
        <w:noProof/>
      </w:rPr>
      <w:t>UNEP/MC/COP.6/10/Add.1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628B" w14:textId="77777777" w:rsidR="00902848" w:rsidRDefault="00902848" w:rsidP="00BF2359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>
      <w:rPr>
        <w:noProof/>
      </w:rPr>
      <w:t>UNEP/MC/COP.6/10/Add.1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5BC92893" w:rsidR="0076134B" w:rsidRPr="0076134B" w:rsidRDefault="0076134B" w:rsidP="00A1483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01645B">
      <w:rPr>
        <w:noProof/>
      </w:rPr>
      <w:t>UNEP/MC/COP.6/10/Add.1</w:t>
    </w:r>
    <w:r w:rsidRPr="0076134B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540F0E16" w:rsidR="0076134B" w:rsidRPr="0076134B" w:rsidRDefault="0076134B" w:rsidP="00A1483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01645B">
      <w:rPr>
        <w:noProof/>
      </w:rPr>
      <w:t>UNEP/MC/COP.6/10/Add.1</w:t>
    </w:r>
    <w:r w:rsidRPr="007613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6" w15:restartNumberingAfterBreak="0">
    <w:nsid w:val="62291BF8"/>
    <w:multiLevelType w:val="multilevel"/>
    <w:tmpl w:val="AD6EEF8E"/>
    <w:numStyleLink w:val="Normallist"/>
  </w:abstractNum>
  <w:abstractNum w:abstractNumId="17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7DB61E9"/>
    <w:multiLevelType w:val="hybridMultilevel"/>
    <w:tmpl w:val="50A08758"/>
    <w:lvl w:ilvl="0" w:tplc="A34410BE">
      <w:start w:val="1"/>
      <w:numFmt w:val="decimal"/>
      <w:lvlText w:val="%1."/>
      <w:lvlJc w:val="left"/>
      <w:pPr>
        <w:ind w:left="0" w:hanging="72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A08B98">
      <w:numFmt w:val="bullet"/>
      <w:lvlText w:val="•"/>
      <w:lvlJc w:val="left"/>
      <w:pPr>
        <w:ind w:left="972" w:hanging="720"/>
      </w:pPr>
      <w:rPr>
        <w:rFonts w:hint="default"/>
        <w:lang w:val="en-US" w:eastAsia="en-US" w:bidi="ar-SA"/>
      </w:rPr>
    </w:lvl>
    <w:lvl w:ilvl="2" w:tplc="CC3467AE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3" w:tplc="F7DC587E">
      <w:numFmt w:val="bullet"/>
      <w:lvlText w:val="•"/>
      <w:lvlJc w:val="left"/>
      <w:pPr>
        <w:ind w:left="2916" w:hanging="720"/>
      </w:pPr>
      <w:rPr>
        <w:rFonts w:hint="default"/>
        <w:lang w:val="en-US" w:eastAsia="en-US" w:bidi="ar-SA"/>
      </w:rPr>
    </w:lvl>
    <w:lvl w:ilvl="4" w:tplc="68143724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AF306900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ar-SA"/>
      </w:rPr>
    </w:lvl>
    <w:lvl w:ilvl="6" w:tplc="7EEC99D4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0206D9F2">
      <w:numFmt w:val="bullet"/>
      <w:lvlText w:val="•"/>
      <w:lvlJc w:val="left"/>
      <w:pPr>
        <w:ind w:left="6804" w:hanging="720"/>
      </w:pPr>
      <w:rPr>
        <w:rFonts w:hint="default"/>
        <w:lang w:val="en-US" w:eastAsia="en-US" w:bidi="ar-SA"/>
      </w:rPr>
    </w:lvl>
    <w:lvl w:ilvl="8" w:tplc="B0566D96"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5"/>
  </w:num>
  <w:num w:numId="4" w16cid:durableId="1378815003">
    <w:abstractNumId w:val="16"/>
  </w:num>
  <w:num w:numId="5" w16cid:durableId="1336691477">
    <w:abstractNumId w:val="17"/>
  </w:num>
  <w:num w:numId="6" w16cid:durableId="367265008">
    <w:abstractNumId w:val="18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0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3524187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1645B"/>
    <w:rsid w:val="000B48C9"/>
    <w:rsid w:val="00101B45"/>
    <w:rsid w:val="00122CD5"/>
    <w:rsid w:val="00150947"/>
    <w:rsid w:val="001A00BB"/>
    <w:rsid w:val="001A18A7"/>
    <w:rsid w:val="001D415C"/>
    <w:rsid w:val="002524AB"/>
    <w:rsid w:val="002D2539"/>
    <w:rsid w:val="00380369"/>
    <w:rsid w:val="00392241"/>
    <w:rsid w:val="003B766A"/>
    <w:rsid w:val="004746FA"/>
    <w:rsid w:val="004B58E4"/>
    <w:rsid w:val="005B1274"/>
    <w:rsid w:val="005C1749"/>
    <w:rsid w:val="00610545"/>
    <w:rsid w:val="00617575"/>
    <w:rsid w:val="0061798F"/>
    <w:rsid w:val="00660A66"/>
    <w:rsid w:val="006E2555"/>
    <w:rsid w:val="007026DD"/>
    <w:rsid w:val="00732276"/>
    <w:rsid w:val="0076134B"/>
    <w:rsid w:val="00780D20"/>
    <w:rsid w:val="007F3B3B"/>
    <w:rsid w:val="00866DBA"/>
    <w:rsid w:val="008A1F5E"/>
    <w:rsid w:val="00902848"/>
    <w:rsid w:val="009143CB"/>
    <w:rsid w:val="0092495B"/>
    <w:rsid w:val="009443D7"/>
    <w:rsid w:val="00952B78"/>
    <w:rsid w:val="00991490"/>
    <w:rsid w:val="00A14830"/>
    <w:rsid w:val="00AC6B60"/>
    <w:rsid w:val="00AD2BCA"/>
    <w:rsid w:val="00B35BCD"/>
    <w:rsid w:val="00B74DA9"/>
    <w:rsid w:val="00BF1F84"/>
    <w:rsid w:val="00BF2359"/>
    <w:rsid w:val="00C31342"/>
    <w:rsid w:val="00C340DD"/>
    <w:rsid w:val="00C80E8E"/>
    <w:rsid w:val="00C850E8"/>
    <w:rsid w:val="00C951FB"/>
    <w:rsid w:val="00CD38C0"/>
    <w:rsid w:val="00D04628"/>
    <w:rsid w:val="00D20FF1"/>
    <w:rsid w:val="00DA5250"/>
    <w:rsid w:val="00DD1DCD"/>
    <w:rsid w:val="00DF09FC"/>
    <w:rsid w:val="00E721CD"/>
    <w:rsid w:val="00EC0E29"/>
    <w:rsid w:val="00F50430"/>
    <w:rsid w:val="00F7048E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4B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76134B"/>
    <w:pPr>
      <w:numPr>
        <w:numId w:val="6"/>
      </w:numPr>
      <w:tabs>
        <w:tab w:val="clear" w:pos="624"/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76134B"/>
    <w:pPr>
      <w:numPr>
        <w:numId w:val="7"/>
      </w:numPr>
      <w:tabs>
        <w:tab w:val="clear" w:pos="624"/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76134B"/>
    <w:pPr>
      <w:numPr>
        <w:numId w:val="8"/>
      </w:numPr>
      <w:tabs>
        <w:tab w:val="clear" w:pos="624"/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76134B"/>
    <w:pPr>
      <w:numPr>
        <w:numId w:val="10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76134B"/>
    <w:pPr>
      <w:numPr>
        <w:numId w:val="9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76134B"/>
    <w:pPr>
      <w:numPr>
        <w:ilvl w:val="5"/>
        <w:numId w:val="6"/>
      </w:numPr>
      <w:tabs>
        <w:tab w:val="clear" w:pos="624"/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6134B"/>
    <w:pPr>
      <w:widowControl w:val="0"/>
      <w:numPr>
        <w:ilvl w:val="6"/>
        <w:numId w:val="6"/>
      </w:numPr>
      <w:tabs>
        <w:tab w:val="clear" w:pos="624"/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6134B"/>
    <w:pPr>
      <w:widowControl w:val="0"/>
      <w:numPr>
        <w:ilvl w:val="7"/>
        <w:numId w:val="6"/>
      </w:numPr>
      <w:tabs>
        <w:tab w:val="clear" w:pos="624"/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6134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Header-pool"/>
    <w:link w:val="HeaderChar"/>
    <w:rsid w:val="0076134B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76134B"/>
    <w:rPr>
      <w:rFonts w:ascii="Times New Roman" w:eastAsia="Times New Roman" w:hAnsi="Times New Roman" w:cs="Times New Roman"/>
      <w:b/>
      <w:kern w:val="0"/>
      <w:sz w:val="18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nhideWhenUsed/>
    <w:rsid w:val="0076134B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76134B"/>
    <w:rPr>
      <w:rFonts w:ascii="Times New Roman" w:eastAsia="Times New Roman" w:hAnsi="Times New Roman" w:cs="Times New Roman"/>
      <w:b/>
      <w:kern w:val="0"/>
      <w:sz w:val="18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76134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76134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76134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6134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6134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6134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1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76134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76134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76134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6134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6134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6134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76134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6134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76134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76134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76134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76134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76134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76134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aliases w:val="ftref,16 Point,Superscript 6 Point,number,SUPERS,Footnote Reference Superscript,(Ref. de nota al pie),fr,Ref,de nota al pie,註腳內容,de nota al pie + (Asian) MS Mincho,Footnote Reference1,11 pt,Ref. de nota de rodapé1,stylish,4_G"/>
    <w:semiHidden/>
    <w:qFormat/>
    <w:rsid w:val="0076134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76134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761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6134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6134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76134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semiHidden/>
    <w:rsid w:val="0076134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76134B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76134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76134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34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6134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6134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qFormat/>
    <w:rsid w:val="0076134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76134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76134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76134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76134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76134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76134B"/>
    <w:rPr>
      <w:sz w:val="2"/>
    </w:rPr>
  </w:style>
  <w:style w:type="character" w:customStyle="1" w:styleId="ASpacerChar">
    <w:name w:val="A_Spacer Char"/>
    <w:basedOn w:val="DefaultParagraphFont"/>
    <w:link w:val="ASpacer"/>
    <w:rsid w:val="0076134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76134B"/>
  </w:style>
  <w:style w:type="paragraph" w:customStyle="1" w:styleId="ANormal">
    <w:name w:val="A_Normal"/>
    <w:basedOn w:val="Normal-pool"/>
    <w:qFormat/>
    <w:rsid w:val="0076134B"/>
  </w:style>
  <w:style w:type="paragraph" w:customStyle="1" w:styleId="AText0">
    <w:name w:val="A_Text0"/>
    <w:basedOn w:val="AText"/>
    <w:next w:val="Normal-pool"/>
    <w:qFormat/>
    <w:rsid w:val="0076134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76134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76134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34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76134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76134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-poolChar">
    <w:name w:val="Normal-pool Char"/>
    <w:link w:val="Normal-pool"/>
    <w:locked/>
    <w:rsid w:val="00902848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CH2Char">
    <w:name w:val="CH2 Char"/>
    <w:link w:val="CH2"/>
    <w:rsid w:val="00902848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BBTitleChar">
    <w:name w:val="BB_Title Char"/>
    <w:link w:val="BBTitle"/>
    <w:rsid w:val="00902848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ZZAnxheaderChar">
    <w:name w:val="ZZ_Anx_header Char"/>
    <w:link w:val="ZZAnxheader"/>
    <w:locked/>
    <w:rsid w:val="00902848"/>
    <w:rPr>
      <w:rFonts w:ascii="Times New Roman" w:eastAsia="Times New Roman" w:hAnsi="Times New Roman" w:cs="Times New Roman"/>
      <w:b/>
      <w:bCs/>
      <w:kern w:val="0"/>
      <w:sz w:val="28"/>
      <w:szCs w:val="22"/>
      <w:lang w:val="ru-RU" w:eastAsia="en-US"/>
      <w14:ligatures w14:val="none"/>
    </w:rPr>
  </w:style>
  <w:style w:type="paragraph" w:styleId="Revision">
    <w:name w:val="Revision"/>
    <w:hidden/>
    <w:uiPriority w:val="99"/>
    <w:semiHidden/>
    <w:rsid w:val="00B35B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ef.org/council-meeting-documents/gef-7-04" TargetMode="External"/><Relationship Id="rId3" Type="http://schemas.openxmlformats.org/officeDocument/2006/relationships/hyperlink" Target="https://mercuryconvention.org/en/parties/minamata-initial-assessments" TargetMode="External"/><Relationship Id="rId7" Type="http://schemas.openxmlformats.org/officeDocument/2006/relationships/hyperlink" Target="https://www.thegef.org/council-meeting-documents/gef-7-04" TargetMode="External"/><Relationship Id="rId2" Type="http://schemas.openxmlformats.org/officeDocument/2006/relationships/hyperlink" Target="https://mercuryconvention.org/en/parties/minamata-initial-assessments" TargetMode="External"/><Relationship Id="rId1" Type="http://schemas.openxmlformats.org/officeDocument/2006/relationships/hyperlink" Target="https://mercuryconvention.org/en/parties/minamata-initial-assessments" TargetMode="External"/><Relationship Id="rId6" Type="http://schemas.openxmlformats.org/officeDocument/2006/relationships/hyperlink" Target="https://mercuryconvention.org/en/parties/national-action-plans" TargetMode="External"/><Relationship Id="rId5" Type="http://schemas.openxmlformats.org/officeDocument/2006/relationships/hyperlink" Target="https://mercuryconvention.org/en/parties/national-action-plans" TargetMode="External"/><Relationship Id="rId4" Type="http://schemas.openxmlformats.org/officeDocument/2006/relationships/hyperlink" Target="https://mercuryconvention.org/en/parties/national-%20action-p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D622A-2267-455D-8700-B8E7AEE36B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4.xml><?xml version="1.0" encoding="utf-8"?>
<ds:datastoreItem xmlns:ds="http://schemas.openxmlformats.org/officeDocument/2006/customXml" ds:itemID="{C162B163-EF3A-4725-A323-ED0303D7B496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5049</Characters>
  <Application>Microsoft Office Word</Application>
  <DocSecurity>0</DocSecurity>
  <PresentationFormat/>
  <Lines>42</Lines>
  <Paragraphs>11</Paragraphs>
  <ScaleCrop>false</ScaleCrop>
  <Manager/>
  <Company/>
  <LinksUpToDate>false</LinksUpToDate>
  <CharactersWithSpaces>5923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Natalia Tcomaia</cp:lastModifiedBy>
  <cp:revision>3</cp:revision>
  <dcterms:created xsi:type="dcterms:W3CDTF">2025-09-08T13:07:00Z</dcterms:created>
  <dcterms:modified xsi:type="dcterms:W3CDTF">2025-09-08T13:13:00Z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