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shd w:val="clear" w:color="auto" w:fill="auto"/>
          </w:tcPr>
          <w:p w14:paraId="514141D1" w14:textId="0FD50F31" w:rsidR="00061BBD" w:rsidRPr="007008BE" w:rsidRDefault="00061BBD" w:rsidP="00061BBD">
            <w:pPr>
              <w:pStyle w:val="AUnitedNations"/>
              <w:bidi/>
            </w:pPr>
            <w:r>
              <w:rPr>
                <w:rtl/>
              </w:rPr>
              <w:t>الأمم</w:t>
            </w:r>
            <w:r>
              <w:br/>
            </w:r>
            <w:r>
              <w:rPr>
                <w:rtl/>
              </w:rPr>
              <w:t>المتحدة</w:t>
            </w:r>
          </w:p>
        </w:tc>
        <w:tc>
          <w:tcPr>
            <w:tcW w:w="6520" w:type="dxa"/>
            <w:shd w:val="clear" w:color="auto" w:fill="auto"/>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shd w:val="clear" w:color="auto" w:fill="auto"/>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shd w:val="clear" w:color="auto" w:fill="auto"/>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shd w:val="clear" w:color="auto" w:fill="auto"/>
            <w:noWrap/>
            <w:vAlign w:val="bottom"/>
          </w:tcPr>
          <w:p w14:paraId="451920E7" w14:textId="75A9A69B" w:rsidR="00061BBD" w:rsidRPr="00761D88" w:rsidRDefault="00F10E16" w:rsidP="00061BBD">
            <w:pPr>
              <w:pStyle w:val="ASymbol"/>
              <w:rPr>
                <w:lang w:val="en-US"/>
              </w:rPr>
            </w:pPr>
            <w:r w:rsidRPr="00F10E16">
              <w:rPr>
                <w:b/>
                <w:bCs/>
                <w:sz w:val="28"/>
                <w:szCs w:val="28"/>
              </w:rPr>
              <w:t>UNEP</w:t>
            </w:r>
            <w:r w:rsidRPr="00F10E16">
              <w:t>/MC/COP.</w:t>
            </w:r>
            <w:r w:rsidR="00761D88">
              <w:t>6/</w:t>
            </w:r>
            <w:r w:rsidR="006A4917">
              <w:t>8</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shd w:val="clear" w:color="auto" w:fill="auto"/>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shd w:val="clear" w:color="auto" w:fill="auto"/>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shd w:val="clear" w:color="auto" w:fill="auto"/>
          </w:tcPr>
          <w:p w14:paraId="126C65C8" w14:textId="43F2BB78" w:rsidR="00061BBD" w:rsidRDefault="00061BBD" w:rsidP="00061BBD">
            <w:pPr>
              <w:pStyle w:val="AText"/>
            </w:pPr>
            <w:r>
              <w:t xml:space="preserve">Distr.: </w:t>
            </w:r>
            <w:r w:rsidR="000B13FD">
              <w:t>General</w:t>
            </w:r>
            <w:r>
              <w:br/>
            </w:r>
            <w:r w:rsidR="00463B23">
              <w:rPr>
                <w:color w:val="000000"/>
              </w:rPr>
              <w:t>10 June</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shd w:val="clear" w:color="auto" w:fill="auto"/>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21EE6A7F" w14:textId="77777777" w:rsidR="00061BBD" w:rsidRDefault="00061BBD" w:rsidP="00892F21">
            <w:pPr>
              <w:pStyle w:val="ARAATitle1"/>
              <w:tabs>
                <w:tab w:val="clear" w:pos="1247"/>
                <w:tab w:val="clear" w:pos="1871"/>
                <w:tab w:val="clear" w:pos="2495"/>
                <w:tab w:val="clear" w:pos="3119"/>
                <w:tab w:val="clear" w:pos="3742"/>
                <w:tab w:val="clear" w:pos="4366"/>
              </w:tabs>
              <w:spacing w:line="320" w:lineRule="exact"/>
              <w:ind w:left="11"/>
              <w:jc w:val="both"/>
              <w:rPr>
                <w:color w:val="000000"/>
                <w:lang w:val="en-US"/>
              </w:rPr>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p w14:paraId="60BCC50C" w14:textId="08B5DD9E" w:rsidR="002877DC" w:rsidRPr="001115D3" w:rsidRDefault="002877DC" w:rsidP="002877DC">
            <w:pPr>
              <w:pStyle w:val="AATitle1"/>
              <w:bidi/>
              <w:textDirection w:val="tbRlV"/>
              <w:rPr>
                <w:rFonts w:ascii="Simplified Arabic" w:eastAsiaTheme="minorEastAsia" w:hAnsi="Simplified Arabic" w:cs="Simplified Arabic"/>
                <w:sz w:val="24"/>
                <w:szCs w:val="24"/>
                <w:rtl/>
                <w:lang w:val="ar-SA" w:eastAsia="zh-TW" w:bidi="en-GB"/>
              </w:rPr>
            </w:pPr>
            <w:bookmarkStart w:id="3" w:name="CorNot1AgItem"/>
            <w:r w:rsidRPr="001115D3">
              <w:rPr>
                <w:rFonts w:ascii="Simplified Arabic" w:hAnsi="Simplified Arabic" w:cs="Simplified Arabic"/>
                <w:color w:val="000000"/>
                <w:sz w:val="24"/>
                <w:szCs w:val="24"/>
                <w:rtl/>
              </w:rPr>
              <w:t>البند 4 (د) من جدول الأعمال المؤقت</w:t>
            </w:r>
            <w:r w:rsidRPr="00892F21">
              <w:rPr>
                <w:rStyle w:val="FootnoteReference"/>
                <w:rFonts w:ascii="Simplified Arabic" w:hAnsi="Simplified Arabic" w:cs="Simplified Arabic"/>
                <w:color w:val="000000"/>
                <w:sz w:val="28"/>
                <w:szCs w:val="28"/>
                <w:rtl/>
              </w:rPr>
              <w:footnoteReference w:customMarkFollows="1" w:id="1"/>
              <w:t>*</w:t>
            </w:r>
            <w:bookmarkEnd w:id="3"/>
          </w:p>
          <w:p w14:paraId="35024D45" w14:textId="44E04D3A" w:rsidR="002877DC" w:rsidRPr="00892F21" w:rsidRDefault="002877DC" w:rsidP="00DD3BB7">
            <w:pPr>
              <w:pStyle w:val="ARAATitle2"/>
              <w:tabs>
                <w:tab w:val="clear" w:pos="1247"/>
                <w:tab w:val="clear" w:pos="1871"/>
                <w:tab w:val="clear" w:pos="2495"/>
                <w:tab w:val="clear" w:pos="3119"/>
                <w:tab w:val="clear" w:pos="3742"/>
                <w:tab w:val="clear" w:pos="4366"/>
              </w:tabs>
              <w:spacing w:before="80" w:after="360"/>
              <w:ind w:right="1691"/>
              <w:jc w:val="both"/>
              <w:rPr>
                <w:sz w:val="22"/>
                <w:szCs w:val="22"/>
                <w:lang w:val="en-US"/>
              </w:rPr>
            </w:pPr>
            <w:bookmarkStart w:id="4" w:name="CorNot1AgTitle"/>
            <w:r w:rsidRPr="00892F21">
              <w:rPr>
                <w:color w:val="000000"/>
                <w:sz w:val="22"/>
                <w:szCs w:val="22"/>
                <w:rtl/>
              </w:rPr>
              <w:t>مسائل تُعرَض على مؤتمر الأطراف لكي ينظر فيها أو يتخذ إجراءً بشأنها: نفايات الزئبق</w:t>
            </w:r>
            <w:bookmarkEnd w:id="4"/>
          </w:p>
        </w:tc>
        <w:tc>
          <w:tcPr>
            <w:tcW w:w="4401" w:type="dxa"/>
            <w:shd w:val="clear" w:color="auto" w:fill="auto"/>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424DD78F" w14:textId="239AFA70" w:rsidR="003C61A6" w:rsidRPr="0012663B" w:rsidRDefault="003C61A6" w:rsidP="00152515">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both"/>
        <w:textDirection w:val="tbRlV"/>
        <w:rPr>
          <w:rFonts w:ascii="Simplified Arabic" w:hAnsi="Simplified Arabic" w:cs="Simplified Arabic"/>
          <w:sz w:val="30"/>
          <w:szCs w:val="30"/>
          <w:rtl/>
          <w:lang w:val="ar-SA" w:eastAsia="zh-TW" w:bidi="en-GB"/>
        </w:rPr>
      </w:pPr>
      <w:r w:rsidRPr="0012663B">
        <w:rPr>
          <w:rFonts w:ascii="Simplified Arabic" w:hAnsi="Simplified Arabic" w:cs="Simplified Arabic"/>
          <w:bCs/>
          <w:sz w:val="30"/>
          <w:szCs w:val="30"/>
          <w:rtl/>
        </w:rPr>
        <w:t>نفايات الزئبق</w:t>
      </w:r>
    </w:p>
    <w:p w14:paraId="3F535813" w14:textId="6314146C" w:rsidR="003C61A6" w:rsidRPr="007B6B6E" w:rsidRDefault="003C61A6" w:rsidP="00152515">
      <w:pPr>
        <w:pStyle w:val="CH2"/>
        <w:tabs>
          <w:tab w:val="clear" w:pos="851"/>
          <w:tab w:val="clear" w:pos="1247"/>
          <w:tab w:val="clear" w:pos="1871"/>
          <w:tab w:val="clear" w:pos="2495"/>
          <w:tab w:val="clear" w:pos="3119"/>
          <w:tab w:val="clear" w:pos="3742"/>
          <w:tab w:val="clear" w:pos="4366"/>
        </w:tabs>
        <w:bidi/>
        <w:spacing w:before="0" w:after="240" w:line="360" w:lineRule="exact"/>
        <w:ind w:left="1134" w:right="0" w:firstLine="0"/>
        <w:jc w:val="both"/>
        <w:textDirection w:val="tbRlV"/>
        <w:rPr>
          <w:rFonts w:ascii="Simplified Arabic" w:hAnsi="Simplified Arabic" w:cs="Simplified Arabic"/>
          <w:sz w:val="28"/>
          <w:szCs w:val="28"/>
          <w:rtl/>
          <w:lang w:val="ar-SA" w:eastAsia="zh-TW" w:bidi="en-GB"/>
        </w:rPr>
      </w:pPr>
      <w:r w:rsidRPr="007B6B6E">
        <w:rPr>
          <w:rFonts w:ascii="Simplified Arabic" w:hAnsi="Simplified Arabic" w:cs="Simplified Arabic"/>
          <w:bCs/>
          <w:sz w:val="28"/>
          <w:szCs w:val="28"/>
          <w:rtl/>
        </w:rPr>
        <w:t>مذكرة من الأمانة</w:t>
      </w:r>
    </w:p>
    <w:p w14:paraId="7B66A38C" w14:textId="16F17336" w:rsidR="003C61A6" w:rsidRPr="007B6B6E" w:rsidRDefault="003C61A6" w:rsidP="007B6B6E">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noProof/>
          <w:sz w:val="26"/>
          <w:szCs w:val="26"/>
          <w:rtl/>
          <w:lang w:val="ar-SA" w:eastAsia="zh-TW" w:bidi="en-GB"/>
        </w:rPr>
      </w:pPr>
      <w:r w:rsidRPr="007B6B6E">
        <w:rPr>
          <w:rFonts w:ascii="Simplified Arabic" w:hAnsi="Simplified Arabic" w:cs="Simplified Arabic"/>
          <w:bCs/>
          <w:sz w:val="26"/>
          <w:szCs w:val="26"/>
          <w:rtl/>
        </w:rPr>
        <w:t>أولا</w:t>
      </w:r>
      <w:r w:rsidR="00EF37B8">
        <w:rPr>
          <w:rFonts w:ascii="Simplified Arabic" w:hAnsi="Simplified Arabic" w:cs="Simplified Arabic" w:hint="cs"/>
          <w:bCs/>
          <w:sz w:val="26"/>
          <w:szCs w:val="26"/>
          <w:rtl/>
        </w:rPr>
        <w:t>ً</w:t>
      </w:r>
      <w:r w:rsidRPr="007B6B6E">
        <w:rPr>
          <w:rFonts w:ascii="Simplified Arabic" w:hAnsi="Simplified Arabic" w:cs="Simplified Arabic"/>
          <w:bCs/>
          <w:sz w:val="26"/>
          <w:szCs w:val="26"/>
          <w:rtl/>
        </w:rPr>
        <w:t>-</w:t>
      </w:r>
      <w:r w:rsidRPr="007B6B6E">
        <w:rPr>
          <w:rFonts w:ascii="Simplified Arabic" w:hAnsi="Simplified Arabic" w:cs="Simplified Arabic"/>
          <w:sz w:val="26"/>
          <w:szCs w:val="26"/>
          <w:rtl/>
        </w:rPr>
        <w:tab/>
      </w:r>
      <w:r w:rsidRPr="007B6B6E">
        <w:rPr>
          <w:rFonts w:ascii="Simplified Arabic" w:hAnsi="Simplified Arabic" w:cs="Simplified Arabic"/>
          <w:bCs/>
          <w:sz w:val="26"/>
          <w:szCs w:val="26"/>
          <w:rtl/>
        </w:rPr>
        <w:t>مقدمة</w:t>
      </w:r>
    </w:p>
    <w:p w14:paraId="2B9D191D" w14:textId="51F5B05B" w:rsidR="003C61A6" w:rsidRPr="003C61A6" w:rsidRDefault="003C61A6" w:rsidP="003A4455">
      <w:pPr>
        <w:pStyle w:val="Normalnumber"/>
        <w:numPr>
          <w:ilvl w:val="0"/>
          <w:numId w:val="37"/>
        </w:numPr>
        <w:tabs>
          <w:tab w:val="clear" w:pos="1247"/>
          <w:tab w:val="clear" w:pos="1814"/>
          <w:tab w:val="clear" w:pos="2381"/>
          <w:tab w:val="clear" w:pos="2948"/>
          <w:tab w:val="clear" w:pos="3515"/>
          <w:tab w:val="left" w:pos="1843"/>
        </w:tabs>
        <w:bidi/>
        <w:spacing w:after="120" w:line="340" w:lineRule="exact"/>
        <w:ind w:left="1134" w:firstLine="0"/>
        <w:jc w:val="both"/>
        <w:textDirection w:val="tbRlV"/>
        <w:rPr>
          <w:rFonts w:ascii="Simplified Arabic" w:hAnsi="Simplified Arabic" w:cs="Simplified Arabic"/>
          <w:noProof/>
          <w:sz w:val="24"/>
          <w:szCs w:val="24"/>
          <w:rtl/>
          <w:lang w:val="ar-SA" w:eastAsia="zh-TW" w:bidi="en-GB"/>
        </w:rPr>
      </w:pPr>
      <w:r w:rsidRPr="003C61A6">
        <w:rPr>
          <w:rFonts w:ascii="Simplified Arabic" w:hAnsi="Simplified Arabic" w:cs="Simplified Arabic"/>
          <w:sz w:val="24"/>
          <w:szCs w:val="24"/>
          <w:rtl/>
        </w:rPr>
        <w:t>تنص الفقرة 3 (أ) من المادة 11 من اتفاقية ميناماتا بشأن الزئبق أن يتخذ كل طرف تدابير مناسبة لإدارة نفايات الزئبق بطريقة سليمة بيئياً، على أن تؤخذ المبادئ التوجيهية الموضوعة بموجب اتفاقية بازل بشأن التحكم في نقل النفايات الخطرة والتخلص منها عبر الحدود بعين الاعتبار ووفقاً للمتطلبات التي يعتمدها مؤتمر الأطراف في اتفاقية ميناماتا في مرفق إضافي وفقا للمادة 27 من الاتفاقية. وتنص الفقرة 3 (أ) أيضا أن يراعي مؤتمر الأطراف، عند وضعه الشروط، أنظمة وبرامج إدارة النفايات السارية لدى الأطراف. ولم يعتمد مؤتمر الأطراف حتى الآن مرفقاً إضافياً ذا صلة بالفقرة 3 (أ) من المادة 11.</w:t>
      </w:r>
    </w:p>
    <w:p w14:paraId="44D92CB3" w14:textId="451A2C53" w:rsidR="003C61A6" w:rsidRPr="00190BED" w:rsidRDefault="003C61A6" w:rsidP="00C7654B">
      <w:pPr>
        <w:pStyle w:val="Normalnumber"/>
        <w:numPr>
          <w:ilvl w:val="0"/>
          <w:numId w:val="37"/>
        </w:numPr>
        <w:tabs>
          <w:tab w:val="clear" w:pos="1247"/>
          <w:tab w:val="clear" w:pos="1814"/>
          <w:tab w:val="clear" w:pos="2381"/>
          <w:tab w:val="clear" w:pos="2948"/>
          <w:tab w:val="clear" w:pos="3515"/>
          <w:tab w:val="left" w:pos="1843"/>
        </w:tabs>
        <w:bidi/>
        <w:spacing w:after="120" w:line="340" w:lineRule="exact"/>
        <w:ind w:left="1134" w:firstLine="0"/>
        <w:jc w:val="lowKashida"/>
        <w:textDirection w:val="tbRlV"/>
        <w:rPr>
          <w:rFonts w:ascii="Simplified Arabic" w:hAnsi="Simplified Arabic" w:cs="Simplified Arabic"/>
          <w:noProof/>
          <w:w w:val="105"/>
          <w:sz w:val="24"/>
          <w:szCs w:val="24"/>
          <w:rtl/>
          <w:lang w:val="ar-SA" w:eastAsia="zh-TW" w:bidi="en-GB"/>
        </w:rPr>
      </w:pPr>
      <w:r w:rsidRPr="00190BED">
        <w:rPr>
          <w:rFonts w:ascii="Simplified Arabic" w:hAnsi="Simplified Arabic" w:cs="Simplified Arabic"/>
          <w:w w:val="105"/>
          <w:sz w:val="24"/>
          <w:szCs w:val="24"/>
          <w:rtl/>
        </w:rPr>
        <w:t>ودعا مؤتمر الأطراف، في المقرر ا م-5/10، الأطراف إلى أن تقدم إلى الأمانة بحلول 31</w:t>
      </w:r>
      <w:r w:rsidR="001D1CD8" w:rsidRPr="00190BED">
        <w:rPr>
          <w:rFonts w:ascii="Simplified Arabic" w:hAnsi="Simplified Arabic" w:cs="Simplified Arabic"/>
          <w:w w:val="105"/>
          <w:sz w:val="24"/>
          <w:szCs w:val="24"/>
        </w:rPr>
        <w:t> </w:t>
      </w:r>
      <w:r w:rsidRPr="00190BED">
        <w:rPr>
          <w:rFonts w:ascii="Simplified Arabic" w:hAnsi="Simplified Arabic" w:cs="Simplified Arabic"/>
          <w:w w:val="105"/>
          <w:sz w:val="24"/>
          <w:szCs w:val="24"/>
          <w:rtl/>
        </w:rPr>
        <w:t>تشرين</w:t>
      </w:r>
      <w:r w:rsidR="001D1CD8" w:rsidRPr="00190BED">
        <w:rPr>
          <w:rFonts w:ascii="Simplified Arabic" w:hAnsi="Simplified Arabic" w:cs="Simplified Arabic"/>
          <w:w w:val="105"/>
          <w:sz w:val="24"/>
          <w:szCs w:val="24"/>
        </w:rPr>
        <w:t> </w:t>
      </w:r>
      <w:r w:rsidRPr="00190BED">
        <w:rPr>
          <w:rFonts w:ascii="Simplified Arabic" w:hAnsi="Simplified Arabic" w:cs="Simplified Arabic"/>
          <w:w w:val="105"/>
          <w:sz w:val="24"/>
          <w:szCs w:val="24"/>
          <w:rtl/>
        </w:rPr>
        <w:t>الأول/أكتوبر 2024 معلومات عن أنظمتها وبرامجها لإدارة النفايات على النحو المذكور في الفقرة 3</w:t>
      </w:r>
      <w:r w:rsidR="001D1CD8" w:rsidRPr="00190BED">
        <w:rPr>
          <w:rFonts w:ascii="Simplified Arabic" w:hAnsi="Simplified Arabic" w:cs="Simplified Arabic"/>
          <w:w w:val="105"/>
          <w:sz w:val="24"/>
          <w:szCs w:val="24"/>
        </w:rPr>
        <w:t> </w:t>
      </w:r>
      <w:r w:rsidRPr="00190BED">
        <w:rPr>
          <w:rFonts w:ascii="Simplified Arabic" w:hAnsi="Simplified Arabic" w:cs="Simplified Arabic"/>
          <w:w w:val="105"/>
          <w:sz w:val="24"/>
          <w:szCs w:val="24"/>
          <w:rtl/>
        </w:rPr>
        <w:t>(أ) من المادة</w:t>
      </w:r>
      <w:r w:rsidR="001D1CD8" w:rsidRPr="00190BED">
        <w:rPr>
          <w:rFonts w:ascii="Simplified Arabic" w:hAnsi="Simplified Arabic" w:cs="Simplified Arabic"/>
          <w:w w:val="105"/>
          <w:sz w:val="24"/>
          <w:szCs w:val="24"/>
        </w:rPr>
        <w:t> </w:t>
      </w:r>
      <w:r w:rsidRPr="00190BED">
        <w:rPr>
          <w:rFonts w:ascii="Simplified Arabic" w:hAnsi="Simplified Arabic" w:cs="Simplified Arabic"/>
          <w:w w:val="105"/>
          <w:sz w:val="24"/>
          <w:szCs w:val="24"/>
          <w:rtl/>
        </w:rPr>
        <w:t>11، مع التركيز على المسائل التي لا تتناولها المبادئ التوجيهية التقنية بشأن الإدارة السليمة بيئياً للنفايات المكونة من الزئبق أو مركبات الزئبق أو المحتوية عليها أو الملوثة بها</w:t>
      </w:r>
      <w:r w:rsidRPr="00190BED">
        <w:rPr>
          <w:rFonts w:ascii="Simplified Arabic" w:hAnsi="Simplified Arabic" w:cs="Simplified Arabic"/>
          <w:w w:val="105"/>
          <w:sz w:val="24"/>
          <w:szCs w:val="24"/>
          <w:vertAlign w:val="superscript"/>
          <w:rtl/>
        </w:rPr>
        <w:t>(</w:t>
      </w:r>
      <w:r w:rsidRPr="00190BED">
        <w:rPr>
          <w:rStyle w:val="FootnoteReference"/>
          <w:rFonts w:ascii="Simplified Arabic" w:hAnsi="Simplified Arabic" w:cs="Simplified Arabic"/>
          <w:noProof/>
          <w:w w:val="105"/>
          <w:sz w:val="24"/>
          <w:szCs w:val="24"/>
          <w:rtl/>
        </w:rPr>
        <w:footnoteReference w:id="2"/>
      </w:r>
      <w:r w:rsidRPr="00190BED">
        <w:rPr>
          <w:rFonts w:ascii="Simplified Arabic" w:hAnsi="Simplified Arabic" w:cs="Simplified Arabic"/>
          <w:w w:val="105"/>
          <w:sz w:val="24"/>
          <w:szCs w:val="24"/>
          <w:vertAlign w:val="superscript"/>
          <w:rtl/>
        </w:rPr>
        <w:t>)</w:t>
      </w:r>
      <w:r w:rsidRPr="00190BED">
        <w:rPr>
          <w:rFonts w:ascii="Simplified Arabic" w:hAnsi="Simplified Arabic" w:cs="Simplified Arabic"/>
          <w:w w:val="105"/>
          <w:sz w:val="24"/>
          <w:szCs w:val="24"/>
          <w:rtl/>
        </w:rPr>
        <w:t>؛</w:t>
      </w:r>
    </w:p>
    <w:p w14:paraId="5A94AD96" w14:textId="77777777" w:rsidR="003C61A6" w:rsidRPr="003C61A6" w:rsidRDefault="003C61A6" w:rsidP="003A4455">
      <w:pPr>
        <w:pStyle w:val="Normalnumber"/>
        <w:numPr>
          <w:ilvl w:val="0"/>
          <w:numId w:val="37"/>
        </w:numPr>
        <w:tabs>
          <w:tab w:val="clear" w:pos="1247"/>
          <w:tab w:val="clear" w:pos="1814"/>
          <w:tab w:val="clear" w:pos="2381"/>
          <w:tab w:val="clear" w:pos="2948"/>
          <w:tab w:val="clear" w:pos="3515"/>
          <w:tab w:val="left" w:pos="1843"/>
        </w:tabs>
        <w:bidi/>
        <w:spacing w:after="120" w:line="340" w:lineRule="exact"/>
        <w:ind w:left="1134" w:firstLine="0"/>
        <w:jc w:val="lowKashida"/>
        <w:textDirection w:val="tbRlV"/>
        <w:rPr>
          <w:rFonts w:ascii="Simplified Arabic" w:hAnsi="Simplified Arabic" w:cs="Simplified Arabic"/>
          <w:noProof/>
          <w:sz w:val="24"/>
          <w:szCs w:val="24"/>
          <w:rtl/>
          <w:lang w:val="ar-SA" w:eastAsia="zh-TW" w:bidi="en-GB"/>
        </w:rPr>
      </w:pPr>
      <w:r w:rsidRPr="003C61A6">
        <w:rPr>
          <w:rFonts w:ascii="Simplified Arabic" w:hAnsi="Simplified Arabic" w:cs="Simplified Arabic"/>
          <w:sz w:val="24"/>
          <w:szCs w:val="24"/>
          <w:rtl/>
        </w:rPr>
        <w:t>وقد وردت ثمانية تقارير من الأطراف</w:t>
      </w:r>
      <w:r w:rsidRPr="0001758F">
        <w:rPr>
          <w:rFonts w:ascii="Simplified Arabic" w:hAnsi="Simplified Arabic" w:cs="Simplified Arabic"/>
          <w:sz w:val="24"/>
          <w:szCs w:val="24"/>
          <w:vertAlign w:val="superscript"/>
          <w:rtl/>
        </w:rPr>
        <w:t>(</w:t>
      </w:r>
      <w:r w:rsidRPr="0001758F">
        <w:rPr>
          <w:rStyle w:val="FootnoteReference"/>
          <w:rFonts w:ascii="Simplified Arabic" w:hAnsi="Simplified Arabic" w:cs="Simplified Arabic"/>
          <w:noProof/>
          <w:sz w:val="24"/>
          <w:szCs w:val="24"/>
          <w:rtl/>
        </w:rPr>
        <w:footnoteReference w:id="3"/>
      </w:r>
      <w:r w:rsidRPr="0001758F">
        <w:rPr>
          <w:rFonts w:ascii="Simplified Arabic" w:hAnsi="Simplified Arabic" w:cs="Simplified Arabic"/>
          <w:sz w:val="24"/>
          <w:szCs w:val="24"/>
          <w:vertAlign w:val="superscript"/>
          <w:rtl/>
        </w:rPr>
        <w:t>)</w:t>
      </w:r>
      <w:r w:rsidRPr="003C61A6">
        <w:rPr>
          <w:rFonts w:ascii="Simplified Arabic" w:hAnsi="Simplified Arabic" w:cs="Simplified Arabic"/>
          <w:sz w:val="24"/>
          <w:szCs w:val="24"/>
          <w:rtl/>
        </w:rPr>
        <w:t xml:space="preserve"> ونشرت على الموقع الشبكي للاتفاقية</w:t>
      </w:r>
      <w:r w:rsidRPr="0001758F">
        <w:rPr>
          <w:rFonts w:ascii="Simplified Arabic" w:hAnsi="Simplified Arabic" w:cs="Simplified Arabic"/>
          <w:sz w:val="24"/>
          <w:szCs w:val="24"/>
          <w:vertAlign w:val="superscript"/>
          <w:rtl/>
        </w:rPr>
        <w:t>(</w:t>
      </w:r>
      <w:r w:rsidRPr="0001758F">
        <w:rPr>
          <w:rStyle w:val="FootnoteReference"/>
          <w:rFonts w:ascii="Simplified Arabic" w:hAnsi="Simplified Arabic" w:cs="Simplified Arabic"/>
          <w:noProof/>
          <w:sz w:val="24"/>
          <w:szCs w:val="24"/>
          <w:rtl/>
        </w:rPr>
        <w:footnoteReference w:id="4"/>
      </w:r>
      <w:r w:rsidRPr="0001758F">
        <w:rPr>
          <w:rFonts w:ascii="Simplified Arabic" w:hAnsi="Simplified Arabic" w:cs="Simplified Arabic"/>
          <w:sz w:val="24"/>
          <w:szCs w:val="24"/>
          <w:vertAlign w:val="superscript"/>
          <w:rtl/>
        </w:rPr>
        <w:t>)</w:t>
      </w:r>
      <w:r w:rsidRPr="003C61A6">
        <w:rPr>
          <w:rFonts w:ascii="Simplified Arabic" w:hAnsi="Simplified Arabic" w:cs="Simplified Arabic"/>
          <w:sz w:val="24"/>
          <w:szCs w:val="24"/>
          <w:rtl/>
        </w:rPr>
        <w:t xml:space="preserve">. وترد لمحة عامة عن المعلومات المقدمة في الجزء الثاني من هذه المذكرة. ويرد تجميع للتقارير المقدمة في الوثيقة </w:t>
      </w:r>
      <w:r w:rsidRPr="00B107A4">
        <w:rPr>
          <w:rFonts w:asciiTheme="majorBidi" w:hAnsiTheme="majorBidi" w:cstheme="majorBidi"/>
          <w:sz w:val="22"/>
          <w:szCs w:val="22"/>
          <w:rtl/>
        </w:rPr>
        <w:t>UNEP/MC/COP.6/INF/12</w:t>
      </w:r>
      <w:r w:rsidRPr="003C61A6">
        <w:rPr>
          <w:rFonts w:ascii="Simplified Arabic" w:hAnsi="Simplified Arabic" w:cs="Simplified Arabic"/>
          <w:sz w:val="24"/>
          <w:szCs w:val="24"/>
          <w:rtl/>
        </w:rPr>
        <w:t>.</w:t>
      </w:r>
    </w:p>
    <w:p w14:paraId="14D4362D" w14:textId="77777777" w:rsidR="003C61A6" w:rsidRPr="003C61A6" w:rsidRDefault="003C61A6" w:rsidP="0050416A">
      <w:pPr>
        <w:pStyle w:val="Normalnumber"/>
        <w:numPr>
          <w:ilvl w:val="0"/>
          <w:numId w:val="3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3C61A6">
        <w:rPr>
          <w:rFonts w:ascii="Simplified Arabic" w:hAnsi="Simplified Arabic" w:cs="Simplified Arabic"/>
          <w:sz w:val="24"/>
          <w:szCs w:val="24"/>
          <w:rtl/>
        </w:rPr>
        <w:lastRenderedPageBreak/>
        <w:t>وقام مؤتمر الأطراف، في المقرر ا م-5/10، أيضا بما يلي:</w:t>
      </w:r>
    </w:p>
    <w:p w14:paraId="2C2F184B" w14:textId="698297A4" w:rsidR="003C61A6" w:rsidRPr="003C61A6" w:rsidRDefault="003C61A6" w:rsidP="006A02C9">
      <w:pPr>
        <w:pStyle w:val="Normalnumber"/>
        <w:keepNext/>
        <w:keepLines/>
        <w:numPr>
          <w:ilvl w:val="0"/>
          <w:numId w:val="50"/>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3C61A6">
        <w:rPr>
          <w:rFonts w:ascii="Simplified Arabic" w:hAnsi="Simplified Arabic" w:cs="Simplified Arabic"/>
          <w:sz w:val="24"/>
          <w:szCs w:val="24"/>
          <w:rtl/>
        </w:rPr>
        <w:t>دعا الأطراف وأصحاب المصلحة المعنيين إلى أن يقدموا إلى الأمانة أي بيانات ومعلومات علمية وتنظيمية عن فعالية العتبة المحددة في الفقرة 1 من المقرر بشأن حماية الصحة البشرية والبيئة، فضلاً عن التحديات والخبرات المتصلة باستخدامها، لينظر فيها مؤتمر الأطراف في اجتماعه السابع (الفقرة 5)؛</w:t>
      </w:r>
    </w:p>
    <w:p w14:paraId="25C3B4B6" w14:textId="77777777" w:rsidR="003C61A6" w:rsidRPr="003C61A6" w:rsidRDefault="003C61A6" w:rsidP="006A02C9">
      <w:pPr>
        <w:pStyle w:val="Normalnumber"/>
        <w:keepNext/>
        <w:keepLines/>
        <w:numPr>
          <w:ilvl w:val="0"/>
          <w:numId w:val="50"/>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3C61A6">
        <w:rPr>
          <w:rFonts w:ascii="Simplified Arabic" w:hAnsi="Simplified Arabic" w:cs="Simplified Arabic"/>
          <w:sz w:val="24"/>
          <w:szCs w:val="24"/>
          <w:rtl/>
        </w:rPr>
        <w:t>قرر أن ينظر، في اجتماعه السابع، فيما إذا كانت هناك حاجة إلى إدخال أي تحديثات على القوائم الواردة في الجداول 1 و2 و3 من مرفق المقرر ا م-3/5، مع الإقرار بتلقي الطلب الوارد في الفقرة 9 من ذلك المقرر (الفقرة 8)</w:t>
      </w:r>
      <w:r w:rsidRPr="0001758F">
        <w:rPr>
          <w:rFonts w:ascii="Simplified Arabic" w:hAnsi="Simplified Arabic" w:cs="Simplified Arabic"/>
          <w:sz w:val="24"/>
          <w:szCs w:val="24"/>
          <w:vertAlign w:val="superscript"/>
          <w:rtl/>
        </w:rPr>
        <w:t>(</w:t>
      </w:r>
      <w:r w:rsidRPr="0001758F">
        <w:rPr>
          <w:rStyle w:val="FootnoteReference"/>
          <w:rFonts w:ascii="Simplified Arabic" w:hAnsi="Simplified Arabic" w:cs="Simplified Arabic"/>
          <w:sz w:val="24"/>
          <w:szCs w:val="24"/>
          <w:rtl/>
        </w:rPr>
        <w:footnoteReference w:id="5"/>
      </w:r>
      <w:r w:rsidRPr="0001758F">
        <w:rPr>
          <w:rFonts w:ascii="Simplified Arabic" w:hAnsi="Simplified Arabic" w:cs="Simplified Arabic"/>
          <w:sz w:val="24"/>
          <w:szCs w:val="24"/>
          <w:vertAlign w:val="superscript"/>
          <w:rtl/>
        </w:rPr>
        <w:t>)</w:t>
      </w:r>
      <w:r w:rsidRPr="003C61A6">
        <w:rPr>
          <w:rFonts w:ascii="Simplified Arabic" w:hAnsi="Simplified Arabic" w:cs="Simplified Arabic"/>
          <w:sz w:val="24"/>
          <w:szCs w:val="24"/>
          <w:rtl/>
        </w:rPr>
        <w:t>؛</w:t>
      </w:r>
    </w:p>
    <w:p w14:paraId="5FF87E2F" w14:textId="77777777" w:rsidR="003C61A6" w:rsidRPr="003C61A6" w:rsidRDefault="003C61A6" w:rsidP="006A02C9">
      <w:pPr>
        <w:pStyle w:val="Normalnumber"/>
        <w:keepNext/>
        <w:keepLines/>
        <w:numPr>
          <w:ilvl w:val="0"/>
          <w:numId w:val="50"/>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3C61A6">
        <w:rPr>
          <w:rFonts w:ascii="Simplified Arabic" w:hAnsi="Simplified Arabic" w:cs="Simplified Arabic"/>
          <w:sz w:val="24"/>
          <w:szCs w:val="24"/>
          <w:rtl/>
        </w:rPr>
        <w:t>دعا مؤتمر الأطراف في اتفاقية بازل إلى النظر في الاتجار غير المشروع بنفايات الزئبق، حسب الاقتضاء، مع التشديد على الحاجة إلى بذل جهود تعاونية لضمان حماية الصحة البشرية والبيئة (الفقرة 12)؛</w:t>
      </w:r>
    </w:p>
    <w:p w14:paraId="5B0DC9A2" w14:textId="77777777" w:rsidR="003C61A6" w:rsidRPr="003C61A6" w:rsidRDefault="003C61A6" w:rsidP="00A650B0">
      <w:pPr>
        <w:pStyle w:val="Normalnumber"/>
        <w:keepNext/>
        <w:keepLines/>
        <w:numPr>
          <w:ilvl w:val="0"/>
          <w:numId w:val="50"/>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3C61A6">
        <w:rPr>
          <w:rFonts w:ascii="Simplified Arabic" w:hAnsi="Simplified Arabic" w:cs="Simplified Arabic"/>
          <w:sz w:val="24"/>
          <w:szCs w:val="24"/>
          <w:rtl/>
        </w:rPr>
        <w:t>طلب إلى الأمانة أن تحيل المقرر 5/10 إلى الهيئات المختصة في اتفاقية بازل وأن تدعوها إلى أخذه في الاعتبار، حسب الاقتضاء (الفقرة 13)؛</w:t>
      </w:r>
    </w:p>
    <w:p w14:paraId="3AFD2FA8" w14:textId="443F07F1" w:rsidR="003C61A6" w:rsidRPr="0050416A" w:rsidRDefault="003C61A6" w:rsidP="0050416A">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6"/>
          <w:szCs w:val="26"/>
          <w:rtl/>
          <w:lang w:bidi="en-GB"/>
        </w:rPr>
      </w:pPr>
      <w:r w:rsidRPr="0050416A">
        <w:rPr>
          <w:rFonts w:ascii="Simplified Arabic" w:hAnsi="Simplified Arabic" w:cs="Simplified Arabic"/>
          <w:bCs/>
          <w:sz w:val="26"/>
          <w:szCs w:val="26"/>
          <w:rtl/>
        </w:rPr>
        <w:t>ثانيا</w:t>
      </w:r>
      <w:r w:rsidR="0050416A">
        <w:rPr>
          <w:rFonts w:ascii="Simplified Arabic" w:hAnsi="Simplified Arabic" w:cs="Simplified Arabic" w:hint="cs"/>
          <w:bCs/>
          <w:sz w:val="26"/>
          <w:szCs w:val="26"/>
          <w:rtl/>
        </w:rPr>
        <w:t>ً</w:t>
      </w:r>
      <w:r w:rsidRPr="0050416A">
        <w:rPr>
          <w:rFonts w:ascii="Simplified Arabic" w:hAnsi="Simplified Arabic" w:cs="Simplified Arabic"/>
          <w:bCs/>
          <w:sz w:val="26"/>
          <w:szCs w:val="26"/>
          <w:rtl/>
        </w:rPr>
        <w:t>-</w:t>
      </w:r>
      <w:r w:rsidRPr="0050416A">
        <w:rPr>
          <w:rFonts w:ascii="Simplified Arabic" w:hAnsi="Simplified Arabic" w:cs="Simplified Arabic"/>
          <w:bCs/>
          <w:sz w:val="26"/>
          <w:szCs w:val="26"/>
          <w:rtl/>
        </w:rPr>
        <w:tab/>
        <w:t>نظرة عامة على المعلومات المقدمة عملاً بالمقرر ا م-5/10</w:t>
      </w:r>
    </w:p>
    <w:p w14:paraId="1E1A17C6" w14:textId="77777777" w:rsidR="003C61A6" w:rsidRPr="003C61A6" w:rsidRDefault="003C61A6" w:rsidP="0050416A">
      <w:pPr>
        <w:pStyle w:val="Normalnumber"/>
        <w:numPr>
          <w:ilvl w:val="0"/>
          <w:numId w:val="3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3C61A6">
        <w:rPr>
          <w:rFonts w:ascii="Simplified Arabic" w:hAnsi="Simplified Arabic" w:cs="Simplified Arabic"/>
          <w:sz w:val="24"/>
          <w:szCs w:val="24"/>
          <w:rtl/>
        </w:rPr>
        <w:t>يقدم هذا الجزء لمحة عامة عن المعلومات المقدمة من الأطراف لينظر فيها مؤتمر الأطراف في اجتماعه السادس. وسيُنظر في المعلومات المتعلقة بفعالية العتبات في الاجتماع السابع.</w:t>
      </w:r>
    </w:p>
    <w:p w14:paraId="6A0ED54D" w14:textId="77777777" w:rsidR="003C61A6" w:rsidRPr="003C61A6" w:rsidRDefault="003C61A6" w:rsidP="0050416A">
      <w:pPr>
        <w:pStyle w:val="Normalnumber"/>
        <w:numPr>
          <w:ilvl w:val="0"/>
          <w:numId w:val="3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3C61A6">
        <w:rPr>
          <w:rFonts w:ascii="Simplified Arabic" w:hAnsi="Simplified Arabic" w:cs="Simplified Arabic"/>
          <w:sz w:val="24"/>
          <w:szCs w:val="24"/>
          <w:rtl/>
        </w:rPr>
        <w:t>وفيما يتعلق بلوائح وبرامج إدارة النفايات:</w:t>
      </w:r>
    </w:p>
    <w:p w14:paraId="5619EB06" w14:textId="77777777" w:rsidR="003C61A6" w:rsidRPr="003C61A6" w:rsidRDefault="003C61A6" w:rsidP="00A650B0">
      <w:pPr>
        <w:pStyle w:val="Normalnumber"/>
        <w:numPr>
          <w:ilvl w:val="0"/>
          <w:numId w:val="54"/>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3C61A6">
        <w:rPr>
          <w:rFonts w:ascii="Simplified Arabic" w:hAnsi="Simplified Arabic" w:cs="Simplified Arabic"/>
          <w:sz w:val="24"/>
          <w:szCs w:val="24"/>
          <w:rtl/>
        </w:rPr>
        <w:t>قدمت الأرجنتين معلومات عن القوانين والمراسيم التنظيمية التي تعتبر بموجبها نفايات الزئبق، على النحو المحدد في الاتفاقية، نفايات خطرة وعن القرارات الحكومية التي تصنف النفايات وفقاً لخطورتها وتوفر المتطلبات التقنية لإدارتها؛</w:t>
      </w:r>
    </w:p>
    <w:p w14:paraId="3B5A2F47" w14:textId="77777777" w:rsidR="003C61A6" w:rsidRPr="003C61A6" w:rsidRDefault="003C61A6" w:rsidP="00A650B0">
      <w:pPr>
        <w:pStyle w:val="Normalnumber"/>
        <w:numPr>
          <w:ilvl w:val="0"/>
          <w:numId w:val="54"/>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3C61A6">
        <w:rPr>
          <w:rFonts w:ascii="Simplified Arabic" w:hAnsi="Simplified Arabic" w:cs="Simplified Arabic"/>
          <w:sz w:val="24"/>
          <w:szCs w:val="24"/>
          <w:rtl/>
        </w:rPr>
        <w:t>قدمت كوستاريكا معلومات عن القوانين واللوائح المتعلقة بالإدارة المتكاملة للنفايات، وتصنيف النفايات الخطرة وإدارتها، وإدارة النفايات الإلكترونية؛</w:t>
      </w:r>
    </w:p>
    <w:p w14:paraId="0DD4986E" w14:textId="7B3DA823" w:rsidR="003C61A6" w:rsidRPr="003C61A6" w:rsidRDefault="003C61A6" w:rsidP="00A650B0">
      <w:pPr>
        <w:pStyle w:val="Normalnumber"/>
        <w:numPr>
          <w:ilvl w:val="0"/>
          <w:numId w:val="54"/>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3C61A6">
        <w:rPr>
          <w:rFonts w:ascii="Simplified Arabic" w:hAnsi="Simplified Arabic" w:cs="Simplified Arabic"/>
          <w:sz w:val="24"/>
          <w:szCs w:val="24"/>
          <w:rtl/>
        </w:rPr>
        <w:t xml:space="preserve">قدم الاتحاد الأوروبي ودوله الأعضاء معلومات عن اللائحة (الاتحاد الأوروبي) 2017/852 بشأن الزئبق، والتوجيه </w:t>
      </w:r>
      <w:r w:rsidRPr="00D06CEF">
        <w:rPr>
          <w:rFonts w:asciiTheme="majorBidi" w:hAnsiTheme="majorBidi" w:cstheme="majorBidi"/>
          <w:sz w:val="22"/>
          <w:szCs w:val="22"/>
          <w:lang w:val="en-US"/>
        </w:rPr>
        <w:t>EC</w:t>
      </w:r>
      <w:r w:rsidRPr="00D06CEF">
        <w:rPr>
          <w:rFonts w:asciiTheme="majorBidi" w:hAnsiTheme="majorBidi" w:cstheme="majorBidi"/>
          <w:sz w:val="22"/>
          <w:szCs w:val="22"/>
          <w:rtl/>
          <w:lang w:val="en-US"/>
        </w:rPr>
        <w:t>/98/2008</w:t>
      </w:r>
      <w:r w:rsidRPr="003C61A6">
        <w:rPr>
          <w:rFonts w:ascii="Simplified Arabic" w:hAnsi="Simplified Arabic" w:cs="Simplified Arabic"/>
          <w:sz w:val="24"/>
          <w:szCs w:val="24"/>
          <w:rtl/>
        </w:rPr>
        <w:t xml:space="preserve"> بشأن النفايات، واللائحة (المفوضية الأوروبية) 1013/2006 بشأن شحن النفايات، والتوجيه </w:t>
      </w:r>
      <w:r w:rsidRPr="00D06CEF">
        <w:rPr>
          <w:rFonts w:asciiTheme="majorBidi" w:hAnsiTheme="majorBidi" w:cstheme="majorBidi"/>
          <w:sz w:val="22"/>
          <w:szCs w:val="22"/>
          <w:lang w:val="en-US"/>
        </w:rPr>
        <w:t>EC</w:t>
      </w:r>
      <w:r w:rsidRPr="00D06CEF">
        <w:rPr>
          <w:rFonts w:asciiTheme="majorBidi" w:hAnsiTheme="majorBidi" w:cstheme="majorBidi"/>
          <w:sz w:val="22"/>
          <w:szCs w:val="22"/>
          <w:rtl/>
          <w:lang w:val="en-US"/>
        </w:rPr>
        <w:t>/21/2006</w:t>
      </w:r>
      <w:r w:rsidRPr="003C61A6">
        <w:rPr>
          <w:rFonts w:ascii="Simplified Arabic" w:hAnsi="Simplified Arabic" w:cs="Simplified Arabic"/>
          <w:sz w:val="24"/>
          <w:szCs w:val="24"/>
          <w:rtl/>
        </w:rPr>
        <w:t xml:space="preserve"> بشأن النفايات الاستخراجية، والتوجيه </w:t>
      </w:r>
      <w:r w:rsidRPr="00D06CEF">
        <w:rPr>
          <w:rFonts w:asciiTheme="majorBidi" w:hAnsiTheme="majorBidi" w:cstheme="majorBidi"/>
          <w:sz w:val="22"/>
          <w:szCs w:val="22"/>
          <w:lang w:val="en-US"/>
        </w:rPr>
        <w:t>EC</w:t>
      </w:r>
      <w:r w:rsidRPr="00D06CEF">
        <w:rPr>
          <w:rFonts w:asciiTheme="majorBidi" w:hAnsiTheme="majorBidi" w:cstheme="majorBidi"/>
          <w:sz w:val="22"/>
          <w:szCs w:val="22"/>
          <w:rtl/>
          <w:lang w:val="en-US"/>
        </w:rPr>
        <w:t>/31/1999</w:t>
      </w:r>
      <w:r w:rsidRPr="003C61A6">
        <w:rPr>
          <w:rFonts w:ascii="Simplified Arabic" w:hAnsi="Simplified Arabic" w:cs="Simplified Arabic"/>
          <w:sz w:val="24"/>
          <w:szCs w:val="24"/>
          <w:rtl/>
        </w:rPr>
        <w:t xml:space="preserve"> بشأن دفن النفايات، والتوجيه </w:t>
      </w:r>
      <w:r w:rsidR="00CC24AD" w:rsidRPr="00CC24AD">
        <w:rPr>
          <w:sz w:val="22"/>
          <w:szCs w:val="22"/>
        </w:rPr>
        <w:t>86/278/EEC</w:t>
      </w:r>
      <w:r w:rsidRPr="003C61A6">
        <w:rPr>
          <w:rFonts w:ascii="Simplified Arabic" w:hAnsi="Simplified Arabic" w:cs="Simplified Arabic"/>
          <w:sz w:val="24"/>
          <w:szCs w:val="24"/>
          <w:rtl/>
        </w:rPr>
        <w:t xml:space="preserve"> بشأن حماية البيئة؛</w:t>
      </w:r>
    </w:p>
    <w:p w14:paraId="2FE85B13" w14:textId="77777777" w:rsidR="003C61A6" w:rsidRPr="003C61A6" w:rsidRDefault="003C61A6" w:rsidP="0055526F">
      <w:pPr>
        <w:pStyle w:val="Normalnumber"/>
        <w:numPr>
          <w:ilvl w:val="0"/>
          <w:numId w:val="54"/>
        </w:numPr>
        <w:tabs>
          <w:tab w:val="clear" w:pos="1247"/>
          <w:tab w:val="clear" w:pos="1814"/>
          <w:tab w:val="clear" w:pos="2381"/>
          <w:tab w:val="clear" w:pos="2948"/>
          <w:tab w:val="clear" w:pos="3515"/>
          <w:tab w:val="left" w:pos="2552"/>
        </w:tabs>
        <w:bidi/>
        <w:spacing w:after="120" w:line="360" w:lineRule="exact"/>
        <w:ind w:left="1134" w:firstLine="709"/>
        <w:jc w:val="lowKashida"/>
        <w:textDirection w:val="tbRlV"/>
        <w:rPr>
          <w:rFonts w:ascii="Simplified Arabic" w:hAnsi="Simplified Arabic" w:cs="Simplified Arabic"/>
          <w:sz w:val="24"/>
          <w:szCs w:val="24"/>
          <w:rtl/>
          <w:lang w:val="ar-SA" w:eastAsia="zh-TW" w:bidi="en-GB"/>
        </w:rPr>
      </w:pPr>
      <w:r w:rsidRPr="003C61A6">
        <w:rPr>
          <w:rFonts w:ascii="Simplified Arabic" w:hAnsi="Simplified Arabic" w:cs="Simplified Arabic"/>
          <w:sz w:val="24"/>
          <w:szCs w:val="24"/>
          <w:rtl/>
        </w:rPr>
        <w:t>قدمت اليابان معلومات عن قانون إدارة النفايات والتطهير العام وعن أمر إنفاذ قانون إدارة النفايات والتطهير العام؛</w:t>
      </w:r>
    </w:p>
    <w:p w14:paraId="7FFABAB2" w14:textId="77777777" w:rsidR="003C61A6" w:rsidRPr="003C61A6" w:rsidRDefault="003C61A6" w:rsidP="00A650B0">
      <w:pPr>
        <w:pStyle w:val="Normalnumber"/>
        <w:numPr>
          <w:ilvl w:val="0"/>
          <w:numId w:val="54"/>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3C61A6">
        <w:rPr>
          <w:rFonts w:ascii="Simplified Arabic" w:hAnsi="Simplified Arabic" w:cs="Simplified Arabic"/>
          <w:sz w:val="24"/>
          <w:szCs w:val="24"/>
          <w:rtl/>
        </w:rPr>
        <w:t>قدمت المملكة العربية السعودية معلومات عن قانون إدارة النفايات ولوائحه التنفيذية؛</w:t>
      </w:r>
    </w:p>
    <w:p w14:paraId="50D933DA" w14:textId="77777777" w:rsidR="003C61A6" w:rsidRPr="003C61A6" w:rsidRDefault="003C61A6" w:rsidP="008D6BAE">
      <w:pPr>
        <w:pStyle w:val="Normalnumber"/>
        <w:numPr>
          <w:ilvl w:val="0"/>
          <w:numId w:val="54"/>
        </w:numPr>
        <w:tabs>
          <w:tab w:val="clear" w:pos="1247"/>
          <w:tab w:val="clear" w:pos="1814"/>
          <w:tab w:val="clear" w:pos="2381"/>
          <w:tab w:val="clear" w:pos="2948"/>
          <w:tab w:val="clear" w:pos="3515"/>
          <w:tab w:val="left" w:pos="2552"/>
        </w:tabs>
        <w:bidi/>
        <w:spacing w:after="120" w:line="360" w:lineRule="exact"/>
        <w:ind w:left="1134" w:firstLine="709"/>
        <w:jc w:val="lowKashida"/>
        <w:textDirection w:val="tbRlV"/>
        <w:rPr>
          <w:rFonts w:ascii="Simplified Arabic" w:hAnsi="Simplified Arabic" w:cs="Simplified Arabic"/>
          <w:sz w:val="24"/>
          <w:szCs w:val="24"/>
          <w:rtl/>
          <w:lang w:val="ar-SA" w:eastAsia="zh-TW" w:bidi="en-GB"/>
        </w:rPr>
      </w:pPr>
      <w:r w:rsidRPr="003C61A6">
        <w:rPr>
          <w:rFonts w:ascii="Simplified Arabic" w:hAnsi="Simplified Arabic" w:cs="Simplified Arabic"/>
          <w:sz w:val="24"/>
          <w:szCs w:val="24"/>
          <w:rtl/>
        </w:rPr>
        <w:t>قدمت تايلند معلومات عن إخطار وزارة الصناعة لديها بشأن إدارة النفايات والمواد غير المستخدمة (مع ترجمة غير رسمية باللغة الإنجليزية للإخطار مرفقة بالتقرير)؛</w:t>
      </w:r>
    </w:p>
    <w:p w14:paraId="37A70F55" w14:textId="77777777" w:rsidR="003C61A6" w:rsidRPr="003C61A6" w:rsidRDefault="003C61A6" w:rsidP="00A650B0">
      <w:pPr>
        <w:pStyle w:val="Normalnumber"/>
        <w:numPr>
          <w:ilvl w:val="0"/>
          <w:numId w:val="54"/>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3C61A6">
        <w:rPr>
          <w:rFonts w:ascii="Simplified Arabic" w:hAnsi="Simplified Arabic" w:cs="Simplified Arabic"/>
          <w:sz w:val="24"/>
          <w:szCs w:val="24"/>
          <w:rtl/>
        </w:rPr>
        <w:t>قدمت أوغندا معلومات عن اللوائح الوطنية للبيئة (إدارة النفايات).</w:t>
      </w:r>
    </w:p>
    <w:p w14:paraId="1F040141" w14:textId="77777777" w:rsidR="003C61A6" w:rsidRPr="003C61A6" w:rsidRDefault="003C61A6" w:rsidP="0050416A">
      <w:pPr>
        <w:pStyle w:val="Normalnumber"/>
        <w:numPr>
          <w:ilvl w:val="0"/>
          <w:numId w:val="3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3C61A6">
        <w:rPr>
          <w:rFonts w:ascii="Simplified Arabic" w:hAnsi="Simplified Arabic" w:cs="Simplified Arabic"/>
          <w:sz w:val="24"/>
          <w:szCs w:val="24"/>
          <w:rtl/>
        </w:rPr>
        <w:t>وفيما يتعلق بنُهج إدارة نفايات الزئبق، قدم الاتحاد الأوروبي ودوله الأعضاء المعلومات التالية:</w:t>
      </w:r>
    </w:p>
    <w:p w14:paraId="77B0D820" w14:textId="77777777" w:rsidR="003C61A6" w:rsidRPr="003C61A6" w:rsidRDefault="003C61A6" w:rsidP="005A42F4">
      <w:pPr>
        <w:pStyle w:val="Normalnumber"/>
        <w:numPr>
          <w:ilvl w:val="0"/>
          <w:numId w:val="61"/>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3C61A6">
        <w:rPr>
          <w:rFonts w:ascii="Simplified Arabic" w:hAnsi="Simplified Arabic" w:cs="Simplified Arabic"/>
          <w:sz w:val="24"/>
          <w:szCs w:val="24"/>
          <w:rtl/>
        </w:rPr>
        <w:lastRenderedPageBreak/>
        <w:t>ينبغي للدول الأعضاء أن تضمن إنتاج النفايات الخطرة وجمعها ونقلها وتخزينها ومعالجتها في ظل ظروف توفر الحماية للبيئة وصحة الإنسان، بما في ذلك اتخاذ إجراءات لضمان إمكانية تتبعها من الإنتاج إلى الوجهة النهائية ومراقبة النفايات الخطرة؛</w:t>
      </w:r>
    </w:p>
    <w:p w14:paraId="566048B2" w14:textId="77777777" w:rsidR="003C61A6" w:rsidRPr="003C61A6" w:rsidRDefault="003C61A6" w:rsidP="005A42F4">
      <w:pPr>
        <w:pStyle w:val="Normalnumber"/>
        <w:numPr>
          <w:ilvl w:val="0"/>
          <w:numId w:val="61"/>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3C61A6">
        <w:rPr>
          <w:rFonts w:ascii="Simplified Arabic" w:hAnsi="Simplified Arabic" w:cs="Simplified Arabic"/>
          <w:sz w:val="24"/>
          <w:szCs w:val="24"/>
          <w:rtl/>
        </w:rPr>
        <w:t>ينبغي التعامل مع نفايات الملغم، بما في ذلك بقايا الملغم وجزيئاته وحشواته والأسنان أو أجزاؤها الملوثة بملغم الأسنان، وجمعها من قبل مؤسسة أو منشأة مرخص لها بإدارة النفايات؛</w:t>
      </w:r>
    </w:p>
    <w:p w14:paraId="46D1C548" w14:textId="77777777" w:rsidR="003C61A6" w:rsidRPr="003C61A6" w:rsidRDefault="003C61A6" w:rsidP="00766E3F">
      <w:pPr>
        <w:pStyle w:val="Normalnumber"/>
        <w:numPr>
          <w:ilvl w:val="0"/>
          <w:numId w:val="61"/>
        </w:numPr>
        <w:tabs>
          <w:tab w:val="clear" w:pos="1247"/>
          <w:tab w:val="clear" w:pos="1814"/>
          <w:tab w:val="clear" w:pos="2381"/>
          <w:tab w:val="clear" w:pos="2948"/>
          <w:tab w:val="clear" w:pos="3515"/>
          <w:tab w:val="left" w:pos="2552"/>
        </w:tabs>
        <w:bidi/>
        <w:spacing w:after="120" w:line="360" w:lineRule="exact"/>
        <w:ind w:left="1134" w:firstLine="709"/>
        <w:jc w:val="lowKashida"/>
        <w:textDirection w:val="tbRlV"/>
        <w:rPr>
          <w:rFonts w:ascii="Simplified Arabic" w:hAnsi="Simplified Arabic" w:cs="Simplified Arabic"/>
          <w:sz w:val="24"/>
          <w:szCs w:val="24"/>
          <w:rtl/>
          <w:lang w:val="ar-SA" w:eastAsia="zh-TW" w:bidi="en-GB"/>
        </w:rPr>
      </w:pPr>
      <w:r w:rsidRPr="003C61A6">
        <w:rPr>
          <w:rFonts w:ascii="Simplified Arabic" w:hAnsi="Simplified Arabic" w:cs="Simplified Arabic"/>
          <w:sz w:val="24"/>
          <w:szCs w:val="24"/>
          <w:rtl/>
        </w:rPr>
        <w:t>يجب التعامل مع الزئبق ومركبات الزئبق من المصادر الكبيرة (صناعة الكلور والقلويات، وتنظيف الغاز الطبيعي، وعمليات التعدين والصهر غير الحديدية، والاستخراج من خام الرِكاز) على أنها نفايات وبالتالي التخلص منها على ذلك الأساس دون تعريض صحة الإنسان للخطر أو الإضرار بالبيئة؛ كما وُضعت متطلبات محددة لإعداد التقارير؛</w:t>
      </w:r>
    </w:p>
    <w:p w14:paraId="788A3538" w14:textId="77777777" w:rsidR="003C61A6" w:rsidRPr="003C61A6" w:rsidRDefault="003C61A6" w:rsidP="005A42F4">
      <w:pPr>
        <w:pStyle w:val="Normalnumber"/>
        <w:numPr>
          <w:ilvl w:val="0"/>
          <w:numId w:val="61"/>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3C61A6">
        <w:rPr>
          <w:rFonts w:ascii="Simplified Arabic" w:hAnsi="Simplified Arabic" w:cs="Simplified Arabic"/>
          <w:sz w:val="24"/>
          <w:szCs w:val="24"/>
          <w:rtl/>
        </w:rPr>
        <w:t>قبل التخلص من نفايات الزئبق بشكل نهائي، يجب أن تخضع للتحويل، وحيثما كان من المقرر التخلص منها في مرافق فوق سطح الأرض، يجب أن تخضع للتحويل والتصليد. وينبغي التخلص من نفايات الزئبق التي خضعت للتحويل والتصليد، إن أمكن، في مرافق تخزين دائمة (مناجم الملح أو المرافق فوق الأرضية) المرخص لها بالتخلص من النفايات الخطرة.</w:t>
      </w:r>
    </w:p>
    <w:p w14:paraId="69288BEB" w14:textId="77777777" w:rsidR="003C61A6" w:rsidRPr="003C61A6" w:rsidRDefault="003C61A6" w:rsidP="0050416A">
      <w:pPr>
        <w:pStyle w:val="Normalnumber"/>
        <w:numPr>
          <w:ilvl w:val="0"/>
          <w:numId w:val="3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3C61A6">
        <w:rPr>
          <w:rFonts w:ascii="Simplified Arabic" w:hAnsi="Simplified Arabic" w:cs="Simplified Arabic"/>
          <w:sz w:val="24"/>
          <w:szCs w:val="24"/>
          <w:rtl/>
        </w:rPr>
        <w:t>كما أثارت الأطراف إلى النقاط التالية:</w:t>
      </w:r>
    </w:p>
    <w:p w14:paraId="538CA9D6" w14:textId="77777777" w:rsidR="003C61A6" w:rsidRPr="003C61A6" w:rsidRDefault="003C61A6" w:rsidP="005A42F4">
      <w:pPr>
        <w:pStyle w:val="Normalnumber"/>
        <w:numPr>
          <w:ilvl w:val="0"/>
          <w:numId w:val="6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3C61A6">
        <w:rPr>
          <w:rFonts w:ascii="Simplified Arabic" w:hAnsi="Simplified Arabic" w:cs="Simplified Arabic"/>
          <w:sz w:val="24"/>
          <w:szCs w:val="24"/>
          <w:rtl/>
        </w:rPr>
        <w:t>قالت الأرجنتين إنه ينبغي مراجعة المبادئ التوجيهية التقنية للإدارة السليمة بيئياً للنفايات المكونة من الزئبق أو المحتوية عليه أو الملوثة به في إطار اتفاقية بازل، وذلك مثلاً لإدراج صحائف وقائع أو مبادئ توجيهية عملية للإدارة السليمة بيئياً لمجاري نفايات محددة، مثل الأدوية واللقاحات؛</w:t>
      </w:r>
    </w:p>
    <w:p w14:paraId="565C4D0F" w14:textId="77777777" w:rsidR="003C61A6" w:rsidRPr="003C61A6" w:rsidRDefault="003C61A6" w:rsidP="005A42F4">
      <w:pPr>
        <w:pStyle w:val="Normalnumber"/>
        <w:numPr>
          <w:ilvl w:val="0"/>
          <w:numId w:val="6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3C61A6">
        <w:rPr>
          <w:rFonts w:ascii="Simplified Arabic" w:hAnsi="Simplified Arabic" w:cs="Simplified Arabic"/>
          <w:sz w:val="24"/>
          <w:szCs w:val="24"/>
          <w:rtl/>
        </w:rPr>
        <w:t>قدمت الأرجنتين والاتحاد الأوروبي والدول الأعضاء فيه وتايلند واليابان معلومات عن عتبات للنفايات الخطرة تختلف عن العتبات المنصوص عليها في المادة 11 من الاتفاقية؛</w:t>
      </w:r>
    </w:p>
    <w:p w14:paraId="2E051BE1" w14:textId="420A164F" w:rsidR="003C61A6" w:rsidRPr="003C61A6" w:rsidRDefault="003C61A6" w:rsidP="005A42F4">
      <w:pPr>
        <w:pStyle w:val="Normalnumber"/>
        <w:numPr>
          <w:ilvl w:val="0"/>
          <w:numId w:val="6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3C61A6">
        <w:rPr>
          <w:rFonts w:ascii="Simplified Arabic" w:hAnsi="Simplified Arabic" w:cs="Simplified Arabic"/>
          <w:sz w:val="24"/>
          <w:szCs w:val="24"/>
          <w:rtl/>
        </w:rPr>
        <w:t xml:space="preserve">أشارت اليابان إلى أنها تفهم أن </w:t>
      </w:r>
      <w:r w:rsidR="001E4FB1">
        <w:rPr>
          <w:rFonts w:ascii="Simplified Arabic" w:hAnsi="Simplified Arabic" w:cs="Simplified Arabic"/>
          <w:sz w:val="24"/>
          <w:szCs w:val="24"/>
          <w:rtl/>
        </w:rPr>
        <w:t>”</w:t>
      </w:r>
      <w:r w:rsidRPr="003C61A6">
        <w:rPr>
          <w:rFonts w:ascii="Simplified Arabic" w:hAnsi="Simplified Arabic" w:cs="Simplified Arabic"/>
          <w:sz w:val="24"/>
          <w:szCs w:val="24"/>
          <w:rtl/>
        </w:rPr>
        <w:t>المسائل التي لا تتناولها المبادئ التوجيهية التقنية</w:t>
      </w:r>
      <w:r w:rsidR="001E4FB1">
        <w:rPr>
          <w:rFonts w:ascii="Simplified Arabic" w:hAnsi="Simplified Arabic" w:cs="Simplified Arabic"/>
          <w:sz w:val="24"/>
          <w:szCs w:val="24"/>
          <w:rtl/>
        </w:rPr>
        <w:t>“</w:t>
      </w:r>
      <w:r w:rsidRPr="003C61A6">
        <w:rPr>
          <w:rFonts w:ascii="Simplified Arabic" w:hAnsi="Simplified Arabic" w:cs="Simplified Arabic"/>
          <w:sz w:val="24"/>
          <w:szCs w:val="24"/>
          <w:rtl/>
        </w:rPr>
        <w:t xml:space="preserve"> تشير إلى </w:t>
      </w:r>
      <w:r w:rsidR="001E4FB1">
        <w:rPr>
          <w:rFonts w:ascii="Simplified Arabic" w:hAnsi="Simplified Arabic" w:cs="Simplified Arabic"/>
          <w:sz w:val="24"/>
          <w:szCs w:val="24"/>
          <w:rtl/>
        </w:rPr>
        <w:t>”</w:t>
      </w:r>
      <w:r w:rsidRPr="003C61A6">
        <w:rPr>
          <w:rFonts w:ascii="Simplified Arabic" w:hAnsi="Simplified Arabic" w:cs="Simplified Arabic"/>
          <w:sz w:val="24"/>
          <w:szCs w:val="24"/>
          <w:rtl/>
        </w:rPr>
        <w:t>النفايات غير الخطرة بموجب اتفاقية بازل التي تندرج تحت تعريف النفايات الملوثة بالزئبق بموجب اتفاقية ميناماتا</w:t>
      </w:r>
      <w:r w:rsidR="001E4FB1">
        <w:rPr>
          <w:rFonts w:ascii="Simplified Arabic" w:hAnsi="Simplified Arabic" w:cs="Simplified Arabic"/>
          <w:sz w:val="24"/>
          <w:szCs w:val="24"/>
          <w:rtl/>
        </w:rPr>
        <w:t>“</w:t>
      </w:r>
      <w:r w:rsidRPr="003C61A6">
        <w:rPr>
          <w:rFonts w:ascii="Simplified Arabic" w:hAnsi="Simplified Arabic" w:cs="Simplified Arabic"/>
          <w:sz w:val="24"/>
          <w:szCs w:val="24"/>
          <w:rtl/>
        </w:rPr>
        <w:t xml:space="preserve">. وأرفقت وثيقة بعنوان </w:t>
      </w:r>
      <w:r w:rsidR="001E4FB1">
        <w:rPr>
          <w:rFonts w:ascii="Simplified Arabic" w:hAnsi="Simplified Arabic" w:cs="Simplified Arabic"/>
          <w:sz w:val="24"/>
          <w:szCs w:val="24"/>
          <w:rtl/>
        </w:rPr>
        <w:t>”</w:t>
      </w:r>
      <w:r w:rsidRPr="003C61A6">
        <w:rPr>
          <w:rFonts w:ascii="Simplified Arabic" w:hAnsi="Simplified Arabic" w:cs="Simplified Arabic"/>
          <w:sz w:val="24"/>
          <w:szCs w:val="24"/>
          <w:rtl/>
        </w:rPr>
        <w:t>تدابير لضمان الإدارة السليمة بيئياً لنفايات الزئبق في اليابان</w:t>
      </w:r>
      <w:r w:rsidR="001E4FB1">
        <w:rPr>
          <w:rFonts w:ascii="Simplified Arabic" w:hAnsi="Simplified Arabic" w:cs="Simplified Arabic"/>
          <w:sz w:val="24"/>
          <w:szCs w:val="24"/>
          <w:rtl/>
        </w:rPr>
        <w:t>“</w:t>
      </w:r>
      <w:r w:rsidRPr="003C61A6">
        <w:rPr>
          <w:rFonts w:ascii="Simplified Arabic" w:hAnsi="Simplified Arabic" w:cs="Simplified Arabic"/>
          <w:sz w:val="24"/>
          <w:szCs w:val="24"/>
          <w:rtl/>
        </w:rPr>
        <w:t>.</w:t>
      </w:r>
    </w:p>
    <w:p w14:paraId="150B6201" w14:textId="5C4C5D43" w:rsidR="003C61A6" w:rsidRPr="0050416A" w:rsidRDefault="003C61A6" w:rsidP="0040752B">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lowKashida"/>
        <w:textDirection w:val="tbRlV"/>
        <w:rPr>
          <w:rFonts w:ascii="Simplified Arabic" w:hAnsi="Simplified Arabic" w:cs="Simplified Arabic"/>
          <w:bCs/>
          <w:sz w:val="26"/>
          <w:szCs w:val="26"/>
          <w:rtl/>
          <w:lang w:bidi="en-GB"/>
        </w:rPr>
      </w:pPr>
      <w:r w:rsidRPr="0050416A">
        <w:rPr>
          <w:rFonts w:ascii="Simplified Arabic" w:hAnsi="Simplified Arabic" w:cs="Simplified Arabic"/>
          <w:bCs/>
          <w:sz w:val="26"/>
          <w:szCs w:val="26"/>
          <w:rtl/>
        </w:rPr>
        <w:t>ثالثا</w:t>
      </w:r>
      <w:r w:rsidR="0050416A">
        <w:rPr>
          <w:rFonts w:ascii="Simplified Arabic" w:hAnsi="Simplified Arabic" w:cs="Simplified Arabic" w:hint="cs"/>
          <w:bCs/>
          <w:sz w:val="26"/>
          <w:szCs w:val="26"/>
          <w:rtl/>
        </w:rPr>
        <w:t>ً</w:t>
      </w:r>
      <w:r w:rsidRPr="0050416A">
        <w:rPr>
          <w:rFonts w:ascii="Simplified Arabic" w:hAnsi="Simplified Arabic" w:cs="Simplified Arabic"/>
          <w:bCs/>
          <w:sz w:val="26"/>
          <w:szCs w:val="26"/>
          <w:rtl/>
        </w:rPr>
        <w:t>-</w:t>
      </w:r>
      <w:r w:rsidRPr="0050416A">
        <w:rPr>
          <w:rFonts w:ascii="Simplified Arabic" w:hAnsi="Simplified Arabic" w:cs="Simplified Arabic"/>
          <w:bCs/>
          <w:sz w:val="26"/>
          <w:szCs w:val="26"/>
          <w:rtl/>
        </w:rPr>
        <w:tab/>
        <w:t>المعلومات المقدمة في التقارير الوطنية عملاً بالمادة 21 والاستنتاجات ذات الصلة للجنة التنفيذ والامتثال</w:t>
      </w:r>
    </w:p>
    <w:p w14:paraId="70BB7CFA" w14:textId="77777777" w:rsidR="003C61A6" w:rsidRPr="003C61A6" w:rsidRDefault="003C61A6" w:rsidP="0050416A">
      <w:pPr>
        <w:pStyle w:val="Normalnumber"/>
        <w:numPr>
          <w:ilvl w:val="0"/>
          <w:numId w:val="3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3C61A6">
        <w:rPr>
          <w:rFonts w:ascii="Simplified Arabic" w:hAnsi="Simplified Arabic" w:cs="Simplified Arabic"/>
          <w:sz w:val="24"/>
          <w:szCs w:val="24"/>
          <w:rtl/>
        </w:rPr>
        <w:t>عملاً بالمادة 21 من الاتفاقية، يتعين على الأطراف أن تُبلغ عن التدابير التي اتخذتها لتنفيذ أحكام المادة 11، وفعالية هذه التدابير، والتحديات المحتملة في تحقيق أهداف الاتفاقية.</w:t>
      </w:r>
    </w:p>
    <w:p w14:paraId="63B680FF" w14:textId="77777777" w:rsidR="003C61A6" w:rsidRPr="003C61A6" w:rsidRDefault="003C61A6" w:rsidP="0050416A">
      <w:pPr>
        <w:pStyle w:val="Normalnumber"/>
        <w:numPr>
          <w:ilvl w:val="0"/>
          <w:numId w:val="3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3C61A6">
        <w:rPr>
          <w:rFonts w:ascii="Simplified Arabic" w:hAnsi="Simplified Arabic" w:cs="Simplified Arabic"/>
          <w:sz w:val="24"/>
          <w:szCs w:val="24"/>
          <w:rtl/>
        </w:rPr>
        <w:t>ويشمل نموذج الإبلاغ</w:t>
      </w:r>
      <w:r w:rsidRPr="005A42F4">
        <w:rPr>
          <w:rFonts w:ascii="Simplified Arabic" w:hAnsi="Simplified Arabic" w:cs="Simplified Arabic"/>
          <w:sz w:val="24"/>
          <w:szCs w:val="24"/>
          <w:vertAlign w:val="superscript"/>
          <w:rtl/>
        </w:rPr>
        <w:t>(</w:t>
      </w:r>
      <w:r w:rsidRPr="005A42F4">
        <w:rPr>
          <w:rStyle w:val="FootnoteReference"/>
          <w:rFonts w:ascii="Simplified Arabic" w:hAnsi="Simplified Arabic" w:cs="Simplified Arabic"/>
          <w:sz w:val="24"/>
          <w:szCs w:val="24"/>
          <w:rtl/>
        </w:rPr>
        <w:footnoteReference w:id="6"/>
      </w:r>
      <w:r w:rsidRPr="005A42F4">
        <w:rPr>
          <w:rFonts w:ascii="Simplified Arabic" w:hAnsi="Simplified Arabic" w:cs="Simplified Arabic"/>
          <w:sz w:val="24"/>
          <w:szCs w:val="24"/>
          <w:vertAlign w:val="superscript"/>
          <w:rtl/>
        </w:rPr>
        <w:t>)</w:t>
      </w:r>
      <w:r w:rsidRPr="003C61A6">
        <w:rPr>
          <w:rFonts w:ascii="Simplified Arabic" w:hAnsi="Simplified Arabic" w:cs="Simplified Arabic"/>
          <w:sz w:val="24"/>
          <w:szCs w:val="24"/>
          <w:rtl/>
        </w:rPr>
        <w:t xml:space="preserve">، بموجب المادة 21، سؤالاً عن مدى توافر مرافق للتخلص النهائي من النفايات المكونة من الزئبق أو مركبات الزئبق، والذي يجب الإبلاغ عنه كل سنتين. وفي حالة وجود مرفق من هذا القبيل، يتعين على الأطراف الإبلاغ عن كمية النفايات التي تتكون من الزئبق أو مركبات الزئبق التي خضعت للتخلص النهائي، وكذلك طرق التخلص منها. واستعرضت لجنة التنفيذ والامتثال، في اجتماعها السابع، الذي عقد في شباط/فبراير 2025، التقارير الوطنية القصيرة الثانية لفترة الإبلاغ 2022-2023، والتي تضمنت معلومات عن مرافق التخلص النهائي وطرق التخلص وكميات النفايات التي تم التخلص منها. واستعرضت اللجنة أيضاً معلومات مستقاة من اتصالات المتابعة التي أجرتها الأمانة مع بعض الأطراف بغرض توضيح طرق التخلص النهائي، بما </w:t>
      </w:r>
      <w:r w:rsidRPr="003C61A6">
        <w:rPr>
          <w:rFonts w:ascii="Simplified Arabic" w:hAnsi="Simplified Arabic" w:cs="Simplified Arabic"/>
          <w:sz w:val="24"/>
          <w:szCs w:val="24"/>
          <w:rtl/>
        </w:rPr>
        <w:lastRenderedPageBreak/>
        <w:t>في ذلك ما إذا كان التثبيت والتصليد قد تما كجزء من التخلص النهائي. وشجعت اللجنة في استنتاجاتها</w:t>
      </w:r>
      <w:r w:rsidRPr="005A42F4">
        <w:rPr>
          <w:rFonts w:ascii="Simplified Arabic" w:hAnsi="Simplified Arabic" w:cs="Simplified Arabic"/>
          <w:sz w:val="24"/>
          <w:szCs w:val="24"/>
          <w:vertAlign w:val="superscript"/>
          <w:rtl/>
        </w:rPr>
        <w:t>(</w:t>
      </w:r>
      <w:r w:rsidRPr="005A42F4">
        <w:rPr>
          <w:rStyle w:val="FootnoteReference"/>
          <w:rFonts w:ascii="Simplified Arabic" w:hAnsi="Simplified Arabic" w:cs="Simplified Arabic"/>
          <w:sz w:val="24"/>
          <w:szCs w:val="24"/>
          <w:rtl/>
        </w:rPr>
        <w:footnoteReference w:id="7"/>
      </w:r>
      <w:r w:rsidRPr="005A42F4">
        <w:rPr>
          <w:rFonts w:ascii="Simplified Arabic" w:hAnsi="Simplified Arabic" w:cs="Simplified Arabic"/>
          <w:sz w:val="24"/>
          <w:szCs w:val="24"/>
          <w:vertAlign w:val="superscript"/>
          <w:rtl/>
        </w:rPr>
        <w:t>)</w:t>
      </w:r>
      <w:r w:rsidRPr="003C61A6">
        <w:rPr>
          <w:rFonts w:ascii="Simplified Arabic" w:hAnsi="Simplified Arabic" w:cs="Simplified Arabic"/>
          <w:sz w:val="24"/>
          <w:szCs w:val="24"/>
          <w:rtl/>
        </w:rPr>
        <w:t xml:space="preserve"> الأطراف على تقديم مزيد من التفاصيل، حسب الاقتضاء، بشأن طرائق التخلص النهائي في تقاريرها الوطنية الكاملة الثانية التي ستقدم بحلول 31 كانون الأول/ديسمبر 2025.</w:t>
      </w:r>
    </w:p>
    <w:p w14:paraId="6B7FB257" w14:textId="77777777" w:rsidR="003C61A6" w:rsidRPr="003C61A6" w:rsidRDefault="003C61A6" w:rsidP="0050416A">
      <w:pPr>
        <w:pStyle w:val="Normalnumber"/>
        <w:numPr>
          <w:ilvl w:val="0"/>
          <w:numId w:val="3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3C61A6">
        <w:rPr>
          <w:rFonts w:ascii="Simplified Arabic" w:hAnsi="Simplified Arabic" w:cs="Simplified Arabic"/>
          <w:sz w:val="24"/>
          <w:szCs w:val="24"/>
          <w:rtl/>
        </w:rPr>
        <w:t xml:space="preserve">ويرد مزيد من المعلومات المقدمة كجزء من التقارير الوطنية في الوثيقة </w:t>
      </w:r>
      <w:r w:rsidRPr="005A42F4">
        <w:rPr>
          <w:rFonts w:asciiTheme="majorBidi" w:hAnsiTheme="majorBidi" w:cstheme="majorBidi"/>
          <w:sz w:val="22"/>
          <w:szCs w:val="22"/>
          <w:rtl/>
        </w:rPr>
        <w:t>UNEP/MC/COP.6/INF/20</w:t>
      </w:r>
      <w:r w:rsidRPr="003C61A6">
        <w:rPr>
          <w:rFonts w:ascii="Simplified Arabic" w:hAnsi="Simplified Arabic" w:cs="Simplified Arabic"/>
          <w:sz w:val="24"/>
          <w:szCs w:val="24"/>
          <w:rtl/>
        </w:rPr>
        <w:t>.</w:t>
      </w:r>
    </w:p>
    <w:p w14:paraId="1CE9AF8A" w14:textId="79923621" w:rsidR="003C61A6" w:rsidRPr="0050416A" w:rsidRDefault="003C61A6" w:rsidP="0050416A">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6"/>
          <w:szCs w:val="26"/>
          <w:rtl/>
          <w:lang w:bidi="en-GB"/>
        </w:rPr>
      </w:pPr>
      <w:r w:rsidRPr="0050416A">
        <w:rPr>
          <w:rFonts w:ascii="Simplified Arabic" w:hAnsi="Simplified Arabic" w:cs="Simplified Arabic"/>
          <w:bCs/>
          <w:sz w:val="26"/>
          <w:szCs w:val="26"/>
          <w:rtl/>
        </w:rPr>
        <w:t>رابعا</w:t>
      </w:r>
      <w:r w:rsidR="0050416A">
        <w:rPr>
          <w:rFonts w:ascii="Simplified Arabic" w:hAnsi="Simplified Arabic" w:cs="Simplified Arabic" w:hint="cs"/>
          <w:bCs/>
          <w:sz w:val="26"/>
          <w:szCs w:val="26"/>
          <w:rtl/>
        </w:rPr>
        <w:t>ً</w:t>
      </w:r>
      <w:r w:rsidRPr="0050416A">
        <w:rPr>
          <w:rFonts w:ascii="Simplified Arabic" w:hAnsi="Simplified Arabic" w:cs="Simplified Arabic"/>
          <w:bCs/>
          <w:sz w:val="26"/>
          <w:szCs w:val="26"/>
          <w:rtl/>
        </w:rPr>
        <w:t>-</w:t>
      </w:r>
      <w:r w:rsidRPr="0050416A">
        <w:rPr>
          <w:rFonts w:ascii="Simplified Arabic" w:hAnsi="Simplified Arabic" w:cs="Simplified Arabic"/>
          <w:bCs/>
          <w:sz w:val="26"/>
          <w:szCs w:val="26"/>
          <w:rtl/>
        </w:rPr>
        <w:tab/>
        <w:t>المسائل التي نظر فيها مؤتمر الأطراف في اتفاقية بازل</w:t>
      </w:r>
    </w:p>
    <w:p w14:paraId="4C000564" w14:textId="77777777" w:rsidR="003C61A6" w:rsidRPr="003C61A6" w:rsidRDefault="003C61A6" w:rsidP="0050416A">
      <w:pPr>
        <w:pStyle w:val="Normalnumber"/>
        <w:numPr>
          <w:ilvl w:val="0"/>
          <w:numId w:val="3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3C61A6">
        <w:rPr>
          <w:rFonts w:ascii="Simplified Arabic" w:hAnsi="Simplified Arabic" w:cs="Simplified Arabic"/>
          <w:sz w:val="24"/>
          <w:szCs w:val="24"/>
          <w:rtl/>
        </w:rPr>
        <w:t>نظر مؤتمر الأطراف في اتفاقية بازل، في اجتماعه السابع عشر المعقود في أيار/مايو 2025، في دعوة مؤتمر الأطراف في اتفاقية ميناماتا بشأن الزئبق إلى أن يأخذ في الاعتبار، حسب الاقتضاء، المقرر ا م-5/10 بشأن تحديد عتبات نفايات الزئبق، وقررت تحديث المبادئ التوجيهية التقنية للإدارة السليمة بيئياً للنفايات المكونة من الزئبق أو المحتوية عليه أو الملوثة به لكي تعكس التعديلات المترتبة على تحديد عتبة نفايات الزئبق التي تندرج تحت الفقرة 2 (ج) من المادة 11 من اتفاقية ميناماتا بشأن الزئبق، وفقاً للمقرر ا م-5/10. كما طلبت إلى أمانة اتفاقية بازل أن تعد، بالتعاون مع أمانة اتفاقية ميناماتا بشأن الزئبق، مشروع مبادئ توجيهية تقنية محدثة لكي ينظر فيه الفريق العامل المفتوح العضوية لاتفاقية بازل في اجتماعه الخامس عشر ومؤتمر الأطراف في اتفاقية بازل في اجتماعه الثامن عشر.</w:t>
      </w:r>
    </w:p>
    <w:p w14:paraId="37DBB960" w14:textId="2B61F80A" w:rsidR="003C61A6" w:rsidRPr="0050416A" w:rsidRDefault="003C61A6" w:rsidP="0050416A">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6"/>
          <w:szCs w:val="26"/>
          <w:rtl/>
          <w:lang w:bidi="en-GB"/>
        </w:rPr>
      </w:pPr>
      <w:r w:rsidRPr="0050416A">
        <w:rPr>
          <w:rFonts w:ascii="Simplified Arabic" w:hAnsi="Simplified Arabic" w:cs="Simplified Arabic"/>
          <w:bCs/>
          <w:sz w:val="26"/>
          <w:szCs w:val="26"/>
          <w:rtl/>
        </w:rPr>
        <w:t>خامسا</w:t>
      </w:r>
      <w:r w:rsidR="0050416A">
        <w:rPr>
          <w:rFonts w:ascii="Simplified Arabic" w:hAnsi="Simplified Arabic" w:cs="Simplified Arabic" w:hint="cs"/>
          <w:bCs/>
          <w:sz w:val="26"/>
          <w:szCs w:val="26"/>
          <w:rtl/>
        </w:rPr>
        <w:t>ً</w:t>
      </w:r>
      <w:r w:rsidRPr="0050416A">
        <w:rPr>
          <w:rFonts w:ascii="Simplified Arabic" w:hAnsi="Simplified Arabic" w:cs="Simplified Arabic"/>
          <w:bCs/>
          <w:sz w:val="26"/>
          <w:szCs w:val="26"/>
          <w:rtl/>
        </w:rPr>
        <w:t>-</w:t>
      </w:r>
      <w:r w:rsidRPr="0050416A">
        <w:rPr>
          <w:rFonts w:ascii="Simplified Arabic" w:hAnsi="Simplified Arabic" w:cs="Simplified Arabic"/>
          <w:bCs/>
          <w:sz w:val="26"/>
          <w:szCs w:val="26"/>
          <w:rtl/>
        </w:rPr>
        <w:tab/>
        <w:t>الإجراء المقترح</w:t>
      </w:r>
    </w:p>
    <w:p w14:paraId="03636EDF" w14:textId="6B165677" w:rsidR="003C61A6" w:rsidRPr="003C61A6" w:rsidDel="00B117F5" w:rsidRDefault="003C61A6" w:rsidP="0050416A">
      <w:pPr>
        <w:pStyle w:val="Normalnumber"/>
        <w:numPr>
          <w:ilvl w:val="0"/>
          <w:numId w:val="3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3C61A6">
        <w:rPr>
          <w:rFonts w:ascii="Simplified Arabic" w:hAnsi="Simplified Arabic" w:cs="Simplified Arabic"/>
          <w:sz w:val="24"/>
          <w:szCs w:val="24"/>
          <w:rtl/>
        </w:rPr>
        <w:t>قد يود مؤتمر الأطراف في اتفاقية ميناماتا بشأن الزئبق أن ينظر في اعتماد مقرر بشأن هذه المسألة، بما في ذلك ما يلي:</w:t>
      </w:r>
    </w:p>
    <w:p w14:paraId="18A11012" w14:textId="77777777" w:rsidR="003C61A6" w:rsidRPr="003C61A6" w:rsidRDefault="003C61A6" w:rsidP="005A42F4">
      <w:pPr>
        <w:pStyle w:val="Normalnumber"/>
        <w:numPr>
          <w:ilvl w:val="0"/>
          <w:numId w:val="6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3C61A6">
        <w:rPr>
          <w:rFonts w:ascii="Simplified Arabic" w:hAnsi="Simplified Arabic" w:cs="Simplified Arabic"/>
          <w:sz w:val="24"/>
          <w:szCs w:val="24"/>
          <w:rtl/>
        </w:rPr>
        <w:t>نتيجة من نتائج نظره في وضع متطلبات للإدارة السليمة بيئياً لنفايات الزئبق عملاً بالفقرة 3 (أ) من المادة 11؛</w:t>
      </w:r>
    </w:p>
    <w:p w14:paraId="75F238B6" w14:textId="77777777" w:rsidR="003C61A6" w:rsidRPr="003C61A6" w:rsidRDefault="003C61A6" w:rsidP="00E600A8">
      <w:pPr>
        <w:pStyle w:val="Normalnumber"/>
        <w:numPr>
          <w:ilvl w:val="0"/>
          <w:numId w:val="6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3C61A6">
        <w:rPr>
          <w:rFonts w:ascii="Simplified Arabic" w:hAnsi="Simplified Arabic" w:cs="Simplified Arabic"/>
          <w:sz w:val="24"/>
          <w:szCs w:val="24"/>
          <w:rtl/>
        </w:rPr>
        <w:t>عملية للتحضير لاستعراض عتبات نفايات الزئبق عملاً بالفقرتين 5 و8 من المقرر ا م-5/10، والتي قد تشمل أن يطلب إلى الأمانة ما يلي:</w:t>
      </w:r>
    </w:p>
    <w:p w14:paraId="68768478" w14:textId="77777777" w:rsidR="003C61A6" w:rsidRPr="003C61A6" w:rsidRDefault="003C61A6" w:rsidP="00CC24AD">
      <w:pPr>
        <w:pStyle w:val="Normal-pool"/>
        <w:numPr>
          <w:ilvl w:val="0"/>
          <w:numId w:val="71"/>
        </w:numPr>
        <w:tabs>
          <w:tab w:val="clear" w:pos="624"/>
          <w:tab w:val="clear" w:pos="1247"/>
          <w:tab w:val="clear" w:pos="1871"/>
          <w:tab w:val="clear" w:pos="2495"/>
          <w:tab w:val="clear" w:pos="3119"/>
          <w:tab w:val="clear" w:pos="3742"/>
          <w:tab w:val="clear" w:pos="4366"/>
          <w:tab w:val="left" w:pos="3260"/>
        </w:tabs>
        <w:bidi/>
        <w:spacing w:after="120" w:line="360" w:lineRule="exact"/>
        <w:ind w:left="3261" w:hanging="709"/>
        <w:jc w:val="both"/>
        <w:textDirection w:val="tbRlV"/>
        <w:rPr>
          <w:rFonts w:ascii="Simplified Arabic" w:hAnsi="Simplified Arabic" w:cs="Simplified Arabic"/>
          <w:sz w:val="24"/>
          <w:szCs w:val="24"/>
          <w:rtl/>
          <w:lang w:val="ar-SA" w:eastAsia="zh-TW" w:bidi="en-GB"/>
        </w:rPr>
      </w:pPr>
      <w:r w:rsidRPr="003C61A6">
        <w:rPr>
          <w:rFonts w:ascii="Simplified Arabic" w:hAnsi="Simplified Arabic" w:cs="Simplified Arabic"/>
          <w:sz w:val="24"/>
          <w:szCs w:val="24"/>
          <w:rtl/>
        </w:rPr>
        <w:t>جمع البيانات والمعلومات العلمية والتنظيمية والمعلومات من الأطراف وأصحاب المصلحة المعنيين بشأن فعالية عتبة نفايات الزئبق المحددة في المقرر ا م-5/10 في حماية صحة الإنسان والبيئة، وبشأن التحديات والتجارب المتعلقة باستخدامها؛</w:t>
      </w:r>
    </w:p>
    <w:p w14:paraId="25C4CE3B" w14:textId="3CA0F6DE" w:rsidR="003C61A6" w:rsidRPr="003C61A6" w:rsidRDefault="003C61A6" w:rsidP="00CC24AD">
      <w:pPr>
        <w:pStyle w:val="Normal-pool"/>
        <w:numPr>
          <w:ilvl w:val="0"/>
          <w:numId w:val="71"/>
        </w:numPr>
        <w:tabs>
          <w:tab w:val="clear" w:pos="624"/>
          <w:tab w:val="clear" w:pos="1247"/>
          <w:tab w:val="clear" w:pos="1871"/>
          <w:tab w:val="clear" w:pos="2495"/>
          <w:tab w:val="clear" w:pos="3119"/>
          <w:tab w:val="clear" w:pos="3742"/>
          <w:tab w:val="clear" w:pos="4366"/>
          <w:tab w:val="left" w:pos="3260"/>
        </w:tabs>
        <w:bidi/>
        <w:spacing w:after="120" w:line="360" w:lineRule="exact"/>
        <w:ind w:left="3261" w:hanging="709"/>
        <w:jc w:val="both"/>
        <w:textDirection w:val="tbRlV"/>
        <w:rPr>
          <w:rFonts w:ascii="Simplified Arabic" w:hAnsi="Simplified Arabic" w:cs="Simplified Arabic"/>
          <w:sz w:val="24"/>
          <w:szCs w:val="24"/>
          <w:rtl/>
          <w:lang w:val="ar-SA" w:eastAsia="zh-TW" w:bidi="en-GB"/>
        </w:rPr>
      </w:pPr>
      <w:r w:rsidRPr="003C61A6">
        <w:rPr>
          <w:rFonts w:ascii="Simplified Arabic" w:hAnsi="Simplified Arabic" w:cs="Simplified Arabic"/>
          <w:sz w:val="24"/>
          <w:szCs w:val="24"/>
          <w:rtl/>
        </w:rPr>
        <w:t>جمع المعلومات من الأطراف وأصحاب المصلحة المعنيين بشأن أي تحديثات ضرورية على القوائم الواردة في الجداول 1 و2 و3 من مرفق المقرر ا م-3/5؛</w:t>
      </w:r>
    </w:p>
    <w:p w14:paraId="0A2870B9" w14:textId="77777777" w:rsidR="003C61A6" w:rsidRPr="003C61A6" w:rsidRDefault="003C61A6" w:rsidP="00CC24AD">
      <w:pPr>
        <w:pStyle w:val="Normal-pool"/>
        <w:numPr>
          <w:ilvl w:val="0"/>
          <w:numId w:val="71"/>
        </w:numPr>
        <w:tabs>
          <w:tab w:val="clear" w:pos="624"/>
          <w:tab w:val="clear" w:pos="1247"/>
          <w:tab w:val="clear" w:pos="1871"/>
          <w:tab w:val="clear" w:pos="2495"/>
          <w:tab w:val="clear" w:pos="3119"/>
          <w:tab w:val="clear" w:pos="3742"/>
          <w:tab w:val="clear" w:pos="4366"/>
          <w:tab w:val="left" w:pos="3260"/>
        </w:tabs>
        <w:bidi/>
        <w:spacing w:after="120" w:line="360" w:lineRule="exact"/>
        <w:ind w:left="3261" w:hanging="709"/>
        <w:jc w:val="both"/>
        <w:textDirection w:val="tbRlV"/>
        <w:rPr>
          <w:rFonts w:ascii="Simplified Arabic" w:hAnsi="Simplified Arabic" w:cs="Simplified Arabic"/>
          <w:sz w:val="24"/>
          <w:szCs w:val="24"/>
          <w:rtl/>
          <w:lang w:val="ar-SA" w:eastAsia="zh-TW" w:bidi="en-GB"/>
        </w:rPr>
      </w:pPr>
      <w:r w:rsidRPr="003C61A6">
        <w:rPr>
          <w:rFonts w:ascii="Simplified Arabic" w:hAnsi="Simplified Arabic" w:cs="Simplified Arabic"/>
          <w:sz w:val="24"/>
          <w:szCs w:val="24"/>
          <w:rtl/>
        </w:rPr>
        <w:t>إعداد تقرير على أساس المعلومات المقدمة من الأطراف لينظر فيها مؤتمر الأطراف في اجتماعه السابع؛</w:t>
      </w:r>
    </w:p>
    <w:p w14:paraId="4C792107" w14:textId="77777777" w:rsidR="003C61A6" w:rsidRPr="003C61A6" w:rsidRDefault="003C61A6" w:rsidP="00E600A8">
      <w:pPr>
        <w:pStyle w:val="Normalnumber"/>
        <w:numPr>
          <w:ilvl w:val="0"/>
          <w:numId w:val="6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3C61A6">
        <w:rPr>
          <w:rFonts w:ascii="Simplified Arabic" w:hAnsi="Simplified Arabic" w:cs="Simplified Arabic"/>
          <w:sz w:val="24"/>
          <w:szCs w:val="24"/>
          <w:rtl/>
        </w:rPr>
        <w:t>الإجراءات المتخذة استجابة لمقرر مؤتمر الأطراف في اتفاقية بازل من أجل تحديث المبادئ التوجيهية التقنية، والتي قد تشمل:</w:t>
      </w:r>
    </w:p>
    <w:p w14:paraId="5DF4EFBE" w14:textId="4244F5A5" w:rsidR="003C61A6" w:rsidRPr="003C61A6" w:rsidRDefault="003C61A6" w:rsidP="00CC24AD">
      <w:pPr>
        <w:pStyle w:val="Normal-pool"/>
        <w:numPr>
          <w:ilvl w:val="0"/>
          <w:numId w:val="72"/>
        </w:numPr>
        <w:tabs>
          <w:tab w:val="clear" w:pos="624"/>
          <w:tab w:val="clear" w:pos="1247"/>
          <w:tab w:val="clear" w:pos="1871"/>
          <w:tab w:val="clear" w:pos="2495"/>
          <w:tab w:val="clear" w:pos="3119"/>
          <w:tab w:val="clear" w:pos="3742"/>
          <w:tab w:val="clear" w:pos="4366"/>
          <w:tab w:val="left" w:pos="3260"/>
        </w:tabs>
        <w:bidi/>
        <w:spacing w:after="120" w:line="360" w:lineRule="exact"/>
        <w:ind w:left="3261" w:hanging="709"/>
        <w:jc w:val="both"/>
        <w:textDirection w:val="tbRlV"/>
        <w:rPr>
          <w:rFonts w:ascii="Simplified Arabic" w:hAnsi="Simplified Arabic" w:cs="Simplified Arabic"/>
          <w:sz w:val="24"/>
          <w:szCs w:val="24"/>
          <w:rtl/>
          <w:lang w:val="ar-SA" w:eastAsia="zh-TW" w:bidi="en-GB"/>
        </w:rPr>
      </w:pPr>
      <w:r w:rsidRPr="003C61A6">
        <w:rPr>
          <w:rFonts w:ascii="Simplified Arabic" w:hAnsi="Simplified Arabic" w:cs="Simplified Arabic"/>
          <w:sz w:val="24"/>
          <w:szCs w:val="24"/>
          <w:rtl/>
        </w:rPr>
        <w:t>الترحيب بمؤتمر الأطراف في اتفاقية بازل؛</w:t>
      </w:r>
    </w:p>
    <w:p w14:paraId="189E42F0" w14:textId="73C83A4A" w:rsidR="003C61A6" w:rsidRPr="003C61A6" w:rsidRDefault="003C61A6" w:rsidP="00CC24AD">
      <w:pPr>
        <w:pStyle w:val="Normal-pool"/>
        <w:numPr>
          <w:ilvl w:val="0"/>
          <w:numId w:val="72"/>
        </w:numPr>
        <w:tabs>
          <w:tab w:val="clear" w:pos="624"/>
          <w:tab w:val="clear" w:pos="1247"/>
          <w:tab w:val="clear" w:pos="1871"/>
          <w:tab w:val="clear" w:pos="2495"/>
          <w:tab w:val="clear" w:pos="3119"/>
          <w:tab w:val="clear" w:pos="3742"/>
          <w:tab w:val="clear" w:pos="4366"/>
          <w:tab w:val="left" w:pos="3260"/>
        </w:tabs>
        <w:bidi/>
        <w:spacing w:after="120" w:line="360" w:lineRule="exact"/>
        <w:ind w:left="3261" w:hanging="709"/>
        <w:jc w:val="both"/>
        <w:textDirection w:val="tbRlV"/>
        <w:rPr>
          <w:rFonts w:ascii="Simplified Arabic" w:hAnsi="Simplified Arabic" w:cs="Simplified Arabic"/>
          <w:sz w:val="24"/>
          <w:szCs w:val="24"/>
          <w:rtl/>
          <w:lang w:val="ar-SA" w:eastAsia="zh-TW" w:bidi="en-GB"/>
        </w:rPr>
      </w:pPr>
      <w:r w:rsidRPr="003C61A6">
        <w:rPr>
          <w:rFonts w:ascii="Simplified Arabic" w:hAnsi="Simplified Arabic" w:cs="Simplified Arabic"/>
          <w:sz w:val="24"/>
          <w:szCs w:val="24"/>
          <w:rtl/>
        </w:rPr>
        <w:t>الطلب إلى الأمانة أن تتعاون مع أمانة اتفاقية بازل في إعداد مشروع المبادئ التوجيهية التقنية المحدثة.</w:t>
      </w:r>
    </w:p>
    <w:p w14:paraId="3218A21B" w14:textId="67CEB8FE" w:rsidR="00E226D0" w:rsidRPr="003C61A6" w:rsidRDefault="003C61A6" w:rsidP="003A4455">
      <w:pPr>
        <w:pStyle w:val="BBTitle"/>
        <w:tabs>
          <w:tab w:val="clear" w:pos="624"/>
          <w:tab w:val="clear" w:pos="1247"/>
          <w:tab w:val="clear" w:pos="1871"/>
          <w:tab w:val="clear" w:pos="2495"/>
          <w:tab w:val="clear" w:pos="3119"/>
          <w:tab w:val="clear" w:pos="3742"/>
          <w:tab w:val="clear" w:pos="4366"/>
        </w:tabs>
        <w:bidi/>
        <w:spacing w:before="360" w:after="120" w:line="360" w:lineRule="exact"/>
        <w:ind w:left="0" w:right="0"/>
        <w:jc w:val="center"/>
        <w:textDirection w:val="tbRlV"/>
        <w:rPr>
          <w:rFonts w:ascii="Simplified Arabic" w:hAnsi="Simplified Arabic" w:cs="Simplified Arabic"/>
          <w:b w:val="0"/>
          <w:bCs/>
          <w:sz w:val="24"/>
          <w:szCs w:val="24"/>
          <w:rtl/>
        </w:rPr>
      </w:pPr>
      <w:r>
        <w:rPr>
          <w:rFonts w:ascii="Simplified Arabic" w:hAnsi="Simplified Arabic" w:cs="Simplified Arabic"/>
          <w:b w:val="0"/>
          <w:bCs/>
          <w:sz w:val="24"/>
          <w:szCs w:val="24"/>
        </w:rPr>
        <w:t>____________</w:t>
      </w:r>
    </w:p>
    <w:sectPr w:rsidR="00E226D0" w:rsidRPr="003C61A6" w:rsidSect="003E0323">
      <w:headerReference w:type="even" r:id="rId13"/>
      <w:headerReference w:type="default" r:id="rId14"/>
      <w:footerReference w:type="even" r:id="rId15"/>
      <w:footerReference w:type="default" r:id="rId16"/>
      <w:headerReference w:type="first" r:id="rId17"/>
      <w:footerReference w:type="first" r:id="rId18"/>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A819C" w14:textId="77777777" w:rsidR="00C75698" w:rsidRDefault="00C75698" w:rsidP="00061BBD">
      <w:r>
        <w:separator/>
      </w:r>
    </w:p>
  </w:endnote>
  <w:endnote w:type="continuationSeparator" w:id="0">
    <w:p w14:paraId="23A8A39E" w14:textId="77777777" w:rsidR="00C75698" w:rsidRDefault="00C75698"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implified Arabic Fixed">
    <w:panose1 w:val="02070309020205020404"/>
    <w:charset w:val="00"/>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FD59" w14:textId="377CD48E" w:rsidR="00061BBD" w:rsidRPr="003A4455" w:rsidRDefault="00061BBD" w:rsidP="003A4455">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3A4455">
      <w:rPr>
        <w:szCs w:val="18"/>
      </w:rPr>
      <w:fldChar w:fldCharType="begin"/>
    </w:r>
    <w:r w:rsidRPr="003A4455">
      <w:rPr>
        <w:szCs w:val="18"/>
      </w:rPr>
      <w:instrText xml:space="preserve"> PAGE \* MERGEFORMAT </w:instrText>
    </w:r>
    <w:r w:rsidRPr="003A4455">
      <w:rPr>
        <w:szCs w:val="18"/>
      </w:rPr>
      <w:fldChar w:fldCharType="separate"/>
    </w:r>
    <w:r w:rsidRPr="003A4455">
      <w:rPr>
        <w:noProof/>
        <w:szCs w:val="18"/>
      </w:rPr>
      <w:t>1</w:t>
    </w:r>
    <w:r w:rsidRPr="003A4455">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1FF2" w14:textId="0C143159" w:rsidR="00061BBD" w:rsidRDefault="00061BBD" w:rsidP="00867682">
    <w:pPr>
      <w:pStyle w:val="Normal-pool"/>
      <w:tabs>
        <w:tab w:val="clear" w:pos="624"/>
        <w:tab w:val="clear" w:pos="1247"/>
        <w:tab w:val="clear" w:pos="1871"/>
        <w:tab w:val="clear" w:pos="2495"/>
        <w:tab w:val="clear" w:pos="3119"/>
        <w:tab w:val="clear" w:pos="3742"/>
        <w:tab w:val="clear" w:pos="4366"/>
        <w:tab w:val="left" w:pos="1701"/>
      </w:tabs>
      <w:bidi/>
    </w:pPr>
    <w:bookmarkStart w:id="5" w:name="FooterJobDate"/>
    <w:r>
      <w:t>K</w:t>
    </w:r>
    <w:r w:rsidR="00867682">
      <w:t>250</w:t>
    </w:r>
    <w:r w:rsidR="00E519BA">
      <w:t>90</w:t>
    </w:r>
    <w:r w:rsidR="00152515">
      <w:t>44</w:t>
    </w:r>
    <w:r>
      <w:t>[A]</w:t>
    </w:r>
    <w:r>
      <w:tab/>
    </w:r>
    <w:bookmarkEnd w:id="5"/>
    <w:r w:rsidR="006D3F75">
      <w:t>0309</w:t>
    </w:r>
    <w:r w:rsidR="00867682">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5E3C5" w14:textId="77777777" w:rsidR="00C75698" w:rsidRDefault="00C75698" w:rsidP="00630AC1">
      <w:pPr>
        <w:bidi/>
        <w:ind w:left="567"/>
      </w:pPr>
      <w:r>
        <w:separator/>
      </w:r>
    </w:p>
  </w:footnote>
  <w:footnote w:type="continuationSeparator" w:id="0">
    <w:p w14:paraId="0F83EE9F" w14:textId="77777777" w:rsidR="00C75698" w:rsidRDefault="00C75698" w:rsidP="00061BBD">
      <w:r>
        <w:continuationSeparator/>
      </w:r>
    </w:p>
  </w:footnote>
  <w:footnote w:id="1">
    <w:p w14:paraId="6BFF8B2D" w14:textId="17D18956" w:rsidR="002877DC" w:rsidRPr="00B107A4" w:rsidRDefault="002877DC" w:rsidP="00B107A4">
      <w:pPr>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lang w:val="ar-SA" w:eastAsia="zh-TW" w:bidi="en-GB"/>
        </w:rPr>
      </w:pPr>
      <w:r w:rsidRPr="00B107A4">
        <w:rPr>
          <w:rFonts w:ascii="Simplified Arabic" w:hAnsi="Simplified Arabic" w:cs="Simplified Arabic"/>
        </w:rPr>
        <w:t>*</w:t>
      </w:r>
      <w:r w:rsidRPr="00B107A4">
        <w:rPr>
          <w:rFonts w:ascii="Simplified Arabic" w:hAnsi="Simplified Arabic" w:cs="Simplified Arabic"/>
          <w:rtl/>
        </w:rPr>
        <w:t xml:space="preserve"> </w:t>
      </w:r>
      <w:r w:rsidRPr="00982D76">
        <w:rPr>
          <w:rFonts w:asciiTheme="majorBidi" w:hAnsiTheme="majorBidi" w:cstheme="majorBidi"/>
          <w:sz w:val="18"/>
          <w:szCs w:val="18"/>
        </w:rPr>
        <w:t>UNEP/MC/COP.6/1</w:t>
      </w:r>
      <w:r w:rsidR="006D3F75">
        <w:rPr>
          <w:rFonts w:asciiTheme="majorBidi" w:hAnsiTheme="majorBidi" w:cstheme="majorBidi"/>
          <w:sz w:val="18"/>
          <w:szCs w:val="18"/>
        </w:rPr>
        <w:t>/Rev.1</w:t>
      </w:r>
      <w:r w:rsidRPr="00B107A4">
        <w:rPr>
          <w:rFonts w:ascii="Simplified Arabic" w:hAnsi="Simplified Arabic" w:cs="Simplified Arabic"/>
          <w:rtl/>
        </w:rPr>
        <w:t>.</w:t>
      </w:r>
    </w:p>
  </w:footnote>
  <w:footnote w:id="2">
    <w:p w14:paraId="3660A62C" w14:textId="75978D2C" w:rsidR="003C61A6" w:rsidRPr="00B107A4" w:rsidRDefault="00982D76" w:rsidP="00B107A4">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sz w:val="20"/>
        </w:rPr>
        <w:t>)</w:t>
      </w:r>
      <w:r w:rsidR="003C61A6" w:rsidRPr="00B107A4">
        <w:rPr>
          <w:rStyle w:val="FootnoteReference"/>
          <w:rFonts w:ascii="Simplified Arabic" w:hAnsi="Simplified Arabic" w:cs="Simplified Arabic"/>
          <w:sz w:val="20"/>
          <w:vertAlign w:val="baseline"/>
          <w:rtl/>
        </w:rPr>
        <w:footnoteRef/>
      </w:r>
      <w:r>
        <w:rPr>
          <w:rFonts w:ascii="Simplified Arabic" w:hAnsi="Simplified Arabic" w:cs="Simplified Arabic"/>
          <w:sz w:val="20"/>
        </w:rPr>
        <w:t>(</w:t>
      </w:r>
      <w:r w:rsidR="003C61A6" w:rsidRPr="00B107A4">
        <w:rPr>
          <w:rFonts w:ascii="Simplified Arabic" w:hAnsi="Simplified Arabic" w:cs="Simplified Arabic"/>
          <w:sz w:val="20"/>
          <w:rtl/>
        </w:rPr>
        <w:t xml:space="preserve"> ترد المبادئ التوجيهية في مرفق الوثيقة </w:t>
      </w:r>
      <w:r w:rsidR="003C61A6" w:rsidRPr="00982D76">
        <w:rPr>
          <w:rFonts w:asciiTheme="majorBidi" w:hAnsiTheme="majorBidi" w:cstheme="majorBidi"/>
          <w:szCs w:val="18"/>
        </w:rPr>
        <w:t>UNEP/CHW.15/6/Add.6/Rev.1</w:t>
      </w:r>
      <w:r w:rsidR="003C61A6" w:rsidRPr="00B107A4">
        <w:rPr>
          <w:rFonts w:ascii="Simplified Arabic" w:hAnsi="Simplified Arabic" w:cs="Simplified Arabic"/>
          <w:sz w:val="20"/>
          <w:rtl/>
        </w:rPr>
        <w:t>.</w:t>
      </w:r>
    </w:p>
  </w:footnote>
  <w:footnote w:id="3">
    <w:p w14:paraId="34D3C96A" w14:textId="6E2BAE3C" w:rsidR="003C61A6" w:rsidRPr="00B107A4" w:rsidRDefault="00B107A4" w:rsidP="00B107A4">
      <w:pPr>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rPr>
      </w:pPr>
      <w:r>
        <w:rPr>
          <w:rFonts w:ascii="Simplified Arabic" w:hAnsi="Simplified Arabic" w:cs="Simplified Arabic"/>
        </w:rPr>
        <w:t>)</w:t>
      </w:r>
      <w:r w:rsidR="003C61A6" w:rsidRPr="00B107A4">
        <w:rPr>
          <w:rFonts w:ascii="Simplified Arabic" w:hAnsi="Simplified Arabic" w:cs="Simplified Arabic"/>
          <w:rtl/>
        </w:rPr>
        <w:footnoteRef/>
      </w:r>
      <w:r>
        <w:rPr>
          <w:rFonts w:ascii="Simplified Arabic" w:hAnsi="Simplified Arabic" w:cs="Simplified Arabic"/>
        </w:rPr>
        <w:t>(</w:t>
      </w:r>
      <w:r w:rsidR="003C61A6" w:rsidRPr="00B107A4">
        <w:rPr>
          <w:rFonts w:ascii="Simplified Arabic" w:hAnsi="Simplified Arabic" w:cs="Simplified Arabic"/>
          <w:rtl/>
        </w:rPr>
        <w:t xml:space="preserve"> الأرجنتين، وأوغندا، والاتحاد الأوروبي والدول الأعضاء فيه، وتايلند، وكوستاريكا، والكويت، والمملكة العربية السعودية، واليابان.</w:t>
      </w:r>
    </w:p>
  </w:footnote>
  <w:footnote w:id="4">
    <w:p w14:paraId="3BE2C2C5" w14:textId="7A177F54" w:rsidR="003C61A6" w:rsidRPr="00B107A4" w:rsidRDefault="00B107A4" w:rsidP="00B107A4">
      <w:pPr>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rPr>
      </w:pPr>
      <w:r>
        <w:rPr>
          <w:rFonts w:ascii="Simplified Arabic" w:hAnsi="Simplified Arabic" w:cs="Simplified Arabic"/>
        </w:rPr>
        <w:t>)</w:t>
      </w:r>
      <w:r w:rsidR="003C61A6" w:rsidRPr="00B107A4">
        <w:rPr>
          <w:rFonts w:ascii="Simplified Arabic" w:hAnsi="Simplified Arabic" w:cs="Simplified Arabic"/>
          <w:rtl/>
        </w:rPr>
        <w:footnoteRef/>
      </w:r>
      <w:r>
        <w:rPr>
          <w:rFonts w:ascii="Simplified Arabic" w:hAnsi="Simplified Arabic" w:cs="Simplified Arabic"/>
        </w:rPr>
        <w:t>(</w:t>
      </w:r>
      <w:r w:rsidR="003C61A6" w:rsidRPr="00B107A4">
        <w:rPr>
          <w:rFonts w:ascii="Simplified Arabic" w:hAnsi="Simplified Arabic" w:cs="Simplified Arabic"/>
          <w:rtl/>
        </w:rPr>
        <w:t xml:space="preserve"> </w:t>
      </w:r>
      <w:hyperlink r:id="rId1" w:history="1">
        <w:r w:rsidR="003C61A6" w:rsidRPr="00016A03">
          <w:rPr>
            <w:rStyle w:val="Hyperlink"/>
            <w:rFonts w:asciiTheme="majorBidi" w:hAnsiTheme="majorBidi" w:cstheme="majorBidi"/>
            <w:sz w:val="18"/>
            <w:szCs w:val="18"/>
            <w:rtl/>
          </w:rPr>
          <w:t>https://minamataconvention.org/en/topics/mercury-wastes/intersessional-work</w:t>
        </w:r>
      </w:hyperlink>
      <w:r w:rsidR="003C61A6" w:rsidRPr="00B107A4">
        <w:rPr>
          <w:rFonts w:ascii="Simplified Arabic" w:hAnsi="Simplified Arabic" w:cs="Simplified Arabic"/>
          <w:rtl/>
        </w:rPr>
        <w:t>.</w:t>
      </w:r>
      <w:hyperlink r:id="rId2" w:history="1"/>
    </w:p>
  </w:footnote>
  <w:footnote w:id="5">
    <w:p w14:paraId="0556E28D" w14:textId="0A67AE27" w:rsidR="003C61A6" w:rsidRPr="00B107A4" w:rsidRDefault="00B107A4" w:rsidP="00B107A4">
      <w:pPr>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rPr>
      </w:pPr>
      <w:r>
        <w:rPr>
          <w:rFonts w:ascii="Simplified Arabic" w:hAnsi="Simplified Arabic" w:cs="Simplified Arabic"/>
        </w:rPr>
        <w:t>)</w:t>
      </w:r>
      <w:r w:rsidR="003C61A6" w:rsidRPr="00B107A4">
        <w:rPr>
          <w:rFonts w:ascii="Simplified Arabic" w:hAnsi="Simplified Arabic" w:cs="Simplified Arabic"/>
          <w:rtl/>
        </w:rPr>
        <w:footnoteRef/>
      </w:r>
      <w:r>
        <w:rPr>
          <w:rFonts w:ascii="Simplified Arabic" w:hAnsi="Simplified Arabic" w:cs="Simplified Arabic"/>
        </w:rPr>
        <w:t>(</w:t>
      </w:r>
      <w:r w:rsidR="003C61A6" w:rsidRPr="00B107A4">
        <w:rPr>
          <w:rFonts w:ascii="Simplified Arabic" w:hAnsi="Simplified Arabic" w:cs="Simplified Arabic"/>
          <w:rtl/>
        </w:rPr>
        <w:t xml:space="preserve"> قرر مؤتمر الأطراف، في الفقرة 9 من المقرر ا م-3/5، أن يجري فريق الخبراء التقنيين أي تحديثات ضرورية للقوائم الواردة في الجداول 1 و2 و3 من مرفق ذلك المقرر. وأبلغ الفريق مؤتمر الأطراف في اجتماعه الرابع بأنه لم يتمكن من العمل على قوائم نفايات الزئبق (انظر </w:t>
      </w:r>
      <w:r w:rsidR="003C61A6" w:rsidRPr="001E4FB1">
        <w:rPr>
          <w:rFonts w:asciiTheme="majorBidi" w:hAnsiTheme="majorBidi" w:cstheme="majorBidi"/>
          <w:sz w:val="18"/>
          <w:szCs w:val="18"/>
        </w:rPr>
        <w:t>UNEP/MC/COP.4/8</w:t>
      </w:r>
      <w:r w:rsidR="003C61A6" w:rsidRPr="00B107A4">
        <w:rPr>
          <w:rFonts w:ascii="Simplified Arabic" w:hAnsi="Simplified Arabic" w:cs="Simplified Arabic"/>
          <w:rtl/>
        </w:rPr>
        <w:t>، المرفق الثاني، الفقرة 35).</w:t>
      </w:r>
    </w:p>
  </w:footnote>
  <w:footnote w:id="6">
    <w:p w14:paraId="713DECAC" w14:textId="61EB57A4" w:rsidR="003C61A6" w:rsidRPr="00B107A4" w:rsidRDefault="00B107A4" w:rsidP="00B107A4">
      <w:pPr>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rPr>
      </w:pPr>
      <w:r>
        <w:rPr>
          <w:rFonts w:ascii="Simplified Arabic" w:hAnsi="Simplified Arabic" w:cs="Simplified Arabic"/>
        </w:rPr>
        <w:t>)</w:t>
      </w:r>
      <w:r w:rsidR="003C61A6" w:rsidRPr="00B107A4">
        <w:rPr>
          <w:rFonts w:ascii="Simplified Arabic" w:hAnsi="Simplified Arabic" w:cs="Simplified Arabic"/>
          <w:rtl/>
        </w:rPr>
        <w:footnoteRef/>
      </w:r>
      <w:r>
        <w:rPr>
          <w:rFonts w:ascii="Simplified Arabic" w:hAnsi="Simplified Arabic" w:cs="Simplified Arabic"/>
        </w:rPr>
        <w:t>(</w:t>
      </w:r>
      <w:r w:rsidR="003C61A6" w:rsidRPr="00B107A4">
        <w:rPr>
          <w:rFonts w:ascii="Simplified Arabic" w:hAnsi="Simplified Arabic" w:cs="Simplified Arabic"/>
          <w:rtl/>
        </w:rPr>
        <w:t xml:space="preserve"> اعتُمد بموجب المقرر ا م-1/8 وعدل بموجب المقررين ا م-4/8 و ا م-5/13. واستخدم التقرير الوطني القصير الثاني الشكل المعدل بموجب المقرر ا م-4/8.</w:t>
      </w:r>
    </w:p>
  </w:footnote>
  <w:footnote w:id="7">
    <w:p w14:paraId="6FAD7E30" w14:textId="6A2759D7" w:rsidR="003C61A6" w:rsidRPr="00B107A4" w:rsidRDefault="00B107A4" w:rsidP="00B107A4">
      <w:pPr>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rPr>
      </w:pPr>
      <w:r>
        <w:rPr>
          <w:rFonts w:ascii="Simplified Arabic" w:hAnsi="Simplified Arabic" w:cs="Simplified Arabic"/>
        </w:rPr>
        <w:t>)</w:t>
      </w:r>
      <w:r w:rsidR="003C61A6" w:rsidRPr="00B107A4">
        <w:rPr>
          <w:rFonts w:ascii="Simplified Arabic" w:hAnsi="Simplified Arabic" w:cs="Simplified Arabic"/>
          <w:rtl/>
        </w:rPr>
        <w:footnoteRef/>
      </w:r>
      <w:r>
        <w:rPr>
          <w:rFonts w:ascii="Simplified Arabic" w:hAnsi="Simplified Arabic" w:cs="Simplified Arabic"/>
        </w:rPr>
        <w:t>(</w:t>
      </w:r>
      <w:r w:rsidR="003C61A6" w:rsidRPr="00B107A4">
        <w:rPr>
          <w:rFonts w:ascii="Simplified Arabic" w:hAnsi="Simplified Arabic" w:cs="Simplified Arabic"/>
          <w:rtl/>
        </w:rPr>
        <w:t xml:space="preserve"> </w:t>
      </w:r>
      <w:r w:rsidR="003C61A6" w:rsidRPr="00B107A4">
        <w:rPr>
          <w:rFonts w:asciiTheme="majorBidi" w:hAnsiTheme="majorBidi" w:cstheme="majorBidi"/>
          <w:sz w:val="18"/>
          <w:szCs w:val="18"/>
        </w:rPr>
        <w:t>UNEP/MC/COP.6/14</w:t>
      </w:r>
      <w:r w:rsidR="003C61A6" w:rsidRPr="00B107A4">
        <w:rPr>
          <w:rFonts w:ascii="Simplified Arabic" w:hAnsi="Simplified Arabic" w:cs="Simplified Arabic"/>
          <w:rtl/>
        </w:rPr>
        <w:t>، المرفق.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E335C" w14:textId="62F55F48"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6D3F75">
      <w:rPr>
        <w:noProof/>
        <w:sz w:val="17"/>
        <w:szCs w:val="17"/>
      </w:rPr>
      <w:t>UNEP/MC/COP.6/8</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DBB0" w14:textId="2C977697"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6D3F75">
      <w:rPr>
        <w:noProof/>
        <w:sz w:val="17"/>
        <w:szCs w:val="17"/>
      </w:rPr>
      <w:t>UNEP/MC/COP.6/8</w:t>
    </w:r>
    <w:r w:rsidRPr="00E226D0">
      <w:rPr>
        <w:sz w:val="17"/>
        <w:szCs w:val="17"/>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17A85" w14:textId="773C8F5A" w:rsidR="00061BBD" w:rsidRPr="00FF73AE" w:rsidRDefault="00061BBD" w:rsidP="00061BBD">
    <w:pPr>
      <w:pStyle w:val="Normal-pool"/>
      <w:bid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2378C2"/>
    <w:multiLevelType w:val="hybridMultilevel"/>
    <w:tmpl w:val="D572197A"/>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15:restartNumberingAfterBreak="0">
    <w:nsid w:val="0C9D0F44"/>
    <w:multiLevelType w:val="hybridMultilevel"/>
    <w:tmpl w:val="ACC20784"/>
    <w:lvl w:ilvl="0" w:tplc="FBEC5A50">
      <w:start w:val="1"/>
      <w:numFmt w:val="arabicAbjad"/>
      <w:lvlText w:val="(%1)"/>
      <w:lvlJc w:val="left"/>
      <w:pPr>
        <w:ind w:left="3047" w:hanging="360"/>
      </w:pPr>
      <w:rPr>
        <w:rFonts w:hint="default"/>
      </w:rPr>
    </w:lvl>
    <w:lvl w:ilvl="1" w:tplc="04090019" w:tentative="1">
      <w:start w:val="1"/>
      <w:numFmt w:val="lowerLetter"/>
      <w:lvlText w:val="%2."/>
      <w:lvlJc w:val="left"/>
      <w:pPr>
        <w:ind w:left="3767" w:hanging="360"/>
      </w:pPr>
    </w:lvl>
    <w:lvl w:ilvl="2" w:tplc="0409001B" w:tentative="1">
      <w:start w:val="1"/>
      <w:numFmt w:val="lowerRoman"/>
      <w:lvlText w:val="%3."/>
      <w:lvlJc w:val="right"/>
      <w:pPr>
        <w:ind w:left="4487" w:hanging="180"/>
      </w:pPr>
    </w:lvl>
    <w:lvl w:ilvl="3" w:tplc="0409000F" w:tentative="1">
      <w:start w:val="1"/>
      <w:numFmt w:val="decimal"/>
      <w:lvlText w:val="%4."/>
      <w:lvlJc w:val="left"/>
      <w:pPr>
        <w:ind w:left="5207" w:hanging="360"/>
      </w:pPr>
    </w:lvl>
    <w:lvl w:ilvl="4" w:tplc="04090019" w:tentative="1">
      <w:start w:val="1"/>
      <w:numFmt w:val="lowerLetter"/>
      <w:lvlText w:val="%5."/>
      <w:lvlJc w:val="left"/>
      <w:pPr>
        <w:ind w:left="5927" w:hanging="360"/>
      </w:pPr>
    </w:lvl>
    <w:lvl w:ilvl="5" w:tplc="0409001B" w:tentative="1">
      <w:start w:val="1"/>
      <w:numFmt w:val="lowerRoman"/>
      <w:lvlText w:val="%6."/>
      <w:lvlJc w:val="right"/>
      <w:pPr>
        <w:ind w:left="6647" w:hanging="180"/>
      </w:pPr>
    </w:lvl>
    <w:lvl w:ilvl="6" w:tplc="0409000F" w:tentative="1">
      <w:start w:val="1"/>
      <w:numFmt w:val="decimal"/>
      <w:lvlText w:val="%7."/>
      <w:lvlJc w:val="left"/>
      <w:pPr>
        <w:ind w:left="7367" w:hanging="360"/>
      </w:pPr>
    </w:lvl>
    <w:lvl w:ilvl="7" w:tplc="04090019" w:tentative="1">
      <w:start w:val="1"/>
      <w:numFmt w:val="lowerLetter"/>
      <w:lvlText w:val="%8."/>
      <w:lvlJc w:val="left"/>
      <w:pPr>
        <w:ind w:left="8087" w:hanging="360"/>
      </w:pPr>
    </w:lvl>
    <w:lvl w:ilvl="8" w:tplc="0409001B" w:tentative="1">
      <w:start w:val="1"/>
      <w:numFmt w:val="lowerRoman"/>
      <w:lvlText w:val="%9."/>
      <w:lvlJc w:val="right"/>
      <w:pPr>
        <w:ind w:left="8807" w:hanging="180"/>
      </w:pPr>
    </w:lvl>
  </w:abstractNum>
  <w:abstractNum w:abstractNumId="12"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15:restartNumberingAfterBreak="0">
    <w:nsid w:val="1C774916"/>
    <w:multiLevelType w:val="hybridMultilevel"/>
    <w:tmpl w:val="0FEC4EFC"/>
    <w:lvl w:ilvl="0" w:tplc="FBEC5A50">
      <w:start w:val="1"/>
      <w:numFmt w:val="arabicAbjad"/>
      <w:lvlText w:val="(%1)"/>
      <w:lvlJc w:val="left"/>
      <w:pPr>
        <w:ind w:left="3047" w:hanging="360"/>
      </w:pPr>
      <w:rPr>
        <w:rFonts w:hint="default"/>
      </w:rPr>
    </w:lvl>
    <w:lvl w:ilvl="1" w:tplc="04090019" w:tentative="1">
      <w:start w:val="1"/>
      <w:numFmt w:val="lowerLetter"/>
      <w:lvlText w:val="%2."/>
      <w:lvlJc w:val="left"/>
      <w:pPr>
        <w:ind w:left="3767" w:hanging="360"/>
      </w:pPr>
    </w:lvl>
    <w:lvl w:ilvl="2" w:tplc="0409001B" w:tentative="1">
      <w:start w:val="1"/>
      <w:numFmt w:val="lowerRoman"/>
      <w:lvlText w:val="%3."/>
      <w:lvlJc w:val="right"/>
      <w:pPr>
        <w:ind w:left="4487" w:hanging="180"/>
      </w:pPr>
    </w:lvl>
    <w:lvl w:ilvl="3" w:tplc="0409000F" w:tentative="1">
      <w:start w:val="1"/>
      <w:numFmt w:val="decimal"/>
      <w:lvlText w:val="%4."/>
      <w:lvlJc w:val="left"/>
      <w:pPr>
        <w:ind w:left="5207" w:hanging="360"/>
      </w:pPr>
    </w:lvl>
    <w:lvl w:ilvl="4" w:tplc="04090019" w:tentative="1">
      <w:start w:val="1"/>
      <w:numFmt w:val="lowerLetter"/>
      <w:lvlText w:val="%5."/>
      <w:lvlJc w:val="left"/>
      <w:pPr>
        <w:ind w:left="5927" w:hanging="360"/>
      </w:pPr>
    </w:lvl>
    <w:lvl w:ilvl="5" w:tplc="0409001B" w:tentative="1">
      <w:start w:val="1"/>
      <w:numFmt w:val="lowerRoman"/>
      <w:lvlText w:val="%6."/>
      <w:lvlJc w:val="right"/>
      <w:pPr>
        <w:ind w:left="6647" w:hanging="180"/>
      </w:pPr>
    </w:lvl>
    <w:lvl w:ilvl="6" w:tplc="0409000F" w:tentative="1">
      <w:start w:val="1"/>
      <w:numFmt w:val="decimal"/>
      <w:lvlText w:val="%7."/>
      <w:lvlJc w:val="left"/>
      <w:pPr>
        <w:ind w:left="7367" w:hanging="360"/>
      </w:pPr>
    </w:lvl>
    <w:lvl w:ilvl="7" w:tplc="04090019" w:tentative="1">
      <w:start w:val="1"/>
      <w:numFmt w:val="lowerLetter"/>
      <w:lvlText w:val="%8."/>
      <w:lvlJc w:val="left"/>
      <w:pPr>
        <w:ind w:left="8087" w:hanging="360"/>
      </w:pPr>
    </w:lvl>
    <w:lvl w:ilvl="8" w:tplc="0409001B" w:tentative="1">
      <w:start w:val="1"/>
      <w:numFmt w:val="lowerRoman"/>
      <w:lvlText w:val="%9."/>
      <w:lvlJc w:val="right"/>
      <w:pPr>
        <w:ind w:left="8807" w:hanging="180"/>
      </w:pPr>
    </w:lvl>
  </w:abstractNum>
  <w:abstractNum w:abstractNumId="15"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7"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282725AC"/>
    <w:multiLevelType w:val="hybridMultilevel"/>
    <w:tmpl w:val="F7087C6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9"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2" w15:restartNumberingAfterBreak="0">
    <w:nsid w:val="47491151"/>
    <w:multiLevelType w:val="hybridMultilevel"/>
    <w:tmpl w:val="01F45F58"/>
    <w:lvl w:ilvl="0" w:tplc="4CFA9D46">
      <w:start w:val="1"/>
      <w:numFmt w:val="decimal"/>
      <w:lvlText w:val="%1-"/>
      <w:lvlJc w:val="left"/>
      <w:pPr>
        <w:ind w:left="2327" w:hanging="360"/>
      </w:pPr>
      <w:rPr>
        <w:rFonts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23" w15:restartNumberingAfterBreak="0">
    <w:nsid w:val="495C0C43"/>
    <w:multiLevelType w:val="hybridMultilevel"/>
    <w:tmpl w:val="3E54A3DA"/>
    <w:lvl w:ilvl="0" w:tplc="FBEC5A50">
      <w:start w:val="1"/>
      <w:numFmt w:val="arabicAbjad"/>
      <w:lvlText w:val="(%1)"/>
      <w:lvlJc w:val="left"/>
      <w:pPr>
        <w:ind w:left="3047" w:hanging="360"/>
      </w:pPr>
      <w:rPr>
        <w:rFonts w:hint="default"/>
      </w:rPr>
    </w:lvl>
    <w:lvl w:ilvl="1" w:tplc="04090019" w:tentative="1">
      <w:start w:val="1"/>
      <w:numFmt w:val="lowerLetter"/>
      <w:lvlText w:val="%2."/>
      <w:lvlJc w:val="left"/>
      <w:pPr>
        <w:ind w:left="3767" w:hanging="360"/>
      </w:pPr>
    </w:lvl>
    <w:lvl w:ilvl="2" w:tplc="0409001B" w:tentative="1">
      <w:start w:val="1"/>
      <w:numFmt w:val="lowerRoman"/>
      <w:lvlText w:val="%3."/>
      <w:lvlJc w:val="right"/>
      <w:pPr>
        <w:ind w:left="4487" w:hanging="180"/>
      </w:pPr>
    </w:lvl>
    <w:lvl w:ilvl="3" w:tplc="0409000F" w:tentative="1">
      <w:start w:val="1"/>
      <w:numFmt w:val="decimal"/>
      <w:lvlText w:val="%4."/>
      <w:lvlJc w:val="left"/>
      <w:pPr>
        <w:ind w:left="5207" w:hanging="360"/>
      </w:pPr>
    </w:lvl>
    <w:lvl w:ilvl="4" w:tplc="04090019" w:tentative="1">
      <w:start w:val="1"/>
      <w:numFmt w:val="lowerLetter"/>
      <w:lvlText w:val="%5."/>
      <w:lvlJc w:val="left"/>
      <w:pPr>
        <w:ind w:left="5927" w:hanging="360"/>
      </w:pPr>
    </w:lvl>
    <w:lvl w:ilvl="5" w:tplc="0409001B" w:tentative="1">
      <w:start w:val="1"/>
      <w:numFmt w:val="lowerRoman"/>
      <w:lvlText w:val="%6."/>
      <w:lvlJc w:val="right"/>
      <w:pPr>
        <w:ind w:left="6647" w:hanging="180"/>
      </w:pPr>
    </w:lvl>
    <w:lvl w:ilvl="6" w:tplc="0409000F" w:tentative="1">
      <w:start w:val="1"/>
      <w:numFmt w:val="decimal"/>
      <w:lvlText w:val="%7."/>
      <w:lvlJc w:val="left"/>
      <w:pPr>
        <w:ind w:left="7367" w:hanging="360"/>
      </w:pPr>
    </w:lvl>
    <w:lvl w:ilvl="7" w:tplc="04090019" w:tentative="1">
      <w:start w:val="1"/>
      <w:numFmt w:val="lowerLetter"/>
      <w:lvlText w:val="%8."/>
      <w:lvlJc w:val="left"/>
      <w:pPr>
        <w:ind w:left="8087" w:hanging="360"/>
      </w:pPr>
    </w:lvl>
    <w:lvl w:ilvl="8" w:tplc="0409001B" w:tentative="1">
      <w:start w:val="1"/>
      <w:numFmt w:val="lowerRoman"/>
      <w:lvlText w:val="%9."/>
      <w:lvlJc w:val="right"/>
      <w:pPr>
        <w:ind w:left="8807" w:hanging="180"/>
      </w:pPr>
    </w:lvl>
  </w:abstractNum>
  <w:abstractNum w:abstractNumId="24" w15:restartNumberingAfterBreak="0">
    <w:nsid w:val="4AB42820"/>
    <w:multiLevelType w:val="hybridMultilevel"/>
    <w:tmpl w:val="32A2EAD6"/>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8"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30" w15:restartNumberingAfterBreak="0">
    <w:nsid w:val="53E95A02"/>
    <w:multiLevelType w:val="hybridMultilevel"/>
    <w:tmpl w:val="62BC3B7A"/>
    <w:lvl w:ilvl="0" w:tplc="0809000F">
      <w:start w:val="1"/>
      <w:numFmt w:val="decimal"/>
      <w:lvlText w:val="%1."/>
      <w:lvlJc w:val="left"/>
      <w:pPr>
        <w:ind w:left="1967" w:hanging="360"/>
      </w:pPr>
    </w:lvl>
    <w:lvl w:ilvl="1" w:tplc="5E5ED10E">
      <w:start w:val="1"/>
      <w:numFmt w:val="lowerLetter"/>
      <w:lvlText w:val="(%2)"/>
      <w:lvlJc w:val="left"/>
      <w:pPr>
        <w:ind w:left="2687" w:hanging="360"/>
      </w:pPr>
      <w:rPr>
        <w:rFonts w:hint="default"/>
      </w:r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31"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32"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35"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6" w15:restartNumberingAfterBreak="0">
    <w:nsid w:val="6D371DD9"/>
    <w:multiLevelType w:val="hybridMultilevel"/>
    <w:tmpl w:val="7564DF52"/>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7"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631639">
    <w:abstractNumId w:val="29"/>
  </w:num>
  <w:num w:numId="2" w16cid:durableId="1135835458">
    <w:abstractNumId w:val="20"/>
  </w:num>
  <w:num w:numId="3" w16cid:durableId="676426535">
    <w:abstractNumId w:val="8"/>
  </w:num>
  <w:num w:numId="4" w16cid:durableId="2137947824">
    <w:abstractNumId w:val="31"/>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584404">
    <w:abstractNumId w:val="21"/>
    <w:lvlOverride w:ilvl="0">
      <w:lvl w:ilvl="0" w:tplc="0809000F">
        <w:start w:val="1"/>
        <w:numFmt w:val="decimal"/>
        <w:lvlText w:val="%1."/>
        <w:lvlJc w:val="left"/>
        <w:pPr>
          <w:ind w:left="1967" w:hanging="360"/>
        </w:pPr>
      </w:lvl>
    </w:lvlOverride>
  </w:num>
  <w:num w:numId="16" w16cid:durableId="952176627">
    <w:abstractNumId w:val="32"/>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17" w16cid:durableId="116722077">
    <w:abstractNumId w:val="19"/>
    <w:lvlOverride w:ilvl="0">
      <w:lvl w:ilvl="0" w:tplc="B95EBFE6">
        <w:start w:val="1"/>
        <w:numFmt w:val="lowerRoman"/>
        <w:lvlText w:val="(%1)"/>
        <w:lvlJc w:val="left"/>
        <w:pPr>
          <w:ind w:left="720" w:hanging="360"/>
        </w:pPr>
        <w:rPr>
          <w:rFonts w:hint="default"/>
        </w:rPr>
      </w:lvl>
    </w:lvlOverride>
  </w:num>
  <w:num w:numId="18" w16cid:durableId="1918830074">
    <w:abstractNumId w:val="39"/>
    <w:lvlOverride w:ilvl="0">
      <w:lvl w:ilvl="0" w:tplc="142E8CEC">
        <w:start w:val="1"/>
        <w:numFmt w:val="lowerRoman"/>
        <w:lvlText w:val="(%1)"/>
        <w:lvlJc w:val="left"/>
        <w:pPr>
          <w:ind w:left="720" w:hanging="360"/>
        </w:pPr>
        <w:rPr>
          <w:rFonts w:hint="default"/>
        </w:rPr>
      </w:lvl>
    </w:lvlOverride>
  </w:num>
  <w:num w:numId="19" w16cid:durableId="1808471233">
    <w:abstractNumId w:val="39"/>
  </w:num>
  <w:num w:numId="20" w16cid:durableId="1386178108">
    <w:abstractNumId w:val="34"/>
  </w:num>
  <w:num w:numId="21" w16cid:durableId="300893234">
    <w:abstractNumId w:val="33"/>
  </w:num>
  <w:num w:numId="22" w16cid:durableId="571697771">
    <w:abstractNumId w:val="26"/>
  </w:num>
  <w:num w:numId="23" w16cid:durableId="227082503">
    <w:abstractNumId w:val="12"/>
  </w:num>
  <w:num w:numId="24" w16cid:durableId="1670324932">
    <w:abstractNumId w:val="38"/>
  </w:num>
  <w:num w:numId="25" w16cid:durableId="564143671">
    <w:abstractNumId w:val="28"/>
  </w:num>
  <w:num w:numId="26" w16cid:durableId="418060446">
    <w:abstractNumId w:val="17"/>
  </w:num>
  <w:num w:numId="27" w16cid:durableId="1270115184">
    <w:abstractNumId w:val="19"/>
  </w:num>
  <w:num w:numId="28" w16cid:durableId="1992052538">
    <w:abstractNumId w:val="15"/>
  </w:num>
  <w:num w:numId="29" w16cid:durableId="1775787974">
    <w:abstractNumId w:val="37"/>
  </w:num>
  <w:num w:numId="30" w16cid:durableId="1841650813">
    <w:abstractNumId w:val="35"/>
  </w:num>
  <w:num w:numId="31" w16cid:durableId="2107463138">
    <w:abstractNumId w:val="40"/>
  </w:num>
  <w:num w:numId="32" w16cid:durableId="1035346227">
    <w:abstractNumId w:val="27"/>
  </w:num>
  <w:num w:numId="33" w16cid:durableId="261691894">
    <w:abstractNumId w:val="16"/>
  </w:num>
  <w:num w:numId="34" w16cid:durableId="1361970773">
    <w:abstractNumId w:val="13"/>
  </w:num>
  <w:num w:numId="35" w16cid:durableId="560672902">
    <w:abstractNumId w:val="29"/>
    <w:lvlOverride w:ilvl="0">
      <w:lvl w:ilvl="0">
        <w:start w:val="1"/>
        <w:numFmt w:val="decimal"/>
        <w:lvlText w:val="%1."/>
        <w:lvlJc w:val="left"/>
        <w:pPr>
          <w:tabs>
            <w:tab w:val="num" w:pos="624"/>
          </w:tabs>
          <w:ind w:left="1248" w:firstLine="0"/>
        </w:pPr>
        <w:rPr>
          <w:rFonts w:hint="default"/>
        </w:rPr>
      </w:lvl>
    </w:lvlOverride>
    <w:lvlOverride w:ilvl="2">
      <w:lvl w:ilvl="2">
        <w:start w:val="1"/>
        <w:numFmt w:val="lowerRoman"/>
        <w:lvlText w:val="(%3)"/>
        <w:lvlJc w:val="left"/>
        <w:pPr>
          <w:tabs>
            <w:tab w:val="num" w:pos="3119"/>
          </w:tabs>
          <w:ind w:left="3119" w:hanging="624"/>
        </w:pPr>
        <w:rPr>
          <w:rFonts w:hint="default"/>
        </w:rPr>
      </w:lvl>
    </w:lvlOverride>
  </w:num>
  <w:num w:numId="36" w16cid:durableId="761293899">
    <w:abstractNumId w:val="30"/>
  </w:num>
  <w:num w:numId="37" w16cid:durableId="1165366481">
    <w:abstractNumId w:val="22"/>
  </w:num>
  <w:num w:numId="38" w16cid:durableId="652369498">
    <w:abstractNumId w:val="31"/>
  </w:num>
  <w:num w:numId="39" w16cid:durableId="2078243259">
    <w:abstractNumId w:val="31"/>
  </w:num>
  <w:num w:numId="40" w16cid:durableId="1730300216">
    <w:abstractNumId w:val="31"/>
  </w:num>
  <w:num w:numId="41" w16cid:durableId="1138837362">
    <w:abstractNumId w:val="31"/>
  </w:num>
  <w:num w:numId="42" w16cid:durableId="92868874">
    <w:abstractNumId w:val="31"/>
  </w:num>
  <w:num w:numId="43" w16cid:durableId="477264289">
    <w:abstractNumId w:val="31"/>
  </w:num>
  <w:num w:numId="44" w16cid:durableId="1806970946">
    <w:abstractNumId w:val="31"/>
  </w:num>
  <w:num w:numId="45" w16cid:durableId="2049252669">
    <w:abstractNumId w:val="31"/>
  </w:num>
  <w:num w:numId="46" w16cid:durableId="1894271603">
    <w:abstractNumId w:val="31"/>
  </w:num>
  <w:num w:numId="47" w16cid:durableId="1610970413">
    <w:abstractNumId w:val="31"/>
  </w:num>
  <w:num w:numId="48" w16cid:durableId="1205404989">
    <w:abstractNumId w:val="31"/>
  </w:num>
  <w:num w:numId="49" w16cid:durableId="501820353">
    <w:abstractNumId w:val="31"/>
  </w:num>
  <w:num w:numId="50" w16cid:durableId="249434236">
    <w:abstractNumId w:val="10"/>
  </w:num>
  <w:num w:numId="51" w16cid:durableId="1792435548">
    <w:abstractNumId w:val="31"/>
  </w:num>
  <w:num w:numId="52" w16cid:durableId="1240945338">
    <w:abstractNumId w:val="31"/>
  </w:num>
  <w:num w:numId="53" w16cid:durableId="1597783215">
    <w:abstractNumId w:val="31"/>
  </w:num>
  <w:num w:numId="54" w16cid:durableId="1350447035">
    <w:abstractNumId w:val="23"/>
  </w:num>
  <w:num w:numId="55" w16cid:durableId="1647198838">
    <w:abstractNumId w:val="31"/>
  </w:num>
  <w:num w:numId="56" w16cid:durableId="916868205">
    <w:abstractNumId w:val="31"/>
  </w:num>
  <w:num w:numId="57" w16cid:durableId="1798647973">
    <w:abstractNumId w:val="31"/>
  </w:num>
  <w:num w:numId="58" w16cid:durableId="22948460">
    <w:abstractNumId w:val="31"/>
  </w:num>
  <w:num w:numId="59" w16cid:durableId="2105032000">
    <w:abstractNumId w:val="31"/>
  </w:num>
  <w:num w:numId="60" w16cid:durableId="311451952">
    <w:abstractNumId w:val="31"/>
  </w:num>
  <w:num w:numId="61" w16cid:durableId="602616531">
    <w:abstractNumId w:val="11"/>
  </w:num>
  <w:num w:numId="62" w16cid:durableId="1141194685">
    <w:abstractNumId w:val="31"/>
  </w:num>
  <w:num w:numId="63" w16cid:durableId="18313012">
    <w:abstractNumId w:val="31"/>
  </w:num>
  <w:num w:numId="64" w16cid:durableId="1244533768">
    <w:abstractNumId w:val="31"/>
  </w:num>
  <w:num w:numId="65" w16cid:durableId="813835993">
    <w:abstractNumId w:val="14"/>
  </w:num>
  <w:num w:numId="66" w16cid:durableId="969743514">
    <w:abstractNumId w:val="31"/>
  </w:num>
  <w:num w:numId="67" w16cid:durableId="2005890373">
    <w:abstractNumId w:val="31"/>
  </w:num>
  <w:num w:numId="68" w16cid:durableId="182522131">
    <w:abstractNumId w:val="18"/>
  </w:num>
  <w:num w:numId="69" w16cid:durableId="1417048999">
    <w:abstractNumId w:val="31"/>
  </w:num>
  <w:num w:numId="70" w16cid:durableId="1680156292">
    <w:abstractNumId w:val="31"/>
  </w:num>
  <w:num w:numId="71" w16cid:durableId="174927476">
    <w:abstractNumId w:val="24"/>
  </w:num>
  <w:num w:numId="72" w16cid:durableId="197013055">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1168C"/>
    <w:rsid w:val="00016A03"/>
    <w:rsid w:val="0001758F"/>
    <w:rsid w:val="00020491"/>
    <w:rsid w:val="00023751"/>
    <w:rsid w:val="000300C7"/>
    <w:rsid w:val="000361E1"/>
    <w:rsid w:val="000417D9"/>
    <w:rsid w:val="000534DE"/>
    <w:rsid w:val="00061BBD"/>
    <w:rsid w:val="00066AF3"/>
    <w:rsid w:val="00074E68"/>
    <w:rsid w:val="00075BA9"/>
    <w:rsid w:val="00076715"/>
    <w:rsid w:val="0009509A"/>
    <w:rsid w:val="000B13FD"/>
    <w:rsid w:val="000B3682"/>
    <w:rsid w:val="000B410C"/>
    <w:rsid w:val="000C3309"/>
    <w:rsid w:val="000C67C4"/>
    <w:rsid w:val="000D0119"/>
    <w:rsid w:val="000D242C"/>
    <w:rsid w:val="000E4EA0"/>
    <w:rsid w:val="000E7284"/>
    <w:rsid w:val="000F5D70"/>
    <w:rsid w:val="00100A98"/>
    <w:rsid w:val="00107C97"/>
    <w:rsid w:val="001142C0"/>
    <w:rsid w:val="00121494"/>
    <w:rsid w:val="00125209"/>
    <w:rsid w:val="0012663B"/>
    <w:rsid w:val="001329BF"/>
    <w:rsid w:val="001359C1"/>
    <w:rsid w:val="00147834"/>
    <w:rsid w:val="00152515"/>
    <w:rsid w:val="00152B43"/>
    <w:rsid w:val="0015610C"/>
    <w:rsid w:val="001623EB"/>
    <w:rsid w:val="00166B99"/>
    <w:rsid w:val="00172FFB"/>
    <w:rsid w:val="001740BC"/>
    <w:rsid w:val="00183013"/>
    <w:rsid w:val="00190BED"/>
    <w:rsid w:val="001A4241"/>
    <w:rsid w:val="001B6F5B"/>
    <w:rsid w:val="001C68F3"/>
    <w:rsid w:val="001D1CD8"/>
    <w:rsid w:val="001D7E87"/>
    <w:rsid w:val="001E08F2"/>
    <w:rsid w:val="001E4739"/>
    <w:rsid w:val="001E4FB1"/>
    <w:rsid w:val="001F6558"/>
    <w:rsid w:val="00212F3C"/>
    <w:rsid w:val="00222030"/>
    <w:rsid w:val="00230E38"/>
    <w:rsid w:val="0023154F"/>
    <w:rsid w:val="00232571"/>
    <w:rsid w:val="00236154"/>
    <w:rsid w:val="002466ED"/>
    <w:rsid w:val="00253E26"/>
    <w:rsid w:val="00254A6F"/>
    <w:rsid w:val="00261916"/>
    <w:rsid w:val="00270CC9"/>
    <w:rsid w:val="0028484D"/>
    <w:rsid w:val="00285B0A"/>
    <w:rsid w:val="002877DC"/>
    <w:rsid w:val="002A47EA"/>
    <w:rsid w:val="002B0E6F"/>
    <w:rsid w:val="002D1BC5"/>
    <w:rsid w:val="002D213D"/>
    <w:rsid w:val="002E6225"/>
    <w:rsid w:val="00301DDD"/>
    <w:rsid w:val="00315981"/>
    <w:rsid w:val="003259C7"/>
    <w:rsid w:val="00337004"/>
    <w:rsid w:val="00351547"/>
    <w:rsid w:val="00366C4C"/>
    <w:rsid w:val="00371CA2"/>
    <w:rsid w:val="00373026"/>
    <w:rsid w:val="00377723"/>
    <w:rsid w:val="00392E37"/>
    <w:rsid w:val="003A4455"/>
    <w:rsid w:val="003B0118"/>
    <w:rsid w:val="003B20D1"/>
    <w:rsid w:val="003B2D9D"/>
    <w:rsid w:val="003B6ED5"/>
    <w:rsid w:val="003C61A6"/>
    <w:rsid w:val="003D748D"/>
    <w:rsid w:val="003E0323"/>
    <w:rsid w:val="003E1265"/>
    <w:rsid w:val="003F004E"/>
    <w:rsid w:val="003F0A98"/>
    <w:rsid w:val="003F4E0B"/>
    <w:rsid w:val="003F7A0C"/>
    <w:rsid w:val="0040752B"/>
    <w:rsid w:val="004129CC"/>
    <w:rsid w:val="00421D9E"/>
    <w:rsid w:val="004273E7"/>
    <w:rsid w:val="00434547"/>
    <w:rsid w:val="004501DD"/>
    <w:rsid w:val="004623DA"/>
    <w:rsid w:val="0046257C"/>
    <w:rsid w:val="00463B23"/>
    <w:rsid w:val="004649F8"/>
    <w:rsid w:val="00485026"/>
    <w:rsid w:val="00495600"/>
    <w:rsid w:val="004A0D2E"/>
    <w:rsid w:val="004A2E91"/>
    <w:rsid w:val="004B1129"/>
    <w:rsid w:val="004B1402"/>
    <w:rsid w:val="004C7D5A"/>
    <w:rsid w:val="004E4269"/>
    <w:rsid w:val="004F1968"/>
    <w:rsid w:val="00502A3E"/>
    <w:rsid w:val="0050416A"/>
    <w:rsid w:val="005049BC"/>
    <w:rsid w:val="005225DB"/>
    <w:rsid w:val="0054056E"/>
    <w:rsid w:val="0055230B"/>
    <w:rsid w:val="0055505B"/>
    <w:rsid w:val="0055526F"/>
    <w:rsid w:val="00567663"/>
    <w:rsid w:val="00567700"/>
    <w:rsid w:val="00570034"/>
    <w:rsid w:val="005708B2"/>
    <w:rsid w:val="00575A3F"/>
    <w:rsid w:val="005934B2"/>
    <w:rsid w:val="00595B2C"/>
    <w:rsid w:val="005963DB"/>
    <w:rsid w:val="005A42F4"/>
    <w:rsid w:val="005B1AFD"/>
    <w:rsid w:val="005C613B"/>
    <w:rsid w:val="005E03C7"/>
    <w:rsid w:val="005E1034"/>
    <w:rsid w:val="005F3CD5"/>
    <w:rsid w:val="006062BF"/>
    <w:rsid w:val="00615244"/>
    <w:rsid w:val="00617123"/>
    <w:rsid w:val="00624678"/>
    <w:rsid w:val="0062591A"/>
    <w:rsid w:val="00630AC1"/>
    <w:rsid w:val="00654F2F"/>
    <w:rsid w:val="0065664E"/>
    <w:rsid w:val="006638A1"/>
    <w:rsid w:val="006656FF"/>
    <w:rsid w:val="00683D35"/>
    <w:rsid w:val="006A02C9"/>
    <w:rsid w:val="006A4917"/>
    <w:rsid w:val="006B5242"/>
    <w:rsid w:val="006B6D3C"/>
    <w:rsid w:val="006C0EEA"/>
    <w:rsid w:val="006D3F75"/>
    <w:rsid w:val="006D54E7"/>
    <w:rsid w:val="007008BE"/>
    <w:rsid w:val="0071712C"/>
    <w:rsid w:val="00721691"/>
    <w:rsid w:val="007378B1"/>
    <w:rsid w:val="00741121"/>
    <w:rsid w:val="00761D88"/>
    <w:rsid w:val="00766E3F"/>
    <w:rsid w:val="00773C83"/>
    <w:rsid w:val="007836D9"/>
    <w:rsid w:val="007969EA"/>
    <w:rsid w:val="007A6CE3"/>
    <w:rsid w:val="007B018F"/>
    <w:rsid w:val="007B3991"/>
    <w:rsid w:val="007B56C5"/>
    <w:rsid w:val="007B6B6E"/>
    <w:rsid w:val="007C5F55"/>
    <w:rsid w:val="007F3337"/>
    <w:rsid w:val="007F788F"/>
    <w:rsid w:val="00802A7E"/>
    <w:rsid w:val="00804624"/>
    <w:rsid w:val="00811E49"/>
    <w:rsid w:val="00835DAE"/>
    <w:rsid w:val="00843EA2"/>
    <w:rsid w:val="00855FE8"/>
    <w:rsid w:val="00867682"/>
    <w:rsid w:val="0087078B"/>
    <w:rsid w:val="008750E6"/>
    <w:rsid w:val="008824D5"/>
    <w:rsid w:val="00892F21"/>
    <w:rsid w:val="00896656"/>
    <w:rsid w:val="008A4793"/>
    <w:rsid w:val="008B214F"/>
    <w:rsid w:val="008B42FC"/>
    <w:rsid w:val="008D6BAE"/>
    <w:rsid w:val="008E0EE8"/>
    <w:rsid w:val="009245D7"/>
    <w:rsid w:val="0093623B"/>
    <w:rsid w:val="00950ADF"/>
    <w:rsid w:val="00967E80"/>
    <w:rsid w:val="00971A6B"/>
    <w:rsid w:val="00974343"/>
    <w:rsid w:val="00977588"/>
    <w:rsid w:val="00982D76"/>
    <w:rsid w:val="0098305F"/>
    <w:rsid w:val="00992854"/>
    <w:rsid w:val="00994CFA"/>
    <w:rsid w:val="009A7355"/>
    <w:rsid w:val="009C4F40"/>
    <w:rsid w:val="009C4FF4"/>
    <w:rsid w:val="009E555E"/>
    <w:rsid w:val="009E6974"/>
    <w:rsid w:val="009F1B3E"/>
    <w:rsid w:val="00A13CDF"/>
    <w:rsid w:val="00A17652"/>
    <w:rsid w:val="00A40553"/>
    <w:rsid w:val="00A5084E"/>
    <w:rsid w:val="00A6079D"/>
    <w:rsid w:val="00A62976"/>
    <w:rsid w:val="00A650B0"/>
    <w:rsid w:val="00A72397"/>
    <w:rsid w:val="00A81608"/>
    <w:rsid w:val="00A81876"/>
    <w:rsid w:val="00AB0DAB"/>
    <w:rsid w:val="00AC177B"/>
    <w:rsid w:val="00AE4FF2"/>
    <w:rsid w:val="00AE6364"/>
    <w:rsid w:val="00AE6BF6"/>
    <w:rsid w:val="00AF23D1"/>
    <w:rsid w:val="00B017CC"/>
    <w:rsid w:val="00B05999"/>
    <w:rsid w:val="00B107A4"/>
    <w:rsid w:val="00B36DD2"/>
    <w:rsid w:val="00B4449E"/>
    <w:rsid w:val="00B71603"/>
    <w:rsid w:val="00B77196"/>
    <w:rsid w:val="00B77BD8"/>
    <w:rsid w:val="00B872EB"/>
    <w:rsid w:val="00B92456"/>
    <w:rsid w:val="00BA16BB"/>
    <w:rsid w:val="00BA36DE"/>
    <w:rsid w:val="00BB32D9"/>
    <w:rsid w:val="00BE17B9"/>
    <w:rsid w:val="00C255CC"/>
    <w:rsid w:val="00C25F1C"/>
    <w:rsid w:val="00C27F65"/>
    <w:rsid w:val="00C52ADB"/>
    <w:rsid w:val="00C56378"/>
    <w:rsid w:val="00C56962"/>
    <w:rsid w:val="00C61773"/>
    <w:rsid w:val="00C620FE"/>
    <w:rsid w:val="00C739FA"/>
    <w:rsid w:val="00C7421A"/>
    <w:rsid w:val="00C75698"/>
    <w:rsid w:val="00C7654B"/>
    <w:rsid w:val="00C842AD"/>
    <w:rsid w:val="00C84A47"/>
    <w:rsid w:val="00C87AFC"/>
    <w:rsid w:val="00C90C40"/>
    <w:rsid w:val="00CA0147"/>
    <w:rsid w:val="00CA19B3"/>
    <w:rsid w:val="00CC24AD"/>
    <w:rsid w:val="00CD77F6"/>
    <w:rsid w:val="00CE0AA5"/>
    <w:rsid w:val="00CE1AFB"/>
    <w:rsid w:val="00CE52D8"/>
    <w:rsid w:val="00CF1739"/>
    <w:rsid w:val="00CF2A4E"/>
    <w:rsid w:val="00CF6393"/>
    <w:rsid w:val="00D016A7"/>
    <w:rsid w:val="00D06CEF"/>
    <w:rsid w:val="00D278AA"/>
    <w:rsid w:val="00D370C9"/>
    <w:rsid w:val="00DB0480"/>
    <w:rsid w:val="00DC6E6B"/>
    <w:rsid w:val="00DD3BB7"/>
    <w:rsid w:val="00DD44FB"/>
    <w:rsid w:val="00DD6B50"/>
    <w:rsid w:val="00DE2794"/>
    <w:rsid w:val="00DE4CF9"/>
    <w:rsid w:val="00DE6806"/>
    <w:rsid w:val="00DE683C"/>
    <w:rsid w:val="00DF0084"/>
    <w:rsid w:val="00DF3639"/>
    <w:rsid w:val="00E03F93"/>
    <w:rsid w:val="00E05571"/>
    <w:rsid w:val="00E130AB"/>
    <w:rsid w:val="00E226D0"/>
    <w:rsid w:val="00E40695"/>
    <w:rsid w:val="00E47E2D"/>
    <w:rsid w:val="00E519BA"/>
    <w:rsid w:val="00E54BA5"/>
    <w:rsid w:val="00E600A8"/>
    <w:rsid w:val="00E62DAA"/>
    <w:rsid w:val="00E64462"/>
    <w:rsid w:val="00E67E95"/>
    <w:rsid w:val="00E735A6"/>
    <w:rsid w:val="00EA5873"/>
    <w:rsid w:val="00EB04C6"/>
    <w:rsid w:val="00EB2DF2"/>
    <w:rsid w:val="00EB35B4"/>
    <w:rsid w:val="00EB653F"/>
    <w:rsid w:val="00EC3D1A"/>
    <w:rsid w:val="00ED4DD2"/>
    <w:rsid w:val="00EE12A0"/>
    <w:rsid w:val="00EF37B8"/>
    <w:rsid w:val="00F006CC"/>
    <w:rsid w:val="00F02FED"/>
    <w:rsid w:val="00F079D9"/>
    <w:rsid w:val="00F10E16"/>
    <w:rsid w:val="00F153E9"/>
    <w:rsid w:val="00F36B17"/>
    <w:rsid w:val="00F4425D"/>
    <w:rsid w:val="00F507BF"/>
    <w:rsid w:val="00F5504A"/>
    <w:rsid w:val="00F67DBD"/>
    <w:rsid w:val="00F7077E"/>
    <w:rsid w:val="00F70969"/>
    <w:rsid w:val="00F77890"/>
    <w:rsid w:val="00F9511D"/>
    <w:rsid w:val="00F965F7"/>
    <w:rsid w:val="00FA60C5"/>
    <w:rsid w:val="00FB3BB7"/>
    <w:rsid w:val="00FB6243"/>
    <w:rsid w:val="00FC1D2A"/>
    <w:rsid w:val="00FC251F"/>
    <w:rsid w:val="00FD1BF3"/>
    <w:rsid w:val="00FD580C"/>
    <w:rsid w:val="00FD6DD7"/>
    <w:rsid w:val="00FE5601"/>
    <w:rsid w:val="00FF4559"/>
    <w:rsid w:val="00FF472E"/>
    <w:rsid w:val="00FF73A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
    <w:basedOn w:val="DefaultParagraphFont"/>
    <w:link w:val="SUPERSCharCharCharCharCharCharCharChar"/>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nhideWhenUsed/>
    <w:rsid w:val="00061BBD"/>
    <w:pPr>
      <w:tabs>
        <w:tab w:val="center" w:pos="4536"/>
        <w:tab w:val="right" w:pos="9072"/>
      </w:tabs>
    </w:pPr>
  </w:style>
  <w:style w:type="character" w:customStyle="1" w:styleId="HeaderChar">
    <w:name w:val="Header Char"/>
    <w:basedOn w:val="DefaultParagraphFont"/>
    <w:link w:val="Header"/>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nhideWhenUsed/>
    <w:rsid w:val="00061BBD"/>
    <w:pPr>
      <w:tabs>
        <w:tab w:val="right" w:leader="dot" w:pos="9486"/>
      </w:tabs>
      <w:ind w:left="2948" w:hanging="567"/>
    </w:pPr>
    <w:rPr>
      <w:iCs/>
    </w:rPr>
  </w:style>
  <w:style w:type="paragraph" w:styleId="TOC4">
    <w:name w:val="toc 4"/>
    <w:basedOn w:val="Normal-pool"/>
    <w:next w:val="Normal-pool"/>
    <w:unhideWhenUsed/>
    <w:rsid w:val="00061BBD"/>
    <w:pPr>
      <w:tabs>
        <w:tab w:val="left" w:pos="1000"/>
        <w:tab w:val="right" w:leader="dot" w:pos="9486"/>
      </w:tabs>
      <w:ind w:left="3515" w:hanging="567"/>
    </w:pPr>
    <w:rPr>
      <w:szCs w:val="18"/>
    </w:rPr>
  </w:style>
  <w:style w:type="paragraph" w:styleId="TOC5">
    <w:name w:val="toc 5"/>
    <w:basedOn w:val="Normal-pool"/>
    <w:next w:val="Normal-pool"/>
    <w:rsid w:val="00061BBD"/>
    <w:pPr>
      <w:ind w:left="800"/>
    </w:pPr>
    <w:rPr>
      <w:sz w:val="18"/>
      <w:szCs w:val="18"/>
    </w:rPr>
  </w:style>
  <w:style w:type="paragraph" w:customStyle="1" w:styleId="ZZAnxheader">
    <w:name w:val="ZZ_Anx_header"/>
    <w:basedOn w:val="Normal-pool"/>
    <w:rsid w:val="00061BBD"/>
    <w:rPr>
      <w:b/>
      <w:bCs/>
      <w:sz w:val="28"/>
      <w:szCs w:val="22"/>
    </w:rPr>
  </w:style>
  <w:style w:type="paragraph" w:customStyle="1" w:styleId="ZZAnxtitle">
    <w:name w:val="ZZ_Anx_title"/>
    <w:basedOn w:val="Normal-pool"/>
    <w:link w:val="ZZAnxtitleChar"/>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basedOn w:val="Normal"/>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uiPriority w:val="20"/>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semiHidden/>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semiHidden/>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autoRedefine/>
    <w:semiHidden/>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semiHidden/>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minamataconvention.org/en/topics/mercury-wastes/intersessional-work" TargetMode="External"/><Relationship Id="rId1" Type="http://schemas.openxmlformats.org/officeDocument/2006/relationships/hyperlink" Target="https://minamataconvention.org/en/topics/mercury-wastes/intersessional-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9BEA6CE7-4C3C-4C14-BF91-DF7D16563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3.xml><?xml version="1.0" encoding="utf-8"?>
<ds:datastoreItem xmlns:ds="http://schemas.openxmlformats.org/officeDocument/2006/customXml" ds:itemID="{1DA90F82-C0F0-4104-9CBE-BB051A210DF9}">
  <ds:schemaRefs>
    <ds:schemaRef ds:uri="http://schemas.microsoft.com/sharepoint/v3/contenttype/forms"/>
  </ds:schemaRefs>
</ds:datastoreItem>
</file>

<file path=customXml/itemProps4.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154</TotalTime>
  <Pages>4</Pages>
  <Words>1317</Words>
  <Characters>7509</Characters>
  <Application>Microsoft Office Word</Application>
  <DocSecurity>0</DocSecurity>
  <PresentationFormat/>
  <Lines>62</Lines>
  <Paragraphs>17</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8809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K2400222-a-MC-COP-5-25</dc:title>
  <dc:subject/>
  <dc:creator>Sara Abousalama</dc:creator>
  <cp:keywords/>
  <dc:description/>
  <cp:lastModifiedBy>My Linh Doan</cp:lastModifiedBy>
  <cp:revision>42</cp:revision>
  <cp:lastPrinted>2025-07-09T19:00:00Z</cp:lastPrinted>
  <dcterms:created xsi:type="dcterms:W3CDTF">2025-04-16T08:17:00Z</dcterms:created>
  <dcterms:modified xsi:type="dcterms:W3CDTF">2025-09-03T11:42:00Z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