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2E3F08" w:rsidRPr="003E73D6" w14:paraId="493B2A2E" w14:textId="77777777" w:rsidTr="002E3F08">
        <w:trPr>
          <w:trHeight w:val="850"/>
        </w:trPr>
        <w:tc>
          <w:tcPr>
            <w:tcW w:w="1559" w:type="dxa"/>
          </w:tcPr>
          <w:p w14:paraId="14351195" w14:textId="49917FE0" w:rsidR="002E3F08" w:rsidRPr="003E73D6" w:rsidRDefault="002E3F08" w:rsidP="002E3F08">
            <w:pPr>
              <w:pStyle w:val="AUnitedNations"/>
            </w:pPr>
            <w:r w:rsidRPr="003E73D6">
              <w:t xml:space="preserve">NATIONS </w:t>
            </w:r>
            <w:r w:rsidRPr="003E73D6">
              <w:br/>
              <w:t>UNIES</w:t>
            </w:r>
          </w:p>
        </w:tc>
        <w:tc>
          <w:tcPr>
            <w:tcW w:w="6520" w:type="dxa"/>
          </w:tcPr>
          <w:p w14:paraId="52F02D56" w14:textId="21B10FDF" w:rsidR="002E3F08" w:rsidRPr="003E73D6" w:rsidRDefault="002E3F08" w:rsidP="002E3F08">
            <w:pPr>
              <w:pStyle w:val="Normal-pool"/>
            </w:pPr>
            <w:r w:rsidRPr="003E73D6">
              <w:drawing>
                <wp:anchor distT="0" distB="0" distL="114300" distR="114300" simplePos="0" relativeHeight="251660288" behindDoc="0" locked="0" layoutInCell="1" allowOverlap="1" wp14:anchorId="20BA90E4" wp14:editId="03DA32E9">
                  <wp:simplePos x="0" y="0"/>
                  <wp:positionH relativeFrom="column">
                    <wp:posOffset>1594</wp:posOffset>
                  </wp:positionH>
                  <wp:positionV relativeFrom="paragraph">
                    <wp:posOffset>-951</wp:posOffset>
                  </wp:positionV>
                  <wp:extent cx="1269153" cy="573559"/>
                  <wp:effectExtent l="0" t="0" r="7620" b="0"/>
                  <wp:wrapNone/>
                  <wp:docPr id="137455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52244"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63081C86" w14:textId="77777777" w:rsidR="002E3F08" w:rsidRPr="003E73D6" w:rsidRDefault="002E3F08" w:rsidP="002E3F08">
            <w:pPr>
              <w:pStyle w:val="Normal-pool"/>
            </w:pPr>
          </w:p>
        </w:tc>
      </w:tr>
    </w:tbl>
    <w:p w14:paraId="254ECD8A" w14:textId="77777777" w:rsidR="002E3F08" w:rsidRPr="003E73D6" w:rsidRDefault="002E3F08" w:rsidP="002E3F08">
      <w:pPr>
        <w:pStyle w:val="ASpacer"/>
      </w:pPr>
    </w:p>
    <w:tbl>
      <w:tblPr>
        <w:tblW w:w="9496" w:type="dxa"/>
        <w:tblLook w:val="0000" w:firstRow="0" w:lastRow="0" w:firstColumn="0" w:lastColumn="0" w:noHBand="0" w:noVBand="0"/>
      </w:tblPr>
      <w:tblGrid>
        <w:gridCol w:w="6378"/>
        <w:gridCol w:w="3118"/>
      </w:tblGrid>
      <w:tr w:rsidR="002E3F08" w:rsidRPr="003E73D6" w14:paraId="7D8640FB" w14:textId="77777777" w:rsidTr="002E3F08">
        <w:trPr>
          <w:trHeight w:val="340"/>
        </w:trPr>
        <w:tc>
          <w:tcPr>
            <w:tcW w:w="3358" w:type="pct"/>
            <w:vAlign w:val="bottom"/>
          </w:tcPr>
          <w:p w14:paraId="53FCA15C" w14:textId="77777777" w:rsidR="002E3F08" w:rsidRPr="003E73D6" w:rsidRDefault="002E3F08" w:rsidP="002E3F08">
            <w:pPr>
              <w:pStyle w:val="Normal-pool"/>
            </w:pPr>
          </w:p>
        </w:tc>
        <w:tc>
          <w:tcPr>
            <w:tcW w:w="1642" w:type="pct"/>
            <w:noWrap/>
            <w:vAlign w:val="bottom"/>
          </w:tcPr>
          <w:p w14:paraId="1DC72FEC" w14:textId="37D62D26" w:rsidR="002E3F08" w:rsidRPr="003E73D6" w:rsidRDefault="002E3F08" w:rsidP="002E3F08">
            <w:pPr>
              <w:pStyle w:val="ASymbol"/>
            </w:pPr>
            <w:r w:rsidRPr="003E73D6">
              <w:rPr>
                <w:b/>
                <w:sz w:val="28"/>
              </w:rPr>
              <w:t>UNEP</w:t>
            </w:r>
            <w:r w:rsidRPr="003E73D6">
              <w:t>/MC/COP.</w:t>
            </w:r>
            <w:bookmarkStart w:id="0" w:name="Symbol1A"/>
            <w:r w:rsidRPr="003E73D6">
              <w:t>6</w:t>
            </w:r>
            <w:bookmarkStart w:id="1" w:name="Symbol1B"/>
            <w:bookmarkEnd w:id="0"/>
            <w:r w:rsidRPr="003E73D6">
              <w:t>/</w:t>
            </w:r>
            <w:bookmarkEnd w:id="1"/>
            <w:r w:rsidRPr="003E73D6">
              <w:t>7/Add.1</w:t>
            </w:r>
          </w:p>
        </w:tc>
      </w:tr>
    </w:tbl>
    <w:p w14:paraId="417E1005" w14:textId="77777777" w:rsidR="002E3F08" w:rsidRPr="003E73D6" w:rsidRDefault="002E3F08" w:rsidP="002E3F08">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E3F08" w:rsidRPr="003E73D6" w14:paraId="3AC7E344" w14:textId="77777777" w:rsidTr="002E3F08">
        <w:trPr>
          <w:trHeight w:val="2098"/>
        </w:trPr>
        <w:tc>
          <w:tcPr>
            <w:tcW w:w="3685" w:type="dxa"/>
          </w:tcPr>
          <w:p w14:paraId="221E77CC" w14:textId="7BD65300" w:rsidR="002E3F08" w:rsidRPr="003E73D6" w:rsidRDefault="002E3F08" w:rsidP="002E3F08">
            <w:pPr>
              <w:pStyle w:val="ALogo"/>
            </w:pPr>
            <w:r w:rsidRPr="003E73D6">
              <w:drawing>
                <wp:inline distT="0" distB="0" distL="0" distR="0" wp14:anchorId="683B1451" wp14:editId="673D142D">
                  <wp:extent cx="2202815" cy="1028700"/>
                  <wp:effectExtent l="0" t="0" r="6985" b="0"/>
                  <wp:docPr id="782219844" name="Picture 2"/>
                  <wp:cNvGraphicFramePr/>
                  <a:graphic xmlns:a="http://schemas.openxmlformats.org/drawingml/2006/main">
                    <a:graphicData uri="http://schemas.openxmlformats.org/drawingml/2006/picture">
                      <pic:pic xmlns:pic="http://schemas.openxmlformats.org/drawingml/2006/picture">
                        <pic:nvPicPr>
                          <pic:cNvPr id="78221984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3E73D6">
              <w:t xml:space="preserve"> </w:t>
            </w:r>
          </w:p>
          <w:p w14:paraId="6FC85B91" w14:textId="74C76FF1" w:rsidR="002E3F08" w:rsidRPr="003E73D6" w:rsidRDefault="002E3F08" w:rsidP="002E3F08">
            <w:pPr>
              <w:pStyle w:val="ALogo"/>
            </w:pPr>
          </w:p>
        </w:tc>
        <w:tc>
          <w:tcPr>
            <w:tcW w:w="2693" w:type="dxa"/>
          </w:tcPr>
          <w:p w14:paraId="746DB81E" w14:textId="77777777" w:rsidR="002E3F08" w:rsidRPr="003E73D6" w:rsidRDefault="002E3F08" w:rsidP="002E3F08">
            <w:pPr>
              <w:pStyle w:val="Normal-pool"/>
            </w:pPr>
          </w:p>
        </w:tc>
        <w:tc>
          <w:tcPr>
            <w:tcW w:w="3118" w:type="dxa"/>
          </w:tcPr>
          <w:p w14:paraId="09CDEE23" w14:textId="33557DF0" w:rsidR="002E3F08" w:rsidRPr="003E73D6" w:rsidRDefault="002E3F08" w:rsidP="002E3F08">
            <w:pPr>
              <w:pStyle w:val="AText"/>
            </w:pPr>
            <w:proofErr w:type="spellStart"/>
            <w:r w:rsidRPr="003E73D6">
              <w:t>Distr</w:t>
            </w:r>
            <w:proofErr w:type="spellEnd"/>
            <w:r w:rsidRPr="003E73D6">
              <w:t xml:space="preserve">. </w:t>
            </w:r>
            <w:proofErr w:type="gramStart"/>
            <w:r w:rsidRPr="003E73D6">
              <w:t>générale</w:t>
            </w:r>
            <w:proofErr w:type="gramEnd"/>
            <w:r w:rsidRPr="003E73D6">
              <w:t xml:space="preserve"> </w:t>
            </w:r>
          </w:p>
          <w:p w14:paraId="47628F5F" w14:textId="579E9181" w:rsidR="002E3F08" w:rsidRPr="003E73D6" w:rsidRDefault="002E3F08" w:rsidP="002E3F08">
            <w:pPr>
              <w:pStyle w:val="AText0"/>
            </w:pPr>
            <w:bookmarkStart w:id="2" w:name="DistributionDate"/>
            <w:r w:rsidRPr="003E73D6">
              <w:t>29 juillet 2025</w:t>
            </w:r>
            <w:bookmarkEnd w:id="2"/>
            <w:r w:rsidRPr="003E73D6">
              <w:t xml:space="preserve"> </w:t>
            </w:r>
          </w:p>
          <w:p w14:paraId="303D4D36" w14:textId="5894EC82" w:rsidR="002E3F08" w:rsidRPr="003E73D6" w:rsidRDefault="002E3F08" w:rsidP="002E3F08">
            <w:pPr>
              <w:pStyle w:val="AText"/>
            </w:pPr>
            <w:bookmarkStart w:id="3" w:name="DistributionLang"/>
            <w:r w:rsidRPr="003E73D6">
              <w:t xml:space="preserve">Français </w:t>
            </w:r>
            <w:r w:rsidRPr="003E73D6">
              <w:br/>
              <w:t>Original : anglais</w:t>
            </w:r>
            <w:bookmarkEnd w:id="3"/>
          </w:p>
        </w:tc>
      </w:tr>
    </w:tbl>
    <w:p w14:paraId="6C55FDA0" w14:textId="77777777" w:rsidR="002E3F08" w:rsidRPr="003E73D6" w:rsidRDefault="002E3F08" w:rsidP="002E3F08">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2E3F08" w:rsidRPr="003E73D6" w14:paraId="2F4FAB64" w14:textId="77777777" w:rsidTr="002E3F08">
        <w:trPr>
          <w:trHeight w:val="57"/>
        </w:trPr>
        <w:tc>
          <w:tcPr>
            <w:tcW w:w="5301" w:type="dxa"/>
          </w:tcPr>
          <w:p w14:paraId="26B55EA1" w14:textId="77777777" w:rsidR="002E3F08" w:rsidRPr="003E73D6" w:rsidRDefault="002E3F08" w:rsidP="002E3F08">
            <w:pPr>
              <w:pStyle w:val="AATitle"/>
            </w:pPr>
            <w:bookmarkStart w:id="4" w:name="CorNot1Text"/>
            <w:r w:rsidRPr="003E73D6">
              <w:t xml:space="preserve">Conférence des Parties à la Convention de </w:t>
            </w:r>
            <w:r w:rsidRPr="003E73D6">
              <w:br/>
              <w:t xml:space="preserve">Minamata sur le mercure </w:t>
            </w:r>
          </w:p>
          <w:p w14:paraId="640A6F10" w14:textId="605D149A" w:rsidR="002E3F08" w:rsidRPr="003E73D6" w:rsidRDefault="002E3F08" w:rsidP="002E3F08">
            <w:pPr>
              <w:pStyle w:val="AATitle"/>
            </w:pPr>
            <w:r w:rsidRPr="003E73D6">
              <w:t>Sixième réunion</w:t>
            </w:r>
            <w:bookmarkEnd w:id="4"/>
            <w:r w:rsidRPr="003E73D6">
              <w:t xml:space="preserve"> </w:t>
            </w:r>
          </w:p>
          <w:p w14:paraId="5AA4E13E" w14:textId="1AF969C7" w:rsidR="002E3F08" w:rsidRPr="003E73D6" w:rsidRDefault="002E3F08" w:rsidP="002E3F08">
            <w:pPr>
              <w:pStyle w:val="AATitle1"/>
            </w:pPr>
            <w:bookmarkStart w:id="5" w:name="CorNot1VenueDate"/>
            <w:r w:rsidRPr="003E73D6">
              <w:t>Genève, 3-7 novembre 2025</w:t>
            </w:r>
            <w:bookmarkEnd w:id="5"/>
            <w:r w:rsidRPr="003E73D6">
              <w:t xml:space="preserve"> </w:t>
            </w:r>
          </w:p>
          <w:p w14:paraId="35A4D2DD" w14:textId="452DCE0B" w:rsidR="002E3F08" w:rsidRPr="003E73D6" w:rsidRDefault="002E3F08" w:rsidP="002E3F08">
            <w:pPr>
              <w:pStyle w:val="AATitle1"/>
            </w:pPr>
            <w:bookmarkStart w:id="6" w:name="CorNot1AgItem"/>
            <w:r w:rsidRPr="003E73D6">
              <w:t>Point 4 c) de l’ordre du jour provisoire</w:t>
            </w:r>
            <w:bookmarkEnd w:id="6"/>
            <w:r w:rsidRPr="003E73D6">
              <w:rPr>
                <w:szCs w:val="18"/>
              </w:rPr>
              <w:footnoteReference w:customMarkFollows="1" w:id="2"/>
              <w:t>*</w:t>
            </w:r>
            <w:r w:rsidRPr="003E73D6">
              <w:t xml:space="preserve"> </w:t>
            </w:r>
          </w:p>
          <w:p w14:paraId="02CAD84F" w14:textId="30D7EB68" w:rsidR="002E3F08" w:rsidRPr="003E73D6" w:rsidRDefault="002E3F08" w:rsidP="002E3F08">
            <w:pPr>
              <w:pStyle w:val="AATitle2"/>
            </w:pPr>
            <w:bookmarkStart w:id="7" w:name="CorNot1AgTitle"/>
            <w:r w:rsidRPr="003E73D6">
              <w:t>Questions soumises à la Conférence des Parties pour examen ou décision : extraction minière artisanale et</w:t>
            </w:r>
            <w:r w:rsidR="00404D00" w:rsidRPr="003E73D6">
              <w:t> </w:t>
            </w:r>
            <w:r w:rsidRPr="003E73D6">
              <w:t>à</w:t>
            </w:r>
            <w:r w:rsidR="00404D00" w:rsidRPr="003E73D6">
              <w:t> </w:t>
            </w:r>
            <w:r w:rsidRPr="003E73D6">
              <w:t>petite</w:t>
            </w:r>
            <w:r w:rsidR="00404D00" w:rsidRPr="003E73D6">
              <w:t> </w:t>
            </w:r>
            <w:r w:rsidRPr="003E73D6">
              <w:t>échelle</w:t>
            </w:r>
            <w:r w:rsidR="00404D00" w:rsidRPr="003E73D6">
              <w:t> </w:t>
            </w:r>
            <w:r w:rsidRPr="003E73D6">
              <w:t>d’or</w:t>
            </w:r>
            <w:bookmarkEnd w:id="7"/>
          </w:p>
        </w:tc>
        <w:tc>
          <w:tcPr>
            <w:tcW w:w="4195" w:type="dxa"/>
          </w:tcPr>
          <w:p w14:paraId="3AD8EED8" w14:textId="77777777" w:rsidR="002E3F08" w:rsidRPr="003E73D6" w:rsidRDefault="002E3F08" w:rsidP="002E3F08">
            <w:pPr>
              <w:pStyle w:val="Normal-pool"/>
            </w:pPr>
          </w:p>
        </w:tc>
      </w:tr>
    </w:tbl>
    <w:p w14:paraId="6DDFA598" w14:textId="2627A789" w:rsidR="00E43635" w:rsidRPr="003E73D6" w:rsidRDefault="00E43635" w:rsidP="00260532">
      <w:pPr>
        <w:pStyle w:val="BBTitle"/>
      </w:pPr>
      <w:r w:rsidRPr="003E73D6">
        <w:rPr>
          <w:bCs/>
        </w:rPr>
        <w:t>Questions soumises à la Conférence des Parties pour examen conformément à la décision</w:t>
      </w:r>
      <w:r w:rsidR="00EF4C57" w:rsidRPr="003E73D6">
        <w:rPr>
          <w:bCs/>
        </w:rPr>
        <w:t> </w:t>
      </w:r>
      <w:r w:rsidRPr="003E73D6">
        <w:rPr>
          <w:bCs/>
        </w:rPr>
        <w:t>MC-5/7 sur l</w:t>
      </w:r>
      <w:r w:rsidR="00493CFE" w:rsidRPr="003E73D6">
        <w:rPr>
          <w:bCs/>
        </w:rPr>
        <w:t>’</w:t>
      </w:r>
      <w:r w:rsidRPr="003E73D6">
        <w:rPr>
          <w:bCs/>
        </w:rPr>
        <w:t>extraction minière artisanale et à petite échelle d</w:t>
      </w:r>
      <w:r w:rsidR="00493CFE" w:rsidRPr="003E73D6">
        <w:rPr>
          <w:bCs/>
        </w:rPr>
        <w:t>’</w:t>
      </w:r>
      <w:r w:rsidRPr="003E73D6">
        <w:rPr>
          <w:bCs/>
        </w:rPr>
        <w:t>or</w:t>
      </w:r>
      <w:r w:rsidRPr="003E73D6">
        <w:t xml:space="preserve"> </w:t>
      </w:r>
    </w:p>
    <w:p w14:paraId="37E0B8B9" w14:textId="77777777" w:rsidR="00E43635" w:rsidRPr="003E73D6" w:rsidRDefault="00260532" w:rsidP="00260532">
      <w:pPr>
        <w:pStyle w:val="CH3"/>
      </w:pPr>
      <w:r w:rsidRPr="003E73D6">
        <w:tab/>
      </w:r>
      <w:r w:rsidRPr="003E73D6">
        <w:tab/>
      </w:r>
      <w:r w:rsidRPr="003E73D6">
        <w:rPr>
          <w:bCs/>
        </w:rPr>
        <w:t>Additif</w:t>
      </w:r>
    </w:p>
    <w:p w14:paraId="431B5877" w14:textId="2765DB91" w:rsidR="00E43635" w:rsidRPr="003E73D6" w:rsidRDefault="00260532" w:rsidP="00BA3DE2">
      <w:pPr>
        <w:pStyle w:val="CH2"/>
      </w:pPr>
      <w:r w:rsidRPr="003E73D6">
        <w:tab/>
      </w:r>
      <w:r w:rsidRPr="003E73D6">
        <w:tab/>
        <w:t>Projets de section sur l</w:t>
      </w:r>
      <w:r w:rsidR="00493CFE" w:rsidRPr="003E73D6">
        <w:t>’</w:t>
      </w:r>
      <w:r w:rsidRPr="003E73D6">
        <w:t>examen de la mise en œuvre de l</w:t>
      </w:r>
      <w:r w:rsidR="00493CFE" w:rsidRPr="003E73D6">
        <w:t>’</w:t>
      </w:r>
      <w:r w:rsidRPr="003E73D6">
        <w:t>article</w:t>
      </w:r>
      <w:r w:rsidR="001D69A0" w:rsidRPr="003E73D6">
        <w:t> </w:t>
      </w:r>
      <w:r w:rsidRPr="003E73D6">
        <w:t>7 à inclure dans le document d</w:t>
      </w:r>
      <w:r w:rsidR="00493CFE" w:rsidRPr="003E73D6">
        <w:t>’</w:t>
      </w:r>
      <w:r w:rsidRPr="003E73D6">
        <w:t>orientation sur l</w:t>
      </w:r>
      <w:r w:rsidR="00493CFE" w:rsidRPr="003E73D6">
        <w:t>’</w:t>
      </w:r>
      <w:r w:rsidRPr="003E73D6">
        <w:t>élaboration d</w:t>
      </w:r>
      <w:r w:rsidR="00493CFE" w:rsidRPr="003E73D6">
        <w:t>’</w:t>
      </w:r>
      <w:r w:rsidRPr="003E73D6">
        <w:t>un plan d</w:t>
      </w:r>
      <w:r w:rsidR="00493CFE" w:rsidRPr="003E73D6">
        <w:t>’</w:t>
      </w:r>
      <w:r w:rsidRPr="003E73D6">
        <w:t>action national pour réduire et, si possible, éliminer l</w:t>
      </w:r>
      <w:r w:rsidR="00493CFE" w:rsidRPr="003E73D6">
        <w:t>’</w:t>
      </w:r>
      <w:r w:rsidRPr="003E73D6">
        <w:t>utilisation du mercure pour</w:t>
      </w:r>
      <w:r w:rsidR="005C4C53" w:rsidRPr="003E73D6">
        <w:t> </w:t>
      </w:r>
      <w:r w:rsidRPr="003E73D6">
        <w:t>l</w:t>
      </w:r>
      <w:r w:rsidR="00493CFE" w:rsidRPr="003E73D6">
        <w:t>’</w:t>
      </w:r>
      <w:r w:rsidRPr="003E73D6">
        <w:t>extraction minière artisanale et à petite échelle d</w:t>
      </w:r>
      <w:r w:rsidR="00493CFE" w:rsidRPr="003E73D6">
        <w:t>’</w:t>
      </w:r>
      <w:r w:rsidRPr="003E73D6">
        <w:t>or</w:t>
      </w:r>
    </w:p>
    <w:p w14:paraId="0B1D9D1C" w14:textId="77777777" w:rsidR="00E43635" w:rsidRPr="003E73D6" w:rsidRDefault="00260532" w:rsidP="00260532">
      <w:pPr>
        <w:pStyle w:val="CH2"/>
      </w:pPr>
      <w:r w:rsidRPr="003E73D6">
        <w:tab/>
      </w:r>
      <w:r w:rsidRPr="003E73D6">
        <w:tab/>
      </w:r>
      <w:r w:rsidRPr="003E73D6">
        <w:rPr>
          <w:bCs/>
        </w:rPr>
        <w:t>Note du secrétariat</w:t>
      </w:r>
    </w:p>
    <w:p w14:paraId="0A20E06A" w14:textId="66784E33" w:rsidR="00E43635" w:rsidRPr="003E73D6" w:rsidRDefault="00E43635" w:rsidP="00260532">
      <w:pPr>
        <w:pStyle w:val="Normalnumber"/>
        <w:tabs>
          <w:tab w:val="clear" w:pos="1247"/>
          <w:tab w:val="clear" w:pos="1814"/>
          <w:tab w:val="clear" w:pos="2381"/>
          <w:tab w:val="clear" w:pos="2948"/>
          <w:tab w:val="clear" w:pos="3515"/>
          <w:tab w:val="left" w:pos="624"/>
        </w:tabs>
      </w:pPr>
      <w:r w:rsidRPr="003E73D6">
        <w:t>L</w:t>
      </w:r>
      <w:r w:rsidR="00493CFE" w:rsidRPr="003E73D6">
        <w:t>’</w:t>
      </w:r>
      <w:r w:rsidRPr="003E73D6">
        <w:t>alinéa</w:t>
      </w:r>
      <w:r w:rsidR="000C2968" w:rsidRPr="003E73D6">
        <w:t> </w:t>
      </w:r>
      <w:r w:rsidRPr="003E73D6">
        <w:t>c) du paragraphe</w:t>
      </w:r>
      <w:r w:rsidR="00503A1A" w:rsidRPr="003E73D6">
        <w:t> </w:t>
      </w:r>
      <w:r w:rsidRPr="003E73D6">
        <w:t>3 de l</w:t>
      </w:r>
      <w:r w:rsidR="00493CFE" w:rsidRPr="003E73D6">
        <w:t>’</w:t>
      </w:r>
      <w:r w:rsidRPr="003E73D6">
        <w:t>article</w:t>
      </w:r>
      <w:r w:rsidR="00503A1A" w:rsidRPr="003E73D6">
        <w:t> </w:t>
      </w:r>
      <w:r w:rsidRPr="003E73D6">
        <w:t>7 de la Convention de</w:t>
      </w:r>
      <w:r w:rsidR="00503A1A" w:rsidRPr="003E73D6">
        <w:t> </w:t>
      </w:r>
      <w:r w:rsidRPr="003E73D6">
        <w:t>Minamata sur le mercure prévoit que toute Partie qui a constaté que les activités d</w:t>
      </w:r>
      <w:r w:rsidR="00493CFE" w:rsidRPr="003E73D6">
        <w:t>’</w:t>
      </w:r>
      <w:r w:rsidRPr="003E73D6">
        <w:t>extraction minière et de transformation artisanales et à petite échelle d</w:t>
      </w:r>
      <w:r w:rsidR="00493CFE" w:rsidRPr="003E73D6">
        <w:t>’</w:t>
      </w:r>
      <w:r w:rsidRPr="003E73D6">
        <w:t>or menées sur son territoire sont non négligeables, ayant notifié ce fait au secrétariat et élaboré et soumis à ce dernier un plan d</w:t>
      </w:r>
      <w:r w:rsidR="00493CFE" w:rsidRPr="003E73D6">
        <w:t>’</w:t>
      </w:r>
      <w:r w:rsidRPr="003E73D6">
        <w:t>action national, est tenue de fournir tous les trois</w:t>
      </w:r>
      <w:r w:rsidR="00503A1A" w:rsidRPr="003E73D6">
        <w:t> </w:t>
      </w:r>
      <w:r w:rsidRPr="003E73D6">
        <w:t>ans un compte rendu des progrès qu</w:t>
      </w:r>
      <w:r w:rsidR="00493CFE" w:rsidRPr="003E73D6">
        <w:t>’</w:t>
      </w:r>
      <w:r w:rsidRPr="003E73D6">
        <w:t>elle a accomplis dans le respect de ses obligations au titre de l</w:t>
      </w:r>
      <w:r w:rsidR="00493CFE" w:rsidRPr="003E73D6">
        <w:t>’</w:t>
      </w:r>
      <w:r w:rsidRPr="003E73D6">
        <w:t>article</w:t>
      </w:r>
      <w:r w:rsidR="003636E1" w:rsidRPr="003E73D6">
        <w:t> </w:t>
      </w:r>
      <w:r w:rsidRPr="003E73D6">
        <w:t>7 et de faire figurer ces comptes rendus dans ses rapports soumis en application de l</w:t>
      </w:r>
      <w:r w:rsidR="00493CFE" w:rsidRPr="003E73D6">
        <w:t>’</w:t>
      </w:r>
      <w:r w:rsidRPr="003E73D6">
        <w:t>article</w:t>
      </w:r>
      <w:r w:rsidR="003636E1" w:rsidRPr="003E73D6">
        <w:t> </w:t>
      </w:r>
      <w:r w:rsidRPr="003E73D6">
        <w:t>21.</w:t>
      </w:r>
    </w:p>
    <w:p w14:paraId="2A4E008D" w14:textId="37AD3A0F" w:rsidR="00E43635" w:rsidRPr="003E73D6" w:rsidRDefault="00E43635" w:rsidP="00260532">
      <w:pPr>
        <w:pStyle w:val="Normalnumber"/>
        <w:tabs>
          <w:tab w:val="clear" w:pos="1247"/>
          <w:tab w:val="clear" w:pos="1814"/>
          <w:tab w:val="clear" w:pos="2381"/>
          <w:tab w:val="clear" w:pos="2948"/>
          <w:tab w:val="clear" w:pos="3515"/>
          <w:tab w:val="left" w:pos="624"/>
        </w:tabs>
      </w:pPr>
      <w:r w:rsidRPr="003E73D6">
        <w:t>Le secrétariat, en collaboration avec le secrétariat du Partenariat mondial sur le mercure et les chef(</w:t>
      </w:r>
      <w:proofErr w:type="spellStart"/>
      <w:r w:rsidRPr="003E73D6">
        <w:t>fe</w:t>
      </w:r>
      <w:proofErr w:type="spellEnd"/>
      <w:r w:rsidRPr="003E73D6">
        <w:t>)s de file de son domaine relatif à l</w:t>
      </w:r>
      <w:r w:rsidR="00493CFE" w:rsidRPr="003E73D6">
        <w:t>’</w:t>
      </w:r>
      <w:r w:rsidRPr="003E73D6">
        <w:t>extraction minière artisanale et à petite échelle d</w:t>
      </w:r>
      <w:r w:rsidR="00493CFE" w:rsidRPr="003E73D6">
        <w:t>’</w:t>
      </w:r>
      <w:r w:rsidRPr="003E73D6">
        <w:t>or, a</w:t>
      </w:r>
      <w:r w:rsidR="00B707BA" w:rsidRPr="003E73D6">
        <w:t> </w:t>
      </w:r>
      <w:r w:rsidRPr="003E73D6">
        <w:t>élaboré des projets de section sur l</w:t>
      </w:r>
      <w:r w:rsidR="00493CFE" w:rsidRPr="003E73D6">
        <w:t>’</w:t>
      </w:r>
      <w:r w:rsidRPr="003E73D6">
        <w:t>examen de la mise en œuvre de l</w:t>
      </w:r>
      <w:r w:rsidR="00493CFE" w:rsidRPr="003E73D6">
        <w:t>’</w:t>
      </w:r>
      <w:r w:rsidRPr="003E73D6">
        <w:t>article</w:t>
      </w:r>
      <w:r w:rsidR="003636E1" w:rsidRPr="003E73D6">
        <w:t> </w:t>
      </w:r>
      <w:r w:rsidRPr="003E73D6">
        <w:t>7 à inclure dans le document d</w:t>
      </w:r>
      <w:r w:rsidR="00493CFE" w:rsidRPr="003E73D6">
        <w:t>’</w:t>
      </w:r>
      <w:r w:rsidRPr="003E73D6">
        <w:t>orientation existant sur l</w:t>
      </w:r>
      <w:r w:rsidR="00493CFE" w:rsidRPr="003E73D6">
        <w:t>’</w:t>
      </w:r>
      <w:r w:rsidRPr="003E73D6">
        <w:t>élaboration d</w:t>
      </w:r>
      <w:r w:rsidR="00493CFE" w:rsidRPr="003E73D6">
        <w:t>’</w:t>
      </w:r>
      <w:r w:rsidRPr="003E73D6">
        <w:t>un plan d</w:t>
      </w:r>
      <w:r w:rsidR="00493CFE" w:rsidRPr="003E73D6">
        <w:t>’</w:t>
      </w:r>
      <w:r w:rsidRPr="003E73D6">
        <w:t>action national pour réduire et, si possible, éliminer l</w:t>
      </w:r>
      <w:r w:rsidR="00493CFE" w:rsidRPr="003E73D6">
        <w:t>’</w:t>
      </w:r>
      <w:r w:rsidRPr="003E73D6">
        <w:t>utilisation du mercure pour l</w:t>
      </w:r>
      <w:r w:rsidR="00493CFE" w:rsidRPr="003E73D6">
        <w:t>’</w:t>
      </w:r>
      <w:r w:rsidRPr="003E73D6">
        <w:t>extraction minière artisanale et à petite échelle d</w:t>
      </w:r>
      <w:r w:rsidR="00493CFE" w:rsidRPr="003E73D6">
        <w:t>’</w:t>
      </w:r>
      <w:r w:rsidRPr="003E73D6">
        <w:t>or, tel qu</w:t>
      </w:r>
      <w:r w:rsidR="00493CFE" w:rsidRPr="003E73D6">
        <w:t>’</w:t>
      </w:r>
      <w:r w:rsidRPr="003E73D6">
        <w:t>il a été adopté dans la décision</w:t>
      </w:r>
      <w:r w:rsidR="003636E1" w:rsidRPr="003E73D6">
        <w:t> </w:t>
      </w:r>
      <w:r w:rsidRPr="003E73D6">
        <w:t>MC-4/4</w:t>
      </w:r>
      <w:r w:rsidR="000F6CCB" w:rsidRPr="003E73D6">
        <w:rPr>
          <w:rStyle w:val="FootnoteReference"/>
        </w:rPr>
        <w:footnoteReference w:id="3"/>
      </w:r>
      <w:r w:rsidRPr="003E73D6">
        <w:t>. L</w:t>
      </w:r>
      <w:r w:rsidR="00493CFE" w:rsidRPr="003E73D6">
        <w:t>’</w:t>
      </w:r>
      <w:r w:rsidRPr="003E73D6">
        <w:t>objectif de ces nouvelles sections est de faciliter l</w:t>
      </w:r>
      <w:r w:rsidR="00493CFE" w:rsidRPr="003E73D6">
        <w:t>’</w:t>
      </w:r>
      <w:r w:rsidRPr="003E73D6">
        <w:t>établissement des comptes rendus et d</w:t>
      </w:r>
      <w:r w:rsidR="00493CFE" w:rsidRPr="003E73D6">
        <w:t>’</w:t>
      </w:r>
      <w:r w:rsidRPr="003E73D6">
        <w:t>aider les correspondant(e)s nationaux(ales) à organiser les</w:t>
      </w:r>
      <w:r w:rsidR="00621A7C" w:rsidRPr="003E73D6">
        <w:t> </w:t>
      </w:r>
      <w:r w:rsidRPr="003E73D6">
        <w:t>informations tirées des conclusions de ces comptes rendus, afin de les inclure dans les rapports à</w:t>
      </w:r>
      <w:r w:rsidR="00621A7C" w:rsidRPr="003E73D6">
        <w:t> </w:t>
      </w:r>
      <w:r w:rsidRPr="003E73D6">
        <w:t>soumettre en application de l</w:t>
      </w:r>
      <w:r w:rsidR="00493CFE" w:rsidRPr="003E73D6">
        <w:t>’</w:t>
      </w:r>
      <w:r w:rsidRPr="003E73D6">
        <w:t>article</w:t>
      </w:r>
      <w:r w:rsidR="003636E1" w:rsidRPr="003E73D6">
        <w:t> </w:t>
      </w:r>
      <w:r w:rsidRPr="003E73D6">
        <w:t xml:space="preserve">21. </w:t>
      </w:r>
    </w:p>
    <w:p w14:paraId="0D77E3FD" w14:textId="401670EF" w:rsidR="00E43635" w:rsidRPr="003E73D6" w:rsidRDefault="00E43635" w:rsidP="00FF2ACC">
      <w:pPr>
        <w:pStyle w:val="Normalnumber"/>
        <w:tabs>
          <w:tab w:val="clear" w:pos="1247"/>
          <w:tab w:val="clear" w:pos="1814"/>
          <w:tab w:val="clear" w:pos="2381"/>
          <w:tab w:val="clear" w:pos="2948"/>
          <w:tab w:val="clear" w:pos="3515"/>
          <w:tab w:val="left" w:pos="624"/>
        </w:tabs>
      </w:pPr>
      <w:r w:rsidRPr="003E73D6">
        <w:lastRenderedPageBreak/>
        <w:t>Les projets de section sont reproduits dans l</w:t>
      </w:r>
      <w:r w:rsidR="00493CFE" w:rsidRPr="003E73D6">
        <w:t>’</w:t>
      </w:r>
      <w:r w:rsidRPr="003E73D6">
        <w:t>annexe de la présente note. Ils comprennent des orientations provisoires sur l</w:t>
      </w:r>
      <w:r w:rsidR="00493CFE" w:rsidRPr="003E73D6">
        <w:t>’</w:t>
      </w:r>
      <w:r w:rsidRPr="003E73D6">
        <w:t>association et la participation effectives des peuples autochtones, des</w:t>
      </w:r>
      <w:r w:rsidR="0064103D" w:rsidRPr="003E73D6">
        <w:t xml:space="preserve"> </w:t>
      </w:r>
      <w:r w:rsidRPr="003E73D6">
        <w:t>communautés locales et d</w:t>
      </w:r>
      <w:r w:rsidR="00493CFE" w:rsidRPr="003E73D6">
        <w:t>’</w:t>
      </w:r>
      <w:r w:rsidRPr="003E73D6">
        <w:t>autres parties prenantes, comme demandé au paragraphe</w:t>
      </w:r>
      <w:r w:rsidR="00BB24F4" w:rsidRPr="003E73D6">
        <w:t> </w:t>
      </w:r>
      <w:r w:rsidRPr="003E73D6">
        <w:t>7 de la décision</w:t>
      </w:r>
      <w:r w:rsidR="00BB24F4" w:rsidRPr="003E73D6">
        <w:t> </w:t>
      </w:r>
      <w:r w:rsidRPr="003E73D6">
        <w:t>MC-5/7, et établissent une approche progressive de l</w:t>
      </w:r>
      <w:r w:rsidR="00493CFE" w:rsidRPr="003E73D6">
        <w:t>’</w:t>
      </w:r>
      <w:r w:rsidRPr="003E73D6">
        <w:t>examen de la mise en œuvre de l</w:t>
      </w:r>
      <w:r w:rsidR="00493CFE" w:rsidRPr="003E73D6">
        <w:t>’</w:t>
      </w:r>
      <w:r w:rsidRPr="003E73D6">
        <w:t>article</w:t>
      </w:r>
      <w:r w:rsidR="00120061" w:rsidRPr="003E73D6">
        <w:t> </w:t>
      </w:r>
      <w:r w:rsidRPr="003E73D6">
        <w:t xml:space="preserve">7 et de la communication des conclusions de cet examen. </w:t>
      </w:r>
    </w:p>
    <w:p w14:paraId="4B720E51" w14:textId="77777777" w:rsidR="00E43635" w:rsidRPr="003E73D6" w:rsidRDefault="00E43635" w:rsidP="003D47F8">
      <w:pPr>
        <w:pStyle w:val="Normal-pool"/>
      </w:pPr>
      <w:r w:rsidRPr="003E73D6">
        <w:br w:type="page"/>
      </w:r>
    </w:p>
    <w:p w14:paraId="719C161C" w14:textId="77777777" w:rsidR="00E43635" w:rsidRPr="003E73D6" w:rsidRDefault="00E43635" w:rsidP="00260532">
      <w:pPr>
        <w:pStyle w:val="ZZAnxheader"/>
      </w:pPr>
      <w:r w:rsidRPr="003E73D6">
        <w:lastRenderedPageBreak/>
        <w:t>Annexe</w:t>
      </w:r>
    </w:p>
    <w:p w14:paraId="0C092477" w14:textId="61409CEE" w:rsidR="00E43635" w:rsidRPr="003E73D6" w:rsidRDefault="00E43635" w:rsidP="00C60CC5">
      <w:pPr>
        <w:pStyle w:val="ZZAnxtitle"/>
        <w:rPr>
          <w:szCs w:val="28"/>
        </w:rPr>
      </w:pPr>
      <w:bookmarkStart w:id="8" w:name="_Hlk201057245"/>
      <w:bookmarkStart w:id="9" w:name="_Toc197686031"/>
      <w:r w:rsidRPr="003E73D6">
        <w:t>Projets de section sur l</w:t>
      </w:r>
      <w:r w:rsidR="00493CFE" w:rsidRPr="003E73D6">
        <w:t>’</w:t>
      </w:r>
      <w:r w:rsidRPr="003E73D6">
        <w:t>examen de la mise en œuvre de l</w:t>
      </w:r>
      <w:r w:rsidR="00493CFE" w:rsidRPr="003E73D6">
        <w:t>’</w:t>
      </w:r>
      <w:r w:rsidRPr="003E73D6">
        <w:t>article</w:t>
      </w:r>
      <w:r w:rsidR="00F60A99" w:rsidRPr="003E73D6">
        <w:t> </w:t>
      </w:r>
      <w:r w:rsidRPr="003E73D6">
        <w:t>7 à</w:t>
      </w:r>
      <w:r w:rsidR="00974353" w:rsidRPr="003E73D6">
        <w:t> </w:t>
      </w:r>
      <w:r w:rsidRPr="003E73D6">
        <w:t>inclure dans le document d</w:t>
      </w:r>
      <w:r w:rsidR="00493CFE" w:rsidRPr="003E73D6">
        <w:t>’</w:t>
      </w:r>
      <w:r w:rsidRPr="003E73D6">
        <w:t>orientation sur l</w:t>
      </w:r>
      <w:r w:rsidR="00493CFE" w:rsidRPr="003E73D6">
        <w:t>’</w:t>
      </w:r>
      <w:r w:rsidRPr="003E73D6">
        <w:t>élaboration d</w:t>
      </w:r>
      <w:r w:rsidR="00493CFE" w:rsidRPr="003E73D6">
        <w:t>’</w:t>
      </w:r>
      <w:r w:rsidRPr="003E73D6">
        <w:t>un</w:t>
      </w:r>
      <w:r w:rsidR="00F60A99" w:rsidRPr="003E73D6">
        <w:t> </w:t>
      </w:r>
      <w:r w:rsidRPr="003E73D6">
        <w:t>plan</w:t>
      </w:r>
      <w:r w:rsidR="00F60A99" w:rsidRPr="003E73D6">
        <w:t> </w:t>
      </w:r>
      <w:r w:rsidRPr="003E73D6">
        <w:t>d</w:t>
      </w:r>
      <w:r w:rsidR="00493CFE" w:rsidRPr="003E73D6">
        <w:t>’</w:t>
      </w:r>
      <w:r w:rsidRPr="003E73D6">
        <w:t>action national pour réduire et, si possible, éliminer l</w:t>
      </w:r>
      <w:r w:rsidR="00493CFE" w:rsidRPr="003E73D6">
        <w:t>’</w:t>
      </w:r>
      <w:r w:rsidRPr="003E73D6">
        <w:t>utilisation du</w:t>
      </w:r>
      <w:r w:rsidR="00974353" w:rsidRPr="003E73D6">
        <w:t> </w:t>
      </w:r>
      <w:r w:rsidRPr="003E73D6">
        <w:t>mercure pour l</w:t>
      </w:r>
      <w:r w:rsidR="00493CFE" w:rsidRPr="003E73D6">
        <w:t>’</w:t>
      </w:r>
      <w:r w:rsidRPr="003E73D6">
        <w:t>extraction minière artisanale et</w:t>
      </w:r>
      <w:r w:rsidR="00F60A99" w:rsidRPr="003E73D6">
        <w:t> </w:t>
      </w:r>
      <w:r w:rsidRPr="003E73D6">
        <w:t>à</w:t>
      </w:r>
      <w:r w:rsidR="00F60A99" w:rsidRPr="003E73D6">
        <w:t> </w:t>
      </w:r>
      <w:r w:rsidRPr="003E73D6">
        <w:t>petite échelle d</w:t>
      </w:r>
      <w:r w:rsidR="00493CFE" w:rsidRPr="003E73D6">
        <w:t>’</w:t>
      </w:r>
      <w:r w:rsidRPr="003E73D6">
        <w:t>or</w:t>
      </w:r>
      <w:bookmarkEnd w:id="8"/>
    </w:p>
    <w:p w14:paraId="55C8991C" w14:textId="60104E73" w:rsidR="00E43635" w:rsidRPr="003E73D6" w:rsidRDefault="00E43635" w:rsidP="002E3F08">
      <w:pPr>
        <w:pStyle w:val="Normalnumber"/>
        <w:numPr>
          <w:ilvl w:val="0"/>
          <w:numId w:val="25"/>
        </w:numPr>
        <w:tabs>
          <w:tab w:val="clear" w:pos="1247"/>
          <w:tab w:val="clear" w:pos="1814"/>
          <w:tab w:val="clear" w:pos="2381"/>
          <w:tab w:val="clear" w:pos="2948"/>
          <w:tab w:val="clear" w:pos="3515"/>
        </w:tabs>
      </w:pPr>
      <w:r w:rsidRPr="003E73D6">
        <w:t>Le paragraphe</w:t>
      </w:r>
      <w:r w:rsidR="00FA7926" w:rsidRPr="003E73D6">
        <w:t> </w:t>
      </w:r>
      <w:r w:rsidRPr="003E73D6">
        <w:t>3 de l</w:t>
      </w:r>
      <w:r w:rsidR="00493CFE" w:rsidRPr="003E73D6">
        <w:t>’</w:t>
      </w:r>
      <w:r w:rsidRPr="003E73D6">
        <w:t>article</w:t>
      </w:r>
      <w:r w:rsidR="00FA7926" w:rsidRPr="003E73D6">
        <w:t> </w:t>
      </w:r>
      <w:r w:rsidRPr="003E73D6">
        <w:t>7 de la Convention de</w:t>
      </w:r>
      <w:r w:rsidR="00FA7926" w:rsidRPr="003E73D6">
        <w:t> </w:t>
      </w:r>
      <w:r w:rsidRPr="003E73D6">
        <w:t>Minamata sur le mercure prévoit que toute Partie qui, à n</w:t>
      </w:r>
      <w:r w:rsidR="00493CFE" w:rsidRPr="003E73D6">
        <w:t>’</w:t>
      </w:r>
      <w:r w:rsidRPr="003E73D6">
        <w:t>importe quel moment, constate que les activités d</w:t>
      </w:r>
      <w:r w:rsidR="00493CFE" w:rsidRPr="003E73D6">
        <w:t>’</w:t>
      </w:r>
      <w:r w:rsidRPr="003E73D6">
        <w:t>extraction minière et de transformation artisanales et à petite échelle d</w:t>
      </w:r>
      <w:r w:rsidR="00493CFE" w:rsidRPr="003E73D6">
        <w:t>’</w:t>
      </w:r>
      <w:r w:rsidRPr="003E73D6">
        <w:t>or</w:t>
      </w:r>
      <w:r w:rsidR="007538ED" w:rsidRPr="003E73D6">
        <w:rPr>
          <w:rStyle w:val="FootnoteReference"/>
        </w:rPr>
        <w:footnoteReference w:id="4"/>
      </w:r>
      <w:r w:rsidRPr="003E73D6">
        <w:t xml:space="preserve"> menées sur son territoire sont non négligeables notifie ce fait au </w:t>
      </w:r>
      <w:r w:rsidR="00797CE8" w:rsidRPr="003E73D6">
        <w:t>s</w:t>
      </w:r>
      <w:r w:rsidRPr="003E73D6">
        <w:t>ecrétariat. Dans ce cas, la Partie</w:t>
      </w:r>
      <w:r w:rsidR="00493CFE" w:rsidRPr="003E73D6">
        <w:t> :</w:t>
      </w:r>
    </w:p>
    <w:p w14:paraId="0BA6A3A3" w14:textId="411B203E" w:rsidR="00E43635" w:rsidRPr="003E73D6" w:rsidRDefault="00E43635" w:rsidP="002E3F08">
      <w:pPr>
        <w:pStyle w:val="Normalnumber"/>
        <w:numPr>
          <w:ilvl w:val="1"/>
          <w:numId w:val="24"/>
        </w:numPr>
        <w:tabs>
          <w:tab w:val="clear" w:pos="1247"/>
          <w:tab w:val="clear" w:pos="1814"/>
          <w:tab w:val="clear" w:pos="2381"/>
          <w:tab w:val="clear" w:pos="2948"/>
          <w:tab w:val="clear" w:pos="3515"/>
          <w:tab w:val="left" w:pos="624"/>
        </w:tabs>
      </w:pPr>
      <w:r w:rsidRPr="003E73D6">
        <w:t>Élabore et met en œuvre un plan d</w:t>
      </w:r>
      <w:r w:rsidR="00493CFE" w:rsidRPr="003E73D6">
        <w:t>’</w:t>
      </w:r>
      <w:r w:rsidRPr="003E73D6">
        <w:t>action national conformément à l</w:t>
      </w:r>
      <w:r w:rsidR="00493CFE" w:rsidRPr="003E73D6">
        <w:t>’</w:t>
      </w:r>
      <w:r w:rsidRPr="003E73D6">
        <w:t>Annexe C</w:t>
      </w:r>
      <w:r w:rsidR="00493CFE" w:rsidRPr="003E73D6">
        <w:t> ;</w:t>
      </w:r>
    </w:p>
    <w:p w14:paraId="12E05D3D" w14:textId="3A13B06D" w:rsidR="00E43635" w:rsidRPr="003E73D6" w:rsidRDefault="00E43635" w:rsidP="002E3F08">
      <w:pPr>
        <w:pStyle w:val="Normalnumber"/>
        <w:numPr>
          <w:ilvl w:val="1"/>
          <w:numId w:val="24"/>
        </w:numPr>
        <w:tabs>
          <w:tab w:val="clear" w:pos="1247"/>
          <w:tab w:val="clear" w:pos="1814"/>
          <w:tab w:val="clear" w:pos="2381"/>
          <w:tab w:val="clear" w:pos="2948"/>
          <w:tab w:val="clear" w:pos="3515"/>
          <w:tab w:val="left" w:pos="624"/>
        </w:tabs>
      </w:pPr>
      <w:r w:rsidRPr="003E73D6">
        <w:t>Soumet son plan d</w:t>
      </w:r>
      <w:r w:rsidR="00493CFE" w:rsidRPr="003E73D6">
        <w:t>’</w:t>
      </w:r>
      <w:r w:rsidRPr="003E73D6">
        <w:t xml:space="preserve">action national au </w:t>
      </w:r>
      <w:r w:rsidR="00797CE8" w:rsidRPr="003E73D6">
        <w:t>s</w:t>
      </w:r>
      <w:r w:rsidRPr="003E73D6">
        <w:t>ecrétariat au plus tard trois</w:t>
      </w:r>
      <w:r w:rsidR="00AD1333" w:rsidRPr="003E73D6">
        <w:t> </w:t>
      </w:r>
      <w:r w:rsidRPr="003E73D6">
        <w:t>ans après l</w:t>
      </w:r>
      <w:r w:rsidR="00493CFE" w:rsidRPr="003E73D6">
        <w:t>’</w:t>
      </w:r>
      <w:r w:rsidRPr="003E73D6">
        <w:t>entrée en</w:t>
      </w:r>
      <w:r w:rsidR="00980F31" w:rsidRPr="003E73D6">
        <w:t> </w:t>
      </w:r>
      <w:r w:rsidRPr="003E73D6">
        <w:t xml:space="preserve">vigueur de la Convention à son égard ou dans un délai de trois ans à compter de la date de la notification adressée au </w:t>
      </w:r>
      <w:r w:rsidR="00797CE8" w:rsidRPr="003E73D6">
        <w:t>s</w:t>
      </w:r>
      <w:r w:rsidRPr="003E73D6">
        <w:t>ecrétariat, la date la plus tardive étant retenue</w:t>
      </w:r>
      <w:r w:rsidR="00493CFE" w:rsidRPr="003E73D6">
        <w:t> ;</w:t>
      </w:r>
      <w:r w:rsidRPr="003E73D6">
        <w:t xml:space="preserve"> </w:t>
      </w:r>
    </w:p>
    <w:p w14:paraId="4465A967" w14:textId="21613246" w:rsidR="00E43635" w:rsidRPr="003E73D6" w:rsidRDefault="00E43635" w:rsidP="002E3F08">
      <w:pPr>
        <w:pStyle w:val="Normalnumber"/>
        <w:numPr>
          <w:ilvl w:val="1"/>
          <w:numId w:val="24"/>
        </w:numPr>
        <w:tabs>
          <w:tab w:val="clear" w:pos="1247"/>
          <w:tab w:val="clear" w:pos="1814"/>
          <w:tab w:val="clear" w:pos="2381"/>
          <w:tab w:val="clear" w:pos="2948"/>
          <w:tab w:val="clear" w:pos="3515"/>
          <w:tab w:val="left" w:pos="624"/>
        </w:tabs>
      </w:pPr>
      <w:r w:rsidRPr="003E73D6">
        <w:t>Par la suite, fournit tous les trois ans un compte rendu des progrès qu</w:t>
      </w:r>
      <w:r w:rsidR="00493CFE" w:rsidRPr="003E73D6">
        <w:t>’</w:t>
      </w:r>
      <w:r w:rsidRPr="003E73D6">
        <w:t>elle a accomplis dans le respect de ses obligations au titre du présent article et fait figurer ces comptes rendus dans ses rapports soumis en application de l</w:t>
      </w:r>
      <w:r w:rsidR="00493CFE" w:rsidRPr="003E73D6">
        <w:t>’</w:t>
      </w:r>
      <w:r w:rsidRPr="003E73D6">
        <w:t>article</w:t>
      </w:r>
      <w:r w:rsidR="000A1D8A" w:rsidRPr="003E73D6">
        <w:t> </w:t>
      </w:r>
      <w:r w:rsidRPr="003E73D6">
        <w:t>21.</w:t>
      </w:r>
    </w:p>
    <w:p w14:paraId="0B20AFC2" w14:textId="5DA001FC" w:rsidR="00681D77" w:rsidRPr="003E73D6" w:rsidRDefault="00E43635" w:rsidP="59BB6CAF">
      <w:pPr>
        <w:pStyle w:val="Normalnumber"/>
        <w:tabs>
          <w:tab w:val="clear" w:pos="1247"/>
          <w:tab w:val="clear" w:pos="1814"/>
          <w:tab w:val="clear" w:pos="2381"/>
          <w:tab w:val="clear" w:pos="2948"/>
          <w:tab w:val="clear" w:pos="3515"/>
        </w:tabs>
      </w:pPr>
      <w:r w:rsidRPr="003E73D6">
        <w:t>Les projets de section sur l</w:t>
      </w:r>
      <w:r w:rsidR="00493CFE" w:rsidRPr="003E73D6">
        <w:t>’</w:t>
      </w:r>
      <w:r w:rsidRPr="003E73D6">
        <w:t>examen de la mise en œuvre de l</w:t>
      </w:r>
      <w:r w:rsidR="00493CFE" w:rsidRPr="003E73D6">
        <w:t>’</w:t>
      </w:r>
      <w:r w:rsidRPr="003E73D6">
        <w:t>article</w:t>
      </w:r>
      <w:r w:rsidR="000A1D8A" w:rsidRPr="003E73D6">
        <w:t> </w:t>
      </w:r>
      <w:r w:rsidRPr="003E73D6">
        <w:t>7 sont principalement destinés à aider les Parties qui ont constaté que les activités d</w:t>
      </w:r>
      <w:r w:rsidR="00493CFE" w:rsidRPr="003E73D6">
        <w:t>’</w:t>
      </w:r>
      <w:r w:rsidRPr="003E73D6">
        <w:t>extraction minière artisanale et à petite échelle d</w:t>
      </w:r>
      <w:r w:rsidR="00493CFE" w:rsidRPr="003E73D6">
        <w:t>’</w:t>
      </w:r>
      <w:r w:rsidRPr="003E73D6">
        <w:t>or sur leur territoire sont non négligeables, ont notifié ce fait au secrétariat et ont élaboré et soumis un plan d</w:t>
      </w:r>
      <w:r w:rsidR="00493CFE" w:rsidRPr="003E73D6">
        <w:t>’</w:t>
      </w:r>
      <w:r w:rsidRPr="003E73D6">
        <w:t>action national</w:t>
      </w:r>
      <w:r w:rsidR="00A25BEF" w:rsidRPr="003E73D6">
        <w:rPr>
          <w:rStyle w:val="FootnoteReference"/>
        </w:rPr>
        <w:footnoteReference w:id="5"/>
      </w:r>
      <w:r w:rsidRPr="003E73D6">
        <w:t>, conformément aux alinéas</w:t>
      </w:r>
      <w:r w:rsidR="000A1D8A" w:rsidRPr="003E73D6">
        <w:t> </w:t>
      </w:r>
      <w:r w:rsidRPr="003E73D6">
        <w:t>a) et b) du paragraphe</w:t>
      </w:r>
      <w:r w:rsidR="000A1D8A" w:rsidRPr="003E73D6">
        <w:t> </w:t>
      </w:r>
      <w:r w:rsidRPr="003E73D6">
        <w:t>3 de l</w:t>
      </w:r>
      <w:r w:rsidR="00493CFE" w:rsidRPr="003E73D6">
        <w:t>’</w:t>
      </w:r>
      <w:r w:rsidRPr="003E73D6">
        <w:t>article</w:t>
      </w:r>
      <w:r w:rsidR="000A1D8A" w:rsidRPr="003E73D6">
        <w:t> </w:t>
      </w:r>
      <w:r w:rsidRPr="003E73D6">
        <w:t>7.</w:t>
      </w:r>
    </w:p>
    <w:p w14:paraId="00036911" w14:textId="760F5B06" w:rsidR="00E43635" w:rsidRPr="003E73D6" w:rsidRDefault="00681D77" w:rsidP="59BB6CAF">
      <w:pPr>
        <w:pStyle w:val="Normalnumber"/>
        <w:tabs>
          <w:tab w:val="clear" w:pos="1247"/>
          <w:tab w:val="clear" w:pos="1814"/>
          <w:tab w:val="clear" w:pos="2381"/>
          <w:tab w:val="clear" w:pos="2948"/>
          <w:tab w:val="clear" w:pos="3515"/>
        </w:tabs>
      </w:pPr>
      <w:r w:rsidRPr="003E73D6">
        <w:t xml:space="preserve">Il convient de noter que les Parties qui ont </w:t>
      </w:r>
      <w:r w:rsidR="007A289A" w:rsidRPr="003E73D6">
        <w:t>constaté</w:t>
      </w:r>
      <w:r w:rsidRPr="003E73D6">
        <w:t xml:space="preserve"> un tel fait et l</w:t>
      </w:r>
      <w:r w:rsidR="00493CFE" w:rsidRPr="003E73D6">
        <w:t>’</w:t>
      </w:r>
      <w:r w:rsidRPr="003E73D6">
        <w:t>ont notifié au secrétariat mais qui n</w:t>
      </w:r>
      <w:r w:rsidR="00493CFE" w:rsidRPr="003E73D6">
        <w:t>’</w:t>
      </w:r>
      <w:r w:rsidRPr="003E73D6">
        <w:t>ont pas encore élaboré ou soumis leur plan d</w:t>
      </w:r>
      <w:r w:rsidR="00493CFE" w:rsidRPr="003E73D6">
        <w:t>’</w:t>
      </w:r>
      <w:r w:rsidRPr="003E73D6">
        <w:t>action national sont néanmoins tenues d</w:t>
      </w:r>
      <w:r w:rsidR="00493CFE" w:rsidRPr="003E73D6">
        <w:t>’</w:t>
      </w:r>
      <w:r w:rsidRPr="003E73D6">
        <w:t>examiner les progrès accomplis dans la mise en œuvre de l</w:t>
      </w:r>
      <w:r w:rsidR="00493CFE" w:rsidRPr="003E73D6">
        <w:t>’</w:t>
      </w:r>
      <w:r w:rsidRPr="003E73D6">
        <w:t>article</w:t>
      </w:r>
      <w:r w:rsidR="000A1D8A" w:rsidRPr="003E73D6">
        <w:t> </w:t>
      </w:r>
      <w:r w:rsidRPr="003E73D6">
        <w:t>7 et d</w:t>
      </w:r>
      <w:r w:rsidR="00493CFE" w:rsidRPr="003E73D6">
        <w:t>’</w:t>
      </w:r>
      <w:r w:rsidRPr="003E73D6">
        <w:t>en rendre compte dans leurs rapports nationaux complets</w:t>
      </w:r>
      <w:r w:rsidR="00E43635" w:rsidRPr="003E73D6">
        <w:rPr>
          <w:rStyle w:val="FootnoteReference"/>
        </w:rPr>
        <w:footnoteReference w:id="6"/>
      </w:r>
      <w:r w:rsidRPr="003E73D6">
        <w:t xml:space="preserve">. </w:t>
      </w:r>
    </w:p>
    <w:p w14:paraId="1DE25E83" w14:textId="7EA4E3E6" w:rsidR="00E43635" w:rsidRPr="003E73D6" w:rsidRDefault="00E43635" w:rsidP="002E3F08">
      <w:pPr>
        <w:pStyle w:val="Normalnumber"/>
        <w:numPr>
          <w:ilvl w:val="0"/>
          <w:numId w:val="24"/>
        </w:numPr>
        <w:tabs>
          <w:tab w:val="clear" w:pos="1247"/>
          <w:tab w:val="clear" w:pos="1814"/>
          <w:tab w:val="clear" w:pos="2381"/>
          <w:tab w:val="clear" w:pos="2948"/>
          <w:tab w:val="clear" w:pos="3515"/>
        </w:tabs>
      </w:pPr>
      <w:r w:rsidRPr="003E73D6">
        <w:t>Les nouvelles sections et les modifications qu</w:t>
      </w:r>
      <w:r w:rsidR="00493CFE" w:rsidRPr="003E73D6">
        <w:t>’</w:t>
      </w:r>
      <w:r w:rsidRPr="003E73D6">
        <w:t>elles introduisent sont les suivantes</w:t>
      </w:r>
      <w:r w:rsidR="00493CFE" w:rsidRPr="003E73D6">
        <w:t> :</w:t>
      </w:r>
    </w:p>
    <w:p w14:paraId="105076F3" w14:textId="3C3BDB06" w:rsidR="00E43635" w:rsidRPr="003E73D6" w:rsidRDefault="00D44999" w:rsidP="002E3F08">
      <w:pPr>
        <w:pStyle w:val="Normalnumber"/>
        <w:numPr>
          <w:ilvl w:val="1"/>
          <w:numId w:val="24"/>
        </w:numPr>
        <w:tabs>
          <w:tab w:val="clear" w:pos="1247"/>
          <w:tab w:val="clear" w:pos="1814"/>
          <w:tab w:val="clear" w:pos="2381"/>
          <w:tab w:val="clear" w:pos="2948"/>
          <w:tab w:val="clear" w:pos="3515"/>
          <w:tab w:val="num" w:pos="624"/>
        </w:tabs>
      </w:pPr>
      <w:r w:rsidRPr="003E73D6">
        <w:t>Mise à jour du tableau des abréviations et acronymes</w:t>
      </w:r>
      <w:r w:rsidR="00493CFE" w:rsidRPr="003E73D6">
        <w:t> ;</w:t>
      </w:r>
      <w:r w:rsidRPr="003E73D6">
        <w:t xml:space="preserve"> </w:t>
      </w:r>
    </w:p>
    <w:p w14:paraId="79F001C8" w14:textId="372C4A58" w:rsidR="00E43635" w:rsidRPr="003E73D6" w:rsidRDefault="00232FF0" w:rsidP="002E3F08">
      <w:pPr>
        <w:pStyle w:val="Normalnumber"/>
        <w:numPr>
          <w:ilvl w:val="1"/>
          <w:numId w:val="24"/>
        </w:numPr>
        <w:tabs>
          <w:tab w:val="clear" w:pos="1247"/>
          <w:tab w:val="clear" w:pos="1814"/>
          <w:tab w:val="clear" w:pos="2381"/>
          <w:tab w:val="clear" w:pos="2948"/>
          <w:tab w:val="clear" w:pos="3515"/>
          <w:tab w:val="num" w:pos="624"/>
        </w:tabs>
      </w:pPr>
      <w:r w:rsidRPr="003E73D6">
        <w:t>Mise à jour de la section</w:t>
      </w:r>
      <w:r w:rsidR="00B24ACF" w:rsidRPr="003E73D6">
        <w:t> </w:t>
      </w:r>
      <w:r w:rsidRPr="003E73D6">
        <w:t>3.3 (Présentation des plans d</w:t>
      </w:r>
      <w:r w:rsidR="00493CFE" w:rsidRPr="003E73D6">
        <w:t>’</w:t>
      </w:r>
      <w:r w:rsidRPr="003E73D6">
        <w:t>action nationaux et obligations en matière d</w:t>
      </w:r>
      <w:r w:rsidR="00493CFE" w:rsidRPr="003E73D6">
        <w:t>’</w:t>
      </w:r>
      <w:r w:rsidRPr="003E73D6">
        <w:t>établissement des rapports)</w:t>
      </w:r>
      <w:r w:rsidR="00493CFE" w:rsidRPr="003E73D6">
        <w:t> ;</w:t>
      </w:r>
      <w:r w:rsidRPr="003E73D6">
        <w:t xml:space="preserve"> </w:t>
      </w:r>
    </w:p>
    <w:p w14:paraId="07815261" w14:textId="2092F855" w:rsidR="00E43635" w:rsidRPr="003E73D6" w:rsidRDefault="00232FF0" w:rsidP="002E3F08">
      <w:pPr>
        <w:pStyle w:val="Normalnumber"/>
        <w:numPr>
          <w:ilvl w:val="1"/>
          <w:numId w:val="24"/>
        </w:numPr>
        <w:tabs>
          <w:tab w:val="clear" w:pos="1247"/>
          <w:tab w:val="clear" w:pos="1814"/>
          <w:tab w:val="clear" w:pos="2381"/>
          <w:tab w:val="clear" w:pos="2948"/>
          <w:tab w:val="clear" w:pos="3515"/>
          <w:tab w:val="num" w:pos="624"/>
        </w:tabs>
      </w:pPr>
      <w:r w:rsidRPr="003E73D6">
        <w:t>Mise à jour de la section</w:t>
      </w:r>
      <w:r w:rsidR="00A57F4B" w:rsidRPr="003E73D6">
        <w:t> </w:t>
      </w:r>
      <w:r w:rsidRPr="003E73D6">
        <w:t>4.5 (Élaboration d</w:t>
      </w:r>
      <w:r w:rsidR="00493CFE" w:rsidRPr="003E73D6">
        <w:t>’</w:t>
      </w:r>
      <w:r w:rsidRPr="003E73D6">
        <w:t>un mécanisme d</w:t>
      </w:r>
      <w:r w:rsidR="00493CFE" w:rsidRPr="003E73D6">
        <w:t>’</w:t>
      </w:r>
      <w:r w:rsidRPr="003E73D6">
        <w:t>évaluation des PAN)</w:t>
      </w:r>
      <w:r w:rsidR="00493CFE" w:rsidRPr="003E73D6">
        <w:t> ;</w:t>
      </w:r>
      <w:r w:rsidRPr="003E73D6">
        <w:t xml:space="preserve"> </w:t>
      </w:r>
    </w:p>
    <w:p w14:paraId="074200B9" w14:textId="65A98543" w:rsidR="00E43635" w:rsidRPr="003E73D6" w:rsidRDefault="00232FF0" w:rsidP="002E3F08">
      <w:pPr>
        <w:pStyle w:val="Normalnumber"/>
        <w:numPr>
          <w:ilvl w:val="1"/>
          <w:numId w:val="24"/>
        </w:numPr>
        <w:tabs>
          <w:tab w:val="clear" w:pos="1247"/>
          <w:tab w:val="clear" w:pos="1814"/>
          <w:tab w:val="clear" w:pos="2381"/>
          <w:tab w:val="clear" w:pos="2948"/>
          <w:tab w:val="clear" w:pos="3515"/>
          <w:tab w:val="num" w:pos="624"/>
        </w:tabs>
      </w:pPr>
      <w:r w:rsidRPr="003E73D6">
        <w:t>Ajout d</w:t>
      </w:r>
      <w:r w:rsidR="00493CFE" w:rsidRPr="003E73D6">
        <w:t>’</w:t>
      </w:r>
      <w:r w:rsidRPr="003E73D6">
        <w:t>une nouvelle section</w:t>
      </w:r>
      <w:r w:rsidR="00A57F4B" w:rsidRPr="003E73D6">
        <w:t> </w:t>
      </w:r>
      <w:r w:rsidRPr="003E73D6">
        <w:t>4.7 (Examen de la mise en œuvre de l</w:t>
      </w:r>
      <w:r w:rsidR="00493CFE" w:rsidRPr="003E73D6">
        <w:t>’</w:t>
      </w:r>
      <w:r w:rsidRPr="003E73D6">
        <w:t>article</w:t>
      </w:r>
      <w:r w:rsidR="00A57F4B" w:rsidRPr="003E73D6">
        <w:t> </w:t>
      </w:r>
      <w:r w:rsidRPr="003E73D6">
        <w:t>7)</w:t>
      </w:r>
      <w:r w:rsidR="00493CFE" w:rsidRPr="003E73D6">
        <w:t> ;</w:t>
      </w:r>
      <w:r w:rsidRPr="003E73D6">
        <w:t xml:space="preserve"> </w:t>
      </w:r>
    </w:p>
    <w:p w14:paraId="0A227681" w14:textId="0FC9FBB2" w:rsidR="00E43635" w:rsidRPr="003E73D6" w:rsidRDefault="00232FF0" w:rsidP="002E3F08">
      <w:pPr>
        <w:pStyle w:val="Normalnumber"/>
        <w:numPr>
          <w:ilvl w:val="1"/>
          <w:numId w:val="24"/>
        </w:numPr>
        <w:tabs>
          <w:tab w:val="clear" w:pos="1247"/>
          <w:tab w:val="clear" w:pos="1814"/>
          <w:tab w:val="clear" w:pos="2381"/>
          <w:tab w:val="clear" w:pos="2948"/>
          <w:tab w:val="clear" w:pos="3515"/>
          <w:tab w:val="num" w:pos="624"/>
        </w:tabs>
      </w:pPr>
      <w:r w:rsidRPr="003E73D6">
        <w:t>Ajout d</w:t>
      </w:r>
      <w:r w:rsidR="00493CFE" w:rsidRPr="003E73D6">
        <w:t>’</w:t>
      </w:r>
      <w:r w:rsidRPr="003E73D6">
        <w:t>une nouvelle annexe</w:t>
      </w:r>
      <w:r w:rsidR="00A57F4B" w:rsidRPr="003E73D6">
        <w:t> </w:t>
      </w:r>
      <w:r w:rsidRPr="003E73D6">
        <w:t>7 (Formulaire de communication d</w:t>
      </w:r>
      <w:r w:rsidR="00493CFE" w:rsidRPr="003E73D6">
        <w:t>’</w:t>
      </w:r>
      <w:r w:rsidRPr="003E73D6">
        <w:t xml:space="preserve">informations). </w:t>
      </w:r>
    </w:p>
    <w:p w14:paraId="6728D64D" w14:textId="12D4D5BF" w:rsidR="00E43635" w:rsidRPr="003E73D6" w:rsidRDefault="00E43635" w:rsidP="59BB6CAF">
      <w:pPr>
        <w:pStyle w:val="Normalnumber"/>
        <w:tabs>
          <w:tab w:val="clear" w:pos="1247"/>
          <w:tab w:val="clear" w:pos="1814"/>
          <w:tab w:val="clear" w:pos="2381"/>
          <w:tab w:val="clear" w:pos="2948"/>
          <w:tab w:val="clear" w:pos="3515"/>
        </w:tabs>
      </w:pPr>
      <w:r w:rsidRPr="003E73D6">
        <w:t>Les modifications et nouvelles sections proposées sont présentées ci-dessous, le nouveau texte étant souligné et son emplacement proposé dans le document d</w:t>
      </w:r>
      <w:r w:rsidR="00493CFE" w:rsidRPr="003E73D6">
        <w:t>’</w:t>
      </w:r>
      <w:r w:rsidRPr="003E73D6">
        <w:t xml:space="preserve">orientation étant </w:t>
      </w:r>
      <w:r w:rsidR="002D2C14" w:rsidRPr="003E73D6">
        <w:t>précisé</w:t>
      </w:r>
      <w:r w:rsidRPr="003E73D6">
        <w:t xml:space="preserve">. </w:t>
      </w:r>
    </w:p>
    <w:p w14:paraId="24B244F4" w14:textId="77777777" w:rsidR="00E43635" w:rsidRPr="003E73D6" w:rsidRDefault="00E43635" w:rsidP="002E3F08">
      <w:pPr>
        <w:pStyle w:val="ListParagraph"/>
        <w:numPr>
          <w:ilvl w:val="0"/>
          <w:numId w:val="22"/>
        </w:numPr>
        <w:tabs>
          <w:tab w:val="clear" w:pos="1247"/>
          <w:tab w:val="clear" w:pos="1814"/>
          <w:tab w:val="clear" w:pos="2381"/>
          <w:tab w:val="clear" w:pos="2948"/>
          <w:tab w:val="clear" w:pos="3515"/>
          <w:tab w:val="num" w:pos="624"/>
        </w:tabs>
        <w:spacing w:before="160" w:after="120"/>
        <w:ind w:left="1248" w:hanging="624"/>
        <w:contextualSpacing w:val="0"/>
        <w:rPr>
          <w:rFonts w:asciiTheme="majorBidi" w:hAnsiTheme="majorBidi" w:cstheme="majorBidi"/>
          <w:b/>
          <w:bCs/>
        </w:rPr>
      </w:pPr>
      <w:r w:rsidRPr="003E73D6">
        <w:rPr>
          <w:b/>
          <w:bCs/>
        </w:rPr>
        <w:t>Mettre à jour le tableau des abréviations et acronymes</w:t>
      </w:r>
    </w:p>
    <w:p w14:paraId="660C1D94" w14:textId="3AFCFDDD" w:rsidR="00E43635" w:rsidRPr="003E73D6" w:rsidRDefault="00E43635" w:rsidP="00E43635">
      <w:pPr>
        <w:spacing w:after="120"/>
        <w:ind w:left="1247"/>
        <w:rPr>
          <w:rFonts w:asciiTheme="majorBidi" w:hAnsiTheme="majorBidi" w:cstheme="majorBidi"/>
          <w:b/>
          <w:bCs/>
        </w:rPr>
      </w:pPr>
      <w:r w:rsidRPr="003E73D6">
        <w:rPr>
          <w:b/>
          <w:bCs/>
          <w:i/>
          <w:iCs/>
        </w:rPr>
        <w:t>Ajouter un nouvel acronyme</w:t>
      </w:r>
      <w:r w:rsidR="00493CFE" w:rsidRPr="003E73D6">
        <w:rPr>
          <w:b/>
          <w:bCs/>
          <w:i/>
          <w:iCs/>
        </w:rPr>
        <w:t> :</w:t>
      </w:r>
      <w:r w:rsidRPr="003E73D6">
        <w:t xml:space="preserve"> </w:t>
      </w:r>
      <w:r w:rsidRPr="003E73D6">
        <w:rPr>
          <w:u w:val="single"/>
        </w:rPr>
        <w:t>EMO = examen de la mise en œuvre de l</w:t>
      </w:r>
      <w:r w:rsidR="00493CFE" w:rsidRPr="003E73D6">
        <w:rPr>
          <w:u w:val="single"/>
        </w:rPr>
        <w:t>’</w:t>
      </w:r>
      <w:r w:rsidRPr="003E73D6">
        <w:rPr>
          <w:u w:val="single"/>
        </w:rPr>
        <w:t>article</w:t>
      </w:r>
      <w:r w:rsidR="00FA758A" w:rsidRPr="003E73D6">
        <w:rPr>
          <w:u w:val="single"/>
        </w:rPr>
        <w:t> </w:t>
      </w:r>
      <w:r w:rsidRPr="003E73D6">
        <w:rPr>
          <w:u w:val="single"/>
        </w:rPr>
        <w:t>7</w:t>
      </w:r>
    </w:p>
    <w:p w14:paraId="79D7A7E7" w14:textId="1EEC43C0" w:rsidR="00E43635" w:rsidRPr="003E73D6" w:rsidRDefault="00E43635" w:rsidP="002E3F08">
      <w:pPr>
        <w:pStyle w:val="ListParagraph"/>
        <w:numPr>
          <w:ilvl w:val="0"/>
          <w:numId w:val="22"/>
        </w:numPr>
        <w:tabs>
          <w:tab w:val="clear" w:pos="1247"/>
          <w:tab w:val="clear" w:pos="1814"/>
          <w:tab w:val="clear" w:pos="2381"/>
          <w:tab w:val="clear" w:pos="2948"/>
          <w:tab w:val="clear" w:pos="3515"/>
          <w:tab w:val="num" w:pos="624"/>
        </w:tabs>
        <w:spacing w:before="160" w:after="120"/>
        <w:ind w:left="1248" w:hanging="624"/>
        <w:contextualSpacing w:val="0"/>
        <w:rPr>
          <w:rFonts w:asciiTheme="majorBidi" w:hAnsiTheme="majorBidi" w:cstheme="majorBidi"/>
          <w:b/>
          <w:bCs/>
        </w:rPr>
      </w:pPr>
      <w:r w:rsidRPr="003E73D6">
        <w:rPr>
          <w:b/>
          <w:bCs/>
        </w:rPr>
        <w:t>Mettre à jour la section</w:t>
      </w:r>
      <w:r w:rsidR="00FA758A" w:rsidRPr="003E73D6">
        <w:rPr>
          <w:b/>
          <w:bCs/>
        </w:rPr>
        <w:t> </w:t>
      </w:r>
      <w:r w:rsidRPr="003E73D6">
        <w:rPr>
          <w:b/>
          <w:bCs/>
        </w:rPr>
        <w:t>3.3 (Présentation des plans d</w:t>
      </w:r>
      <w:r w:rsidR="00493CFE" w:rsidRPr="003E73D6">
        <w:rPr>
          <w:b/>
          <w:bCs/>
        </w:rPr>
        <w:t>’</w:t>
      </w:r>
      <w:r w:rsidRPr="003E73D6">
        <w:rPr>
          <w:b/>
          <w:bCs/>
        </w:rPr>
        <w:t>action nationaux et obligations en matière d</w:t>
      </w:r>
      <w:r w:rsidR="00493CFE" w:rsidRPr="003E73D6">
        <w:rPr>
          <w:b/>
          <w:bCs/>
        </w:rPr>
        <w:t>’</w:t>
      </w:r>
      <w:r w:rsidRPr="003E73D6">
        <w:rPr>
          <w:b/>
          <w:bCs/>
        </w:rPr>
        <w:t>établissement des rapports)</w:t>
      </w:r>
    </w:p>
    <w:p w14:paraId="615153C2" w14:textId="728D2760" w:rsidR="00E43635" w:rsidRPr="003E73D6" w:rsidRDefault="00E43635" w:rsidP="59BB6CAF">
      <w:pPr>
        <w:tabs>
          <w:tab w:val="num" w:pos="360"/>
          <w:tab w:val="num" w:pos="720"/>
        </w:tabs>
        <w:spacing w:after="120"/>
        <w:ind w:left="1247"/>
        <w:rPr>
          <w:rFonts w:asciiTheme="majorBidi" w:hAnsiTheme="majorBidi" w:cstheme="majorBidi"/>
          <w:u w:val="single"/>
        </w:rPr>
      </w:pPr>
      <w:r w:rsidRPr="003E73D6">
        <w:rPr>
          <w:b/>
          <w:bCs/>
          <w:i/>
          <w:iCs/>
        </w:rPr>
        <w:t>Ajouter un nouveau dernier paragraphe</w:t>
      </w:r>
      <w:r w:rsidR="00493CFE" w:rsidRPr="003E73D6">
        <w:rPr>
          <w:b/>
          <w:bCs/>
          <w:i/>
          <w:iCs/>
        </w:rPr>
        <w:t> :</w:t>
      </w:r>
      <w:r w:rsidRPr="003E73D6">
        <w:t xml:space="preserve"> </w:t>
      </w:r>
      <w:r w:rsidRPr="003E73D6">
        <w:rPr>
          <w:u w:val="single"/>
        </w:rPr>
        <w:t>La section</w:t>
      </w:r>
      <w:r w:rsidR="00FA758A" w:rsidRPr="003E73D6">
        <w:rPr>
          <w:u w:val="single"/>
        </w:rPr>
        <w:t> </w:t>
      </w:r>
      <w:r w:rsidRPr="003E73D6">
        <w:rPr>
          <w:u w:val="single"/>
        </w:rPr>
        <w:t>4.7 présente les étapes proposées pour conduire l</w:t>
      </w:r>
      <w:r w:rsidR="00493CFE" w:rsidRPr="003E73D6">
        <w:rPr>
          <w:u w:val="single"/>
        </w:rPr>
        <w:t>’</w:t>
      </w:r>
      <w:r w:rsidRPr="003E73D6">
        <w:rPr>
          <w:u w:val="single"/>
        </w:rPr>
        <w:t>examen de la mise en œuvre de l</w:t>
      </w:r>
      <w:r w:rsidR="00493CFE" w:rsidRPr="003E73D6">
        <w:rPr>
          <w:u w:val="single"/>
        </w:rPr>
        <w:t>’</w:t>
      </w:r>
      <w:r w:rsidRPr="003E73D6">
        <w:rPr>
          <w:u w:val="single"/>
        </w:rPr>
        <w:t>article</w:t>
      </w:r>
      <w:r w:rsidR="00FA758A" w:rsidRPr="003E73D6">
        <w:rPr>
          <w:u w:val="single"/>
        </w:rPr>
        <w:t> </w:t>
      </w:r>
      <w:r w:rsidRPr="003E73D6">
        <w:rPr>
          <w:u w:val="single"/>
        </w:rPr>
        <w:t>7, tandis que l</w:t>
      </w:r>
      <w:r w:rsidR="00493CFE" w:rsidRPr="003E73D6">
        <w:rPr>
          <w:u w:val="single"/>
        </w:rPr>
        <w:t>’</w:t>
      </w:r>
      <w:r w:rsidRPr="003E73D6">
        <w:rPr>
          <w:u w:val="single"/>
        </w:rPr>
        <w:t>annexe</w:t>
      </w:r>
      <w:r w:rsidR="00FA758A" w:rsidRPr="003E73D6">
        <w:rPr>
          <w:u w:val="single"/>
        </w:rPr>
        <w:t> </w:t>
      </w:r>
      <w:r w:rsidRPr="003E73D6">
        <w:rPr>
          <w:u w:val="single"/>
        </w:rPr>
        <w:t xml:space="preserve">7 contient un formulaire de </w:t>
      </w:r>
      <w:r w:rsidRPr="003E73D6">
        <w:rPr>
          <w:u w:val="single"/>
        </w:rPr>
        <w:lastRenderedPageBreak/>
        <w:t>communication d</w:t>
      </w:r>
      <w:r w:rsidR="00493CFE" w:rsidRPr="003E73D6">
        <w:rPr>
          <w:u w:val="single"/>
        </w:rPr>
        <w:t>’</w:t>
      </w:r>
      <w:r w:rsidRPr="003E73D6">
        <w:rPr>
          <w:u w:val="single"/>
        </w:rPr>
        <w:t>informations pour aider les correspondant(e)s nationaux(ales) à organiser les</w:t>
      </w:r>
      <w:r w:rsidR="006D342A" w:rsidRPr="003E73D6">
        <w:rPr>
          <w:u w:val="single"/>
        </w:rPr>
        <w:t> </w:t>
      </w:r>
      <w:r w:rsidRPr="003E73D6">
        <w:rPr>
          <w:u w:val="single"/>
        </w:rPr>
        <w:t>informations tirées de ces examens, afin de les inclure dans les rapports à soumettre en application de l</w:t>
      </w:r>
      <w:r w:rsidR="00493CFE" w:rsidRPr="003E73D6">
        <w:rPr>
          <w:u w:val="single"/>
        </w:rPr>
        <w:t>’</w:t>
      </w:r>
      <w:r w:rsidRPr="003E73D6">
        <w:rPr>
          <w:u w:val="single"/>
        </w:rPr>
        <w:t>article</w:t>
      </w:r>
      <w:r w:rsidR="001E1C20" w:rsidRPr="003E73D6">
        <w:rPr>
          <w:u w:val="single"/>
        </w:rPr>
        <w:t> </w:t>
      </w:r>
      <w:r w:rsidRPr="003E73D6">
        <w:rPr>
          <w:u w:val="single"/>
        </w:rPr>
        <w:t>21</w:t>
      </w:r>
      <w:r w:rsidRPr="003E73D6">
        <w:t xml:space="preserve">. </w:t>
      </w:r>
    </w:p>
    <w:p w14:paraId="080729A6" w14:textId="77BB5AE4" w:rsidR="00E43635" w:rsidRPr="003E73D6" w:rsidRDefault="00E43635" w:rsidP="002E3F08">
      <w:pPr>
        <w:pStyle w:val="ListParagraph"/>
        <w:numPr>
          <w:ilvl w:val="0"/>
          <w:numId w:val="22"/>
        </w:numPr>
        <w:tabs>
          <w:tab w:val="clear" w:pos="1247"/>
          <w:tab w:val="clear" w:pos="1814"/>
          <w:tab w:val="clear" w:pos="2381"/>
          <w:tab w:val="clear" w:pos="2948"/>
          <w:tab w:val="clear" w:pos="3515"/>
          <w:tab w:val="num" w:pos="624"/>
        </w:tabs>
        <w:spacing w:before="160" w:after="120"/>
        <w:ind w:left="1248" w:hanging="624"/>
        <w:contextualSpacing w:val="0"/>
        <w:rPr>
          <w:rFonts w:asciiTheme="majorBidi" w:hAnsiTheme="majorBidi" w:cstheme="majorBidi"/>
          <w:b/>
          <w:bCs/>
        </w:rPr>
      </w:pPr>
      <w:r w:rsidRPr="003E73D6">
        <w:rPr>
          <w:b/>
          <w:bCs/>
        </w:rPr>
        <w:t>Mettre à jour la section 4.5 (Élaboration d</w:t>
      </w:r>
      <w:r w:rsidR="00493CFE" w:rsidRPr="003E73D6">
        <w:rPr>
          <w:b/>
          <w:bCs/>
        </w:rPr>
        <w:t>’</w:t>
      </w:r>
      <w:r w:rsidRPr="003E73D6">
        <w:rPr>
          <w:b/>
          <w:bCs/>
        </w:rPr>
        <w:t>un mécanisme d</w:t>
      </w:r>
      <w:r w:rsidR="00493CFE" w:rsidRPr="003E73D6">
        <w:rPr>
          <w:b/>
          <w:bCs/>
        </w:rPr>
        <w:t>’</w:t>
      </w:r>
      <w:r w:rsidRPr="003E73D6">
        <w:rPr>
          <w:b/>
          <w:bCs/>
        </w:rPr>
        <w:t>évaluation des PAN)</w:t>
      </w:r>
    </w:p>
    <w:p w14:paraId="15D57590" w14:textId="18832368" w:rsidR="00E43635" w:rsidRPr="003E73D6" w:rsidRDefault="00012D2F" w:rsidP="00E43635">
      <w:pPr>
        <w:tabs>
          <w:tab w:val="num" w:pos="360"/>
          <w:tab w:val="num" w:pos="720"/>
        </w:tabs>
        <w:spacing w:after="120"/>
        <w:ind w:left="1247"/>
        <w:rPr>
          <w:rFonts w:asciiTheme="majorBidi" w:hAnsiTheme="majorBidi" w:cstheme="majorBidi"/>
        </w:rPr>
      </w:pPr>
      <w:r w:rsidRPr="003E73D6">
        <w:rPr>
          <w:b/>
          <w:bCs/>
          <w:i/>
          <w:iCs/>
        </w:rPr>
        <w:t>Ajouter un nouveau dernier paragraphe</w:t>
      </w:r>
      <w:r w:rsidR="00493CFE" w:rsidRPr="003E73D6">
        <w:rPr>
          <w:b/>
          <w:bCs/>
          <w:i/>
          <w:iCs/>
        </w:rPr>
        <w:t> :</w:t>
      </w:r>
      <w:r w:rsidRPr="003E73D6">
        <w:t xml:space="preserve"> </w:t>
      </w:r>
      <w:r w:rsidRPr="003E73D6">
        <w:rPr>
          <w:u w:val="single"/>
        </w:rPr>
        <w:t>On trouvera plus d</w:t>
      </w:r>
      <w:r w:rsidR="00493CFE" w:rsidRPr="003E73D6">
        <w:rPr>
          <w:u w:val="single"/>
        </w:rPr>
        <w:t>’</w:t>
      </w:r>
      <w:r w:rsidRPr="003E73D6">
        <w:rPr>
          <w:u w:val="single"/>
        </w:rPr>
        <w:t>informations sur les étapes proposées pour conduire l</w:t>
      </w:r>
      <w:r w:rsidR="00493CFE" w:rsidRPr="003E73D6">
        <w:rPr>
          <w:u w:val="single"/>
        </w:rPr>
        <w:t>’</w:t>
      </w:r>
      <w:r w:rsidRPr="003E73D6">
        <w:rPr>
          <w:u w:val="single"/>
        </w:rPr>
        <w:t>examen de la mise en œuvre de l</w:t>
      </w:r>
      <w:r w:rsidR="00493CFE" w:rsidRPr="003E73D6">
        <w:rPr>
          <w:u w:val="single"/>
        </w:rPr>
        <w:t>’</w:t>
      </w:r>
      <w:r w:rsidRPr="003E73D6">
        <w:rPr>
          <w:u w:val="single"/>
        </w:rPr>
        <w:t>article</w:t>
      </w:r>
      <w:r w:rsidR="001E1C20" w:rsidRPr="003E73D6">
        <w:rPr>
          <w:u w:val="single"/>
        </w:rPr>
        <w:t> </w:t>
      </w:r>
      <w:r w:rsidRPr="003E73D6">
        <w:rPr>
          <w:u w:val="single"/>
        </w:rPr>
        <w:t>7 dans la section</w:t>
      </w:r>
      <w:r w:rsidR="001E1C20" w:rsidRPr="003E73D6">
        <w:rPr>
          <w:u w:val="single"/>
        </w:rPr>
        <w:t> </w:t>
      </w:r>
      <w:r w:rsidRPr="003E73D6">
        <w:rPr>
          <w:u w:val="single"/>
        </w:rPr>
        <w:t>4.7</w:t>
      </w:r>
      <w:r w:rsidRPr="003E73D6">
        <w:t xml:space="preserve">. </w:t>
      </w:r>
    </w:p>
    <w:p w14:paraId="390BC7E4" w14:textId="77777777" w:rsidR="00E43635" w:rsidRPr="003E73D6" w:rsidRDefault="00E43635" w:rsidP="002E3F08">
      <w:pPr>
        <w:pStyle w:val="ListParagraph"/>
        <w:numPr>
          <w:ilvl w:val="0"/>
          <w:numId w:val="22"/>
        </w:numPr>
        <w:tabs>
          <w:tab w:val="clear" w:pos="1247"/>
          <w:tab w:val="clear" w:pos="1814"/>
          <w:tab w:val="clear" w:pos="2381"/>
          <w:tab w:val="clear" w:pos="2948"/>
          <w:tab w:val="clear" w:pos="3515"/>
          <w:tab w:val="num" w:pos="624"/>
        </w:tabs>
        <w:spacing w:before="160" w:after="120"/>
        <w:ind w:left="1248" w:hanging="624"/>
        <w:contextualSpacing w:val="0"/>
        <w:rPr>
          <w:rFonts w:asciiTheme="majorBidi" w:hAnsiTheme="majorBidi" w:cstheme="majorBidi"/>
          <w:b/>
          <w:bCs/>
        </w:rPr>
      </w:pPr>
      <w:r w:rsidRPr="003E73D6">
        <w:rPr>
          <w:b/>
          <w:bCs/>
        </w:rPr>
        <w:t>Ajouter une nouvelle section après la section 4.6 (Approbation et présentation des PAN)</w:t>
      </w:r>
    </w:p>
    <w:p w14:paraId="1400409C" w14:textId="733542FE" w:rsidR="00E43635" w:rsidRPr="003E73D6" w:rsidRDefault="00E43635" w:rsidP="009741ED">
      <w:pPr>
        <w:tabs>
          <w:tab w:val="num" w:pos="360"/>
          <w:tab w:val="num" w:pos="720"/>
        </w:tabs>
        <w:spacing w:before="160" w:after="120"/>
        <w:ind w:left="1247"/>
        <w:rPr>
          <w:rFonts w:asciiTheme="majorBidi" w:hAnsiTheme="majorBidi" w:cstheme="majorBidi"/>
          <w:b/>
          <w:bCs/>
          <w:u w:val="single"/>
        </w:rPr>
      </w:pPr>
      <w:r w:rsidRPr="003E73D6">
        <w:rPr>
          <w:b/>
          <w:bCs/>
          <w:u w:val="single"/>
        </w:rPr>
        <w:t>4.7</w:t>
      </w:r>
      <w:r w:rsidRPr="003E73D6">
        <w:rPr>
          <w:u w:val="single"/>
        </w:rPr>
        <w:tab/>
      </w:r>
      <w:r w:rsidRPr="003E73D6">
        <w:rPr>
          <w:b/>
          <w:bCs/>
          <w:u w:val="single"/>
        </w:rPr>
        <w:t>Examen de la mise en œuvre de l</w:t>
      </w:r>
      <w:r w:rsidR="00493CFE" w:rsidRPr="003E73D6">
        <w:rPr>
          <w:b/>
          <w:bCs/>
          <w:u w:val="single"/>
        </w:rPr>
        <w:t>’</w:t>
      </w:r>
      <w:r w:rsidRPr="003E73D6">
        <w:rPr>
          <w:b/>
          <w:bCs/>
          <w:u w:val="single"/>
        </w:rPr>
        <w:t>article 7</w:t>
      </w:r>
      <w:r w:rsidRPr="003E73D6">
        <w:t xml:space="preserve"> </w:t>
      </w:r>
    </w:p>
    <w:p w14:paraId="68BB5EC9" w14:textId="4F8EF8B0" w:rsidR="00E43635" w:rsidRPr="003E73D6" w:rsidRDefault="00A373DD" w:rsidP="00E43635">
      <w:pPr>
        <w:spacing w:after="120"/>
        <w:ind w:left="1247"/>
        <w:rPr>
          <w:rFonts w:asciiTheme="majorBidi" w:hAnsiTheme="majorBidi" w:cstheme="majorBidi"/>
          <w:color w:val="000000" w:themeColor="text1"/>
          <w:u w:val="single"/>
        </w:rPr>
      </w:pPr>
      <w:r w:rsidRPr="003E73D6">
        <w:rPr>
          <w:u w:val="single"/>
        </w:rPr>
        <w:t>L</w:t>
      </w:r>
      <w:r w:rsidR="00493CFE" w:rsidRPr="003E73D6">
        <w:rPr>
          <w:u w:val="single"/>
        </w:rPr>
        <w:t>’</w:t>
      </w:r>
      <w:r w:rsidRPr="003E73D6">
        <w:rPr>
          <w:u w:val="single"/>
        </w:rPr>
        <w:t>obligation de procéder à l</w:t>
      </w:r>
      <w:r w:rsidR="00493CFE" w:rsidRPr="003E73D6">
        <w:rPr>
          <w:u w:val="single"/>
        </w:rPr>
        <w:t>’</w:t>
      </w:r>
      <w:r w:rsidRPr="003E73D6">
        <w:rPr>
          <w:u w:val="single"/>
        </w:rPr>
        <w:t>examen de la mise en œuvre de l</w:t>
      </w:r>
      <w:r w:rsidR="00493CFE" w:rsidRPr="003E73D6">
        <w:rPr>
          <w:u w:val="single"/>
        </w:rPr>
        <w:t>’</w:t>
      </w:r>
      <w:r w:rsidRPr="003E73D6">
        <w:rPr>
          <w:u w:val="single"/>
        </w:rPr>
        <w:t>article</w:t>
      </w:r>
      <w:r w:rsidR="002045EC" w:rsidRPr="003E73D6">
        <w:rPr>
          <w:u w:val="single"/>
        </w:rPr>
        <w:t> </w:t>
      </w:r>
      <w:r w:rsidRPr="003E73D6">
        <w:rPr>
          <w:u w:val="single"/>
        </w:rPr>
        <w:t>7 (EMO) incombe aux Parties qui ont constaté que les activités d</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 sur leur territoire sont non négligeables et qui ont notifié ce fait au secrétariat. Les Parties qui ont élaboré un PAN et l</w:t>
      </w:r>
      <w:r w:rsidR="00493CFE" w:rsidRPr="003E73D6">
        <w:rPr>
          <w:u w:val="single"/>
        </w:rPr>
        <w:t>’</w:t>
      </w:r>
      <w:r w:rsidRPr="003E73D6">
        <w:rPr>
          <w:u w:val="single"/>
        </w:rPr>
        <w:t>ont soumis au secrétariat trouveront une brève présentation d</w:t>
      </w:r>
      <w:r w:rsidR="00493CFE" w:rsidRPr="003E73D6">
        <w:rPr>
          <w:u w:val="single"/>
        </w:rPr>
        <w:t>’</w:t>
      </w:r>
      <w:r w:rsidRPr="003E73D6">
        <w:rPr>
          <w:u w:val="single"/>
        </w:rPr>
        <w:t>un mécanisme d</w:t>
      </w:r>
      <w:r w:rsidR="00493CFE" w:rsidRPr="003E73D6">
        <w:rPr>
          <w:u w:val="single"/>
        </w:rPr>
        <w:t>’</w:t>
      </w:r>
      <w:r w:rsidRPr="003E73D6">
        <w:rPr>
          <w:u w:val="single"/>
        </w:rPr>
        <w:t>évaluation des progrès accomplis dans la mise en œuvre du PAN dans la section</w:t>
      </w:r>
      <w:r w:rsidR="002045EC" w:rsidRPr="003E73D6">
        <w:rPr>
          <w:u w:val="single"/>
        </w:rPr>
        <w:t> </w:t>
      </w:r>
      <w:r w:rsidRPr="003E73D6">
        <w:rPr>
          <w:u w:val="single"/>
        </w:rPr>
        <w:t>4.5 du présent document, laquelle fournit une</w:t>
      </w:r>
      <w:r w:rsidR="00D2270E" w:rsidRPr="003E73D6">
        <w:rPr>
          <w:u w:val="single"/>
        </w:rPr>
        <w:t> </w:t>
      </w:r>
      <w:r w:rsidRPr="003E73D6">
        <w:rPr>
          <w:u w:val="single"/>
        </w:rPr>
        <w:t>vue d</w:t>
      </w:r>
      <w:r w:rsidR="00493CFE" w:rsidRPr="003E73D6">
        <w:rPr>
          <w:u w:val="single"/>
        </w:rPr>
        <w:t>’</w:t>
      </w:r>
      <w:r w:rsidRPr="003E73D6">
        <w:rPr>
          <w:u w:val="single"/>
        </w:rPr>
        <w:t>ensemble du mécanisme et des conseils généraux sur la façon de l</w:t>
      </w:r>
      <w:r w:rsidR="00493CFE" w:rsidRPr="003E73D6">
        <w:rPr>
          <w:u w:val="single"/>
        </w:rPr>
        <w:t>’</w:t>
      </w:r>
      <w:r w:rsidRPr="003E73D6">
        <w:rPr>
          <w:u w:val="single"/>
        </w:rPr>
        <w:t>aborder</w:t>
      </w:r>
      <w:r w:rsidRPr="003E73D6">
        <w:t xml:space="preserve">. </w:t>
      </w:r>
    </w:p>
    <w:p w14:paraId="7730351C" w14:textId="34E72A62" w:rsidR="00E43635" w:rsidRPr="003E73D6" w:rsidRDefault="0095552F" w:rsidP="59BB6CAF">
      <w:pPr>
        <w:spacing w:after="120"/>
        <w:ind w:left="1247"/>
        <w:rPr>
          <w:rFonts w:asciiTheme="majorBidi" w:hAnsiTheme="majorBidi" w:cstheme="majorBidi"/>
          <w:color w:val="000000" w:themeColor="text1"/>
          <w:u w:val="single"/>
        </w:rPr>
      </w:pPr>
      <w:r w:rsidRPr="003E73D6">
        <w:rPr>
          <w:u w:val="single"/>
        </w:rPr>
        <w:t>Les Parties étant tenues, en vertu du paragraphe</w:t>
      </w:r>
      <w:r w:rsidR="002045EC" w:rsidRPr="003E73D6">
        <w:rPr>
          <w:u w:val="single"/>
        </w:rPr>
        <w:t> </w:t>
      </w:r>
      <w:r w:rsidRPr="003E73D6">
        <w:rPr>
          <w:u w:val="single"/>
        </w:rPr>
        <w:t>2 de l</w:t>
      </w:r>
      <w:r w:rsidR="00493CFE" w:rsidRPr="003E73D6">
        <w:rPr>
          <w:u w:val="single"/>
        </w:rPr>
        <w:t>’</w:t>
      </w:r>
      <w:r w:rsidRPr="003E73D6">
        <w:rPr>
          <w:u w:val="single"/>
        </w:rPr>
        <w:t>article</w:t>
      </w:r>
      <w:r w:rsidR="002045EC" w:rsidRPr="003E73D6">
        <w:rPr>
          <w:u w:val="single"/>
        </w:rPr>
        <w:t> </w:t>
      </w:r>
      <w:r w:rsidRPr="003E73D6">
        <w:rPr>
          <w:u w:val="single"/>
        </w:rPr>
        <w:t>21, d</w:t>
      </w:r>
      <w:r w:rsidR="00493CFE" w:rsidRPr="003E73D6">
        <w:rPr>
          <w:u w:val="single"/>
        </w:rPr>
        <w:t>’</w:t>
      </w:r>
      <w:r w:rsidRPr="003E73D6">
        <w:rPr>
          <w:u w:val="single"/>
        </w:rPr>
        <w:t>inclure dans leur rapport les informations demandées aux articles 3, 5, 7, 8 et 9 de la Convention, celles qui n</w:t>
      </w:r>
      <w:r w:rsidR="00493CFE" w:rsidRPr="003E73D6">
        <w:rPr>
          <w:u w:val="single"/>
        </w:rPr>
        <w:t>’</w:t>
      </w:r>
      <w:r w:rsidRPr="003E73D6">
        <w:rPr>
          <w:u w:val="single"/>
        </w:rPr>
        <w:t>ont pas encore soumis leur PAN doivent néanmoins rendre compte des progrès accomplis dans le respect de leurs obligations au titre de l</w:t>
      </w:r>
      <w:r w:rsidR="00493CFE" w:rsidRPr="003E73D6">
        <w:rPr>
          <w:u w:val="single"/>
        </w:rPr>
        <w:t>’</w:t>
      </w:r>
      <w:r w:rsidRPr="003E73D6">
        <w:rPr>
          <w:u w:val="single"/>
        </w:rPr>
        <w:t>article 7. Lorsque les Parties décrivent les mesures prises pour s</w:t>
      </w:r>
      <w:r w:rsidR="00493CFE" w:rsidRPr="003E73D6">
        <w:rPr>
          <w:u w:val="single"/>
        </w:rPr>
        <w:t>’</w:t>
      </w:r>
      <w:r w:rsidRPr="003E73D6">
        <w:rPr>
          <w:u w:val="single"/>
        </w:rPr>
        <w:t>acquitter de ces obligations, elles peuvent mentionner des activités telles que la création d</w:t>
      </w:r>
      <w:r w:rsidR="00493CFE" w:rsidRPr="003E73D6">
        <w:rPr>
          <w:u w:val="single"/>
        </w:rPr>
        <w:t>’</w:t>
      </w:r>
      <w:r w:rsidRPr="003E73D6">
        <w:rPr>
          <w:u w:val="single"/>
        </w:rPr>
        <w:t>un comité chargé d</w:t>
      </w:r>
      <w:r w:rsidR="00493CFE" w:rsidRPr="003E73D6">
        <w:rPr>
          <w:u w:val="single"/>
        </w:rPr>
        <w:t>’</w:t>
      </w:r>
      <w:r w:rsidRPr="003E73D6">
        <w:rPr>
          <w:u w:val="single"/>
        </w:rPr>
        <w:t>élaborer le PAN, la collecte de données de référence pour définir les cibles et la prise de contact avec les parties prenantes pour les inciter à participer à l</w:t>
      </w:r>
      <w:r w:rsidR="00493CFE" w:rsidRPr="003E73D6">
        <w:rPr>
          <w:u w:val="single"/>
        </w:rPr>
        <w:t>’</w:t>
      </w:r>
      <w:r w:rsidRPr="003E73D6">
        <w:rPr>
          <w:u w:val="single"/>
        </w:rPr>
        <w:t>élaboration du PAN. Les Parties trouveront dans le document d</w:t>
      </w:r>
      <w:r w:rsidR="00493CFE" w:rsidRPr="003E73D6">
        <w:rPr>
          <w:u w:val="single"/>
        </w:rPr>
        <w:t>’</w:t>
      </w:r>
      <w:r w:rsidRPr="003E73D6">
        <w:rPr>
          <w:u w:val="single"/>
        </w:rPr>
        <w:t>orientation relatif à l</w:t>
      </w:r>
      <w:r w:rsidR="00493CFE" w:rsidRPr="003E73D6">
        <w:rPr>
          <w:u w:val="single"/>
        </w:rPr>
        <w:t>’</w:t>
      </w:r>
      <w:r w:rsidRPr="003E73D6">
        <w:rPr>
          <w:u w:val="single"/>
        </w:rPr>
        <w:t>utilisation du formulaire d</w:t>
      </w:r>
      <w:r w:rsidR="00493CFE" w:rsidRPr="003E73D6">
        <w:rPr>
          <w:u w:val="single"/>
        </w:rPr>
        <w:t>’</w:t>
      </w:r>
      <w:r w:rsidRPr="003E73D6">
        <w:rPr>
          <w:u w:val="single"/>
        </w:rPr>
        <w:t>établissement des rapports nationaux au titre de la Convention de</w:t>
      </w:r>
      <w:r w:rsidR="00CC127A" w:rsidRPr="003E73D6">
        <w:rPr>
          <w:u w:val="single"/>
        </w:rPr>
        <w:t> </w:t>
      </w:r>
      <w:r w:rsidRPr="003E73D6">
        <w:rPr>
          <w:u w:val="single"/>
        </w:rPr>
        <w:t>Minamata sur le mercure des propositions d</w:t>
      </w:r>
      <w:r w:rsidR="00493CFE" w:rsidRPr="003E73D6">
        <w:rPr>
          <w:u w:val="single"/>
        </w:rPr>
        <w:t>’</w:t>
      </w:r>
      <w:r w:rsidRPr="003E73D6">
        <w:rPr>
          <w:u w:val="single"/>
        </w:rPr>
        <w:t>approches concernant les réponses à fournir</w:t>
      </w:r>
      <w:r w:rsidR="00E43635" w:rsidRPr="003E73D6">
        <w:rPr>
          <w:rStyle w:val="FootnoteReference"/>
          <w:rFonts w:asciiTheme="majorBidi" w:hAnsiTheme="majorBidi" w:cstheme="majorBidi"/>
          <w:u w:val="single"/>
        </w:rPr>
        <w:footnoteReference w:id="7"/>
      </w:r>
      <w:r w:rsidRPr="003E73D6">
        <w:t xml:space="preserve">. </w:t>
      </w:r>
    </w:p>
    <w:p w14:paraId="0F726930" w14:textId="055173FA" w:rsidR="00E43635" w:rsidRPr="003E73D6" w:rsidRDefault="00E43635" w:rsidP="59BB6CAF">
      <w:pPr>
        <w:spacing w:after="120"/>
        <w:ind w:left="1247"/>
        <w:jc w:val="both"/>
        <w:rPr>
          <w:rFonts w:asciiTheme="majorBidi" w:hAnsiTheme="majorBidi" w:cstheme="majorBidi"/>
          <w:color w:val="000000" w:themeColor="text1"/>
          <w:u w:val="single"/>
        </w:rPr>
      </w:pPr>
      <w:r w:rsidRPr="003E73D6">
        <w:rPr>
          <w:u w:val="single"/>
        </w:rPr>
        <w:t>La présente section complète les informations fournies à la section</w:t>
      </w:r>
      <w:r w:rsidR="005D28B2" w:rsidRPr="003E73D6">
        <w:rPr>
          <w:u w:val="single"/>
        </w:rPr>
        <w:t> </w:t>
      </w:r>
      <w:r w:rsidRPr="003E73D6">
        <w:rPr>
          <w:u w:val="single"/>
        </w:rPr>
        <w:t>4.5 et les étapes recommandées pour élaborer un PAN (voir la figure 1). Les étapes présentées dans la figure</w:t>
      </w:r>
      <w:r w:rsidR="005D28B2" w:rsidRPr="003E73D6">
        <w:rPr>
          <w:u w:val="single"/>
        </w:rPr>
        <w:t> </w:t>
      </w:r>
      <w:r w:rsidRPr="003E73D6">
        <w:rPr>
          <w:u w:val="single"/>
        </w:rPr>
        <w:t>2 forment une approche structurée de la procédure d</w:t>
      </w:r>
      <w:r w:rsidR="00493CFE" w:rsidRPr="003E73D6">
        <w:rPr>
          <w:u w:val="single"/>
        </w:rPr>
        <w:t>’</w:t>
      </w:r>
      <w:r w:rsidRPr="003E73D6">
        <w:rPr>
          <w:u w:val="single"/>
        </w:rPr>
        <w:t>EMO</w:t>
      </w:r>
      <w:r w:rsidRPr="003E73D6">
        <w:t xml:space="preserve">. </w:t>
      </w:r>
    </w:p>
    <w:p w14:paraId="333A0D36" w14:textId="239AE108" w:rsidR="007947AB" w:rsidRPr="003E73D6" w:rsidRDefault="007947AB" w:rsidP="007947AB">
      <w:pPr>
        <w:keepNext/>
        <w:keepLines/>
        <w:spacing w:after="120"/>
        <w:ind w:left="1247"/>
        <w:jc w:val="both"/>
        <w:rPr>
          <w:b/>
          <w:bCs/>
        </w:rPr>
      </w:pPr>
      <w:r w:rsidRPr="003E73D6">
        <w:rPr>
          <w:b/>
          <w:bCs/>
        </w:rPr>
        <w:t>Figure 2.</w:t>
      </w:r>
      <w:r w:rsidRPr="003E73D6">
        <w:t xml:space="preserve"> </w:t>
      </w:r>
      <w:r w:rsidRPr="003E73D6">
        <w:rPr>
          <w:b/>
          <w:bCs/>
        </w:rPr>
        <w:t>Étapes recommandées pour examiner la mise en œuvre de l</w:t>
      </w:r>
      <w:r w:rsidR="00493CFE" w:rsidRPr="003E73D6">
        <w:rPr>
          <w:b/>
          <w:bCs/>
        </w:rPr>
        <w:t>’</w:t>
      </w:r>
      <w:r w:rsidRPr="003E73D6">
        <w:rPr>
          <w:b/>
          <w:bCs/>
        </w:rPr>
        <w:t>article</w:t>
      </w:r>
      <w:r w:rsidR="005D28B2" w:rsidRPr="003E73D6">
        <w:rPr>
          <w:b/>
          <w:bCs/>
        </w:rPr>
        <w:t> </w:t>
      </w:r>
      <w:r w:rsidRPr="003E73D6">
        <w:rPr>
          <w:b/>
          <w:bCs/>
        </w:rPr>
        <w:t>7</w:t>
      </w:r>
    </w:p>
    <w:p w14:paraId="65E322FE" w14:textId="790383EE" w:rsidR="00E362C6" w:rsidRPr="003E73D6" w:rsidRDefault="00E362C6" w:rsidP="007947AB">
      <w:pPr>
        <w:keepNext/>
        <w:keepLines/>
        <w:spacing w:after="120"/>
        <w:ind w:left="1247"/>
        <w:jc w:val="both"/>
        <w:rPr>
          <w:rFonts w:asciiTheme="majorBidi" w:hAnsiTheme="majorBidi" w:cstheme="majorBidi"/>
          <w:color w:val="000000" w:themeColor="text1"/>
        </w:rPr>
      </w:pPr>
      <w:r w:rsidRPr="003E73D6">
        <w:rPr>
          <w:rFonts w:asciiTheme="majorBidi" w:hAnsiTheme="majorBidi" w:cstheme="majorBidi"/>
          <w:color w:val="000000" w:themeColor="text1"/>
        </w:rPr>
        <w:drawing>
          <wp:inline distT="0" distB="0" distL="0" distR="0" wp14:anchorId="16E94710" wp14:editId="2107BA50">
            <wp:extent cx="5266262" cy="2822499"/>
            <wp:effectExtent l="0" t="0" r="0" b="0"/>
            <wp:docPr id="983572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72771" name="Picture 983572771"/>
                    <pic:cNvPicPr/>
                  </pic:nvPicPr>
                  <pic:blipFill>
                    <a:blip r:embed="rId13">
                      <a:extLst>
                        <a:ext uri="{28A0092B-C50C-407E-A947-70E740481C1C}">
                          <a14:useLocalDpi xmlns:a14="http://schemas.microsoft.com/office/drawing/2010/main" val="0"/>
                        </a:ext>
                      </a:extLst>
                    </a:blip>
                    <a:stretch>
                      <a:fillRect/>
                    </a:stretch>
                  </pic:blipFill>
                  <pic:spPr>
                    <a:xfrm>
                      <a:off x="0" y="0"/>
                      <a:ext cx="5282802" cy="2831364"/>
                    </a:xfrm>
                    <a:prstGeom prst="rect">
                      <a:avLst/>
                    </a:prstGeom>
                  </pic:spPr>
                </pic:pic>
              </a:graphicData>
            </a:graphic>
          </wp:inline>
        </w:drawing>
      </w:r>
    </w:p>
    <w:p w14:paraId="53684ACA" w14:textId="66FA5F88" w:rsidR="00E43635" w:rsidRPr="003E73D6" w:rsidRDefault="00E43635" w:rsidP="00E43635">
      <w:pPr>
        <w:spacing w:after="120"/>
        <w:ind w:left="1247"/>
        <w:jc w:val="both"/>
        <w:outlineLvl w:val="2"/>
        <w:rPr>
          <w:rFonts w:asciiTheme="majorBidi" w:hAnsiTheme="majorBidi" w:cstheme="majorBidi"/>
          <w:color w:val="000000"/>
        </w:rPr>
      </w:pPr>
      <w:r w:rsidRPr="003E73D6">
        <w:rPr>
          <w:u w:val="single"/>
        </w:rPr>
        <w:t>Les énoncés ci-après mettent en évidence les éléments clefs à prendre en compte à chaque étape et n</w:t>
      </w:r>
      <w:r w:rsidR="00493CFE" w:rsidRPr="003E73D6">
        <w:rPr>
          <w:u w:val="single"/>
        </w:rPr>
        <w:t>’</w:t>
      </w:r>
      <w:r w:rsidRPr="003E73D6">
        <w:rPr>
          <w:u w:val="single"/>
        </w:rPr>
        <w:t>ont pas pour but de fournir une explication détaillée de chacune d</w:t>
      </w:r>
      <w:r w:rsidR="00493CFE" w:rsidRPr="003E73D6">
        <w:rPr>
          <w:u w:val="single"/>
        </w:rPr>
        <w:t>’</w:t>
      </w:r>
      <w:r w:rsidRPr="003E73D6">
        <w:rPr>
          <w:u w:val="single"/>
        </w:rPr>
        <w:t>entre elles. Avant d</w:t>
      </w:r>
      <w:r w:rsidR="00493CFE" w:rsidRPr="003E73D6">
        <w:rPr>
          <w:u w:val="single"/>
        </w:rPr>
        <w:t>’</w:t>
      </w:r>
      <w:r w:rsidRPr="003E73D6">
        <w:rPr>
          <w:u w:val="single"/>
        </w:rPr>
        <w:t>entamer l</w:t>
      </w:r>
      <w:r w:rsidR="00493CFE" w:rsidRPr="003E73D6">
        <w:rPr>
          <w:u w:val="single"/>
        </w:rPr>
        <w:t>’</w:t>
      </w:r>
      <w:r w:rsidRPr="003E73D6">
        <w:rPr>
          <w:u w:val="single"/>
        </w:rPr>
        <w:t>examen, les Parties doivent analyser leur PAN, y</w:t>
      </w:r>
      <w:r w:rsidR="00795167" w:rsidRPr="003E73D6">
        <w:rPr>
          <w:u w:val="single"/>
        </w:rPr>
        <w:t> </w:t>
      </w:r>
      <w:r w:rsidRPr="003E73D6">
        <w:rPr>
          <w:u w:val="single"/>
        </w:rPr>
        <w:t>compris au moyen du mécanisme d</w:t>
      </w:r>
      <w:r w:rsidR="00493CFE" w:rsidRPr="003E73D6">
        <w:rPr>
          <w:u w:val="single"/>
        </w:rPr>
        <w:t>’</w:t>
      </w:r>
      <w:r w:rsidRPr="003E73D6">
        <w:rPr>
          <w:u w:val="single"/>
        </w:rPr>
        <w:t>évaluation qu</w:t>
      </w:r>
      <w:r w:rsidR="00493CFE" w:rsidRPr="003E73D6">
        <w:rPr>
          <w:u w:val="single"/>
        </w:rPr>
        <w:t>’</w:t>
      </w:r>
      <w:r w:rsidRPr="003E73D6">
        <w:rPr>
          <w:u w:val="single"/>
        </w:rPr>
        <w:t>il contient</w:t>
      </w:r>
      <w:r w:rsidRPr="003E73D6">
        <w:t xml:space="preserve">. </w:t>
      </w:r>
    </w:p>
    <w:p w14:paraId="630A0617" w14:textId="77777777" w:rsidR="00E43635" w:rsidRPr="003E73D6" w:rsidRDefault="00086779" w:rsidP="00086779">
      <w:pPr>
        <w:pStyle w:val="ListParagraph"/>
        <w:keepNext/>
        <w:tabs>
          <w:tab w:val="clear" w:pos="1247"/>
          <w:tab w:val="clear" w:pos="1814"/>
          <w:tab w:val="clear" w:pos="2381"/>
          <w:tab w:val="clear" w:pos="2948"/>
          <w:tab w:val="clear" w:pos="3515"/>
        </w:tabs>
        <w:spacing w:after="120"/>
        <w:ind w:left="1253"/>
        <w:contextualSpacing w:val="0"/>
        <w:rPr>
          <w:rFonts w:asciiTheme="majorBidi" w:hAnsiTheme="majorBidi" w:cstheme="majorBidi"/>
          <w:u w:val="single"/>
        </w:rPr>
      </w:pPr>
      <w:bookmarkStart w:id="10" w:name="_Toc197686032"/>
      <w:r w:rsidRPr="003E73D6">
        <w:rPr>
          <w:b/>
          <w:bCs/>
          <w:u w:val="single"/>
        </w:rPr>
        <w:lastRenderedPageBreak/>
        <w:t>4.7.1</w:t>
      </w:r>
      <w:r w:rsidRPr="003E73D6">
        <w:rPr>
          <w:u w:val="single"/>
        </w:rPr>
        <w:tab/>
      </w:r>
      <w:r w:rsidRPr="003E73D6">
        <w:rPr>
          <w:b/>
          <w:bCs/>
          <w:u w:val="single"/>
        </w:rPr>
        <w:t>Vérifier le mandat du mécanisme de coordination et assurer la participation de diverses parties prenantes</w:t>
      </w:r>
      <w:bookmarkEnd w:id="10"/>
    </w:p>
    <w:p w14:paraId="129890FA" w14:textId="5BF8DE7D" w:rsidR="00E43635" w:rsidRPr="003E73D6" w:rsidRDefault="00614862" w:rsidP="00152AA6">
      <w:pPr>
        <w:numPr>
          <w:ilvl w:val="0"/>
          <w:numId w:val="15"/>
        </w:numPr>
        <w:tabs>
          <w:tab w:val="clear" w:pos="1247"/>
          <w:tab w:val="clear" w:pos="1814"/>
          <w:tab w:val="clear" w:pos="2381"/>
          <w:tab w:val="clear" w:pos="2948"/>
          <w:tab w:val="clear" w:pos="3515"/>
        </w:tabs>
        <w:spacing w:after="120"/>
        <w:ind w:left="1247"/>
        <w:jc w:val="both"/>
        <w:rPr>
          <w:rFonts w:asciiTheme="majorBidi" w:hAnsiTheme="majorBidi" w:cstheme="majorBidi"/>
          <w:color w:val="000000"/>
        </w:rPr>
      </w:pPr>
      <w:r w:rsidRPr="003E73D6">
        <w:rPr>
          <w:b/>
          <w:bCs/>
          <w:u w:val="single"/>
        </w:rPr>
        <w:t>Désigner l</w:t>
      </w:r>
      <w:r w:rsidR="00493CFE" w:rsidRPr="003E73D6">
        <w:rPr>
          <w:b/>
          <w:bCs/>
          <w:u w:val="single"/>
        </w:rPr>
        <w:t>’</w:t>
      </w:r>
      <w:r w:rsidRPr="003E73D6">
        <w:rPr>
          <w:b/>
          <w:bCs/>
          <w:u w:val="single"/>
        </w:rPr>
        <w:t>organisme chef de file chargé de la supervision</w:t>
      </w:r>
      <w:r w:rsidR="007F5FA6" w:rsidRPr="003E73D6">
        <w:rPr>
          <w:u w:val="single"/>
        </w:rPr>
        <w:t>.</w:t>
      </w:r>
      <w:r w:rsidRPr="003E73D6">
        <w:rPr>
          <w:u w:val="single"/>
        </w:rPr>
        <w:t xml:space="preserve"> L</w:t>
      </w:r>
      <w:r w:rsidR="00493CFE" w:rsidRPr="003E73D6">
        <w:rPr>
          <w:u w:val="single"/>
        </w:rPr>
        <w:t>’</w:t>
      </w:r>
      <w:r w:rsidRPr="003E73D6">
        <w:rPr>
          <w:u w:val="single"/>
        </w:rPr>
        <w:t>entité chargée de la supervision du PAN est bien placée pour diriger également la procédure d</w:t>
      </w:r>
      <w:r w:rsidR="00493CFE" w:rsidRPr="003E73D6">
        <w:rPr>
          <w:u w:val="single"/>
        </w:rPr>
        <w:t>’</w:t>
      </w:r>
      <w:r w:rsidRPr="003E73D6">
        <w:rPr>
          <w:u w:val="single"/>
        </w:rPr>
        <w:t>EMO et assurer ainsi une coordination durable et efficace de cette dernière, faire fond sur les connaissances institutionnelles, renforcer la continuité des efforts de réduction du mercure et faciliter la réalisation d</w:t>
      </w:r>
      <w:r w:rsidR="00493CFE" w:rsidRPr="003E73D6">
        <w:rPr>
          <w:u w:val="single"/>
        </w:rPr>
        <w:t>’</w:t>
      </w:r>
      <w:r w:rsidRPr="003E73D6">
        <w:rPr>
          <w:u w:val="single"/>
        </w:rPr>
        <w:t>un examen efficace</w:t>
      </w:r>
      <w:r w:rsidRPr="003E73D6">
        <w:t xml:space="preserve">. </w:t>
      </w:r>
    </w:p>
    <w:p w14:paraId="01FE7A86" w14:textId="5F4C92B6" w:rsidR="00E43635" w:rsidRPr="003E73D6" w:rsidRDefault="00E43635" w:rsidP="002E3F08">
      <w:pPr>
        <w:numPr>
          <w:ilvl w:val="0"/>
          <w:numId w:val="15"/>
        </w:numPr>
        <w:tabs>
          <w:tab w:val="clear" w:pos="1247"/>
          <w:tab w:val="clear" w:pos="1814"/>
          <w:tab w:val="clear" w:pos="2381"/>
          <w:tab w:val="clear" w:pos="2948"/>
          <w:tab w:val="clear" w:pos="3515"/>
        </w:tabs>
        <w:spacing w:after="120"/>
        <w:ind w:left="1247"/>
        <w:jc w:val="both"/>
        <w:rPr>
          <w:rFonts w:asciiTheme="majorBidi" w:hAnsiTheme="majorBidi" w:cstheme="majorBidi"/>
          <w:color w:val="000000"/>
        </w:rPr>
      </w:pPr>
      <w:r w:rsidRPr="003E73D6">
        <w:rPr>
          <w:b/>
          <w:bCs/>
          <w:u w:val="single"/>
        </w:rPr>
        <w:t>Assurer la participation du groupe de travail.</w:t>
      </w:r>
      <w:r w:rsidRPr="003E73D6">
        <w:rPr>
          <w:u w:val="single"/>
        </w:rPr>
        <w:t xml:space="preserve"> Le groupe de travail créé lors de la phase d</w:t>
      </w:r>
      <w:r w:rsidR="00493CFE" w:rsidRPr="003E73D6">
        <w:rPr>
          <w:u w:val="single"/>
        </w:rPr>
        <w:t>’</w:t>
      </w:r>
      <w:r w:rsidRPr="003E73D6">
        <w:rPr>
          <w:u w:val="single"/>
        </w:rPr>
        <w:t>élaboration du PAN pourrait être bien placé pour poursuivre son rôle et participer à la gestion et à la coordination de la procédure d</w:t>
      </w:r>
      <w:r w:rsidR="00493CFE" w:rsidRPr="003E73D6">
        <w:rPr>
          <w:u w:val="single"/>
        </w:rPr>
        <w:t>’</w:t>
      </w:r>
      <w:r w:rsidRPr="003E73D6">
        <w:rPr>
          <w:u w:val="single"/>
        </w:rPr>
        <w:t>examen</w:t>
      </w:r>
      <w:r w:rsidRPr="003E73D6">
        <w:t xml:space="preserve">. </w:t>
      </w:r>
    </w:p>
    <w:p w14:paraId="1AAF26E5" w14:textId="0568301F" w:rsidR="00E43635" w:rsidRPr="003E73D6" w:rsidRDefault="00E43635" w:rsidP="002E3F08">
      <w:pPr>
        <w:numPr>
          <w:ilvl w:val="0"/>
          <w:numId w:val="15"/>
        </w:numPr>
        <w:tabs>
          <w:tab w:val="clear" w:pos="1247"/>
          <w:tab w:val="clear" w:pos="1814"/>
          <w:tab w:val="clear" w:pos="2381"/>
          <w:tab w:val="clear" w:pos="2948"/>
          <w:tab w:val="clear" w:pos="3515"/>
        </w:tabs>
        <w:spacing w:after="120"/>
        <w:ind w:left="1247"/>
        <w:jc w:val="both"/>
        <w:rPr>
          <w:rFonts w:asciiTheme="majorBidi" w:hAnsiTheme="majorBidi" w:cstheme="majorBidi"/>
        </w:rPr>
      </w:pPr>
      <w:r w:rsidRPr="003E73D6">
        <w:rPr>
          <w:b/>
          <w:bCs/>
          <w:u w:val="single"/>
        </w:rPr>
        <w:t>Clarifier les attributions</w:t>
      </w:r>
      <w:r w:rsidR="00597F5B" w:rsidRPr="003E73D6">
        <w:rPr>
          <w:b/>
          <w:bCs/>
          <w:u w:val="single"/>
        </w:rPr>
        <w:t>.</w:t>
      </w:r>
      <w:r w:rsidRPr="003E73D6">
        <w:rPr>
          <w:u w:val="single"/>
        </w:rPr>
        <w:t xml:space="preserve"> Examiner les attributions des membres du groupe de travail et veiller à ce qu</w:t>
      </w:r>
      <w:r w:rsidR="00493CFE" w:rsidRPr="003E73D6">
        <w:rPr>
          <w:u w:val="single"/>
        </w:rPr>
        <w:t>’</w:t>
      </w:r>
      <w:r w:rsidRPr="003E73D6">
        <w:rPr>
          <w:u w:val="single"/>
        </w:rPr>
        <w:t>elles soient claires et compatibles avec la réalisation de l</w:t>
      </w:r>
      <w:r w:rsidR="00493CFE" w:rsidRPr="003E73D6">
        <w:rPr>
          <w:u w:val="single"/>
        </w:rPr>
        <w:t>’</w:t>
      </w:r>
      <w:r w:rsidRPr="003E73D6">
        <w:rPr>
          <w:u w:val="single"/>
        </w:rPr>
        <w:t>EMO. Si le mandat du groupe déjà existant n</w:t>
      </w:r>
      <w:r w:rsidR="00493CFE" w:rsidRPr="003E73D6">
        <w:rPr>
          <w:u w:val="single"/>
        </w:rPr>
        <w:t>’</w:t>
      </w:r>
      <w:r w:rsidRPr="003E73D6">
        <w:rPr>
          <w:u w:val="single"/>
        </w:rPr>
        <w:t>inclut pas des activités d</w:t>
      </w:r>
      <w:r w:rsidR="00493CFE" w:rsidRPr="003E73D6">
        <w:rPr>
          <w:u w:val="single"/>
        </w:rPr>
        <w:t>’</w:t>
      </w:r>
      <w:r w:rsidRPr="003E73D6">
        <w:rPr>
          <w:u w:val="single"/>
        </w:rPr>
        <w:t>examen, envisager de l</w:t>
      </w:r>
      <w:r w:rsidR="00493CFE" w:rsidRPr="003E73D6">
        <w:rPr>
          <w:u w:val="single"/>
        </w:rPr>
        <w:t>’</w:t>
      </w:r>
      <w:r w:rsidRPr="003E73D6">
        <w:rPr>
          <w:u w:val="single"/>
        </w:rPr>
        <w:t>élargir ou de le prolonger de sorte qu</w:t>
      </w:r>
      <w:r w:rsidR="00493CFE" w:rsidRPr="003E73D6">
        <w:rPr>
          <w:u w:val="single"/>
        </w:rPr>
        <w:t>’</w:t>
      </w:r>
      <w:r w:rsidRPr="003E73D6">
        <w:rPr>
          <w:u w:val="single"/>
        </w:rPr>
        <w:t>il englobe cette phase de la procédure</w:t>
      </w:r>
      <w:r w:rsidRPr="003E73D6">
        <w:t>.</w:t>
      </w:r>
    </w:p>
    <w:p w14:paraId="4C73EC38" w14:textId="6E11FB7F" w:rsidR="00E43635" w:rsidRPr="003E73D6" w:rsidRDefault="00E43635" w:rsidP="002E3F08">
      <w:pPr>
        <w:numPr>
          <w:ilvl w:val="0"/>
          <w:numId w:val="15"/>
        </w:numPr>
        <w:tabs>
          <w:tab w:val="clear" w:pos="1247"/>
          <w:tab w:val="clear" w:pos="1814"/>
          <w:tab w:val="clear" w:pos="2381"/>
          <w:tab w:val="clear" w:pos="2948"/>
          <w:tab w:val="clear" w:pos="3515"/>
        </w:tabs>
        <w:spacing w:after="120"/>
        <w:ind w:left="1247"/>
        <w:jc w:val="both"/>
        <w:rPr>
          <w:rFonts w:asciiTheme="majorBidi" w:hAnsiTheme="majorBidi" w:cstheme="majorBidi"/>
          <w:color w:val="000000"/>
        </w:rPr>
      </w:pPr>
      <w:r w:rsidRPr="003E73D6">
        <w:rPr>
          <w:b/>
          <w:bCs/>
          <w:u w:val="single"/>
        </w:rPr>
        <w:t>Assurer la participation des peuples autochtones, des communautés locales</w:t>
      </w:r>
      <w:r w:rsidRPr="003E73D6">
        <w:rPr>
          <w:rStyle w:val="FootnoteReference"/>
          <w:rFonts w:asciiTheme="majorBidi" w:hAnsiTheme="majorBidi" w:cstheme="majorBidi"/>
          <w:b/>
          <w:bCs/>
          <w:u w:val="single"/>
        </w:rPr>
        <w:footnoteReference w:id="8"/>
      </w:r>
      <w:r w:rsidRPr="003E73D6">
        <w:rPr>
          <w:b/>
          <w:bCs/>
          <w:u w:val="single"/>
        </w:rPr>
        <w:t xml:space="preserve"> et d</w:t>
      </w:r>
      <w:r w:rsidR="00493CFE" w:rsidRPr="003E73D6">
        <w:rPr>
          <w:b/>
          <w:bCs/>
          <w:u w:val="single"/>
        </w:rPr>
        <w:t>’</w:t>
      </w:r>
      <w:r w:rsidRPr="003E73D6">
        <w:rPr>
          <w:b/>
          <w:bCs/>
          <w:u w:val="single"/>
        </w:rPr>
        <w:t>autres parties prenantes</w:t>
      </w:r>
      <w:r w:rsidRPr="003E73D6">
        <w:rPr>
          <w:u w:val="single"/>
        </w:rPr>
        <w:t>. Si de nombreux peuples autochtones et communautés locales dépendent de l</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 comme source de revenus, nombre d</w:t>
      </w:r>
      <w:r w:rsidR="00493CFE" w:rsidRPr="003E73D6">
        <w:rPr>
          <w:u w:val="single"/>
        </w:rPr>
        <w:t>’</w:t>
      </w:r>
      <w:r w:rsidRPr="003E73D6">
        <w:rPr>
          <w:u w:val="single"/>
        </w:rPr>
        <w:t>entre eux subissent également de façon disproportionnée les effets négatifs de ces activités, en particulier lorsque du mercure est utilisé. L</w:t>
      </w:r>
      <w:r w:rsidR="00493CFE" w:rsidRPr="003E73D6">
        <w:rPr>
          <w:u w:val="single"/>
        </w:rPr>
        <w:t>’</w:t>
      </w:r>
      <w:r w:rsidRPr="003E73D6">
        <w:rPr>
          <w:u w:val="single"/>
        </w:rPr>
        <w:t>association et la participation effectives de ces groupes sont essentielles à toutes les étapes du PAN, depuis son élaboration jusqu</w:t>
      </w:r>
      <w:r w:rsidR="00493CFE" w:rsidRPr="003E73D6">
        <w:rPr>
          <w:u w:val="single"/>
        </w:rPr>
        <w:t>’</w:t>
      </w:r>
      <w:r w:rsidRPr="003E73D6">
        <w:rPr>
          <w:u w:val="single"/>
        </w:rPr>
        <w:t>à sa mise en œuvre et son examen, en particulier lorsque l</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 touche les terres ou les territoires des peuples autochtones. Dans sa décision MC-4/4, la Conférence des Parties a invité les Parties à faire participer les peuples autochtones, les communautés locales et les autres parties prenantes à l</w:t>
      </w:r>
      <w:r w:rsidR="00493CFE" w:rsidRPr="003E73D6">
        <w:rPr>
          <w:u w:val="single"/>
        </w:rPr>
        <w:t>’</w:t>
      </w:r>
      <w:r w:rsidRPr="003E73D6">
        <w:rPr>
          <w:u w:val="single"/>
        </w:rPr>
        <w:t>élaboration et à la mise en œuvre des PAN. La décision</w:t>
      </w:r>
      <w:r w:rsidR="00325106" w:rsidRPr="003E73D6">
        <w:rPr>
          <w:u w:val="single"/>
        </w:rPr>
        <w:t> </w:t>
      </w:r>
      <w:r w:rsidRPr="003E73D6">
        <w:rPr>
          <w:u w:val="single"/>
        </w:rPr>
        <w:t>MC-5/7 contient d</w:t>
      </w:r>
      <w:r w:rsidR="00493CFE" w:rsidRPr="003E73D6">
        <w:rPr>
          <w:u w:val="single"/>
        </w:rPr>
        <w:t>’</w:t>
      </w:r>
      <w:r w:rsidRPr="003E73D6">
        <w:rPr>
          <w:u w:val="single"/>
        </w:rPr>
        <w:t xml:space="preserve">autres dispositions </w:t>
      </w:r>
      <w:r w:rsidR="00983F87" w:rsidRPr="003E73D6">
        <w:rPr>
          <w:u w:val="single"/>
        </w:rPr>
        <w:t>à ce sujet</w:t>
      </w:r>
      <w:r w:rsidRPr="003E73D6">
        <w:rPr>
          <w:u w:val="single"/>
        </w:rPr>
        <w:t>. On trouvera des informations sur les meilleures pratiques en matière d</w:t>
      </w:r>
      <w:r w:rsidR="00493CFE" w:rsidRPr="003E73D6">
        <w:rPr>
          <w:u w:val="single"/>
        </w:rPr>
        <w:t>’</w:t>
      </w:r>
      <w:r w:rsidRPr="003E73D6">
        <w:rPr>
          <w:u w:val="single"/>
        </w:rPr>
        <w:t>association et de participation des peuples autochtones et des communautés locales à l</w:t>
      </w:r>
      <w:r w:rsidR="00493CFE" w:rsidRPr="003E73D6">
        <w:rPr>
          <w:u w:val="single"/>
        </w:rPr>
        <w:t>’</w:t>
      </w:r>
      <w:r w:rsidRPr="003E73D6">
        <w:rPr>
          <w:u w:val="single"/>
        </w:rPr>
        <w:t>élaboration, à la mise en œuvre et à l</w:t>
      </w:r>
      <w:r w:rsidR="00493CFE" w:rsidRPr="003E73D6">
        <w:rPr>
          <w:u w:val="single"/>
        </w:rPr>
        <w:t>’</w:t>
      </w:r>
      <w:r w:rsidRPr="003E73D6">
        <w:rPr>
          <w:u w:val="single"/>
        </w:rPr>
        <w:t>examen des PAN dans le guide provisoire élaboré par le secrétariat (UNEP/MC/COP6/INF/11)</w:t>
      </w:r>
      <w:r w:rsidRPr="003E73D6">
        <w:t>.</w:t>
      </w:r>
    </w:p>
    <w:p w14:paraId="163A06B3" w14:textId="740AF5E0" w:rsidR="00E43635" w:rsidRPr="003E73D6" w:rsidRDefault="00614862" w:rsidP="002E3F08">
      <w:pPr>
        <w:numPr>
          <w:ilvl w:val="0"/>
          <w:numId w:val="15"/>
        </w:numPr>
        <w:tabs>
          <w:tab w:val="clear" w:pos="1247"/>
          <w:tab w:val="clear" w:pos="1814"/>
          <w:tab w:val="clear" w:pos="2381"/>
          <w:tab w:val="clear" w:pos="2948"/>
          <w:tab w:val="clear" w:pos="3515"/>
        </w:tabs>
        <w:spacing w:after="120"/>
        <w:ind w:left="1247"/>
        <w:jc w:val="both"/>
        <w:rPr>
          <w:rFonts w:asciiTheme="majorBidi" w:hAnsiTheme="majorBidi" w:cstheme="majorBidi"/>
          <w:color w:val="000000" w:themeColor="text1"/>
        </w:rPr>
      </w:pPr>
      <w:r w:rsidRPr="003E73D6">
        <w:rPr>
          <w:b/>
          <w:bCs/>
          <w:u w:val="single"/>
        </w:rPr>
        <w:t>Prévoir un dialogue continu avec les parties prenantes</w:t>
      </w:r>
      <w:r w:rsidRPr="003E73D6">
        <w:rPr>
          <w:u w:val="single"/>
        </w:rPr>
        <w:t>. Établir un dialogue continu avec toutes les parties prenantes, y</w:t>
      </w:r>
      <w:r w:rsidR="00795167" w:rsidRPr="003E73D6">
        <w:rPr>
          <w:u w:val="single"/>
        </w:rPr>
        <w:t> </w:t>
      </w:r>
      <w:r w:rsidRPr="003E73D6">
        <w:rPr>
          <w:u w:val="single"/>
        </w:rPr>
        <w:t>compris les mineur(se)s, les communautés touchées par la pollution provenant des activités d</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 les spécialistes de la santé, les groupes de femmes, les groupes de jeunes et les organisations environnementales, afin de recueillir des informations sur la mise en œuvre et l</w:t>
      </w:r>
      <w:r w:rsidR="00493CFE" w:rsidRPr="003E73D6">
        <w:rPr>
          <w:u w:val="single"/>
        </w:rPr>
        <w:t>’</w:t>
      </w:r>
      <w:r w:rsidRPr="003E73D6">
        <w:rPr>
          <w:u w:val="single"/>
        </w:rPr>
        <w:t>impact du PAN. On trouvera dans la section</w:t>
      </w:r>
      <w:r w:rsidR="00D61EC6" w:rsidRPr="003E73D6">
        <w:rPr>
          <w:u w:val="single"/>
        </w:rPr>
        <w:t> </w:t>
      </w:r>
      <w:r w:rsidRPr="003E73D6">
        <w:rPr>
          <w:u w:val="single"/>
        </w:rPr>
        <w:t>5.7 plus d</w:t>
      </w:r>
      <w:r w:rsidR="00493CFE" w:rsidRPr="003E73D6">
        <w:rPr>
          <w:u w:val="single"/>
        </w:rPr>
        <w:t>’</w:t>
      </w:r>
      <w:r w:rsidRPr="003E73D6">
        <w:rPr>
          <w:u w:val="single"/>
        </w:rPr>
        <w:t>informations sur la participation des parties prenantes à l</w:t>
      </w:r>
      <w:r w:rsidR="00493CFE" w:rsidRPr="003E73D6">
        <w:rPr>
          <w:u w:val="single"/>
        </w:rPr>
        <w:t>’</w:t>
      </w:r>
      <w:r w:rsidRPr="003E73D6">
        <w:rPr>
          <w:u w:val="single"/>
        </w:rPr>
        <w:t>élaboration et à la mise en œuvre des PAN</w:t>
      </w:r>
      <w:r w:rsidRPr="003E73D6">
        <w:t>.</w:t>
      </w:r>
    </w:p>
    <w:p w14:paraId="4B1FB926" w14:textId="0A931986" w:rsidR="00E43635" w:rsidRPr="003E73D6" w:rsidRDefault="00086779" w:rsidP="00800ED0">
      <w:pPr>
        <w:pStyle w:val="ListParagraph"/>
        <w:widowControl w:val="0"/>
        <w:tabs>
          <w:tab w:val="clear" w:pos="1247"/>
          <w:tab w:val="clear" w:pos="1814"/>
          <w:tab w:val="clear" w:pos="2381"/>
          <w:tab w:val="clear" w:pos="2948"/>
          <w:tab w:val="clear" w:pos="3515"/>
        </w:tabs>
        <w:spacing w:after="120"/>
        <w:ind w:left="1247"/>
        <w:contextualSpacing w:val="0"/>
        <w:rPr>
          <w:rFonts w:asciiTheme="majorBidi" w:hAnsiTheme="majorBidi" w:cstheme="majorBidi"/>
          <w:b/>
          <w:bCs/>
          <w:color w:val="000000" w:themeColor="text1"/>
          <w:u w:val="single"/>
        </w:rPr>
      </w:pPr>
      <w:r w:rsidRPr="003E73D6">
        <w:rPr>
          <w:b/>
          <w:bCs/>
          <w:u w:val="single"/>
        </w:rPr>
        <w:t>4.7.1</w:t>
      </w:r>
      <w:r w:rsidRPr="003E73D6">
        <w:rPr>
          <w:u w:val="single"/>
        </w:rPr>
        <w:tab/>
      </w:r>
      <w:r w:rsidRPr="003E73D6">
        <w:rPr>
          <w:b/>
          <w:bCs/>
          <w:u w:val="single"/>
        </w:rPr>
        <w:t>Recueillir de nouvelles données et les comparer avec les données de référence sur</w:t>
      </w:r>
      <w:r w:rsidR="00896EAC" w:rsidRPr="003E73D6">
        <w:rPr>
          <w:b/>
          <w:bCs/>
          <w:u w:val="single"/>
        </w:rPr>
        <w:t> </w:t>
      </w:r>
      <w:r w:rsidRPr="003E73D6">
        <w:rPr>
          <w:b/>
          <w:bCs/>
          <w:u w:val="single"/>
        </w:rPr>
        <w:t>l</w:t>
      </w:r>
      <w:r w:rsidR="00493CFE" w:rsidRPr="003E73D6">
        <w:rPr>
          <w:b/>
          <w:bCs/>
          <w:u w:val="single"/>
        </w:rPr>
        <w:t>’</w:t>
      </w:r>
      <w:r w:rsidRPr="003E73D6">
        <w:rPr>
          <w:b/>
          <w:bCs/>
          <w:u w:val="single"/>
        </w:rPr>
        <w:t>utilisation du mercure et les pratiques connexes</w:t>
      </w:r>
    </w:p>
    <w:p w14:paraId="1B0EC285" w14:textId="4A2B4708" w:rsidR="00E43635" w:rsidRPr="003E73D6" w:rsidRDefault="00E43635" w:rsidP="00800ED0">
      <w:pPr>
        <w:widowControl w:val="0"/>
        <w:numPr>
          <w:ilvl w:val="0"/>
          <w:numId w:val="16"/>
        </w:numPr>
        <w:tabs>
          <w:tab w:val="clear" w:pos="1247"/>
          <w:tab w:val="clear" w:pos="1814"/>
          <w:tab w:val="clear" w:pos="2381"/>
          <w:tab w:val="clear" w:pos="2948"/>
          <w:tab w:val="clear" w:pos="3515"/>
        </w:tabs>
        <w:spacing w:after="120"/>
        <w:ind w:left="1247"/>
        <w:jc w:val="both"/>
        <w:rPr>
          <w:rFonts w:asciiTheme="majorBidi" w:hAnsiTheme="majorBidi" w:cstheme="majorBidi"/>
          <w:color w:val="000000"/>
        </w:rPr>
      </w:pPr>
      <w:r w:rsidRPr="003E73D6">
        <w:rPr>
          <w:b/>
          <w:bCs/>
          <w:u w:val="single"/>
        </w:rPr>
        <w:t>Utiliser les données de référence</w:t>
      </w:r>
      <w:r w:rsidRPr="003E73D6">
        <w:rPr>
          <w:u w:val="single"/>
        </w:rPr>
        <w:t>. Les données de référence sur l</w:t>
      </w:r>
      <w:r w:rsidR="00493CFE" w:rsidRPr="003E73D6">
        <w:rPr>
          <w:u w:val="single"/>
        </w:rPr>
        <w:t>’</w:t>
      </w:r>
      <w:r w:rsidRPr="003E73D6">
        <w:rPr>
          <w:u w:val="single"/>
        </w:rPr>
        <w:t>utilisation du mercure et les pratiques dans le cadre de l</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 recueillies au cours de l</w:t>
      </w:r>
      <w:r w:rsidR="00493CFE" w:rsidRPr="003E73D6">
        <w:rPr>
          <w:u w:val="single"/>
        </w:rPr>
        <w:t>’</w:t>
      </w:r>
      <w:r w:rsidRPr="003E73D6">
        <w:rPr>
          <w:u w:val="single"/>
        </w:rPr>
        <w:t>élaboration du PAN conformément à l</w:t>
      </w:r>
      <w:r w:rsidR="00493CFE" w:rsidRPr="003E73D6">
        <w:rPr>
          <w:u w:val="single"/>
        </w:rPr>
        <w:t>’</w:t>
      </w:r>
      <w:r w:rsidRPr="003E73D6">
        <w:rPr>
          <w:u w:val="single"/>
        </w:rPr>
        <w:t>alinéa d) du paragraphe</w:t>
      </w:r>
      <w:r w:rsidR="00D61EC6" w:rsidRPr="003E73D6">
        <w:rPr>
          <w:u w:val="single"/>
        </w:rPr>
        <w:t> </w:t>
      </w:r>
      <w:r w:rsidRPr="003E73D6">
        <w:rPr>
          <w:u w:val="single"/>
        </w:rPr>
        <w:t>1 de l</w:t>
      </w:r>
      <w:r w:rsidR="00493CFE" w:rsidRPr="003E73D6">
        <w:rPr>
          <w:u w:val="single"/>
        </w:rPr>
        <w:t>’</w:t>
      </w:r>
      <w:r w:rsidRPr="003E73D6">
        <w:rPr>
          <w:u w:val="single"/>
        </w:rPr>
        <w:t>Annexe</w:t>
      </w:r>
      <w:r w:rsidR="00D61EC6" w:rsidRPr="003E73D6">
        <w:rPr>
          <w:u w:val="single"/>
        </w:rPr>
        <w:t> </w:t>
      </w:r>
      <w:r w:rsidRPr="003E73D6">
        <w:rPr>
          <w:u w:val="single"/>
        </w:rPr>
        <w:t>C de la Convention servent de point de repère pour mesurer les progrès accomplis tout au long de la procédure d</w:t>
      </w:r>
      <w:r w:rsidR="00493CFE" w:rsidRPr="003E73D6">
        <w:rPr>
          <w:u w:val="single"/>
        </w:rPr>
        <w:t>’</w:t>
      </w:r>
      <w:r w:rsidRPr="003E73D6">
        <w:rPr>
          <w:u w:val="single"/>
        </w:rPr>
        <w:t>EMO</w:t>
      </w:r>
      <w:r w:rsidRPr="003E73D6">
        <w:rPr>
          <w:rStyle w:val="FootnoteReference"/>
          <w:rFonts w:asciiTheme="majorBidi" w:hAnsiTheme="majorBidi" w:cstheme="majorBidi"/>
          <w:u w:val="single"/>
        </w:rPr>
        <w:footnoteReference w:id="9"/>
      </w:r>
      <w:r w:rsidRPr="003E73D6">
        <w:rPr>
          <w:u w:val="single"/>
        </w:rPr>
        <w:t xml:space="preserve">. Ces données doivent demeurer inchangées et servir de référence stable à laquelle les nouvelles données sont comparées. Les documents soumis relatifs aux PAN et les tableaux de bord des progrès accomplis au niveau national peuvent être consultés dans </w:t>
      </w:r>
      <w:hyperlink r:id="rId14" w:history="1">
        <w:r w:rsidRPr="003E73D6">
          <w:rPr>
            <w:rStyle w:val="Hyperlink"/>
            <w:u w:val="single"/>
          </w:rPr>
          <w:t>le répertoire des PAN de la Convention de Minamata</w:t>
        </w:r>
      </w:hyperlink>
      <w:r w:rsidRPr="003E73D6">
        <w:rPr>
          <w:u w:val="single"/>
        </w:rPr>
        <w:t xml:space="preserve"> et dans </w:t>
      </w:r>
      <w:hyperlink r:id="rId15" w:history="1">
        <w:r w:rsidRPr="003E73D6">
          <w:rPr>
            <w:rStyle w:val="Hyperlink"/>
            <w:u w:val="single"/>
          </w:rPr>
          <w:t>le tableau de bord dynamique des PAN du PNUE</w:t>
        </w:r>
      </w:hyperlink>
      <w:r w:rsidRPr="003E73D6">
        <w:rPr>
          <w:u w:val="single"/>
        </w:rPr>
        <w:t>. Des données de référence relatives à d</w:t>
      </w:r>
      <w:r w:rsidR="00493CFE" w:rsidRPr="003E73D6">
        <w:rPr>
          <w:u w:val="single"/>
        </w:rPr>
        <w:t>’</w:t>
      </w:r>
      <w:r w:rsidRPr="003E73D6">
        <w:rPr>
          <w:u w:val="single"/>
        </w:rPr>
        <w:t>autres éléments, tels que les impacts environnementaux et les informations sanitaires, socioéconomiques et juridiques, peuvent également être incluses dans le PAN et servir de référence pour l</w:t>
      </w:r>
      <w:r w:rsidR="00493CFE" w:rsidRPr="003E73D6">
        <w:rPr>
          <w:u w:val="single"/>
        </w:rPr>
        <w:t>’</w:t>
      </w:r>
      <w:r w:rsidRPr="003E73D6">
        <w:rPr>
          <w:u w:val="single"/>
        </w:rPr>
        <w:t>EMO</w:t>
      </w:r>
      <w:r w:rsidRPr="003E73D6">
        <w:t>.</w:t>
      </w:r>
      <w:hyperlink r:id="rId16"/>
      <w:hyperlink r:id="rId17"/>
    </w:p>
    <w:p w14:paraId="20492862" w14:textId="0F316FB9" w:rsidR="00E43635" w:rsidRPr="003E73D6" w:rsidRDefault="00E43635" w:rsidP="00800ED0">
      <w:pPr>
        <w:keepNext/>
        <w:keepLines/>
        <w:numPr>
          <w:ilvl w:val="0"/>
          <w:numId w:val="16"/>
        </w:numPr>
        <w:tabs>
          <w:tab w:val="clear" w:pos="1247"/>
          <w:tab w:val="clear" w:pos="1814"/>
          <w:tab w:val="clear" w:pos="2381"/>
          <w:tab w:val="clear" w:pos="2948"/>
          <w:tab w:val="clear" w:pos="3515"/>
        </w:tabs>
        <w:spacing w:after="120"/>
        <w:ind w:left="1242" w:hanging="357"/>
        <w:jc w:val="both"/>
        <w:rPr>
          <w:rFonts w:asciiTheme="majorBidi" w:hAnsiTheme="majorBidi" w:cstheme="majorBidi"/>
          <w:color w:val="000000"/>
          <w:u w:val="single"/>
        </w:rPr>
      </w:pPr>
      <w:r w:rsidRPr="003E73D6">
        <w:rPr>
          <w:b/>
          <w:bCs/>
          <w:u w:val="single"/>
        </w:rPr>
        <w:lastRenderedPageBreak/>
        <w:t>Recueillir de nouvelles données.</w:t>
      </w:r>
      <w:r w:rsidRPr="003E73D6">
        <w:rPr>
          <w:u w:val="single"/>
        </w:rPr>
        <w:t xml:space="preserve"> Recueillir de nouvelles données sur l</w:t>
      </w:r>
      <w:r w:rsidR="00493CFE" w:rsidRPr="003E73D6">
        <w:rPr>
          <w:u w:val="single"/>
        </w:rPr>
        <w:t>’</w:t>
      </w:r>
      <w:r w:rsidRPr="003E73D6">
        <w:rPr>
          <w:u w:val="single"/>
        </w:rPr>
        <w:t>utilisation du mercure et les pratiques connexes en suivant la méthode utilisée lors de l</w:t>
      </w:r>
      <w:r w:rsidR="00493CFE" w:rsidRPr="003E73D6">
        <w:rPr>
          <w:u w:val="single"/>
        </w:rPr>
        <w:t>’</w:t>
      </w:r>
      <w:r w:rsidRPr="003E73D6">
        <w:rPr>
          <w:u w:val="single"/>
        </w:rPr>
        <w:t>élaboration du PAN et, si possible, en s</w:t>
      </w:r>
      <w:r w:rsidR="00493CFE" w:rsidRPr="003E73D6">
        <w:rPr>
          <w:u w:val="single"/>
        </w:rPr>
        <w:t>’</w:t>
      </w:r>
      <w:r w:rsidRPr="003E73D6">
        <w:rPr>
          <w:u w:val="single"/>
        </w:rPr>
        <w:t>alignant sur le cycle d</w:t>
      </w:r>
      <w:r w:rsidR="00493CFE" w:rsidRPr="003E73D6">
        <w:rPr>
          <w:u w:val="single"/>
        </w:rPr>
        <w:t>’</w:t>
      </w:r>
      <w:r w:rsidRPr="003E73D6">
        <w:rPr>
          <w:u w:val="single"/>
        </w:rPr>
        <w:t>établissement des rapports nationaux de la Convention de</w:t>
      </w:r>
      <w:r w:rsidR="00191DED" w:rsidRPr="003E73D6">
        <w:rPr>
          <w:u w:val="single"/>
        </w:rPr>
        <w:t> </w:t>
      </w:r>
      <w:r w:rsidRPr="003E73D6">
        <w:rPr>
          <w:u w:val="single"/>
        </w:rPr>
        <w:t>Minamata.</w:t>
      </w:r>
      <w:r w:rsidRPr="003E73D6">
        <w:t xml:space="preserve"> </w:t>
      </w:r>
      <w:r w:rsidRPr="003E73D6">
        <w:rPr>
          <w:u w:val="single"/>
        </w:rPr>
        <w:t>Pour cette étape, il convient de se référer à la boîte à outils du PNUE et à son guide intitulé « </w:t>
      </w:r>
      <w:proofErr w:type="spellStart"/>
      <w:r w:rsidRPr="003E73D6">
        <w:rPr>
          <w:i/>
          <w:iCs/>
          <w:u w:val="single"/>
        </w:rPr>
        <w:t>Estimating</w:t>
      </w:r>
      <w:proofErr w:type="spellEnd"/>
      <w:r w:rsidRPr="003E73D6">
        <w:rPr>
          <w:i/>
          <w:iCs/>
          <w:u w:val="single"/>
        </w:rPr>
        <w:t xml:space="preserve"> Mercury Use and </w:t>
      </w:r>
      <w:proofErr w:type="spellStart"/>
      <w:r w:rsidRPr="003E73D6">
        <w:rPr>
          <w:i/>
          <w:iCs/>
          <w:u w:val="single"/>
        </w:rPr>
        <w:t>Documenting</w:t>
      </w:r>
      <w:proofErr w:type="spellEnd"/>
      <w:r w:rsidRPr="003E73D6">
        <w:rPr>
          <w:i/>
          <w:iCs/>
          <w:u w:val="single"/>
        </w:rPr>
        <w:t xml:space="preserve"> Practices in Artisanal and Small-</w:t>
      </w:r>
      <w:proofErr w:type="spellStart"/>
      <w:r w:rsidRPr="003E73D6">
        <w:rPr>
          <w:i/>
          <w:iCs/>
          <w:u w:val="single"/>
        </w:rPr>
        <w:t>Scale</w:t>
      </w:r>
      <w:proofErr w:type="spellEnd"/>
      <w:r w:rsidRPr="003E73D6">
        <w:rPr>
          <w:i/>
          <w:iCs/>
          <w:u w:val="single"/>
        </w:rPr>
        <w:t xml:space="preserve"> Gold Mining (ASGM)</w:t>
      </w:r>
      <w:r w:rsidRPr="003E73D6">
        <w:rPr>
          <w:u w:val="single"/>
        </w:rPr>
        <w:t> » (Estimation de l</w:t>
      </w:r>
      <w:r w:rsidR="00493CFE" w:rsidRPr="003E73D6">
        <w:rPr>
          <w:u w:val="single"/>
        </w:rPr>
        <w:t>’</w:t>
      </w:r>
      <w:r w:rsidRPr="003E73D6">
        <w:rPr>
          <w:u w:val="single"/>
        </w:rPr>
        <w:t>utilisation du mercure et documentation des pratiques dans l</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 ainsi qu</w:t>
      </w:r>
      <w:r w:rsidR="00493CFE" w:rsidRPr="003E73D6">
        <w:rPr>
          <w:u w:val="single"/>
        </w:rPr>
        <w:t>’</w:t>
      </w:r>
      <w:r w:rsidRPr="003E73D6">
        <w:rPr>
          <w:u w:val="single"/>
        </w:rPr>
        <w:t>à d</w:t>
      </w:r>
      <w:r w:rsidR="00493CFE" w:rsidRPr="003E73D6">
        <w:rPr>
          <w:u w:val="single"/>
        </w:rPr>
        <w:t>’</w:t>
      </w:r>
      <w:r w:rsidRPr="003E73D6">
        <w:rPr>
          <w:u w:val="single"/>
        </w:rPr>
        <w:t>autres outils et méthodes relatifs aux PAN</w:t>
      </w:r>
      <w:r w:rsidRPr="003E73D6">
        <w:rPr>
          <w:rFonts w:asciiTheme="majorBidi" w:hAnsiTheme="majorBidi" w:cstheme="majorBidi"/>
          <w:u w:val="single"/>
          <w:vertAlign w:val="superscript"/>
        </w:rPr>
        <w:footnoteReference w:id="10"/>
      </w:r>
      <w:r w:rsidRPr="003E73D6">
        <w:rPr>
          <w:u w:val="single"/>
          <w:vertAlign w:val="superscript"/>
        </w:rPr>
        <w:t>,</w:t>
      </w:r>
      <w:r w:rsidRPr="003E73D6">
        <w:rPr>
          <w:rStyle w:val="FootnoteReference"/>
          <w:rFonts w:asciiTheme="majorBidi" w:hAnsiTheme="majorBidi" w:cstheme="majorBidi"/>
          <w:color w:val="000000" w:themeColor="text1"/>
          <w:u w:val="single"/>
        </w:rPr>
        <w:footnoteReference w:id="11"/>
      </w:r>
      <w:r w:rsidRPr="003E73D6">
        <w:rPr>
          <w:u w:val="single"/>
        </w:rPr>
        <w:t>. Cette étape est également l</w:t>
      </w:r>
      <w:r w:rsidR="00493CFE" w:rsidRPr="003E73D6">
        <w:rPr>
          <w:u w:val="single"/>
        </w:rPr>
        <w:t>’</w:t>
      </w:r>
      <w:r w:rsidRPr="003E73D6">
        <w:rPr>
          <w:u w:val="single"/>
        </w:rPr>
        <w:t>occasion de recueillir de nouvelles données sur les impacts environnementaux et des informations sanitaires, socioéconomiques et juridiques</w:t>
      </w:r>
      <w:r w:rsidRPr="003E73D6">
        <w:t>.</w:t>
      </w:r>
    </w:p>
    <w:p w14:paraId="319EF6B1" w14:textId="4E096BEE" w:rsidR="00E43635" w:rsidRPr="003E73D6" w:rsidRDefault="00E43635" w:rsidP="002E3F08">
      <w:pPr>
        <w:numPr>
          <w:ilvl w:val="0"/>
          <w:numId w:val="16"/>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3E73D6">
        <w:rPr>
          <w:b/>
          <w:bCs/>
          <w:u w:val="single"/>
        </w:rPr>
        <w:t>Comparer les progrès accomplis au regard des données de référence</w:t>
      </w:r>
      <w:r w:rsidRPr="003E73D6">
        <w:rPr>
          <w:u w:val="single"/>
        </w:rPr>
        <w:t>. Comparer les données actualisées sur l</w:t>
      </w:r>
      <w:r w:rsidR="00493CFE" w:rsidRPr="003E73D6">
        <w:rPr>
          <w:u w:val="single"/>
        </w:rPr>
        <w:t>’</w:t>
      </w:r>
      <w:r w:rsidRPr="003E73D6">
        <w:rPr>
          <w:u w:val="single"/>
        </w:rPr>
        <w:t>utilisation du mercure et les pratiques connexes avec les données de référence et analyser les changements. Comparer les nouvelles données sur les impacts environnementaux et les informations sanitaires, socioéconomiques et juridiques avec les données de référence et analyser les tendances observées</w:t>
      </w:r>
      <w:r w:rsidRPr="003E73D6">
        <w:t xml:space="preserve">. </w:t>
      </w:r>
    </w:p>
    <w:p w14:paraId="3A6ABBE5" w14:textId="7845DF79" w:rsidR="00E43635" w:rsidRPr="003E73D6" w:rsidRDefault="00086779" w:rsidP="00086779">
      <w:pPr>
        <w:pStyle w:val="ListParagraph"/>
        <w:tabs>
          <w:tab w:val="clear" w:pos="1247"/>
          <w:tab w:val="clear" w:pos="1814"/>
          <w:tab w:val="clear" w:pos="2381"/>
          <w:tab w:val="clear" w:pos="2948"/>
          <w:tab w:val="clear" w:pos="3515"/>
        </w:tabs>
        <w:spacing w:after="120"/>
        <w:ind w:left="1247"/>
        <w:contextualSpacing w:val="0"/>
        <w:rPr>
          <w:rFonts w:asciiTheme="majorBidi" w:hAnsiTheme="majorBidi" w:cstheme="majorBidi"/>
          <w:b/>
          <w:bCs/>
          <w:color w:val="000000" w:themeColor="text1"/>
          <w:u w:val="single"/>
        </w:rPr>
      </w:pPr>
      <w:bookmarkStart w:id="13" w:name="_Toc197686033"/>
      <w:r w:rsidRPr="003E73D6">
        <w:rPr>
          <w:b/>
          <w:bCs/>
          <w:u w:val="single"/>
        </w:rPr>
        <w:t>4.7.1</w:t>
      </w:r>
      <w:r w:rsidRPr="003E73D6">
        <w:rPr>
          <w:u w:val="single"/>
        </w:rPr>
        <w:tab/>
      </w:r>
      <w:r w:rsidRPr="003E73D6">
        <w:rPr>
          <w:b/>
          <w:bCs/>
          <w:u w:val="single"/>
        </w:rPr>
        <w:t>Suiv</w:t>
      </w:r>
      <w:r w:rsidR="00A00CDC" w:rsidRPr="003E73D6">
        <w:rPr>
          <w:b/>
          <w:bCs/>
          <w:u w:val="single"/>
        </w:rPr>
        <w:t>re</w:t>
      </w:r>
      <w:r w:rsidRPr="003E73D6">
        <w:rPr>
          <w:b/>
          <w:bCs/>
          <w:u w:val="single"/>
        </w:rPr>
        <w:t xml:space="preserve"> et évalu</w:t>
      </w:r>
      <w:r w:rsidR="00A00CDC" w:rsidRPr="003E73D6">
        <w:rPr>
          <w:b/>
          <w:bCs/>
          <w:u w:val="single"/>
        </w:rPr>
        <w:t>er</w:t>
      </w:r>
      <w:r w:rsidRPr="003E73D6">
        <w:rPr>
          <w:b/>
          <w:bCs/>
          <w:u w:val="single"/>
        </w:rPr>
        <w:t xml:space="preserve"> </w:t>
      </w:r>
      <w:r w:rsidR="00A00CDC" w:rsidRPr="003E73D6">
        <w:rPr>
          <w:b/>
          <w:bCs/>
          <w:u w:val="single"/>
        </w:rPr>
        <w:t>l</w:t>
      </w:r>
      <w:r w:rsidRPr="003E73D6">
        <w:rPr>
          <w:b/>
          <w:bCs/>
          <w:u w:val="single"/>
        </w:rPr>
        <w:t>es progrès</w:t>
      </w:r>
      <w:r w:rsidRPr="003E73D6">
        <w:t xml:space="preserve"> </w:t>
      </w:r>
      <w:bookmarkEnd w:id="13"/>
    </w:p>
    <w:p w14:paraId="2BB700A2" w14:textId="3CB75E07" w:rsidR="00E43635" w:rsidRPr="003E73D6" w:rsidRDefault="00E43635" w:rsidP="002E3F08">
      <w:pPr>
        <w:numPr>
          <w:ilvl w:val="0"/>
          <w:numId w:val="17"/>
        </w:numPr>
        <w:tabs>
          <w:tab w:val="clear" w:pos="1247"/>
          <w:tab w:val="clear" w:pos="1814"/>
          <w:tab w:val="clear" w:pos="2381"/>
          <w:tab w:val="clear" w:pos="2948"/>
          <w:tab w:val="clear" w:pos="3515"/>
        </w:tabs>
        <w:spacing w:after="120"/>
        <w:ind w:left="1253"/>
        <w:jc w:val="both"/>
        <w:rPr>
          <w:rFonts w:asciiTheme="majorBidi" w:hAnsiTheme="majorBidi" w:cstheme="majorBidi"/>
        </w:rPr>
      </w:pPr>
      <w:r w:rsidRPr="003E73D6">
        <w:rPr>
          <w:b/>
          <w:bCs/>
          <w:u w:val="single"/>
        </w:rPr>
        <w:t>Suivre les progrès accomplis par rapport aux objectifs, aux cibles de réduction et aux stratégies du PAN.</w:t>
      </w:r>
      <w:r w:rsidRPr="003E73D6">
        <w:rPr>
          <w:u w:val="single"/>
        </w:rPr>
        <w:t xml:space="preserve"> Évaluer régulièrement la mise en œuvre à l</w:t>
      </w:r>
      <w:r w:rsidR="00493CFE" w:rsidRPr="003E73D6">
        <w:rPr>
          <w:u w:val="single"/>
        </w:rPr>
        <w:t>’</w:t>
      </w:r>
      <w:r w:rsidRPr="003E73D6">
        <w:rPr>
          <w:u w:val="single"/>
        </w:rPr>
        <w:t>aide des indicateurs définis dans le PAN. Recenser les réussites, résoudre les difficultés et adapter les stratégies. Déterminer les raisons tant des réussites que des difficultés rencontrées dans la réalisation des objectifs et des cibles de réduction et inclure toute information pertinente dans le rapport</w:t>
      </w:r>
      <w:r w:rsidRPr="003E73D6">
        <w:t>.</w:t>
      </w:r>
    </w:p>
    <w:p w14:paraId="26A0026C" w14:textId="4B32DF9C" w:rsidR="00E43635" w:rsidRPr="003E73D6" w:rsidRDefault="00E43635" w:rsidP="002E3F08">
      <w:pPr>
        <w:pStyle w:val="ListParagraph"/>
        <w:numPr>
          <w:ilvl w:val="0"/>
          <w:numId w:val="17"/>
        </w:numPr>
        <w:tabs>
          <w:tab w:val="clear" w:pos="1247"/>
          <w:tab w:val="clear" w:pos="1814"/>
          <w:tab w:val="clear" w:pos="2381"/>
          <w:tab w:val="clear" w:pos="2948"/>
          <w:tab w:val="clear" w:pos="3515"/>
        </w:tabs>
        <w:spacing w:after="120"/>
        <w:ind w:left="1253"/>
        <w:contextualSpacing w:val="0"/>
        <w:jc w:val="both"/>
        <w:rPr>
          <w:rFonts w:asciiTheme="majorBidi" w:hAnsiTheme="majorBidi" w:cstheme="majorBidi"/>
          <w:color w:val="000000" w:themeColor="text1"/>
        </w:rPr>
      </w:pPr>
      <w:r w:rsidRPr="003E73D6">
        <w:rPr>
          <w:b/>
          <w:bCs/>
          <w:u w:val="single"/>
        </w:rPr>
        <w:t>Évaluer les progrès accomplis au titre de chaque objectif du PAN et de ses activités connexes.</w:t>
      </w:r>
      <w:r w:rsidRPr="003E73D6">
        <w:t xml:space="preserve"> </w:t>
      </w:r>
      <w:r w:rsidRPr="003E73D6">
        <w:rPr>
          <w:u w:val="single"/>
        </w:rPr>
        <w:t>Évaluer les progrès accomplis au titre de chacun des éléments du PAN requis par l</w:t>
      </w:r>
      <w:r w:rsidR="00493CFE" w:rsidRPr="003E73D6">
        <w:rPr>
          <w:u w:val="single"/>
        </w:rPr>
        <w:t>’</w:t>
      </w:r>
      <w:r w:rsidRPr="003E73D6">
        <w:rPr>
          <w:u w:val="single"/>
        </w:rPr>
        <w:t>Annexe</w:t>
      </w:r>
      <w:r w:rsidR="004C51C1" w:rsidRPr="003E73D6">
        <w:rPr>
          <w:u w:val="single"/>
        </w:rPr>
        <w:t> </w:t>
      </w:r>
      <w:r w:rsidRPr="003E73D6">
        <w:rPr>
          <w:u w:val="single"/>
        </w:rPr>
        <w:t>C de la Convention, y</w:t>
      </w:r>
      <w:r w:rsidR="00795167" w:rsidRPr="003E73D6">
        <w:rPr>
          <w:u w:val="single"/>
        </w:rPr>
        <w:t> </w:t>
      </w:r>
      <w:r w:rsidRPr="003E73D6">
        <w:rPr>
          <w:u w:val="single"/>
        </w:rPr>
        <w:t>compris l</w:t>
      </w:r>
      <w:r w:rsidR="00493CFE" w:rsidRPr="003E73D6">
        <w:rPr>
          <w:u w:val="single"/>
        </w:rPr>
        <w:t>’</w:t>
      </w:r>
      <w:r w:rsidRPr="003E73D6">
        <w:rPr>
          <w:u w:val="single"/>
        </w:rPr>
        <w:t>élimination des pires pratiques</w:t>
      </w:r>
      <w:r w:rsidR="00493CFE" w:rsidRPr="003E73D6">
        <w:rPr>
          <w:u w:val="single"/>
        </w:rPr>
        <w:t> ;</w:t>
      </w:r>
      <w:r w:rsidRPr="003E73D6">
        <w:rPr>
          <w:u w:val="single"/>
        </w:rPr>
        <w:t xml:space="preserve"> l</w:t>
      </w:r>
      <w:r w:rsidR="00493CFE" w:rsidRPr="003E73D6">
        <w:rPr>
          <w:u w:val="single"/>
        </w:rPr>
        <w:t>’</w:t>
      </w:r>
      <w:r w:rsidRPr="003E73D6">
        <w:rPr>
          <w:u w:val="single"/>
        </w:rPr>
        <w:t>adoption de méthodes sans mercure et d</w:t>
      </w:r>
      <w:r w:rsidR="00493CFE" w:rsidRPr="003E73D6">
        <w:rPr>
          <w:u w:val="single"/>
        </w:rPr>
        <w:t>’</w:t>
      </w:r>
      <w:r w:rsidRPr="003E73D6">
        <w:rPr>
          <w:u w:val="single"/>
        </w:rPr>
        <w:t>autres mesures de réduction de l</w:t>
      </w:r>
      <w:r w:rsidR="00493CFE" w:rsidRPr="003E73D6">
        <w:rPr>
          <w:u w:val="single"/>
        </w:rPr>
        <w:t>’</w:t>
      </w:r>
      <w:r w:rsidRPr="003E73D6">
        <w:rPr>
          <w:u w:val="single"/>
        </w:rPr>
        <w:t>utilisation du mercure</w:t>
      </w:r>
      <w:r w:rsidR="00493CFE" w:rsidRPr="003E73D6">
        <w:rPr>
          <w:u w:val="single"/>
        </w:rPr>
        <w:t> ;</w:t>
      </w:r>
      <w:r w:rsidRPr="003E73D6">
        <w:rPr>
          <w:u w:val="single"/>
        </w:rPr>
        <w:t xml:space="preserve"> les émissions et les rejets provenant du secteur</w:t>
      </w:r>
      <w:r w:rsidR="00493CFE" w:rsidRPr="003E73D6">
        <w:rPr>
          <w:u w:val="single"/>
        </w:rPr>
        <w:t> ;</w:t>
      </w:r>
      <w:r w:rsidRPr="003E73D6">
        <w:rPr>
          <w:u w:val="single"/>
        </w:rPr>
        <w:t xml:space="preserve"> les mesures juridiques et de politique générale pour réglementer ou formaliser le secteur</w:t>
      </w:r>
      <w:r w:rsidR="00493CFE" w:rsidRPr="003E73D6">
        <w:rPr>
          <w:u w:val="single"/>
        </w:rPr>
        <w:t> ;</w:t>
      </w:r>
      <w:r w:rsidRPr="003E73D6">
        <w:rPr>
          <w:u w:val="single"/>
        </w:rPr>
        <w:t xml:space="preserve"> le commerce et la prévention du détournement du mercure en vue de son utilisation dans l</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w:t>
      </w:r>
      <w:r w:rsidR="00493CFE" w:rsidRPr="003E73D6">
        <w:rPr>
          <w:u w:val="single"/>
        </w:rPr>
        <w:t> ;</w:t>
      </w:r>
      <w:r w:rsidRPr="003E73D6">
        <w:rPr>
          <w:u w:val="single"/>
        </w:rPr>
        <w:t xml:space="preserve"> la participation des peuples autochtones, des communautés locales, des mineur(se)s, des femmes, des jeunes, du milieu universitaire et d</w:t>
      </w:r>
      <w:r w:rsidR="00493CFE" w:rsidRPr="003E73D6">
        <w:rPr>
          <w:u w:val="single"/>
        </w:rPr>
        <w:t>’</w:t>
      </w:r>
      <w:r w:rsidRPr="003E73D6">
        <w:rPr>
          <w:u w:val="single"/>
        </w:rPr>
        <w:t>autres parties prenantes</w:t>
      </w:r>
      <w:r w:rsidR="00493CFE" w:rsidRPr="003E73D6">
        <w:rPr>
          <w:u w:val="single"/>
        </w:rPr>
        <w:t> ;</w:t>
      </w:r>
      <w:r w:rsidRPr="003E73D6">
        <w:rPr>
          <w:u w:val="single"/>
        </w:rPr>
        <w:t xml:space="preserve"> la prévention de l</w:t>
      </w:r>
      <w:r w:rsidR="00493CFE" w:rsidRPr="003E73D6">
        <w:rPr>
          <w:u w:val="single"/>
        </w:rPr>
        <w:t>’</w:t>
      </w:r>
      <w:r w:rsidRPr="003E73D6">
        <w:rPr>
          <w:u w:val="single"/>
        </w:rPr>
        <w:t>exposition des populations vulnérables au mercure</w:t>
      </w:r>
      <w:r w:rsidR="00493CFE" w:rsidRPr="003E73D6">
        <w:rPr>
          <w:u w:val="single"/>
        </w:rPr>
        <w:t> ;</w:t>
      </w:r>
      <w:r w:rsidRPr="003E73D6">
        <w:rPr>
          <w:u w:val="single"/>
        </w:rPr>
        <w:t xml:space="preserve"> la communication d</w:t>
      </w:r>
      <w:r w:rsidR="00493CFE" w:rsidRPr="003E73D6">
        <w:rPr>
          <w:u w:val="single"/>
        </w:rPr>
        <w:t>’</w:t>
      </w:r>
      <w:r w:rsidRPr="003E73D6">
        <w:rPr>
          <w:u w:val="single"/>
        </w:rPr>
        <w:t>informations aux mineur(se)s</w:t>
      </w:r>
      <w:r w:rsidRPr="003E73D6">
        <w:t>.</w:t>
      </w:r>
    </w:p>
    <w:p w14:paraId="6389AC38" w14:textId="68D9CB73" w:rsidR="0035733E" w:rsidRPr="003E73D6" w:rsidRDefault="00E43635" w:rsidP="002E3F08">
      <w:pPr>
        <w:numPr>
          <w:ilvl w:val="0"/>
          <w:numId w:val="17"/>
        </w:numPr>
        <w:tabs>
          <w:tab w:val="clear" w:pos="1247"/>
          <w:tab w:val="clear" w:pos="1814"/>
          <w:tab w:val="clear" w:pos="2381"/>
          <w:tab w:val="clear" w:pos="2948"/>
          <w:tab w:val="clear" w:pos="3515"/>
        </w:tabs>
        <w:spacing w:after="120"/>
        <w:ind w:left="1247"/>
        <w:jc w:val="both"/>
        <w:rPr>
          <w:rFonts w:asciiTheme="majorBidi" w:hAnsiTheme="majorBidi" w:cstheme="majorBidi"/>
          <w:color w:val="000000"/>
          <w:u w:val="single"/>
        </w:rPr>
      </w:pPr>
      <w:r w:rsidRPr="003E73D6">
        <w:rPr>
          <w:b/>
          <w:bCs/>
          <w:u w:val="single"/>
        </w:rPr>
        <w:t>Appliquer des approches d</w:t>
      </w:r>
      <w:r w:rsidR="00493CFE" w:rsidRPr="003E73D6">
        <w:rPr>
          <w:b/>
          <w:bCs/>
          <w:u w:val="single"/>
        </w:rPr>
        <w:t>’</w:t>
      </w:r>
      <w:r w:rsidRPr="003E73D6">
        <w:rPr>
          <w:b/>
          <w:bCs/>
          <w:u w:val="single"/>
        </w:rPr>
        <w:t>évaluation spécialisées, le cas échéant et dans la mesure du possible.</w:t>
      </w:r>
      <w:r w:rsidRPr="003E73D6">
        <w:t xml:space="preserve"> </w:t>
      </w:r>
      <w:r w:rsidRPr="003E73D6">
        <w:rPr>
          <w:u w:val="single"/>
        </w:rPr>
        <w:t>Si le PAN actuel ne contient pas de données ventilées ou d</w:t>
      </w:r>
      <w:r w:rsidR="00493CFE" w:rsidRPr="003E73D6">
        <w:rPr>
          <w:u w:val="single"/>
        </w:rPr>
        <w:t>’</w:t>
      </w:r>
      <w:r w:rsidRPr="003E73D6">
        <w:rPr>
          <w:u w:val="single"/>
        </w:rPr>
        <w:t>indicateurs tenant compte des populations en situation difficile, par exemple, les peuples autochtones, les communautés locales, les femmes et les enfants, il convient d</w:t>
      </w:r>
      <w:r w:rsidR="00493CFE" w:rsidRPr="003E73D6">
        <w:rPr>
          <w:u w:val="single"/>
        </w:rPr>
        <w:t>’</w:t>
      </w:r>
      <w:r w:rsidRPr="003E73D6">
        <w:rPr>
          <w:u w:val="single"/>
        </w:rPr>
        <w:t>envisager de remédier à cette lacune dans le cadre de l</w:t>
      </w:r>
      <w:r w:rsidR="00493CFE" w:rsidRPr="003E73D6">
        <w:rPr>
          <w:u w:val="single"/>
        </w:rPr>
        <w:t>’</w:t>
      </w:r>
      <w:r w:rsidRPr="003E73D6">
        <w:rPr>
          <w:u w:val="single"/>
        </w:rPr>
        <w:t>examen et des recommandations. Ces données et indicateurs peuvent aider à évaluer l</w:t>
      </w:r>
      <w:r w:rsidR="00493CFE" w:rsidRPr="003E73D6">
        <w:rPr>
          <w:u w:val="single"/>
        </w:rPr>
        <w:t>’</w:t>
      </w:r>
      <w:r w:rsidRPr="003E73D6">
        <w:rPr>
          <w:u w:val="single"/>
        </w:rPr>
        <w:t>impact des stratégies du PAN sur les groupes visés et les éventuelles disparités dans des domaines tels que l</w:t>
      </w:r>
      <w:r w:rsidR="00493CFE" w:rsidRPr="003E73D6">
        <w:rPr>
          <w:u w:val="single"/>
        </w:rPr>
        <w:t>’</w:t>
      </w:r>
      <w:r w:rsidRPr="003E73D6">
        <w:rPr>
          <w:u w:val="single"/>
        </w:rPr>
        <w:t>exposition au mercure et les avantages économiques</w:t>
      </w:r>
      <w:r w:rsidRPr="003E73D6">
        <w:t xml:space="preserve">. </w:t>
      </w:r>
    </w:p>
    <w:p w14:paraId="33A0C905" w14:textId="036DB0C4" w:rsidR="00E43635" w:rsidRPr="003E73D6" w:rsidRDefault="00086779" w:rsidP="00086779">
      <w:pPr>
        <w:pStyle w:val="ListParagraph"/>
        <w:tabs>
          <w:tab w:val="clear" w:pos="1247"/>
          <w:tab w:val="clear" w:pos="1814"/>
          <w:tab w:val="clear" w:pos="2381"/>
          <w:tab w:val="clear" w:pos="2948"/>
          <w:tab w:val="clear" w:pos="3515"/>
        </w:tabs>
        <w:spacing w:after="120"/>
        <w:ind w:left="1247"/>
        <w:contextualSpacing w:val="0"/>
        <w:rPr>
          <w:rFonts w:asciiTheme="majorBidi" w:hAnsiTheme="majorBidi" w:cstheme="majorBidi"/>
          <w:b/>
          <w:color w:val="000000" w:themeColor="text1"/>
          <w:u w:val="single"/>
        </w:rPr>
      </w:pPr>
      <w:r w:rsidRPr="003E73D6">
        <w:rPr>
          <w:b/>
          <w:bCs/>
          <w:u w:val="single"/>
        </w:rPr>
        <w:t>4.7.1</w:t>
      </w:r>
      <w:r w:rsidRPr="003E73D6">
        <w:rPr>
          <w:u w:val="single"/>
        </w:rPr>
        <w:tab/>
      </w:r>
      <w:r w:rsidRPr="003E73D6">
        <w:rPr>
          <w:b/>
          <w:bCs/>
          <w:u w:val="single"/>
        </w:rPr>
        <w:t>Évaluer les stratégies existantes, adapter le plan de travail et intégrer les informations reçues en vue d</w:t>
      </w:r>
      <w:r w:rsidR="00493CFE" w:rsidRPr="003E73D6">
        <w:rPr>
          <w:b/>
          <w:bCs/>
          <w:u w:val="single"/>
        </w:rPr>
        <w:t>’</w:t>
      </w:r>
      <w:r w:rsidRPr="003E73D6">
        <w:rPr>
          <w:b/>
          <w:bCs/>
          <w:u w:val="single"/>
        </w:rPr>
        <w:t>une amélioration continue</w:t>
      </w:r>
      <w:bookmarkStart w:id="14" w:name="_Toc197686035"/>
      <w:bookmarkEnd w:id="14"/>
    </w:p>
    <w:p w14:paraId="3A4C9524" w14:textId="0C127DE3" w:rsidR="00E43635" w:rsidRPr="003E73D6" w:rsidRDefault="00E43635" w:rsidP="00E43635">
      <w:pPr>
        <w:pStyle w:val="ListParagraph"/>
        <w:spacing w:after="120"/>
        <w:ind w:left="1247"/>
        <w:contextualSpacing w:val="0"/>
        <w:rPr>
          <w:rFonts w:asciiTheme="majorBidi" w:hAnsiTheme="majorBidi" w:cstheme="majorBidi"/>
          <w:b/>
          <w:bCs/>
          <w:color w:val="000000" w:themeColor="text1"/>
          <w:u w:val="single"/>
        </w:rPr>
      </w:pPr>
      <w:r w:rsidRPr="003E73D6">
        <w:rPr>
          <w:u w:val="single"/>
        </w:rPr>
        <w:t>En fonction des résultats de l</w:t>
      </w:r>
      <w:r w:rsidR="00493CFE" w:rsidRPr="003E73D6">
        <w:rPr>
          <w:u w:val="single"/>
        </w:rPr>
        <w:t>’</w:t>
      </w:r>
      <w:r w:rsidRPr="003E73D6">
        <w:rPr>
          <w:u w:val="single"/>
        </w:rPr>
        <w:t>examen, évaluer l</w:t>
      </w:r>
      <w:r w:rsidR="00493CFE" w:rsidRPr="003E73D6">
        <w:rPr>
          <w:u w:val="single"/>
        </w:rPr>
        <w:t>’</w:t>
      </w:r>
      <w:r w:rsidRPr="003E73D6">
        <w:rPr>
          <w:u w:val="single"/>
        </w:rPr>
        <w:t>efficacité des stratégies actuelles et les adapter au besoin</w:t>
      </w:r>
      <w:r w:rsidRPr="003E73D6">
        <w:t>.</w:t>
      </w:r>
    </w:p>
    <w:p w14:paraId="27025521" w14:textId="7E093C67" w:rsidR="00E43635" w:rsidRPr="003E73D6" w:rsidRDefault="003902EF" w:rsidP="002E3F08">
      <w:pPr>
        <w:numPr>
          <w:ilvl w:val="0"/>
          <w:numId w:val="18"/>
        </w:numPr>
        <w:tabs>
          <w:tab w:val="clear" w:pos="1247"/>
          <w:tab w:val="clear" w:pos="1814"/>
          <w:tab w:val="clear" w:pos="2381"/>
          <w:tab w:val="clear" w:pos="2948"/>
          <w:tab w:val="clear" w:pos="3515"/>
        </w:tabs>
        <w:spacing w:after="120"/>
        <w:ind w:left="1247"/>
        <w:jc w:val="both"/>
        <w:rPr>
          <w:rFonts w:asciiTheme="majorBidi" w:hAnsiTheme="majorBidi" w:cstheme="majorBidi"/>
          <w:color w:val="000000"/>
        </w:rPr>
      </w:pPr>
      <w:r w:rsidRPr="003E73D6">
        <w:rPr>
          <w:b/>
          <w:bCs/>
          <w:u w:val="single"/>
        </w:rPr>
        <w:t>Mettre à jour la stratégie et le plan de travail.</w:t>
      </w:r>
      <w:r w:rsidRPr="003E73D6">
        <w:rPr>
          <w:u w:val="single"/>
        </w:rPr>
        <w:t xml:space="preserve"> Mettre à jour la stratégie et le plan de travail, en soulignant les principaux résultats obtenus et indicateurs atteints et en remédiant aux lacunes ou aux difficultés constatées, afin de maintenir leur adaptabilité et leur efficacité pour atteindre les cibles de réduction du mercure et les autres objectifs du PAN. Lors de la mise à jour de leur PAN, les Parties pourraient envisager de renforcer leur(s) stratégie(s) pour chacun des éléments du PAN énumérés à l</w:t>
      </w:r>
      <w:r w:rsidR="00493CFE" w:rsidRPr="003E73D6">
        <w:rPr>
          <w:u w:val="single"/>
        </w:rPr>
        <w:t>’</w:t>
      </w:r>
      <w:r w:rsidRPr="003E73D6">
        <w:rPr>
          <w:u w:val="single"/>
        </w:rPr>
        <w:t>Annexe</w:t>
      </w:r>
      <w:r w:rsidR="00BD1FC2" w:rsidRPr="003E73D6">
        <w:rPr>
          <w:u w:val="single"/>
        </w:rPr>
        <w:t> </w:t>
      </w:r>
      <w:r w:rsidRPr="003E73D6">
        <w:rPr>
          <w:u w:val="single"/>
        </w:rPr>
        <w:t>C de la Convention, par la prise en compte des questions émergentes (par exemple, la réduction des facteurs ayant une incidence sur la biodiversité, tels que la déforestation) comme moyen de réduire les émissions et les rejets de mercure et l</w:t>
      </w:r>
      <w:r w:rsidR="00493CFE" w:rsidRPr="003E73D6">
        <w:rPr>
          <w:u w:val="single"/>
        </w:rPr>
        <w:t>’</w:t>
      </w:r>
      <w:r w:rsidRPr="003E73D6">
        <w:rPr>
          <w:u w:val="single"/>
        </w:rPr>
        <w:t xml:space="preserve">exposition à cette substance, une participation plus efficace des peuples autochtones en tant que principales parties prenantes et une gestion plus rigoureuse </w:t>
      </w:r>
      <w:r w:rsidRPr="003E73D6">
        <w:rPr>
          <w:u w:val="single"/>
        </w:rPr>
        <w:lastRenderedPageBreak/>
        <w:t>des résidus contaminés par le mercure, afin de garantir que le PAN continue de s</w:t>
      </w:r>
      <w:r w:rsidR="00493CFE" w:rsidRPr="003E73D6">
        <w:rPr>
          <w:u w:val="single"/>
        </w:rPr>
        <w:t>’</w:t>
      </w:r>
      <w:r w:rsidRPr="003E73D6">
        <w:rPr>
          <w:u w:val="single"/>
        </w:rPr>
        <w:t>adapter à l</w:t>
      </w:r>
      <w:r w:rsidR="00493CFE" w:rsidRPr="003E73D6">
        <w:rPr>
          <w:u w:val="single"/>
        </w:rPr>
        <w:t>’</w:t>
      </w:r>
      <w:r w:rsidRPr="003E73D6">
        <w:rPr>
          <w:u w:val="single"/>
        </w:rPr>
        <w:t>évolution des besoins et des obligations</w:t>
      </w:r>
      <w:r w:rsidRPr="003E73D6">
        <w:t>.</w:t>
      </w:r>
    </w:p>
    <w:p w14:paraId="1F889EAB" w14:textId="2D9E319E" w:rsidR="00E43635" w:rsidRPr="003E73D6" w:rsidRDefault="00E43635" w:rsidP="002E3F08">
      <w:pPr>
        <w:numPr>
          <w:ilvl w:val="0"/>
          <w:numId w:val="18"/>
        </w:numPr>
        <w:tabs>
          <w:tab w:val="clear" w:pos="1247"/>
          <w:tab w:val="clear" w:pos="1814"/>
          <w:tab w:val="clear" w:pos="2381"/>
          <w:tab w:val="clear" w:pos="2948"/>
          <w:tab w:val="clear" w:pos="3515"/>
        </w:tabs>
        <w:spacing w:after="120"/>
        <w:ind w:left="1247"/>
        <w:jc w:val="both"/>
        <w:rPr>
          <w:rFonts w:asciiTheme="majorBidi" w:hAnsiTheme="majorBidi" w:cstheme="majorBidi"/>
          <w:color w:val="000000"/>
        </w:rPr>
      </w:pPr>
      <w:r w:rsidRPr="003E73D6">
        <w:rPr>
          <w:b/>
          <w:bCs/>
          <w:u w:val="single"/>
        </w:rPr>
        <w:t>Appuyer les consultations avec les partenaires et les parties prenantes.</w:t>
      </w:r>
      <w:r w:rsidRPr="003E73D6">
        <w:rPr>
          <w:u w:val="single"/>
        </w:rPr>
        <w:t xml:space="preserve"> Maintenir un dialogue continu avec les autorités nationales et locales compétentes, les mineur(se)s, les peuples autochtones, les communautés locales, les spécialistes de la santé et les organisations environnementales, afin de recueillir des informations sur la mise en œuvre et l</w:t>
      </w:r>
      <w:r w:rsidR="00493CFE" w:rsidRPr="003E73D6">
        <w:rPr>
          <w:u w:val="single"/>
        </w:rPr>
        <w:t>’</w:t>
      </w:r>
      <w:r w:rsidRPr="003E73D6">
        <w:rPr>
          <w:u w:val="single"/>
        </w:rPr>
        <w:t>impact du PAN</w:t>
      </w:r>
      <w:r w:rsidRPr="003E73D6">
        <w:t>.</w:t>
      </w:r>
    </w:p>
    <w:p w14:paraId="573BCB21" w14:textId="68A5246D" w:rsidR="00E43635" w:rsidRPr="003E73D6" w:rsidRDefault="00E43635" w:rsidP="002E3F08">
      <w:pPr>
        <w:numPr>
          <w:ilvl w:val="0"/>
          <w:numId w:val="18"/>
        </w:numPr>
        <w:tabs>
          <w:tab w:val="clear" w:pos="1247"/>
          <w:tab w:val="clear" w:pos="1814"/>
          <w:tab w:val="clear" w:pos="2381"/>
          <w:tab w:val="clear" w:pos="2948"/>
          <w:tab w:val="clear" w:pos="3515"/>
        </w:tabs>
        <w:spacing w:after="120"/>
        <w:ind w:left="1247"/>
        <w:jc w:val="both"/>
        <w:rPr>
          <w:rFonts w:asciiTheme="majorBidi" w:hAnsiTheme="majorBidi" w:cstheme="majorBidi"/>
          <w:color w:val="000000"/>
        </w:rPr>
      </w:pPr>
      <w:r w:rsidRPr="003E73D6">
        <w:rPr>
          <w:b/>
          <w:bCs/>
          <w:u w:val="single"/>
        </w:rPr>
        <w:t>Intégrer les informations reçues dans les stratégies et la procédure d</w:t>
      </w:r>
      <w:r w:rsidR="00493CFE" w:rsidRPr="003E73D6">
        <w:rPr>
          <w:b/>
          <w:bCs/>
          <w:u w:val="single"/>
        </w:rPr>
        <w:t>’</w:t>
      </w:r>
      <w:r w:rsidRPr="003E73D6">
        <w:rPr>
          <w:b/>
          <w:bCs/>
          <w:u w:val="single"/>
        </w:rPr>
        <w:t>examen.</w:t>
      </w:r>
      <w:r w:rsidRPr="003E73D6">
        <w:rPr>
          <w:u w:val="single"/>
        </w:rPr>
        <w:t xml:space="preserve"> Utiliser les informations issues des consultations pour affiner la procédure d</w:t>
      </w:r>
      <w:r w:rsidR="00493CFE" w:rsidRPr="003E73D6">
        <w:rPr>
          <w:u w:val="single"/>
        </w:rPr>
        <w:t>’</w:t>
      </w:r>
      <w:r w:rsidRPr="003E73D6">
        <w:rPr>
          <w:u w:val="single"/>
        </w:rPr>
        <w:t>examen et améliorer les stratégies de réduction du mercure et l</w:t>
      </w:r>
      <w:r w:rsidR="00493CFE" w:rsidRPr="003E73D6">
        <w:rPr>
          <w:u w:val="single"/>
        </w:rPr>
        <w:t>’</w:t>
      </w:r>
      <w:r w:rsidRPr="003E73D6">
        <w:rPr>
          <w:u w:val="single"/>
        </w:rPr>
        <w:t>association des parties prenantes</w:t>
      </w:r>
      <w:r w:rsidRPr="003E73D6">
        <w:t>.</w:t>
      </w:r>
    </w:p>
    <w:p w14:paraId="2BEC95FE" w14:textId="3CDA7B3F" w:rsidR="00E43635" w:rsidRPr="003E73D6" w:rsidRDefault="00086779" w:rsidP="00086779">
      <w:pPr>
        <w:pStyle w:val="ListParagraph"/>
        <w:tabs>
          <w:tab w:val="clear" w:pos="1247"/>
          <w:tab w:val="clear" w:pos="1814"/>
          <w:tab w:val="clear" w:pos="2381"/>
          <w:tab w:val="clear" w:pos="2948"/>
          <w:tab w:val="clear" w:pos="3515"/>
        </w:tabs>
        <w:spacing w:after="120"/>
        <w:ind w:left="1247"/>
        <w:contextualSpacing w:val="0"/>
        <w:rPr>
          <w:rFonts w:asciiTheme="majorBidi" w:hAnsiTheme="majorBidi" w:cstheme="majorBidi"/>
          <w:b/>
          <w:color w:val="000000" w:themeColor="text1"/>
          <w:u w:val="single"/>
        </w:rPr>
      </w:pPr>
      <w:bookmarkStart w:id="15" w:name="_Toc197686036"/>
      <w:r w:rsidRPr="003E73D6">
        <w:rPr>
          <w:b/>
          <w:bCs/>
          <w:u w:val="single"/>
        </w:rPr>
        <w:t>4.7.2</w:t>
      </w:r>
      <w:r w:rsidRPr="003E73D6">
        <w:rPr>
          <w:u w:val="single"/>
        </w:rPr>
        <w:tab/>
      </w:r>
      <w:r w:rsidRPr="003E73D6">
        <w:rPr>
          <w:b/>
          <w:bCs/>
          <w:u w:val="single"/>
        </w:rPr>
        <w:t>Établir le rapport et remplir le formulaire de communication d</w:t>
      </w:r>
      <w:r w:rsidR="00493CFE" w:rsidRPr="003E73D6">
        <w:rPr>
          <w:b/>
          <w:bCs/>
          <w:u w:val="single"/>
        </w:rPr>
        <w:t>’</w:t>
      </w:r>
      <w:r w:rsidRPr="003E73D6">
        <w:rPr>
          <w:b/>
          <w:bCs/>
          <w:u w:val="single"/>
        </w:rPr>
        <w:t>informations</w:t>
      </w:r>
      <w:bookmarkEnd w:id="15"/>
    </w:p>
    <w:p w14:paraId="2E43056B" w14:textId="5D767AAF" w:rsidR="00E43635" w:rsidRPr="003E73D6" w:rsidRDefault="00E43635" w:rsidP="00B93254">
      <w:pPr>
        <w:spacing w:after="120"/>
        <w:ind w:left="1247"/>
        <w:jc w:val="both"/>
        <w:rPr>
          <w:rFonts w:asciiTheme="majorBidi" w:hAnsiTheme="majorBidi" w:cstheme="majorBidi"/>
          <w:b/>
          <w:color w:val="000000" w:themeColor="text1"/>
          <w:u w:val="single"/>
        </w:rPr>
      </w:pPr>
      <w:r w:rsidRPr="003E73D6">
        <w:rPr>
          <w:u w:val="single"/>
        </w:rPr>
        <w:t>À l</w:t>
      </w:r>
      <w:r w:rsidR="00493CFE" w:rsidRPr="003E73D6">
        <w:rPr>
          <w:u w:val="single"/>
        </w:rPr>
        <w:t>’</w:t>
      </w:r>
      <w:r w:rsidRPr="003E73D6">
        <w:rPr>
          <w:u w:val="single"/>
        </w:rPr>
        <w:t>issue de l</w:t>
      </w:r>
      <w:r w:rsidR="00493CFE" w:rsidRPr="003E73D6">
        <w:rPr>
          <w:u w:val="single"/>
        </w:rPr>
        <w:t>’</w:t>
      </w:r>
      <w:r w:rsidRPr="003E73D6">
        <w:rPr>
          <w:u w:val="single"/>
        </w:rPr>
        <w:t>examen de la mise en œuvre du PAN, é</w:t>
      </w:r>
      <w:r w:rsidR="00081DA0" w:rsidRPr="003E73D6">
        <w:rPr>
          <w:u w:val="single"/>
        </w:rPr>
        <w:t>tablir</w:t>
      </w:r>
      <w:r w:rsidRPr="003E73D6">
        <w:rPr>
          <w:u w:val="single"/>
        </w:rPr>
        <w:t xml:space="preserve"> le rapport sur l</w:t>
      </w:r>
      <w:r w:rsidR="00493CFE" w:rsidRPr="003E73D6">
        <w:rPr>
          <w:u w:val="single"/>
        </w:rPr>
        <w:t>’</w:t>
      </w:r>
      <w:r w:rsidRPr="003E73D6">
        <w:rPr>
          <w:u w:val="single"/>
        </w:rPr>
        <w:t>EMO à l</w:t>
      </w:r>
      <w:r w:rsidR="00493CFE" w:rsidRPr="003E73D6">
        <w:rPr>
          <w:u w:val="single"/>
        </w:rPr>
        <w:t>’</w:t>
      </w:r>
      <w:r w:rsidRPr="003E73D6">
        <w:rPr>
          <w:u w:val="single"/>
        </w:rPr>
        <w:t>aide du formulaire de communication d</w:t>
      </w:r>
      <w:r w:rsidR="00493CFE" w:rsidRPr="003E73D6">
        <w:rPr>
          <w:u w:val="single"/>
        </w:rPr>
        <w:t>’</w:t>
      </w:r>
      <w:r w:rsidRPr="003E73D6">
        <w:rPr>
          <w:u w:val="single"/>
        </w:rPr>
        <w:t>informations et l</w:t>
      </w:r>
      <w:r w:rsidR="00493CFE" w:rsidRPr="003E73D6">
        <w:rPr>
          <w:u w:val="single"/>
        </w:rPr>
        <w:t>’</w:t>
      </w:r>
      <w:r w:rsidRPr="003E73D6">
        <w:rPr>
          <w:u w:val="single"/>
        </w:rPr>
        <w:t>inclure dans le rapport national soumis an application de l</w:t>
      </w:r>
      <w:r w:rsidR="00493CFE" w:rsidRPr="003E73D6">
        <w:rPr>
          <w:u w:val="single"/>
        </w:rPr>
        <w:t>’</w:t>
      </w:r>
      <w:r w:rsidRPr="003E73D6">
        <w:rPr>
          <w:u w:val="single"/>
        </w:rPr>
        <w:t>article</w:t>
      </w:r>
      <w:r w:rsidR="00052ACE" w:rsidRPr="003E73D6">
        <w:rPr>
          <w:u w:val="single"/>
        </w:rPr>
        <w:t> </w:t>
      </w:r>
      <w:r w:rsidRPr="003E73D6">
        <w:rPr>
          <w:u w:val="single"/>
        </w:rPr>
        <w:t>21, comme demandé à l</w:t>
      </w:r>
      <w:r w:rsidR="00493CFE" w:rsidRPr="003E73D6">
        <w:rPr>
          <w:u w:val="single"/>
        </w:rPr>
        <w:t>’</w:t>
      </w:r>
      <w:r w:rsidRPr="003E73D6">
        <w:rPr>
          <w:u w:val="single"/>
        </w:rPr>
        <w:t>alinéa</w:t>
      </w:r>
      <w:r w:rsidR="00052ACE" w:rsidRPr="003E73D6">
        <w:rPr>
          <w:u w:val="single"/>
        </w:rPr>
        <w:t> </w:t>
      </w:r>
      <w:r w:rsidRPr="003E73D6">
        <w:rPr>
          <w:u w:val="single"/>
        </w:rPr>
        <w:t>c) du paragraphe</w:t>
      </w:r>
      <w:r w:rsidR="00052ACE" w:rsidRPr="003E73D6">
        <w:rPr>
          <w:u w:val="single"/>
        </w:rPr>
        <w:t> </w:t>
      </w:r>
      <w:r w:rsidRPr="003E73D6">
        <w:rPr>
          <w:u w:val="single"/>
        </w:rPr>
        <w:t>3 de l</w:t>
      </w:r>
      <w:r w:rsidR="00493CFE" w:rsidRPr="003E73D6">
        <w:rPr>
          <w:u w:val="single"/>
        </w:rPr>
        <w:t>’</w:t>
      </w:r>
      <w:r w:rsidRPr="003E73D6">
        <w:rPr>
          <w:u w:val="single"/>
        </w:rPr>
        <w:t>article</w:t>
      </w:r>
      <w:r w:rsidR="00052ACE" w:rsidRPr="003E73D6">
        <w:rPr>
          <w:u w:val="single"/>
        </w:rPr>
        <w:t> </w:t>
      </w:r>
      <w:r w:rsidRPr="003E73D6">
        <w:rPr>
          <w:u w:val="single"/>
        </w:rPr>
        <w:t>7</w:t>
      </w:r>
      <w:r w:rsidRPr="003E73D6">
        <w:rPr>
          <w:rStyle w:val="FootnoteReference"/>
          <w:rFonts w:asciiTheme="majorBidi" w:hAnsiTheme="majorBidi" w:cstheme="majorBidi"/>
          <w:color w:val="000000"/>
          <w:u w:val="single"/>
        </w:rPr>
        <w:footnoteReference w:id="12"/>
      </w:r>
      <w:r w:rsidRPr="003E73D6">
        <w:t xml:space="preserve">. </w:t>
      </w:r>
    </w:p>
    <w:p w14:paraId="5C33B309" w14:textId="2DFE949F" w:rsidR="00E43635" w:rsidRPr="003E73D6" w:rsidRDefault="00E43635" w:rsidP="00B93254">
      <w:pPr>
        <w:spacing w:after="120"/>
        <w:ind w:left="1247"/>
        <w:jc w:val="both"/>
        <w:rPr>
          <w:rFonts w:asciiTheme="majorBidi" w:hAnsiTheme="majorBidi" w:cstheme="majorBidi"/>
          <w:color w:val="000000"/>
          <w:u w:val="single"/>
        </w:rPr>
      </w:pPr>
      <w:r w:rsidRPr="003E73D6">
        <w:rPr>
          <w:u w:val="single"/>
        </w:rPr>
        <w:t>Le rapport sur l</w:t>
      </w:r>
      <w:r w:rsidR="00493CFE" w:rsidRPr="003E73D6">
        <w:rPr>
          <w:u w:val="single"/>
        </w:rPr>
        <w:t>’</w:t>
      </w:r>
      <w:r w:rsidRPr="003E73D6">
        <w:rPr>
          <w:u w:val="single"/>
        </w:rPr>
        <w:t>EMO doit</w:t>
      </w:r>
      <w:r w:rsidR="00493CFE" w:rsidRPr="003E73D6">
        <w:t> :</w:t>
      </w:r>
    </w:p>
    <w:p w14:paraId="46683FF4" w14:textId="2861DF5A" w:rsidR="00E43635" w:rsidRPr="003E73D6" w:rsidRDefault="00E43635" w:rsidP="002E3F08">
      <w:pPr>
        <w:numPr>
          <w:ilvl w:val="0"/>
          <w:numId w:val="19"/>
        </w:numPr>
        <w:tabs>
          <w:tab w:val="clear" w:pos="720"/>
          <w:tab w:val="clear" w:pos="1247"/>
          <w:tab w:val="clear" w:pos="1814"/>
          <w:tab w:val="clear" w:pos="2381"/>
          <w:tab w:val="clear" w:pos="2948"/>
          <w:tab w:val="clear" w:pos="3515"/>
          <w:tab w:val="num" w:pos="1440"/>
        </w:tabs>
        <w:spacing w:after="120"/>
        <w:ind w:left="1247"/>
        <w:jc w:val="both"/>
        <w:rPr>
          <w:rFonts w:asciiTheme="majorBidi" w:hAnsiTheme="majorBidi" w:cstheme="majorBidi"/>
          <w:color w:val="000000"/>
          <w:u w:val="single"/>
        </w:rPr>
      </w:pPr>
      <w:r w:rsidRPr="003E73D6">
        <w:rPr>
          <w:u w:val="single"/>
        </w:rPr>
        <w:t>Résumer les progrès accomplis dans la réduction de l</w:t>
      </w:r>
      <w:r w:rsidR="00493CFE" w:rsidRPr="003E73D6">
        <w:rPr>
          <w:u w:val="single"/>
        </w:rPr>
        <w:t>’</w:t>
      </w:r>
      <w:r w:rsidRPr="003E73D6">
        <w:rPr>
          <w:u w:val="single"/>
        </w:rPr>
        <w:t>utilisation, des émissions et des rejets de mercure dans le cadre des activités d</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w:t>
      </w:r>
      <w:r w:rsidR="00493CFE" w:rsidRPr="003E73D6">
        <w:t> ;</w:t>
      </w:r>
      <w:r w:rsidRPr="003E73D6">
        <w:t xml:space="preserve"> </w:t>
      </w:r>
    </w:p>
    <w:p w14:paraId="286A4BC2" w14:textId="24E32D49" w:rsidR="00E43635" w:rsidRPr="003E73D6" w:rsidRDefault="00E43635" w:rsidP="002E3F08">
      <w:pPr>
        <w:numPr>
          <w:ilvl w:val="0"/>
          <w:numId w:val="19"/>
        </w:numPr>
        <w:tabs>
          <w:tab w:val="clear" w:pos="720"/>
          <w:tab w:val="clear" w:pos="1247"/>
          <w:tab w:val="clear" w:pos="1814"/>
          <w:tab w:val="clear" w:pos="2381"/>
          <w:tab w:val="clear" w:pos="2948"/>
          <w:tab w:val="clear" w:pos="3515"/>
          <w:tab w:val="num" w:pos="1440"/>
        </w:tabs>
        <w:spacing w:after="120"/>
        <w:ind w:left="1247"/>
        <w:jc w:val="both"/>
        <w:rPr>
          <w:rFonts w:asciiTheme="majorBidi" w:hAnsiTheme="majorBidi" w:cstheme="majorBidi"/>
          <w:color w:val="000000"/>
          <w:u w:val="single"/>
        </w:rPr>
      </w:pPr>
      <w:r w:rsidRPr="003E73D6">
        <w:rPr>
          <w:u w:val="single"/>
        </w:rPr>
        <w:t>Résumer la mise en œuvre des stratégies élaborées dans le cadre du PAN initial et ajustées/actualisées selon que de besoin</w:t>
      </w:r>
      <w:r w:rsidR="00493CFE" w:rsidRPr="003E73D6">
        <w:t> ;</w:t>
      </w:r>
    </w:p>
    <w:p w14:paraId="10E91C55" w14:textId="064E01EE" w:rsidR="00E43635" w:rsidRPr="003E73D6" w:rsidRDefault="00E43635" w:rsidP="002E3F08">
      <w:pPr>
        <w:numPr>
          <w:ilvl w:val="0"/>
          <w:numId w:val="19"/>
        </w:numPr>
        <w:tabs>
          <w:tab w:val="clear" w:pos="720"/>
          <w:tab w:val="clear" w:pos="1247"/>
          <w:tab w:val="clear" w:pos="1814"/>
          <w:tab w:val="clear" w:pos="2381"/>
          <w:tab w:val="clear" w:pos="2948"/>
          <w:tab w:val="clear" w:pos="3515"/>
          <w:tab w:val="num" w:pos="1440"/>
        </w:tabs>
        <w:spacing w:after="120"/>
        <w:ind w:left="1247"/>
        <w:jc w:val="both"/>
        <w:rPr>
          <w:rFonts w:asciiTheme="majorBidi" w:hAnsiTheme="majorBidi" w:cstheme="majorBidi"/>
          <w:color w:val="000000"/>
        </w:rPr>
      </w:pPr>
      <w:r w:rsidRPr="003E73D6">
        <w:rPr>
          <w:u w:val="single"/>
        </w:rPr>
        <w:t>Mettre en évidence les principaux résultats obtenus, les indicateurs atteints et les difficultés rencontrées au cours de la procédure d</w:t>
      </w:r>
      <w:r w:rsidR="00493CFE" w:rsidRPr="003E73D6">
        <w:rPr>
          <w:u w:val="single"/>
        </w:rPr>
        <w:t>’</w:t>
      </w:r>
      <w:r w:rsidRPr="003E73D6">
        <w:rPr>
          <w:u w:val="single"/>
        </w:rPr>
        <w:t xml:space="preserve">examen et fournir des recommandations concrètes pour surmonter ces dernières, </w:t>
      </w:r>
      <w:r w:rsidR="006D7139" w:rsidRPr="003E73D6">
        <w:rPr>
          <w:u w:val="single"/>
        </w:rPr>
        <w:t>s’il y a lieu</w:t>
      </w:r>
      <w:r w:rsidR="00493CFE" w:rsidRPr="003E73D6">
        <w:t> ;</w:t>
      </w:r>
    </w:p>
    <w:p w14:paraId="59F0ADF6" w14:textId="7C2BE53F" w:rsidR="00E43635" w:rsidRPr="003E73D6" w:rsidRDefault="00E43635" w:rsidP="002E3F08">
      <w:pPr>
        <w:numPr>
          <w:ilvl w:val="0"/>
          <w:numId w:val="19"/>
        </w:numPr>
        <w:tabs>
          <w:tab w:val="clear" w:pos="720"/>
          <w:tab w:val="clear" w:pos="1247"/>
          <w:tab w:val="clear" w:pos="1814"/>
          <w:tab w:val="clear" w:pos="2381"/>
          <w:tab w:val="clear" w:pos="2948"/>
          <w:tab w:val="clear" w:pos="3515"/>
          <w:tab w:val="num" w:pos="1440"/>
        </w:tabs>
        <w:spacing w:after="120"/>
        <w:ind w:left="1247"/>
        <w:jc w:val="both"/>
        <w:rPr>
          <w:rFonts w:asciiTheme="majorBidi" w:hAnsiTheme="majorBidi" w:cstheme="majorBidi"/>
          <w:color w:val="000000"/>
        </w:rPr>
      </w:pPr>
      <w:r w:rsidRPr="003E73D6">
        <w:rPr>
          <w:u w:val="single"/>
        </w:rPr>
        <w:t>Être soumis dans les délais prévus par la Convention, afin de permettre le suivi continu des progrès accomplis dans la réalisation de l</w:t>
      </w:r>
      <w:r w:rsidR="00493CFE" w:rsidRPr="003E73D6">
        <w:rPr>
          <w:u w:val="single"/>
        </w:rPr>
        <w:t>’</w:t>
      </w:r>
      <w:r w:rsidRPr="003E73D6">
        <w:rPr>
          <w:u w:val="single"/>
        </w:rPr>
        <w:t>objectif de la Convention</w:t>
      </w:r>
      <w:r w:rsidRPr="003E73D6">
        <w:t>.</w:t>
      </w:r>
    </w:p>
    <w:p w14:paraId="014EA258" w14:textId="63DEF943" w:rsidR="00E43635" w:rsidRPr="003E73D6" w:rsidRDefault="00344338" w:rsidP="00B93254">
      <w:pPr>
        <w:spacing w:after="120"/>
        <w:ind w:left="1247"/>
        <w:jc w:val="both"/>
        <w:rPr>
          <w:rFonts w:asciiTheme="majorBidi" w:hAnsiTheme="majorBidi" w:cstheme="majorBidi"/>
          <w:color w:val="000000"/>
          <w:u w:val="single"/>
        </w:rPr>
      </w:pPr>
      <w:r w:rsidRPr="003E73D6">
        <w:rPr>
          <w:u w:val="single"/>
        </w:rPr>
        <w:t>Le formulaire de communication d</w:t>
      </w:r>
      <w:r w:rsidR="00493CFE" w:rsidRPr="003E73D6">
        <w:rPr>
          <w:u w:val="single"/>
        </w:rPr>
        <w:t>’</w:t>
      </w:r>
      <w:r w:rsidRPr="003E73D6">
        <w:rPr>
          <w:u w:val="single"/>
        </w:rPr>
        <w:t>informations est reproduit dans l</w:t>
      </w:r>
      <w:r w:rsidR="00493CFE" w:rsidRPr="003E73D6">
        <w:rPr>
          <w:u w:val="single"/>
        </w:rPr>
        <w:t>’</w:t>
      </w:r>
      <w:r w:rsidRPr="003E73D6">
        <w:rPr>
          <w:u w:val="single"/>
        </w:rPr>
        <w:t>annexe</w:t>
      </w:r>
      <w:r w:rsidR="00AA5E85" w:rsidRPr="003E73D6">
        <w:rPr>
          <w:u w:val="single"/>
        </w:rPr>
        <w:t> </w:t>
      </w:r>
      <w:r w:rsidRPr="003E73D6">
        <w:rPr>
          <w:u w:val="single"/>
        </w:rPr>
        <w:t>7</w:t>
      </w:r>
      <w:r w:rsidRPr="003E73D6">
        <w:t xml:space="preserve">. </w:t>
      </w:r>
    </w:p>
    <w:p w14:paraId="40B6B3A1" w14:textId="026B6402" w:rsidR="00E43635" w:rsidRPr="003E73D6" w:rsidRDefault="00E43635" w:rsidP="00B93254">
      <w:pPr>
        <w:spacing w:after="120"/>
        <w:ind w:left="1247"/>
        <w:jc w:val="both"/>
        <w:rPr>
          <w:color w:val="000000"/>
        </w:rPr>
      </w:pPr>
      <w:r w:rsidRPr="003E73D6">
        <w:rPr>
          <w:u w:val="single"/>
        </w:rPr>
        <w:t>Sachant que les PAN peuvent varier selon les Parties, celles-ci sont invitées à utiliser le formulaire de communication d</w:t>
      </w:r>
      <w:r w:rsidR="00493CFE" w:rsidRPr="003E73D6">
        <w:rPr>
          <w:u w:val="single"/>
        </w:rPr>
        <w:t>’</w:t>
      </w:r>
      <w:r w:rsidRPr="003E73D6">
        <w:rPr>
          <w:u w:val="single"/>
        </w:rPr>
        <w:t>informations comme base pour établir le rapport. Les Parties peuvent, tout en conservant la structure du formulaire, compléter ce dernier à l</w:t>
      </w:r>
      <w:r w:rsidR="00493CFE" w:rsidRPr="003E73D6">
        <w:rPr>
          <w:u w:val="single"/>
        </w:rPr>
        <w:t>’</w:t>
      </w:r>
      <w:r w:rsidRPr="003E73D6">
        <w:rPr>
          <w:u w:val="single"/>
        </w:rPr>
        <w:t>aide des informations pertinentes tirées du plan de travail relatif à leur PAN, lesquelles peuvent inclure des objectifs et des indicateurs</w:t>
      </w:r>
      <w:r w:rsidRPr="003E73D6">
        <w:t xml:space="preserve">. </w:t>
      </w:r>
    </w:p>
    <w:p w14:paraId="3C160108" w14:textId="160B60CF" w:rsidR="00E43635" w:rsidRPr="003E73D6" w:rsidRDefault="00086779" w:rsidP="00F20522">
      <w:pPr>
        <w:tabs>
          <w:tab w:val="num" w:pos="360"/>
          <w:tab w:val="num" w:pos="720"/>
        </w:tabs>
        <w:spacing w:before="240" w:after="120"/>
        <w:rPr>
          <w:b/>
          <w:bCs/>
          <w:u w:val="single"/>
        </w:rPr>
      </w:pPr>
      <w:r w:rsidRPr="003E73D6">
        <w:tab/>
      </w:r>
      <w:r w:rsidRPr="003E73D6">
        <w:tab/>
      </w:r>
      <w:r w:rsidRPr="003E73D6">
        <w:tab/>
      </w:r>
      <w:r w:rsidRPr="003E73D6">
        <w:rPr>
          <w:b/>
          <w:bCs/>
        </w:rPr>
        <w:t>(</w:t>
      </w:r>
      <w:r w:rsidR="00E15742" w:rsidRPr="003E73D6">
        <w:rPr>
          <w:b/>
          <w:bCs/>
          <w:i/>
          <w:iCs/>
        </w:rPr>
        <w:t>Nouvelle</w:t>
      </w:r>
      <w:r w:rsidRPr="003E73D6">
        <w:rPr>
          <w:b/>
          <w:bCs/>
        </w:rPr>
        <w:t xml:space="preserve">) </w:t>
      </w:r>
      <w:r w:rsidRPr="003E73D6">
        <w:rPr>
          <w:b/>
          <w:bCs/>
          <w:u w:val="single"/>
        </w:rPr>
        <w:t>Annexe</w:t>
      </w:r>
      <w:r w:rsidR="00AA5E85" w:rsidRPr="003E73D6">
        <w:rPr>
          <w:b/>
          <w:bCs/>
          <w:u w:val="single"/>
        </w:rPr>
        <w:t> </w:t>
      </w:r>
      <w:r w:rsidRPr="003E73D6">
        <w:rPr>
          <w:b/>
          <w:bCs/>
          <w:u w:val="single"/>
        </w:rPr>
        <w:t>7 (Formulaire de communication d</w:t>
      </w:r>
      <w:r w:rsidR="00493CFE" w:rsidRPr="003E73D6">
        <w:rPr>
          <w:b/>
          <w:bCs/>
          <w:u w:val="single"/>
        </w:rPr>
        <w:t>’</w:t>
      </w:r>
      <w:r w:rsidRPr="003E73D6">
        <w:rPr>
          <w:b/>
          <w:bCs/>
          <w:u w:val="single"/>
        </w:rPr>
        <w:t>informations)</w:t>
      </w:r>
      <w:r w:rsidRPr="003E73D6">
        <w:t xml:space="preserve"> </w:t>
      </w:r>
    </w:p>
    <w:p w14:paraId="3332512B" w14:textId="057404CE" w:rsidR="00FF2ACC" w:rsidRPr="003E73D6" w:rsidRDefault="00E43635" w:rsidP="0091754B">
      <w:pPr>
        <w:tabs>
          <w:tab w:val="num" w:pos="360"/>
          <w:tab w:val="num" w:pos="720"/>
        </w:tabs>
        <w:spacing w:after="120"/>
        <w:ind w:left="1247"/>
        <w:jc w:val="both"/>
        <w:rPr>
          <w:u w:val="single"/>
        </w:rPr>
      </w:pPr>
      <w:r w:rsidRPr="003E73D6">
        <w:rPr>
          <w:u w:val="single"/>
        </w:rPr>
        <w:t>Le formulaire de communication d</w:t>
      </w:r>
      <w:r w:rsidR="00493CFE" w:rsidRPr="003E73D6">
        <w:rPr>
          <w:u w:val="single"/>
        </w:rPr>
        <w:t>’</w:t>
      </w:r>
      <w:r w:rsidRPr="003E73D6">
        <w:rPr>
          <w:u w:val="single"/>
        </w:rPr>
        <w:t>informations est conçu pour aider les Parties qui ont constaté que les activités d</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 sur leur territoire sont non négligeables, ont notifié ce fait au secrétariat et ont élaboré et soumis un PAN, conformément aux alinéas a) et b) du paragraphe</w:t>
      </w:r>
      <w:r w:rsidR="009B686D" w:rsidRPr="003E73D6">
        <w:rPr>
          <w:u w:val="single"/>
        </w:rPr>
        <w:t> </w:t>
      </w:r>
      <w:r w:rsidRPr="003E73D6">
        <w:rPr>
          <w:u w:val="single"/>
        </w:rPr>
        <w:t>3 de l</w:t>
      </w:r>
      <w:r w:rsidR="00493CFE" w:rsidRPr="003E73D6">
        <w:rPr>
          <w:u w:val="single"/>
        </w:rPr>
        <w:t>’</w:t>
      </w:r>
      <w:r w:rsidRPr="003E73D6">
        <w:rPr>
          <w:u w:val="single"/>
        </w:rPr>
        <w:t>article</w:t>
      </w:r>
      <w:r w:rsidR="009B686D" w:rsidRPr="003E73D6">
        <w:rPr>
          <w:u w:val="single"/>
        </w:rPr>
        <w:t> </w:t>
      </w:r>
      <w:r w:rsidRPr="003E73D6">
        <w:rPr>
          <w:u w:val="single"/>
        </w:rPr>
        <w:t>7</w:t>
      </w:r>
      <w:r w:rsidRPr="003E73D6">
        <w:t xml:space="preserve">. </w:t>
      </w:r>
    </w:p>
    <w:p w14:paraId="2C60C07B" w14:textId="42156B98" w:rsidR="00E43635" w:rsidRPr="003E73D6" w:rsidRDefault="00E43635" w:rsidP="0091754B">
      <w:pPr>
        <w:tabs>
          <w:tab w:val="num" w:pos="360"/>
          <w:tab w:val="num" w:pos="720"/>
        </w:tabs>
        <w:spacing w:after="120"/>
        <w:ind w:left="1247"/>
        <w:jc w:val="both"/>
      </w:pPr>
      <w:r w:rsidRPr="003E73D6">
        <w:rPr>
          <w:u w:val="single"/>
        </w:rPr>
        <w:t xml:space="preserve">Les Parties qui ont </w:t>
      </w:r>
      <w:r w:rsidR="00EE6135" w:rsidRPr="003E73D6">
        <w:rPr>
          <w:u w:val="single"/>
        </w:rPr>
        <w:t>constaté</w:t>
      </w:r>
      <w:r w:rsidRPr="003E73D6">
        <w:rPr>
          <w:u w:val="single"/>
        </w:rPr>
        <w:t xml:space="preserve"> un tel fait et l</w:t>
      </w:r>
      <w:r w:rsidR="00493CFE" w:rsidRPr="003E73D6">
        <w:rPr>
          <w:u w:val="single"/>
        </w:rPr>
        <w:t>’</w:t>
      </w:r>
      <w:r w:rsidRPr="003E73D6">
        <w:rPr>
          <w:u w:val="single"/>
        </w:rPr>
        <w:t>ont notifié au secrétariat mais qui n</w:t>
      </w:r>
      <w:r w:rsidR="00493CFE" w:rsidRPr="003E73D6">
        <w:rPr>
          <w:u w:val="single"/>
        </w:rPr>
        <w:t>’</w:t>
      </w:r>
      <w:r w:rsidRPr="003E73D6">
        <w:rPr>
          <w:u w:val="single"/>
        </w:rPr>
        <w:t>ont pas encore achevé ou soumis leur PAN sont néanmoins tenues d</w:t>
      </w:r>
      <w:r w:rsidR="00493CFE" w:rsidRPr="003E73D6">
        <w:rPr>
          <w:u w:val="single"/>
        </w:rPr>
        <w:t>’</w:t>
      </w:r>
      <w:r w:rsidRPr="003E73D6">
        <w:rPr>
          <w:u w:val="single"/>
        </w:rPr>
        <w:t>examiner les progrès accomplis dans la mise en œuvre de l</w:t>
      </w:r>
      <w:r w:rsidR="00493CFE" w:rsidRPr="003E73D6">
        <w:rPr>
          <w:u w:val="single"/>
        </w:rPr>
        <w:t>’</w:t>
      </w:r>
      <w:r w:rsidRPr="003E73D6">
        <w:rPr>
          <w:u w:val="single"/>
        </w:rPr>
        <w:t>article 7 et d</w:t>
      </w:r>
      <w:r w:rsidR="00493CFE" w:rsidRPr="003E73D6">
        <w:rPr>
          <w:u w:val="single"/>
        </w:rPr>
        <w:t>’</w:t>
      </w:r>
      <w:r w:rsidRPr="003E73D6">
        <w:rPr>
          <w:u w:val="single"/>
        </w:rPr>
        <w:t>en rendre compte dans leurs rapports nationaux complets</w:t>
      </w:r>
      <w:r w:rsidRPr="003E73D6">
        <w:rPr>
          <w:rStyle w:val="FootnoteReference"/>
          <w:u w:val="single"/>
        </w:rPr>
        <w:footnoteReference w:id="13"/>
      </w:r>
      <w:r w:rsidRPr="003E73D6">
        <w:t>.</w:t>
      </w:r>
    </w:p>
    <w:p w14:paraId="16C4EAB4" w14:textId="74CA2429" w:rsidR="00E43635" w:rsidRPr="003E73D6" w:rsidRDefault="00E43635" w:rsidP="00E43635">
      <w:pPr>
        <w:spacing w:after="120"/>
        <w:ind w:left="1247"/>
        <w:jc w:val="both"/>
        <w:rPr>
          <w:color w:val="000000"/>
          <w:u w:val="single"/>
        </w:rPr>
      </w:pPr>
      <w:r w:rsidRPr="003E73D6">
        <w:rPr>
          <w:u w:val="single"/>
        </w:rPr>
        <w:t>Le formulaire de communication d</w:t>
      </w:r>
      <w:r w:rsidR="00493CFE" w:rsidRPr="003E73D6">
        <w:rPr>
          <w:u w:val="single"/>
        </w:rPr>
        <w:t>’</w:t>
      </w:r>
      <w:r w:rsidRPr="003E73D6">
        <w:rPr>
          <w:u w:val="single"/>
        </w:rPr>
        <w:t>informations aide les correspondant(e)s nationaux(ales) à établir le compte rendu et la description des mesures prises et des progrès accomplis dans la mise en œuvre des PAN dans le cadre de l</w:t>
      </w:r>
      <w:r w:rsidR="00493CFE" w:rsidRPr="003E73D6">
        <w:rPr>
          <w:u w:val="single"/>
        </w:rPr>
        <w:t>’</w:t>
      </w:r>
      <w:r w:rsidRPr="003E73D6">
        <w:rPr>
          <w:u w:val="single"/>
        </w:rPr>
        <w:t>EMO. Il fournit une structure pour la communication d</w:t>
      </w:r>
      <w:r w:rsidR="00493CFE" w:rsidRPr="003E73D6">
        <w:rPr>
          <w:u w:val="single"/>
        </w:rPr>
        <w:t>’</w:t>
      </w:r>
      <w:r w:rsidRPr="003E73D6">
        <w:rPr>
          <w:u w:val="single"/>
        </w:rPr>
        <w:t>informations cruciales qui établissent un lien clair entre les résultats de l</w:t>
      </w:r>
      <w:r w:rsidR="00493CFE" w:rsidRPr="003E73D6">
        <w:rPr>
          <w:u w:val="single"/>
        </w:rPr>
        <w:t>’</w:t>
      </w:r>
      <w:r w:rsidRPr="003E73D6">
        <w:rPr>
          <w:u w:val="single"/>
        </w:rPr>
        <w:t>examen et a) chacun des éléments énumérés dans l</w:t>
      </w:r>
      <w:r w:rsidR="00493CFE" w:rsidRPr="003E73D6">
        <w:rPr>
          <w:u w:val="single"/>
        </w:rPr>
        <w:t>’</w:t>
      </w:r>
      <w:r w:rsidRPr="003E73D6">
        <w:rPr>
          <w:u w:val="single"/>
        </w:rPr>
        <w:t>Annexe</w:t>
      </w:r>
      <w:r w:rsidR="00021207" w:rsidRPr="003E73D6">
        <w:rPr>
          <w:u w:val="single"/>
        </w:rPr>
        <w:t> </w:t>
      </w:r>
      <w:r w:rsidRPr="003E73D6">
        <w:rPr>
          <w:u w:val="single"/>
        </w:rPr>
        <w:t>C de la Convention (obligatoire) et b) des informations relatives aux décisions pertinentes de la</w:t>
      </w:r>
      <w:r w:rsidR="00BC60FF" w:rsidRPr="003E73D6">
        <w:rPr>
          <w:u w:val="single"/>
        </w:rPr>
        <w:t xml:space="preserve"> </w:t>
      </w:r>
      <w:r w:rsidRPr="003E73D6">
        <w:rPr>
          <w:u w:val="single"/>
        </w:rPr>
        <w:t>Conférence des Parties ou des orientations (supplémentaire ou facultatif). Il aide également les correspondant(e)s nationaux(ales) à a) décrire l</w:t>
      </w:r>
      <w:r w:rsidR="00493CFE" w:rsidRPr="003E73D6">
        <w:rPr>
          <w:u w:val="single"/>
        </w:rPr>
        <w:t>’</w:t>
      </w:r>
      <w:r w:rsidRPr="003E73D6">
        <w:rPr>
          <w:u w:val="single"/>
        </w:rPr>
        <w:t>état de la mise en œuvre</w:t>
      </w:r>
      <w:r w:rsidR="00E25545" w:rsidRPr="003E73D6">
        <w:rPr>
          <w:u w:val="single"/>
        </w:rPr>
        <w:t> ;</w:t>
      </w:r>
      <w:r w:rsidRPr="003E73D6">
        <w:rPr>
          <w:u w:val="single"/>
        </w:rPr>
        <w:t xml:space="preserve"> b) quantifier les progrès et c) donner une brève description des mesures prises pour surmonter les difficultés ou les retards rencontrés dans la mise en œuvre du PAN</w:t>
      </w:r>
      <w:r w:rsidRPr="003E73D6">
        <w:t xml:space="preserve">. </w:t>
      </w:r>
    </w:p>
    <w:p w14:paraId="1B6CC1D3" w14:textId="2346A8F0" w:rsidR="00E43635" w:rsidRPr="003E73D6" w:rsidRDefault="00E43635" w:rsidP="00E43635">
      <w:pPr>
        <w:spacing w:after="120"/>
        <w:ind w:left="1247"/>
        <w:jc w:val="both"/>
        <w:rPr>
          <w:color w:val="000000"/>
          <w:u w:val="single"/>
        </w:rPr>
      </w:pPr>
      <w:r w:rsidRPr="003E73D6">
        <w:rPr>
          <w:i/>
          <w:iCs/>
          <w:u w:val="single"/>
        </w:rPr>
        <w:lastRenderedPageBreak/>
        <w:t>Note</w:t>
      </w:r>
      <w:r w:rsidR="00493CFE" w:rsidRPr="003E73D6">
        <w:rPr>
          <w:i/>
          <w:iCs/>
          <w:u w:val="single"/>
        </w:rPr>
        <w:t> :</w:t>
      </w:r>
      <w:r w:rsidRPr="003E73D6">
        <w:rPr>
          <w:u w:val="single"/>
        </w:rPr>
        <w:t xml:space="preserve"> Pour certaines catégories, les Parties peuvent indiquer « </w:t>
      </w:r>
      <w:proofErr w:type="spellStart"/>
      <w:r w:rsidRPr="003E73D6">
        <w:rPr>
          <w:u w:val="single"/>
        </w:rPr>
        <w:t>s.o</w:t>
      </w:r>
      <w:proofErr w:type="spellEnd"/>
      <w:r w:rsidRPr="003E73D6">
        <w:rPr>
          <w:u w:val="single"/>
        </w:rPr>
        <w:t>. » si elles ne sont pas pertinentes au regard de leur PAN</w:t>
      </w:r>
      <w:r w:rsidRPr="003E73D6">
        <w:rPr>
          <w:rStyle w:val="FootnoteReference"/>
          <w:u w:val="single"/>
        </w:rPr>
        <w:footnoteReference w:id="14"/>
      </w:r>
      <w:r w:rsidRPr="003E73D6">
        <w:t>.</w:t>
      </w:r>
    </w:p>
    <w:p w14:paraId="36548B9A" w14:textId="328A631C" w:rsidR="00E43635" w:rsidRPr="003E73D6" w:rsidRDefault="00E43635" w:rsidP="00E43635">
      <w:pPr>
        <w:spacing w:after="120"/>
        <w:ind w:left="1247"/>
        <w:jc w:val="both"/>
      </w:pPr>
      <w:r w:rsidRPr="003E73D6">
        <w:rPr>
          <w:b/>
          <w:bCs/>
          <w:u w:val="single"/>
        </w:rPr>
        <w:t>Section 1</w:t>
      </w:r>
      <w:r w:rsidR="00493CFE" w:rsidRPr="003E73D6">
        <w:rPr>
          <w:b/>
          <w:bCs/>
          <w:u w:val="single"/>
        </w:rPr>
        <w:t> :</w:t>
      </w:r>
      <w:r w:rsidRPr="003E73D6">
        <w:rPr>
          <w:b/>
          <w:bCs/>
          <w:u w:val="single"/>
        </w:rPr>
        <w:t xml:space="preserve"> Résumé (</w:t>
      </w:r>
      <w:r w:rsidRPr="003E73D6">
        <w:rPr>
          <w:b/>
          <w:bCs/>
          <w:i/>
          <w:iCs/>
          <w:u w:val="single"/>
        </w:rPr>
        <w:t>expliquer brièvement</w:t>
      </w:r>
      <w:r w:rsidRPr="003E73D6">
        <w:rPr>
          <w:b/>
          <w:bCs/>
          <w:u w:val="single"/>
        </w:rPr>
        <w:t>)</w:t>
      </w:r>
      <w:r w:rsidR="00493CFE" w:rsidRPr="003E73D6">
        <w:rPr>
          <w:b/>
          <w:bCs/>
          <w:u w:val="single"/>
        </w:rPr>
        <w:t> :</w:t>
      </w:r>
      <w:r w:rsidRPr="003E73D6">
        <w:rPr>
          <w:u w:val="single"/>
        </w:rPr>
        <w:t xml:space="preserve"> L</w:t>
      </w:r>
      <w:r w:rsidR="00493CFE" w:rsidRPr="003E73D6">
        <w:rPr>
          <w:u w:val="single"/>
        </w:rPr>
        <w:t>’</w:t>
      </w:r>
      <w:r w:rsidRPr="003E73D6">
        <w:rPr>
          <w:u w:val="single"/>
        </w:rPr>
        <w:t xml:space="preserve">objectif de la présente section est de fournir, sous forme de texte, un aperçu des progrès accomplis dans la mise en œuvre du PAN, des points saillants de la période de </w:t>
      </w:r>
      <w:proofErr w:type="gramStart"/>
      <w:r w:rsidRPr="003E73D6">
        <w:rPr>
          <w:u w:val="single"/>
        </w:rPr>
        <w:t>trois</w:t>
      </w:r>
      <w:r w:rsidR="000E0C9C" w:rsidRPr="003E73D6">
        <w:rPr>
          <w:u w:val="single"/>
        </w:rPr>
        <w:t> </w:t>
      </w:r>
      <w:r w:rsidRPr="003E73D6">
        <w:rPr>
          <w:u w:val="single"/>
        </w:rPr>
        <w:t>ans couverte</w:t>
      </w:r>
      <w:proofErr w:type="gramEnd"/>
      <w:r w:rsidRPr="003E73D6">
        <w:rPr>
          <w:u w:val="single"/>
        </w:rPr>
        <w:t xml:space="preserve"> et des domaines qui, selon la Partie, méritent une attention particulière</w:t>
      </w:r>
      <w:r w:rsidRPr="003E73D6">
        <w:t>.</w:t>
      </w:r>
    </w:p>
    <w:p w14:paraId="647C6584" w14:textId="75A0C671" w:rsidR="00E43635" w:rsidRPr="003E73D6" w:rsidRDefault="00E43635" w:rsidP="002E3F08">
      <w:pPr>
        <w:numPr>
          <w:ilvl w:val="0"/>
          <w:numId w:val="20"/>
        </w:numPr>
        <w:tabs>
          <w:tab w:val="clear" w:pos="1247"/>
          <w:tab w:val="clear" w:pos="1814"/>
          <w:tab w:val="clear" w:pos="2381"/>
          <w:tab w:val="clear" w:pos="2948"/>
          <w:tab w:val="clear" w:pos="3515"/>
        </w:tabs>
        <w:spacing w:after="120"/>
        <w:ind w:left="1247"/>
        <w:jc w:val="both"/>
      </w:pPr>
      <w:r w:rsidRPr="003E73D6">
        <w:rPr>
          <w:b/>
          <w:bCs/>
          <w:u w:val="single"/>
        </w:rPr>
        <w:t>Aperçu des progrès accomplis dans la mise en œuvre du PAN.</w:t>
      </w:r>
      <w:r w:rsidRPr="003E73D6">
        <w:rPr>
          <w:u w:val="single"/>
        </w:rPr>
        <w:t xml:space="preserve"> Résumé des progrès globaux accomplis dans la mise en œuvre du PAN, y</w:t>
      </w:r>
      <w:r w:rsidR="00795167" w:rsidRPr="003E73D6">
        <w:rPr>
          <w:u w:val="single"/>
        </w:rPr>
        <w:t> </w:t>
      </w:r>
      <w:r w:rsidRPr="003E73D6">
        <w:rPr>
          <w:u w:val="single"/>
        </w:rPr>
        <w:t>compris les principaux résultats obtenus, les difficultés rencontrées et tout ajustement apporté au calendrier ou aux étapes à suivre</w:t>
      </w:r>
      <w:r w:rsidRPr="003E73D6">
        <w:t>.</w:t>
      </w:r>
    </w:p>
    <w:p w14:paraId="134F593D" w14:textId="1E1B8D89" w:rsidR="00E43635" w:rsidRPr="003E73D6" w:rsidRDefault="00E95E52" w:rsidP="002E3F08">
      <w:pPr>
        <w:numPr>
          <w:ilvl w:val="0"/>
          <w:numId w:val="20"/>
        </w:numPr>
        <w:tabs>
          <w:tab w:val="clear" w:pos="1247"/>
          <w:tab w:val="clear" w:pos="1814"/>
          <w:tab w:val="clear" w:pos="2381"/>
          <w:tab w:val="clear" w:pos="2948"/>
          <w:tab w:val="clear" w:pos="3515"/>
        </w:tabs>
        <w:spacing w:after="120"/>
        <w:ind w:left="1247"/>
        <w:jc w:val="both"/>
      </w:pPr>
      <w:r w:rsidRPr="003E73D6">
        <w:rPr>
          <w:b/>
          <w:bCs/>
          <w:u w:val="single"/>
        </w:rPr>
        <w:t>Points saillants</w:t>
      </w:r>
      <w:r w:rsidR="00E3372B" w:rsidRPr="003E73D6">
        <w:rPr>
          <w:b/>
          <w:bCs/>
          <w:u w:val="single"/>
        </w:rPr>
        <w:t>.</w:t>
      </w:r>
      <w:r w:rsidRPr="003E73D6">
        <w:rPr>
          <w:u w:val="single"/>
        </w:rPr>
        <w:t xml:space="preserve"> Principaux résultats obtenus ou grandes étapes franchies au cours de la période considérée et estimation nationale actualisée de l</w:t>
      </w:r>
      <w:r w:rsidR="00493CFE" w:rsidRPr="003E73D6">
        <w:rPr>
          <w:u w:val="single"/>
        </w:rPr>
        <w:t>’</w:t>
      </w:r>
      <w:r w:rsidRPr="003E73D6">
        <w:rPr>
          <w:u w:val="single"/>
        </w:rPr>
        <w:t>utilisation du mercure dans l</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 et des émissions et rejets dans l</w:t>
      </w:r>
      <w:r w:rsidR="00493CFE" w:rsidRPr="003E73D6">
        <w:rPr>
          <w:u w:val="single"/>
        </w:rPr>
        <w:t>’</w:t>
      </w:r>
      <w:r w:rsidRPr="003E73D6">
        <w:rPr>
          <w:u w:val="single"/>
        </w:rPr>
        <w:t>environnement provenant des activités de traitement dans le cadre de l</w:t>
      </w:r>
      <w:r w:rsidR="00493CFE" w:rsidRPr="003E73D6">
        <w:rPr>
          <w:u w:val="single"/>
        </w:rPr>
        <w:t>’</w:t>
      </w:r>
      <w:r w:rsidRPr="003E73D6">
        <w:rPr>
          <w:u w:val="single"/>
        </w:rPr>
        <w:t>extraction minière artisanale et à petite échelle d</w:t>
      </w:r>
      <w:r w:rsidR="00493CFE" w:rsidRPr="003E73D6">
        <w:rPr>
          <w:u w:val="single"/>
        </w:rPr>
        <w:t>’</w:t>
      </w:r>
      <w:r w:rsidRPr="003E73D6">
        <w:rPr>
          <w:u w:val="single"/>
        </w:rPr>
        <w:t>or</w:t>
      </w:r>
      <w:r w:rsidRPr="003E73D6">
        <w:t>.</w:t>
      </w:r>
    </w:p>
    <w:p w14:paraId="661F3C4B" w14:textId="680C179C" w:rsidR="00E43635" w:rsidRPr="003E73D6" w:rsidRDefault="00E43635" w:rsidP="002E3F08">
      <w:pPr>
        <w:numPr>
          <w:ilvl w:val="0"/>
          <w:numId w:val="20"/>
        </w:numPr>
        <w:tabs>
          <w:tab w:val="clear" w:pos="1247"/>
          <w:tab w:val="clear" w:pos="1814"/>
          <w:tab w:val="clear" w:pos="2381"/>
          <w:tab w:val="clear" w:pos="2948"/>
          <w:tab w:val="clear" w:pos="3515"/>
        </w:tabs>
        <w:spacing w:after="120"/>
        <w:ind w:left="1247"/>
        <w:jc w:val="both"/>
      </w:pPr>
      <w:r w:rsidRPr="003E73D6">
        <w:rPr>
          <w:b/>
          <w:bCs/>
          <w:u w:val="single"/>
        </w:rPr>
        <w:t>Domaines méritant une attention</w:t>
      </w:r>
      <w:r w:rsidR="00E3372B" w:rsidRPr="003E73D6">
        <w:rPr>
          <w:b/>
          <w:bCs/>
          <w:u w:val="single"/>
        </w:rPr>
        <w:t>.</w:t>
      </w:r>
      <w:r w:rsidRPr="003E73D6">
        <w:rPr>
          <w:u w:val="single"/>
        </w:rPr>
        <w:t xml:space="preserve"> Questions qui méritent une attention particulière ou un ajustement de la stratégie de mise en œuvre</w:t>
      </w:r>
      <w:r w:rsidRPr="003E73D6">
        <w:t>.</w:t>
      </w:r>
    </w:p>
    <w:bookmarkEnd w:id="9"/>
    <w:p w14:paraId="5758FFDB" w14:textId="77777777" w:rsidR="002D2AD5" w:rsidRPr="003E73D6" w:rsidRDefault="002D2AD5" w:rsidP="00F56759">
      <w:pPr>
        <w:pStyle w:val="Normal-pool"/>
      </w:pPr>
    </w:p>
    <w:p w14:paraId="0C5C6302" w14:textId="77777777" w:rsidR="002D2AD5" w:rsidRPr="003E73D6" w:rsidRDefault="002D2AD5" w:rsidP="00F56759">
      <w:pPr>
        <w:pStyle w:val="Normal-pool"/>
        <w:rPr>
          <w:b/>
          <w:bCs/>
          <w:u w:val="single"/>
        </w:rPr>
        <w:sectPr w:rsidR="002D2AD5" w:rsidRPr="003E73D6" w:rsidSect="002E3F08">
          <w:headerReference w:type="even" r:id="rId18"/>
          <w:headerReference w:type="default" r:id="rId19"/>
          <w:footerReference w:type="even" r:id="rId20"/>
          <w:footerReference w:type="default" r:id="rId21"/>
          <w:footerReference w:type="first" r:id="rId22"/>
          <w:pgSz w:w="11907" w:h="16839" w:code="9"/>
          <w:pgMar w:top="907" w:right="992" w:bottom="1418" w:left="1418" w:header="539" w:footer="975" w:gutter="0"/>
          <w:cols w:space="539"/>
          <w:titlePg/>
          <w:docGrid w:linePitch="360"/>
        </w:sectPr>
      </w:pPr>
    </w:p>
    <w:p w14:paraId="4F4EED29" w14:textId="123F884C" w:rsidR="00E43635" w:rsidRPr="003E73D6" w:rsidRDefault="00E43635" w:rsidP="00F20522">
      <w:pPr>
        <w:spacing w:after="120"/>
        <w:rPr>
          <w:b/>
          <w:bCs/>
          <w:u w:val="single"/>
        </w:rPr>
      </w:pPr>
      <w:r w:rsidRPr="003E73D6">
        <w:rPr>
          <w:b/>
          <w:bCs/>
          <w:u w:val="single"/>
        </w:rPr>
        <w:lastRenderedPageBreak/>
        <w:t>Section 2</w:t>
      </w:r>
      <w:r w:rsidR="00493CFE" w:rsidRPr="003E73D6">
        <w:rPr>
          <w:b/>
          <w:bCs/>
          <w:u w:val="single"/>
        </w:rPr>
        <w:t> :</w:t>
      </w:r>
      <w:r w:rsidRPr="003E73D6">
        <w:rPr>
          <w:b/>
          <w:bCs/>
          <w:u w:val="single"/>
        </w:rPr>
        <w:t xml:space="preserve"> État de la mise en œuvre du PAN.</w:t>
      </w:r>
      <w:r w:rsidRPr="003E73D6">
        <w:rPr>
          <w:u w:val="single"/>
        </w:rPr>
        <w:t xml:space="preserve"> Le tableau ci-dessous propose un formulaire pour rendre compte de l</w:t>
      </w:r>
      <w:r w:rsidR="00493CFE" w:rsidRPr="003E73D6">
        <w:rPr>
          <w:u w:val="single"/>
        </w:rPr>
        <w:t>’</w:t>
      </w:r>
      <w:r w:rsidRPr="003E73D6">
        <w:rPr>
          <w:u w:val="single"/>
        </w:rPr>
        <w:t>état d</w:t>
      </w:r>
      <w:r w:rsidR="00493CFE" w:rsidRPr="003E73D6">
        <w:rPr>
          <w:u w:val="single"/>
        </w:rPr>
        <w:t>’</w:t>
      </w:r>
      <w:r w:rsidRPr="003E73D6">
        <w:rPr>
          <w:u w:val="single"/>
        </w:rPr>
        <w:t>avancement des objectifs, cibles et stratégies définies à</w:t>
      </w:r>
      <w:r w:rsidR="00747157" w:rsidRPr="003E73D6">
        <w:rPr>
          <w:u w:val="single"/>
        </w:rPr>
        <w:t> </w:t>
      </w:r>
      <w:r w:rsidRPr="003E73D6">
        <w:rPr>
          <w:u w:val="single"/>
        </w:rPr>
        <w:t>l</w:t>
      </w:r>
      <w:r w:rsidR="00493CFE" w:rsidRPr="003E73D6">
        <w:rPr>
          <w:u w:val="single"/>
        </w:rPr>
        <w:t>’</w:t>
      </w:r>
      <w:r w:rsidRPr="003E73D6">
        <w:rPr>
          <w:u w:val="single"/>
        </w:rPr>
        <w:t>échelle nationale dans le PAN.</w:t>
      </w:r>
    </w:p>
    <w:tbl>
      <w:tblPr>
        <w:tblStyle w:val="TableGridLight"/>
        <w:tblW w:w="5000" w:type="pct"/>
        <w:jc w:val="right"/>
        <w:tblLayout w:type="fixed"/>
        <w:tblLook w:val="04A0" w:firstRow="1" w:lastRow="0" w:firstColumn="1" w:lastColumn="0" w:noHBand="0" w:noVBand="1"/>
      </w:tblPr>
      <w:tblGrid>
        <w:gridCol w:w="3094"/>
        <w:gridCol w:w="1128"/>
        <w:gridCol w:w="1155"/>
        <w:gridCol w:w="1724"/>
        <w:gridCol w:w="1724"/>
        <w:gridCol w:w="1880"/>
        <w:gridCol w:w="1999"/>
        <w:gridCol w:w="15"/>
        <w:gridCol w:w="1700"/>
      </w:tblGrid>
      <w:tr w:rsidR="002D2AD5" w:rsidRPr="003E73D6" w14:paraId="60F8195A" w14:textId="77777777" w:rsidTr="00292D55">
        <w:trPr>
          <w:tblHeader/>
          <w:jc w:val="right"/>
        </w:trPr>
        <w:tc>
          <w:tcPr>
            <w:tcW w:w="3094" w:type="dxa"/>
            <w:hideMark/>
          </w:tcPr>
          <w:p w14:paraId="21ED28E5" w14:textId="3FA48D9F" w:rsidR="00E43635" w:rsidRPr="003E73D6" w:rsidRDefault="00E43635" w:rsidP="00C8748D">
            <w:pPr>
              <w:ind w:left="-43"/>
              <w:rPr>
                <w:b/>
                <w:bCs/>
                <w:sz w:val="18"/>
                <w:szCs w:val="18"/>
                <w:u w:val="single"/>
              </w:rPr>
            </w:pPr>
            <w:r w:rsidRPr="003E73D6">
              <w:rPr>
                <w:b/>
                <w:bCs/>
                <w:color w:val="000000"/>
                <w:sz w:val="18"/>
                <w:szCs w:val="18"/>
                <w:u w:val="single"/>
              </w:rPr>
              <w:t>Annexe</w:t>
            </w:r>
            <w:r w:rsidR="00562F0F" w:rsidRPr="003E73D6">
              <w:rPr>
                <w:b/>
                <w:bCs/>
                <w:color w:val="000000"/>
                <w:sz w:val="18"/>
                <w:szCs w:val="18"/>
                <w:u w:val="single"/>
              </w:rPr>
              <w:t> </w:t>
            </w:r>
            <w:r w:rsidRPr="003E73D6">
              <w:rPr>
                <w:b/>
                <w:bCs/>
                <w:color w:val="000000"/>
                <w:sz w:val="18"/>
                <w:szCs w:val="18"/>
                <w:u w:val="single"/>
              </w:rPr>
              <w:t>C et décisions pertinentes de</w:t>
            </w:r>
            <w:r w:rsidR="00391ECE" w:rsidRPr="003E73D6">
              <w:rPr>
                <w:b/>
                <w:bCs/>
                <w:color w:val="000000"/>
                <w:sz w:val="18"/>
                <w:szCs w:val="18"/>
                <w:u w:val="single"/>
              </w:rPr>
              <w:t> </w:t>
            </w:r>
            <w:r w:rsidRPr="003E73D6">
              <w:rPr>
                <w:b/>
                <w:bCs/>
                <w:color w:val="000000"/>
                <w:sz w:val="18"/>
                <w:szCs w:val="18"/>
                <w:u w:val="single"/>
              </w:rPr>
              <w:t>la Conférence des Parties</w:t>
            </w:r>
          </w:p>
        </w:tc>
        <w:tc>
          <w:tcPr>
            <w:tcW w:w="1128" w:type="dxa"/>
          </w:tcPr>
          <w:p w14:paraId="22469B5B" w14:textId="77777777" w:rsidR="00E43635" w:rsidRPr="003E73D6" w:rsidRDefault="00E43635" w:rsidP="00C8748D">
            <w:pPr>
              <w:rPr>
                <w:b/>
                <w:bCs/>
                <w:sz w:val="18"/>
                <w:szCs w:val="18"/>
                <w:u w:val="single"/>
              </w:rPr>
            </w:pPr>
            <w:r w:rsidRPr="003E73D6">
              <w:rPr>
                <w:b/>
                <w:bCs/>
                <w:color w:val="000000"/>
                <w:sz w:val="18"/>
                <w:szCs w:val="18"/>
                <w:u w:val="single"/>
              </w:rPr>
              <w:t>Cibles /</w:t>
            </w:r>
          </w:p>
          <w:p w14:paraId="09C2B473" w14:textId="77777777" w:rsidR="00E43635" w:rsidRPr="003E73D6" w:rsidRDefault="0097296F" w:rsidP="00C8748D">
            <w:pPr>
              <w:rPr>
                <w:b/>
                <w:bCs/>
                <w:sz w:val="18"/>
                <w:szCs w:val="18"/>
                <w:u w:val="single"/>
              </w:rPr>
            </w:pPr>
            <w:proofErr w:type="gramStart"/>
            <w:r w:rsidRPr="003E73D6">
              <w:rPr>
                <w:b/>
                <w:bCs/>
                <w:color w:val="000000"/>
                <w:sz w:val="18"/>
                <w:szCs w:val="18"/>
                <w:u w:val="single"/>
              </w:rPr>
              <w:t>indicateurs</w:t>
            </w:r>
            <w:proofErr w:type="gramEnd"/>
          </w:p>
        </w:tc>
        <w:tc>
          <w:tcPr>
            <w:tcW w:w="1155" w:type="dxa"/>
            <w:hideMark/>
          </w:tcPr>
          <w:p w14:paraId="0D9150B5" w14:textId="77777777" w:rsidR="00E43635" w:rsidRPr="003E73D6" w:rsidRDefault="00E43635" w:rsidP="00C8748D">
            <w:pPr>
              <w:rPr>
                <w:b/>
                <w:bCs/>
                <w:sz w:val="18"/>
                <w:szCs w:val="18"/>
                <w:u w:val="single"/>
              </w:rPr>
            </w:pPr>
            <w:r w:rsidRPr="003E73D6">
              <w:rPr>
                <w:b/>
                <w:bCs/>
                <w:color w:val="000000"/>
                <w:sz w:val="18"/>
                <w:szCs w:val="18"/>
                <w:u w:val="single"/>
              </w:rPr>
              <w:t>Calendrier initial</w:t>
            </w:r>
          </w:p>
        </w:tc>
        <w:tc>
          <w:tcPr>
            <w:tcW w:w="1724" w:type="dxa"/>
            <w:hideMark/>
          </w:tcPr>
          <w:p w14:paraId="1AD1FAAF" w14:textId="77777777" w:rsidR="00E43635" w:rsidRPr="003E73D6" w:rsidRDefault="00E43635" w:rsidP="00C8748D">
            <w:pPr>
              <w:rPr>
                <w:b/>
                <w:bCs/>
                <w:sz w:val="18"/>
                <w:szCs w:val="18"/>
                <w:u w:val="single"/>
              </w:rPr>
            </w:pPr>
            <w:r w:rsidRPr="003E73D6">
              <w:rPr>
                <w:b/>
                <w:bCs/>
                <w:color w:val="000000"/>
                <w:sz w:val="18"/>
                <w:szCs w:val="18"/>
                <w:u w:val="single"/>
              </w:rPr>
              <w:t>Calendrier ajusté (le cas échéant)</w:t>
            </w:r>
          </w:p>
        </w:tc>
        <w:tc>
          <w:tcPr>
            <w:tcW w:w="1724" w:type="dxa"/>
            <w:hideMark/>
          </w:tcPr>
          <w:p w14:paraId="048AD7A1" w14:textId="6DA1AFFF" w:rsidR="00E43635" w:rsidRPr="003E73D6" w:rsidRDefault="00E43635" w:rsidP="00C8748D">
            <w:pPr>
              <w:rPr>
                <w:b/>
                <w:bCs/>
                <w:sz w:val="18"/>
                <w:szCs w:val="18"/>
                <w:u w:val="single"/>
              </w:rPr>
            </w:pPr>
            <w:r w:rsidRPr="003E73D6">
              <w:rPr>
                <w:b/>
                <w:bCs/>
                <w:color w:val="000000"/>
                <w:sz w:val="18"/>
                <w:szCs w:val="18"/>
                <w:u w:val="single"/>
              </w:rPr>
              <w:t>État de la mise en</w:t>
            </w:r>
            <w:r w:rsidR="00391ECE" w:rsidRPr="003E73D6">
              <w:rPr>
                <w:b/>
                <w:bCs/>
                <w:color w:val="000000"/>
                <w:sz w:val="18"/>
                <w:szCs w:val="18"/>
                <w:u w:val="single"/>
              </w:rPr>
              <w:t> </w:t>
            </w:r>
            <w:r w:rsidRPr="003E73D6">
              <w:rPr>
                <w:b/>
                <w:bCs/>
                <w:color w:val="000000"/>
                <w:sz w:val="18"/>
                <w:szCs w:val="18"/>
                <w:u w:val="single"/>
              </w:rPr>
              <w:t>œuvre</w:t>
            </w:r>
          </w:p>
        </w:tc>
        <w:tc>
          <w:tcPr>
            <w:tcW w:w="1880" w:type="dxa"/>
            <w:hideMark/>
          </w:tcPr>
          <w:p w14:paraId="5D7EFCF9" w14:textId="77777777" w:rsidR="00E43635" w:rsidRPr="003E73D6" w:rsidRDefault="00E43635" w:rsidP="00C8748D">
            <w:pPr>
              <w:ind w:right="-270"/>
              <w:jc w:val="both"/>
              <w:rPr>
                <w:b/>
                <w:sz w:val="18"/>
                <w:szCs w:val="18"/>
                <w:u w:val="single"/>
              </w:rPr>
            </w:pPr>
            <w:r w:rsidRPr="003E73D6">
              <w:rPr>
                <w:b/>
                <w:bCs/>
                <w:color w:val="000000"/>
                <w:sz w:val="18"/>
                <w:szCs w:val="18"/>
                <w:u w:val="single"/>
              </w:rPr>
              <w:t>Progrès / achèvement</w:t>
            </w:r>
            <w:r w:rsidRPr="003E73D6">
              <w:rPr>
                <w:color w:val="000000"/>
                <w:sz w:val="18"/>
                <w:szCs w:val="18"/>
              </w:rPr>
              <w:t xml:space="preserve"> </w:t>
            </w:r>
          </w:p>
          <w:p w14:paraId="6BBBD337" w14:textId="77777777" w:rsidR="00E43635" w:rsidRPr="003E73D6" w:rsidRDefault="00E43635" w:rsidP="00C8748D">
            <w:pPr>
              <w:ind w:right="-270"/>
              <w:rPr>
                <w:b/>
                <w:bCs/>
                <w:sz w:val="18"/>
                <w:szCs w:val="18"/>
                <w:u w:val="single"/>
              </w:rPr>
            </w:pPr>
            <w:r w:rsidRPr="003E73D6">
              <w:rPr>
                <w:b/>
                <w:bCs/>
                <w:color w:val="000000"/>
                <w:sz w:val="18"/>
                <w:szCs w:val="18"/>
                <w:u w:val="single"/>
              </w:rPr>
              <w:t>(</w:t>
            </w:r>
            <w:proofErr w:type="gramStart"/>
            <w:r w:rsidRPr="003E73D6">
              <w:rPr>
                <w:b/>
                <w:bCs/>
                <w:color w:val="000000"/>
                <w:sz w:val="18"/>
                <w:szCs w:val="18"/>
                <w:u w:val="single"/>
              </w:rPr>
              <w:t>pourcentage</w:t>
            </w:r>
            <w:proofErr w:type="gramEnd"/>
            <w:r w:rsidRPr="003E73D6">
              <w:rPr>
                <w:b/>
                <w:bCs/>
                <w:color w:val="000000"/>
                <w:sz w:val="18"/>
                <w:szCs w:val="18"/>
                <w:u w:val="single"/>
              </w:rPr>
              <w:t>)</w:t>
            </w:r>
            <w:r w:rsidRPr="003E73D6">
              <w:rPr>
                <w:b/>
                <w:bCs/>
                <w:i/>
                <w:iCs/>
                <w:color w:val="000000"/>
                <w:sz w:val="18"/>
                <w:szCs w:val="18"/>
                <w:u w:val="single"/>
                <w:vertAlign w:val="superscript"/>
              </w:rPr>
              <w:t>a</w:t>
            </w:r>
          </w:p>
        </w:tc>
        <w:tc>
          <w:tcPr>
            <w:tcW w:w="1999" w:type="dxa"/>
            <w:hideMark/>
          </w:tcPr>
          <w:p w14:paraId="1FA2E15D" w14:textId="77777777" w:rsidR="00E43635" w:rsidRPr="003E73D6" w:rsidRDefault="00E43635" w:rsidP="00C8748D">
            <w:pPr>
              <w:jc w:val="center"/>
              <w:rPr>
                <w:b/>
                <w:bCs/>
                <w:sz w:val="18"/>
                <w:szCs w:val="18"/>
                <w:u w:val="single"/>
              </w:rPr>
            </w:pPr>
            <w:r w:rsidRPr="003E73D6">
              <w:rPr>
                <w:b/>
                <w:bCs/>
                <w:color w:val="000000"/>
                <w:sz w:val="18"/>
                <w:szCs w:val="18"/>
                <w:u w:val="single"/>
              </w:rPr>
              <w:t>Mesures prises</w:t>
            </w:r>
          </w:p>
        </w:tc>
        <w:tc>
          <w:tcPr>
            <w:tcW w:w="1715" w:type="dxa"/>
            <w:gridSpan w:val="2"/>
            <w:hideMark/>
          </w:tcPr>
          <w:p w14:paraId="46AC7457" w14:textId="77777777" w:rsidR="00E43635" w:rsidRPr="003E73D6" w:rsidRDefault="00E43635" w:rsidP="00C8748D">
            <w:pPr>
              <w:jc w:val="center"/>
              <w:rPr>
                <w:b/>
                <w:bCs/>
                <w:sz w:val="18"/>
                <w:szCs w:val="18"/>
                <w:u w:val="single"/>
              </w:rPr>
            </w:pPr>
            <w:r w:rsidRPr="003E73D6">
              <w:rPr>
                <w:b/>
                <w:bCs/>
                <w:color w:val="000000"/>
                <w:sz w:val="18"/>
                <w:szCs w:val="18"/>
                <w:u w:val="single"/>
              </w:rPr>
              <w:t>Difficultés/retards</w:t>
            </w:r>
            <w:r w:rsidRPr="003E73D6">
              <w:rPr>
                <w:color w:val="000000"/>
                <w:sz w:val="18"/>
                <w:szCs w:val="18"/>
              </w:rPr>
              <w:t xml:space="preserve"> </w:t>
            </w:r>
          </w:p>
        </w:tc>
      </w:tr>
      <w:tr w:rsidR="00E43635" w:rsidRPr="003E73D6" w14:paraId="51DC6B40" w14:textId="77777777" w:rsidTr="00292D55">
        <w:trPr>
          <w:jc w:val="right"/>
        </w:trPr>
        <w:tc>
          <w:tcPr>
            <w:tcW w:w="14419" w:type="dxa"/>
            <w:gridSpan w:val="9"/>
            <w:shd w:val="clear" w:color="auto" w:fill="BFBFBF" w:themeFill="background1" w:themeFillShade="BF"/>
          </w:tcPr>
          <w:p w14:paraId="28F1732E" w14:textId="77777777" w:rsidR="00E43635" w:rsidRPr="003E73D6" w:rsidRDefault="00E43635" w:rsidP="00C8748D">
            <w:pPr>
              <w:ind w:left="-43"/>
              <w:rPr>
                <w:sz w:val="18"/>
                <w:szCs w:val="18"/>
                <w:u w:val="single"/>
              </w:rPr>
            </w:pPr>
            <w:r w:rsidRPr="003E73D6">
              <w:rPr>
                <w:color w:val="000000"/>
                <w:sz w:val="18"/>
                <w:szCs w:val="18"/>
                <w:u w:val="single"/>
              </w:rPr>
              <w:t>Annexe C (</w:t>
            </w:r>
            <w:r w:rsidRPr="003E73D6">
              <w:rPr>
                <w:i/>
                <w:iCs/>
                <w:color w:val="000000"/>
                <w:sz w:val="18"/>
                <w:szCs w:val="18"/>
                <w:u w:val="single"/>
              </w:rPr>
              <w:t>éléments obligatoires</w:t>
            </w:r>
            <w:r w:rsidRPr="003E73D6">
              <w:rPr>
                <w:color w:val="000000"/>
                <w:sz w:val="18"/>
                <w:szCs w:val="18"/>
                <w:u w:val="single"/>
              </w:rPr>
              <w:t>)</w:t>
            </w:r>
          </w:p>
        </w:tc>
      </w:tr>
      <w:tr w:rsidR="008C3D25" w:rsidRPr="003E73D6" w14:paraId="3788E7A8" w14:textId="77777777" w:rsidTr="00292D55">
        <w:trPr>
          <w:jc w:val="right"/>
        </w:trPr>
        <w:tc>
          <w:tcPr>
            <w:tcW w:w="3094" w:type="dxa"/>
            <w:hideMark/>
          </w:tcPr>
          <w:p w14:paraId="100B514B" w14:textId="77777777" w:rsidR="008C3D25" w:rsidRPr="003E73D6" w:rsidRDefault="008C3D25" w:rsidP="002E3F08">
            <w:pPr>
              <w:pStyle w:val="ListParagraph"/>
              <w:numPr>
                <w:ilvl w:val="2"/>
                <w:numId w:val="19"/>
              </w:numPr>
              <w:tabs>
                <w:tab w:val="clear" w:pos="1247"/>
                <w:tab w:val="clear" w:pos="1814"/>
                <w:tab w:val="clear" w:pos="2381"/>
                <w:tab w:val="clear" w:pos="2948"/>
                <w:tab w:val="clear" w:pos="3515"/>
              </w:tabs>
              <w:ind w:left="166" w:hanging="207"/>
              <w:rPr>
                <w:sz w:val="18"/>
                <w:szCs w:val="18"/>
                <w:u w:val="single"/>
              </w:rPr>
            </w:pPr>
            <w:r w:rsidRPr="003E73D6">
              <w:rPr>
                <w:color w:val="000000"/>
                <w:sz w:val="18"/>
                <w:szCs w:val="18"/>
                <w:u w:val="single"/>
              </w:rPr>
              <w:t>Objectifs nationaux</w:t>
            </w:r>
            <w:r w:rsidRPr="003E73D6">
              <w:rPr>
                <w:color w:val="000000"/>
                <w:sz w:val="18"/>
                <w:szCs w:val="18"/>
              </w:rPr>
              <w:t xml:space="preserve"> </w:t>
            </w:r>
          </w:p>
        </w:tc>
        <w:tc>
          <w:tcPr>
            <w:tcW w:w="1128" w:type="dxa"/>
          </w:tcPr>
          <w:p w14:paraId="1D3A51F6" w14:textId="77777777" w:rsidR="008C3D25" w:rsidRPr="003E73D6" w:rsidRDefault="008C3D25" w:rsidP="008C3D25">
            <w:pPr>
              <w:rPr>
                <w:sz w:val="18"/>
                <w:szCs w:val="18"/>
                <w:u w:val="single"/>
              </w:rPr>
            </w:pPr>
          </w:p>
        </w:tc>
        <w:tc>
          <w:tcPr>
            <w:tcW w:w="1155" w:type="dxa"/>
            <w:hideMark/>
          </w:tcPr>
          <w:p w14:paraId="6167082E"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hideMark/>
          </w:tcPr>
          <w:p w14:paraId="48B1C74B"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hideMark/>
          </w:tcPr>
          <w:p w14:paraId="67376861"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hideMark/>
          </w:tcPr>
          <w:p w14:paraId="53AC2CCD"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hideMark/>
          </w:tcPr>
          <w:p w14:paraId="0F3F8CF7" w14:textId="7587287F"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révision du calendrier, allocation de ressources supplémentaires]</w:t>
            </w:r>
          </w:p>
        </w:tc>
        <w:tc>
          <w:tcPr>
            <w:tcW w:w="1700" w:type="dxa"/>
            <w:hideMark/>
          </w:tcPr>
          <w:p w14:paraId="140FA711" w14:textId="1CCF0B0E"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retard dû</w:t>
            </w:r>
            <w:r w:rsidR="00BB6B7F" w:rsidRPr="003E73D6">
              <w:rPr>
                <w:color w:val="000000"/>
                <w:sz w:val="18"/>
                <w:szCs w:val="18"/>
                <w:u w:val="single"/>
              </w:rPr>
              <w:t> </w:t>
            </w:r>
            <w:r w:rsidR="008C3D25" w:rsidRPr="003E73D6">
              <w:rPr>
                <w:color w:val="000000"/>
                <w:sz w:val="18"/>
                <w:szCs w:val="18"/>
                <w:u w:val="single"/>
              </w:rPr>
              <w:t>à des problèmes de</w:t>
            </w:r>
            <w:r w:rsidR="00BB6B7F" w:rsidRPr="003E73D6">
              <w:rPr>
                <w:color w:val="000000"/>
                <w:sz w:val="18"/>
                <w:szCs w:val="18"/>
                <w:u w:val="single"/>
              </w:rPr>
              <w:t> </w:t>
            </w:r>
            <w:r w:rsidR="008C3D25" w:rsidRPr="003E73D6">
              <w:rPr>
                <w:color w:val="000000"/>
                <w:sz w:val="18"/>
                <w:szCs w:val="18"/>
                <w:u w:val="single"/>
              </w:rPr>
              <w:t>financement]</w:t>
            </w:r>
            <w:r w:rsidR="008C3D25" w:rsidRPr="003E73D6">
              <w:rPr>
                <w:color w:val="000000"/>
                <w:sz w:val="18"/>
                <w:szCs w:val="18"/>
              </w:rPr>
              <w:t xml:space="preserve"> </w:t>
            </w:r>
          </w:p>
        </w:tc>
      </w:tr>
      <w:tr w:rsidR="008C3D25" w:rsidRPr="003E73D6" w14:paraId="3E611D34" w14:textId="77777777" w:rsidTr="00292D55">
        <w:trPr>
          <w:jc w:val="right"/>
        </w:trPr>
        <w:tc>
          <w:tcPr>
            <w:tcW w:w="3094" w:type="dxa"/>
          </w:tcPr>
          <w:p w14:paraId="1A2BDF84" w14:textId="77777777" w:rsidR="008C3D25" w:rsidRPr="003E73D6" w:rsidDel="00AA2BA3" w:rsidRDefault="008C3D25" w:rsidP="002E3F08">
            <w:pPr>
              <w:pStyle w:val="ListParagraph"/>
              <w:numPr>
                <w:ilvl w:val="2"/>
                <w:numId w:val="19"/>
              </w:numPr>
              <w:tabs>
                <w:tab w:val="clear" w:pos="1247"/>
                <w:tab w:val="clear" w:pos="1814"/>
                <w:tab w:val="clear" w:pos="2381"/>
                <w:tab w:val="clear" w:pos="2948"/>
                <w:tab w:val="clear" w:pos="3515"/>
              </w:tabs>
              <w:ind w:left="166" w:hanging="207"/>
              <w:rPr>
                <w:sz w:val="18"/>
                <w:szCs w:val="18"/>
                <w:u w:val="single"/>
              </w:rPr>
            </w:pPr>
            <w:r w:rsidRPr="003E73D6">
              <w:rPr>
                <w:color w:val="000000"/>
                <w:sz w:val="18"/>
                <w:szCs w:val="18"/>
                <w:u w:val="single"/>
              </w:rPr>
              <w:t>Cibles de réduction</w:t>
            </w:r>
          </w:p>
        </w:tc>
        <w:tc>
          <w:tcPr>
            <w:tcW w:w="1128" w:type="dxa"/>
          </w:tcPr>
          <w:p w14:paraId="202A895F" w14:textId="77777777" w:rsidR="008C3D25" w:rsidRPr="003E73D6" w:rsidRDefault="008C3D25" w:rsidP="008C3D25">
            <w:pPr>
              <w:rPr>
                <w:sz w:val="18"/>
                <w:szCs w:val="18"/>
                <w:u w:val="single"/>
              </w:rPr>
            </w:pPr>
          </w:p>
        </w:tc>
        <w:tc>
          <w:tcPr>
            <w:tcW w:w="1155" w:type="dxa"/>
          </w:tcPr>
          <w:p w14:paraId="1AE4C0C1"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54C36B47"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67F7615A"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185E9C61"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00A1F12F" w14:textId="7C989E1E"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révision du calendrier, allocation de ressources supplémentaires]</w:t>
            </w:r>
          </w:p>
        </w:tc>
        <w:tc>
          <w:tcPr>
            <w:tcW w:w="1700" w:type="dxa"/>
          </w:tcPr>
          <w:p w14:paraId="5FAE5789" w14:textId="03D9921A"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retard dû</w:t>
            </w:r>
            <w:r w:rsidR="00BB6B7F" w:rsidRPr="003E73D6">
              <w:rPr>
                <w:color w:val="000000"/>
                <w:sz w:val="18"/>
                <w:szCs w:val="18"/>
                <w:u w:val="single"/>
              </w:rPr>
              <w:t> </w:t>
            </w:r>
            <w:r w:rsidR="008C3D25" w:rsidRPr="003E73D6">
              <w:rPr>
                <w:color w:val="000000"/>
                <w:sz w:val="18"/>
                <w:szCs w:val="18"/>
                <w:u w:val="single"/>
              </w:rPr>
              <w:t>à des problèmes de</w:t>
            </w:r>
            <w:r w:rsidR="00BB6B7F" w:rsidRPr="003E73D6">
              <w:rPr>
                <w:color w:val="000000"/>
                <w:sz w:val="18"/>
                <w:szCs w:val="18"/>
                <w:u w:val="single"/>
              </w:rPr>
              <w:t> </w:t>
            </w:r>
            <w:r w:rsidR="008C3D25" w:rsidRPr="003E73D6">
              <w:rPr>
                <w:color w:val="000000"/>
                <w:sz w:val="18"/>
                <w:szCs w:val="18"/>
                <w:u w:val="single"/>
              </w:rPr>
              <w:t>financement]</w:t>
            </w:r>
            <w:r w:rsidR="008C3D25" w:rsidRPr="003E73D6">
              <w:rPr>
                <w:color w:val="000000"/>
                <w:sz w:val="18"/>
                <w:szCs w:val="18"/>
              </w:rPr>
              <w:t xml:space="preserve"> </w:t>
            </w:r>
          </w:p>
        </w:tc>
      </w:tr>
      <w:tr w:rsidR="002D2AD5" w:rsidRPr="003E73D6" w14:paraId="432C16B8" w14:textId="77777777" w:rsidTr="00292D55">
        <w:trPr>
          <w:jc w:val="right"/>
        </w:trPr>
        <w:tc>
          <w:tcPr>
            <w:tcW w:w="3094" w:type="dxa"/>
            <w:hideMark/>
          </w:tcPr>
          <w:p w14:paraId="2EAA318D" w14:textId="4E6A0A7B" w:rsidR="00E43635" w:rsidRPr="003E73D6" w:rsidRDefault="00E43635"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Mesures d</w:t>
            </w:r>
            <w:r w:rsidR="00493CFE" w:rsidRPr="003E73D6">
              <w:rPr>
                <w:color w:val="000000"/>
                <w:sz w:val="18"/>
                <w:szCs w:val="18"/>
                <w:u w:val="single"/>
              </w:rPr>
              <w:t>’</w:t>
            </w:r>
            <w:r w:rsidRPr="003E73D6">
              <w:rPr>
                <w:color w:val="000000"/>
                <w:sz w:val="18"/>
                <w:szCs w:val="18"/>
                <w:u w:val="single"/>
              </w:rPr>
              <w:t>élimination</w:t>
            </w:r>
            <w:r w:rsidR="00493CFE" w:rsidRPr="003E73D6">
              <w:rPr>
                <w:color w:val="000000"/>
                <w:sz w:val="18"/>
                <w:szCs w:val="18"/>
                <w:u w:val="single"/>
              </w:rPr>
              <w:t> :</w:t>
            </w:r>
            <w:r w:rsidRPr="003E73D6">
              <w:rPr>
                <w:color w:val="000000"/>
                <w:sz w:val="18"/>
                <w:szCs w:val="18"/>
              </w:rPr>
              <w:t xml:space="preserve"> </w:t>
            </w:r>
          </w:p>
        </w:tc>
        <w:tc>
          <w:tcPr>
            <w:tcW w:w="1128" w:type="dxa"/>
          </w:tcPr>
          <w:p w14:paraId="523BCA02" w14:textId="77777777" w:rsidR="00E43635" w:rsidRPr="003E73D6" w:rsidRDefault="00E43635">
            <w:pPr>
              <w:rPr>
                <w:sz w:val="18"/>
                <w:szCs w:val="18"/>
                <w:u w:val="single"/>
              </w:rPr>
            </w:pPr>
          </w:p>
        </w:tc>
        <w:tc>
          <w:tcPr>
            <w:tcW w:w="1155" w:type="dxa"/>
            <w:hideMark/>
          </w:tcPr>
          <w:p w14:paraId="5AC19C1F" w14:textId="77777777" w:rsidR="00E43635" w:rsidRPr="003E73D6" w:rsidRDefault="00E43635">
            <w:pPr>
              <w:rPr>
                <w:sz w:val="18"/>
                <w:szCs w:val="18"/>
                <w:u w:val="single"/>
              </w:rPr>
            </w:pPr>
          </w:p>
        </w:tc>
        <w:tc>
          <w:tcPr>
            <w:tcW w:w="1724" w:type="dxa"/>
            <w:hideMark/>
          </w:tcPr>
          <w:p w14:paraId="508F3298" w14:textId="77777777" w:rsidR="00E43635" w:rsidRPr="003E73D6" w:rsidRDefault="00E43635">
            <w:pPr>
              <w:rPr>
                <w:sz w:val="18"/>
                <w:szCs w:val="18"/>
                <w:u w:val="single"/>
              </w:rPr>
            </w:pPr>
          </w:p>
        </w:tc>
        <w:tc>
          <w:tcPr>
            <w:tcW w:w="1724" w:type="dxa"/>
            <w:hideMark/>
          </w:tcPr>
          <w:p w14:paraId="2094C930" w14:textId="77777777" w:rsidR="00E43635" w:rsidRPr="003E73D6" w:rsidRDefault="00E43635">
            <w:pPr>
              <w:rPr>
                <w:sz w:val="18"/>
                <w:szCs w:val="18"/>
                <w:u w:val="single"/>
              </w:rPr>
            </w:pPr>
          </w:p>
        </w:tc>
        <w:tc>
          <w:tcPr>
            <w:tcW w:w="1880" w:type="dxa"/>
            <w:hideMark/>
          </w:tcPr>
          <w:p w14:paraId="06F6F35C" w14:textId="77777777" w:rsidR="00E43635" w:rsidRPr="003E73D6" w:rsidRDefault="00E43635">
            <w:pPr>
              <w:ind w:right="-270"/>
              <w:rPr>
                <w:sz w:val="18"/>
                <w:szCs w:val="18"/>
                <w:u w:val="single"/>
              </w:rPr>
            </w:pPr>
          </w:p>
        </w:tc>
        <w:tc>
          <w:tcPr>
            <w:tcW w:w="2014" w:type="dxa"/>
            <w:gridSpan w:val="2"/>
            <w:hideMark/>
          </w:tcPr>
          <w:p w14:paraId="4AE2B762" w14:textId="77777777" w:rsidR="00E43635" w:rsidRPr="003E73D6" w:rsidRDefault="00E43635">
            <w:pPr>
              <w:rPr>
                <w:sz w:val="18"/>
                <w:szCs w:val="18"/>
                <w:u w:val="single"/>
              </w:rPr>
            </w:pPr>
          </w:p>
        </w:tc>
        <w:tc>
          <w:tcPr>
            <w:tcW w:w="1700" w:type="dxa"/>
            <w:hideMark/>
          </w:tcPr>
          <w:p w14:paraId="76A215D2" w14:textId="77777777" w:rsidR="00E43635" w:rsidRPr="003E73D6" w:rsidRDefault="00E43635">
            <w:pPr>
              <w:rPr>
                <w:sz w:val="18"/>
                <w:szCs w:val="18"/>
                <w:u w:val="single"/>
              </w:rPr>
            </w:pPr>
          </w:p>
        </w:tc>
      </w:tr>
      <w:tr w:rsidR="008C3D25" w:rsidRPr="003E73D6" w14:paraId="70ABB513" w14:textId="77777777" w:rsidTr="00292D55">
        <w:trPr>
          <w:jc w:val="right"/>
        </w:trPr>
        <w:tc>
          <w:tcPr>
            <w:tcW w:w="3094" w:type="dxa"/>
          </w:tcPr>
          <w:p w14:paraId="0D706D62" w14:textId="77777777" w:rsidR="008C3D25" w:rsidRPr="003E73D6" w:rsidDel="00AA2BA3" w:rsidRDefault="008C3D25" w:rsidP="002E3F08">
            <w:pPr>
              <w:pStyle w:val="ListParagraph"/>
              <w:numPr>
                <w:ilvl w:val="0"/>
                <w:numId w:val="23"/>
              </w:numPr>
              <w:tabs>
                <w:tab w:val="clear" w:pos="1247"/>
                <w:tab w:val="clear" w:pos="1814"/>
                <w:tab w:val="clear" w:pos="2381"/>
                <w:tab w:val="clear" w:pos="2948"/>
                <w:tab w:val="clear" w:pos="3515"/>
                <w:tab w:val="left" w:pos="733"/>
                <w:tab w:val="left" w:pos="1300"/>
              </w:tabs>
              <w:ind w:left="288" w:hanging="72"/>
              <w:rPr>
                <w:sz w:val="18"/>
                <w:szCs w:val="18"/>
                <w:u w:val="single"/>
              </w:rPr>
            </w:pPr>
            <w:r w:rsidRPr="003E73D6">
              <w:rPr>
                <w:color w:val="000000"/>
                <w:sz w:val="18"/>
                <w:szCs w:val="18"/>
                <w:u w:val="single"/>
              </w:rPr>
              <w:t>Amalgamation de minerai brut</w:t>
            </w:r>
          </w:p>
        </w:tc>
        <w:tc>
          <w:tcPr>
            <w:tcW w:w="1128" w:type="dxa"/>
          </w:tcPr>
          <w:p w14:paraId="2D210898" w14:textId="77777777" w:rsidR="008C3D25" w:rsidRPr="003E73D6" w:rsidRDefault="008C3D25" w:rsidP="008C3D25">
            <w:pPr>
              <w:rPr>
                <w:sz w:val="18"/>
                <w:szCs w:val="18"/>
                <w:u w:val="single"/>
              </w:rPr>
            </w:pPr>
          </w:p>
        </w:tc>
        <w:tc>
          <w:tcPr>
            <w:tcW w:w="1155" w:type="dxa"/>
          </w:tcPr>
          <w:p w14:paraId="67536757"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05B05052"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580619DA"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7D1AA5A5"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0251A8E6" w14:textId="4F33FA3D"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programmation de sessions de formation supplémentaires]</w:t>
            </w:r>
          </w:p>
        </w:tc>
        <w:tc>
          <w:tcPr>
            <w:tcW w:w="1700" w:type="dxa"/>
          </w:tcPr>
          <w:p w14:paraId="11C94012" w14:textId="497E946D"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adoption de technologies plus lente que prévu]</w:t>
            </w:r>
            <w:r w:rsidR="008C3D25" w:rsidRPr="003E73D6">
              <w:rPr>
                <w:color w:val="000000"/>
                <w:sz w:val="18"/>
                <w:szCs w:val="18"/>
              </w:rPr>
              <w:t xml:space="preserve"> </w:t>
            </w:r>
          </w:p>
        </w:tc>
      </w:tr>
      <w:tr w:rsidR="008C3D25" w:rsidRPr="003E73D6" w14:paraId="21681556" w14:textId="77777777" w:rsidTr="00292D55">
        <w:trPr>
          <w:jc w:val="right"/>
        </w:trPr>
        <w:tc>
          <w:tcPr>
            <w:tcW w:w="3094" w:type="dxa"/>
          </w:tcPr>
          <w:p w14:paraId="064E9623" w14:textId="19781162" w:rsidR="008C3D25" w:rsidRPr="003E73D6" w:rsidDel="00AA2BA3" w:rsidRDefault="008C3D25" w:rsidP="002E3F08">
            <w:pPr>
              <w:pStyle w:val="ListParagraph"/>
              <w:numPr>
                <w:ilvl w:val="0"/>
                <w:numId w:val="23"/>
              </w:numPr>
              <w:tabs>
                <w:tab w:val="clear" w:pos="1247"/>
                <w:tab w:val="clear" w:pos="1814"/>
                <w:tab w:val="clear" w:pos="2381"/>
                <w:tab w:val="clear" w:pos="2948"/>
                <w:tab w:val="clear" w:pos="3515"/>
                <w:tab w:val="left" w:pos="733"/>
                <w:tab w:val="left" w:pos="1300"/>
              </w:tabs>
              <w:ind w:left="288" w:hanging="72"/>
              <w:rPr>
                <w:sz w:val="18"/>
                <w:szCs w:val="18"/>
                <w:u w:val="single"/>
              </w:rPr>
            </w:pPr>
            <w:r w:rsidRPr="003E73D6">
              <w:rPr>
                <w:color w:val="000000"/>
                <w:sz w:val="18"/>
                <w:szCs w:val="18"/>
                <w:u w:val="single"/>
              </w:rPr>
              <w:t>Brûlage à l</w:t>
            </w:r>
            <w:r w:rsidR="00493CFE" w:rsidRPr="003E73D6">
              <w:rPr>
                <w:color w:val="000000"/>
                <w:sz w:val="18"/>
                <w:szCs w:val="18"/>
                <w:u w:val="single"/>
              </w:rPr>
              <w:t>’</w:t>
            </w:r>
            <w:r w:rsidRPr="003E73D6">
              <w:rPr>
                <w:color w:val="000000"/>
                <w:sz w:val="18"/>
                <w:szCs w:val="18"/>
                <w:u w:val="single"/>
              </w:rPr>
              <w:t>air libre d</w:t>
            </w:r>
            <w:r w:rsidR="00493CFE" w:rsidRPr="003E73D6">
              <w:rPr>
                <w:color w:val="000000"/>
                <w:sz w:val="18"/>
                <w:szCs w:val="18"/>
                <w:u w:val="single"/>
              </w:rPr>
              <w:t>’</w:t>
            </w:r>
            <w:r w:rsidRPr="003E73D6">
              <w:rPr>
                <w:color w:val="000000"/>
                <w:sz w:val="18"/>
                <w:szCs w:val="18"/>
                <w:u w:val="single"/>
              </w:rPr>
              <w:t>amalgames ou d</w:t>
            </w:r>
            <w:r w:rsidR="00493CFE" w:rsidRPr="003E73D6">
              <w:rPr>
                <w:color w:val="000000"/>
                <w:sz w:val="18"/>
                <w:szCs w:val="18"/>
                <w:u w:val="single"/>
              </w:rPr>
              <w:t>’</w:t>
            </w:r>
            <w:r w:rsidRPr="003E73D6">
              <w:rPr>
                <w:color w:val="000000"/>
                <w:sz w:val="18"/>
                <w:szCs w:val="18"/>
                <w:u w:val="single"/>
              </w:rPr>
              <w:t>amalgames transformés</w:t>
            </w:r>
          </w:p>
        </w:tc>
        <w:tc>
          <w:tcPr>
            <w:tcW w:w="1128" w:type="dxa"/>
          </w:tcPr>
          <w:p w14:paraId="0FE2767D" w14:textId="77777777" w:rsidR="008C3D25" w:rsidRPr="003E73D6" w:rsidRDefault="008C3D25" w:rsidP="008C3D25">
            <w:pPr>
              <w:rPr>
                <w:sz w:val="18"/>
                <w:szCs w:val="18"/>
                <w:u w:val="single"/>
              </w:rPr>
            </w:pPr>
          </w:p>
        </w:tc>
        <w:tc>
          <w:tcPr>
            <w:tcW w:w="1155" w:type="dxa"/>
          </w:tcPr>
          <w:p w14:paraId="7DE84E9B"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541C8F29"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66AD05AA"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16BF2892"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3E842C66" w14:textId="5AD6DE33"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programmation de sessions de formation supplémentaires]</w:t>
            </w:r>
            <w:r w:rsidR="008C3D25" w:rsidRPr="003E73D6">
              <w:rPr>
                <w:color w:val="000000"/>
                <w:sz w:val="18"/>
                <w:szCs w:val="18"/>
              </w:rPr>
              <w:t xml:space="preserve"> </w:t>
            </w:r>
          </w:p>
        </w:tc>
        <w:tc>
          <w:tcPr>
            <w:tcW w:w="1700" w:type="dxa"/>
          </w:tcPr>
          <w:p w14:paraId="6FA82A35" w14:textId="12879F93"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adoption de technologies plus lente que prévu]</w:t>
            </w:r>
          </w:p>
        </w:tc>
      </w:tr>
      <w:tr w:rsidR="008C3D25" w:rsidRPr="003E73D6" w14:paraId="42D7A9C2" w14:textId="77777777" w:rsidTr="00292D55">
        <w:trPr>
          <w:jc w:val="right"/>
        </w:trPr>
        <w:tc>
          <w:tcPr>
            <w:tcW w:w="3094" w:type="dxa"/>
          </w:tcPr>
          <w:p w14:paraId="3107553E" w14:textId="5BF96DB9" w:rsidR="008C3D25" w:rsidRPr="003E73D6" w:rsidDel="00AA2BA3" w:rsidRDefault="008C3D25" w:rsidP="002E3F08">
            <w:pPr>
              <w:pStyle w:val="ListParagraph"/>
              <w:numPr>
                <w:ilvl w:val="0"/>
                <w:numId w:val="23"/>
              </w:numPr>
              <w:tabs>
                <w:tab w:val="clear" w:pos="1247"/>
                <w:tab w:val="clear" w:pos="1814"/>
                <w:tab w:val="clear" w:pos="2381"/>
                <w:tab w:val="clear" w:pos="2948"/>
                <w:tab w:val="clear" w:pos="3515"/>
                <w:tab w:val="left" w:pos="733"/>
                <w:tab w:val="left" w:pos="1300"/>
              </w:tabs>
              <w:ind w:left="288" w:hanging="72"/>
              <w:rPr>
                <w:sz w:val="18"/>
                <w:szCs w:val="18"/>
                <w:u w:val="single"/>
              </w:rPr>
            </w:pPr>
            <w:r w:rsidRPr="003E73D6">
              <w:rPr>
                <w:color w:val="000000"/>
                <w:sz w:val="18"/>
                <w:szCs w:val="18"/>
                <w:u w:val="single"/>
              </w:rPr>
              <w:t>Brûlage d</w:t>
            </w:r>
            <w:r w:rsidR="00493CFE" w:rsidRPr="003E73D6">
              <w:rPr>
                <w:color w:val="000000"/>
                <w:sz w:val="18"/>
                <w:szCs w:val="18"/>
                <w:u w:val="single"/>
              </w:rPr>
              <w:t>’</w:t>
            </w:r>
            <w:r w:rsidRPr="003E73D6">
              <w:rPr>
                <w:color w:val="000000"/>
                <w:sz w:val="18"/>
                <w:szCs w:val="18"/>
                <w:u w:val="single"/>
              </w:rPr>
              <w:t>amalgames dans des zones résidentielles</w:t>
            </w:r>
          </w:p>
        </w:tc>
        <w:tc>
          <w:tcPr>
            <w:tcW w:w="1128" w:type="dxa"/>
          </w:tcPr>
          <w:p w14:paraId="015DEC91" w14:textId="77777777" w:rsidR="008C3D25" w:rsidRPr="003E73D6" w:rsidRDefault="008C3D25" w:rsidP="008C3D25">
            <w:pPr>
              <w:rPr>
                <w:sz w:val="18"/>
                <w:szCs w:val="18"/>
                <w:u w:val="single"/>
              </w:rPr>
            </w:pPr>
          </w:p>
        </w:tc>
        <w:tc>
          <w:tcPr>
            <w:tcW w:w="1155" w:type="dxa"/>
          </w:tcPr>
          <w:p w14:paraId="0B491D44"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0EF48217"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552F56CD"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1421DFA3"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728D343F" w14:textId="6CDF5936"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programmation de sessions de formation supplémentaires]</w:t>
            </w:r>
            <w:r w:rsidR="008C3D25" w:rsidRPr="003E73D6">
              <w:rPr>
                <w:color w:val="000000"/>
                <w:sz w:val="18"/>
                <w:szCs w:val="18"/>
              </w:rPr>
              <w:t xml:space="preserve"> </w:t>
            </w:r>
          </w:p>
        </w:tc>
        <w:tc>
          <w:tcPr>
            <w:tcW w:w="1700" w:type="dxa"/>
          </w:tcPr>
          <w:p w14:paraId="2E1A5265" w14:textId="5571FE2A"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adoption de technologies plus lente que prévu]</w:t>
            </w:r>
          </w:p>
        </w:tc>
      </w:tr>
      <w:tr w:rsidR="008C3D25" w:rsidRPr="003E73D6" w14:paraId="5B804E86" w14:textId="77777777" w:rsidTr="00292D55">
        <w:trPr>
          <w:jc w:val="right"/>
        </w:trPr>
        <w:tc>
          <w:tcPr>
            <w:tcW w:w="3094" w:type="dxa"/>
          </w:tcPr>
          <w:p w14:paraId="669852BD" w14:textId="77777777" w:rsidR="008C3D25" w:rsidRPr="003E73D6" w:rsidDel="00AA2BA3" w:rsidRDefault="008C3D25" w:rsidP="002E3F08">
            <w:pPr>
              <w:pStyle w:val="ListParagraph"/>
              <w:numPr>
                <w:ilvl w:val="0"/>
                <w:numId w:val="23"/>
              </w:numPr>
              <w:tabs>
                <w:tab w:val="clear" w:pos="1247"/>
                <w:tab w:val="clear" w:pos="1814"/>
                <w:tab w:val="clear" w:pos="2381"/>
                <w:tab w:val="clear" w:pos="2948"/>
                <w:tab w:val="clear" w:pos="3515"/>
                <w:tab w:val="left" w:pos="733"/>
                <w:tab w:val="left" w:pos="1300"/>
              </w:tabs>
              <w:ind w:left="288" w:hanging="72"/>
              <w:rPr>
                <w:sz w:val="18"/>
                <w:szCs w:val="18"/>
                <w:u w:val="single"/>
              </w:rPr>
            </w:pPr>
            <w:r w:rsidRPr="003E73D6">
              <w:rPr>
                <w:color w:val="000000"/>
                <w:sz w:val="18"/>
                <w:szCs w:val="18"/>
                <w:u w:val="single"/>
              </w:rPr>
              <w:t>Lixiviation au cyanure de sédiments, minerais et résidus auxquels du mercure a été ajouté, sans en avoir au préalable retiré ce dernier</w:t>
            </w:r>
          </w:p>
        </w:tc>
        <w:tc>
          <w:tcPr>
            <w:tcW w:w="1128" w:type="dxa"/>
          </w:tcPr>
          <w:p w14:paraId="7CAAFFA3" w14:textId="77777777" w:rsidR="008C3D25" w:rsidRPr="003E73D6" w:rsidRDefault="008C3D25" w:rsidP="008C3D25">
            <w:pPr>
              <w:rPr>
                <w:sz w:val="18"/>
                <w:szCs w:val="18"/>
                <w:u w:val="single"/>
              </w:rPr>
            </w:pPr>
          </w:p>
        </w:tc>
        <w:tc>
          <w:tcPr>
            <w:tcW w:w="1155" w:type="dxa"/>
          </w:tcPr>
          <w:p w14:paraId="471E0E65"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671B0E08"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13F644D7"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69BBB037"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60640C17" w14:textId="0855DD98"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programmation de sessions de formation supplémentaires]</w:t>
            </w:r>
            <w:r w:rsidR="008C3D25" w:rsidRPr="003E73D6">
              <w:rPr>
                <w:color w:val="000000"/>
                <w:sz w:val="18"/>
                <w:szCs w:val="18"/>
              </w:rPr>
              <w:t xml:space="preserve"> </w:t>
            </w:r>
          </w:p>
        </w:tc>
        <w:tc>
          <w:tcPr>
            <w:tcW w:w="1700" w:type="dxa"/>
          </w:tcPr>
          <w:p w14:paraId="7930AD96" w14:textId="10805565"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adoption de technologies plus lente que prévu]</w:t>
            </w:r>
          </w:p>
        </w:tc>
      </w:tr>
      <w:tr w:rsidR="008C3D25" w:rsidRPr="003E73D6" w14:paraId="70A76529" w14:textId="77777777" w:rsidTr="00292D55">
        <w:trPr>
          <w:jc w:val="right"/>
        </w:trPr>
        <w:tc>
          <w:tcPr>
            <w:tcW w:w="3094" w:type="dxa"/>
          </w:tcPr>
          <w:p w14:paraId="64514E68" w14:textId="5BCA8678" w:rsidR="008C3D25" w:rsidRPr="003E73D6" w:rsidRDefault="008C3D25"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Mesures pour faciliter la formalisation ou la réglementation du secteur de l</w:t>
            </w:r>
            <w:r w:rsidR="00493CFE" w:rsidRPr="003E73D6">
              <w:rPr>
                <w:color w:val="000000"/>
                <w:sz w:val="18"/>
                <w:szCs w:val="18"/>
                <w:u w:val="single"/>
              </w:rPr>
              <w:t>’</w:t>
            </w:r>
            <w:r w:rsidRPr="003E73D6">
              <w:rPr>
                <w:color w:val="000000"/>
                <w:sz w:val="18"/>
                <w:szCs w:val="18"/>
                <w:u w:val="single"/>
              </w:rPr>
              <w:t>extraction minière artisanale et à petite échelle d</w:t>
            </w:r>
            <w:r w:rsidR="00493CFE" w:rsidRPr="003E73D6">
              <w:rPr>
                <w:color w:val="000000"/>
                <w:sz w:val="18"/>
                <w:szCs w:val="18"/>
                <w:u w:val="single"/>
              </w:rPr>
              <w:t>’</w:t>
            </w:r>
            <w:r w:rsidRPr="003E73D6">
              <w:rPr>
                <w:color w:val="000000"/>
                <w:sz w:val="18"/>
                <w:szCs w:val="18"/>
                <w:u w:val="single"/>
              </w:rPr>
              <w:t>or</w:t>
            </w:r>
          </w:p>
        </w:tc>
        <w:tc>
          <w:tcPr>
            <w:tcW w:w="1128" w:type="dxa"/>
          </w:tcPr>
          <w:p w14:paraId="1E39E2EB" w14:textId="77777777" w:rsidR="008C3D25" w:rsidRPr="003E73D6" w:rsidRDefault="008C3D25" w:rsidP="008C3D25">
            <w:pPr>
              <w:rPr>
                <w:sz w:val="18"/>
                <w:szCs w:val="18"/>
                <w:u w:val="single"/>
              </w:rPr>
            </w:pPr>
          </w:p>
        </w:tc>
        <w:tc>
          <w:tcPr>
            <w:tcW w:w="1155" w:type="dxa"/>
          </w:tcPr>
          <w:p w14:paraId="2DC323DE"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3243D4F7"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6F4DCEFC"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170A8FC9"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0B3ADDC7" w14:textId="37158029"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révision du calendrier, allocation de ressources supplémentaires]</w:t>
            </w:r>
          </w:p>
        </w:tc>
        <w:tc>
          <w:tcPr>
            <w:tcW w:w="1700" w:type="dxa"/>
          </w:tcPr>
          <w:p w14:paraId="6C5AC0E8" w14:textId="61E866AF"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retards législatifs]</w:t>
            </w:r>
            <w:r w:rsidR="008C3D25" w:rsidRPr="003E73D6">
              <w:rPr>
                <w:color w:val="000000"/>
                <w:sz w:val="18"/>
                <w:szCs w:val="18"/>
              </w:rPr>
              <w:t xml:space="preserve"> </w:t>
            </w:r>
          </w:p>
        </w:tc>
      </w:tr>
      <w:tr w:rsidR="002D2AD5" w:rsidRPr="003E73D6" w14:paraId="6481F64E" w14:textId="77777777" w:rsidTr="00292D55">
        <w:trPr>
          <w:jc w:val="right"/>
        </w:trPr>
        <w:tc>
          <w:tcPr>
            <w:tcW w:w="3094" w:type="dxa"/>
          </w:tcPr>
          <w:p w14:paraId="60E0D0DA" w14:textId="2C8FDAB5" w:rsidR="00E43635" w:rsidRPr="003E73D6" w:rsidRDefault="00E43635"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bookmarkStart w:id="17" w:name="_Hlk201054508"/>
            <w:r w:rsidRPr="003E73D6">
              <w:rPr>
                <w:color w:val="000000"/>
                <w:sz w:val="18"/>
                <w:szCs w:val="18"/>
                <w:u w:val="single"/>
              </w:rPr>
              <w:t>Estimations initiales des quantités de mercure et des pratiques utilisées sur le territoire de la Partie dans le secteur de l</w:t>
            </w:r>
            <w:r w:rsidR="00493CFE" w:rsidRPr="003E73D6">
              <w:rPr>
                <w:color w:val="000000"/>
                <w:sz w:val="18"/>
                <w:szCs w:val="18"/>
                <w:u w:val="single"/>
              </w:rPr>
              <w:t>’</w:t>
            </w:r>
            <w:r w:rsidRPr="003E73D6">
              <w:rPr>
                <w:color w:val="000000"/>
                <w:sz w:val="18"/>
                <w:szCs w:val="18"/>
                <w:u w:val="single"/>
              </w:rPr>
              <w:t xml:space="preserve">extraction minière et de la transformation artisanales et à petite échelle </w:t>
            </w:r>
            <w:proofErr w:type="spellStart"/>
            <w:r w:rsidRPr="003E73D6">
              <w:rPr>
                <w:color w:val="000000"/>
                <w:sz w:val="18"/>
                <w:szCs w:val="18"/>
                <w:u w:val="single"/>
              </w:rPr>
              <w:t>d</w:t>
            </w:r>
            <w:r w:rsidR="00493CFE" w:rsidRPr="003E73D6">
              <w:rPr>
                <w:color w:val="000000"/>
                <w:sz w:val="18"/>
                <w:szCs w:val="18"/>
                <w:u w:val="single"/>
              </w:rPr>
              <w:t>’</w:t>
            </w:r>
            <w:r w:rsidRPr="003E73D6">
              <w:rPr>
                <w:color w:val="000000"/>
                <w:sz w:val="18"/>
                <w:szCs w:val="18"/>
                <w:u w:val="single"/>
              </w:rPr>
              <w:t>or</w:t>
            </w:r>
            <w:r w:rsidRPr="003E73D6">
              <w:rPr>
                <w:i/>
                <w:iCs/>
                <w:color w:val="000000"/>
                <w:sz w:val="18"/>
                <w:szCs w:val="18"/>
                <w:u w:val="single"/>
                <w:vertAlign w:val="superscript"/>
              </w:rPr>
              <w:t>b</w:t>
            </w:r>
            <w:proofErr w:type="spellEnd"/>
          </w:p>
        </w:tc>
        <w:tc>
          <w:tcPr>
            <w:tcW w:w="1128" w:type="dxa"/>
          </w:tcPr>
          <w:p w14:paraId="2BB917E2" w14:textId="77777777" w:rsidR="00E43635" w:rsidRPr="003E73D6" w:rsidRDefault="00E43635">
            <w:pPr>
              <w:rPr>
                <w:sz w:val="18"/>
                <w:szCs w:val="18"/>
                <w:u w:val="single"/>
              </w:rPr>
            </w:pPr>
          </w:p>
        </w:tc>
        <w:tc>
          <w:tcPr>
            <w:tcW w:w="1155" w:type="dxa"/>
          </w:tcPr>
          <w:p w14:paraId="76D60706" w14:textId="77777777" w:rsidR="00E43635" w:rsidRPr="003E73D6" w:rsidRDefault="00E43635">
            <w:pPr>
              <w:rPr>
                <w:sz w:val="18"/>
                <w:szCs w:val="18"/>
                <w:u w:val="single"/>
              </w:rPr>
            </w:pPr>
            <w:r w:rsidRPr="003E73D6">
              <w:rPr>
                <w:color w:val="000000"/>
                <w:sz w:val="18"/>
                <w:szCs w:val="18"/>
                <w:u w:val="single"/>
              </w:rPr>
              <w:t>[Date]</w:t>
            </w:r>
          </w:p>
        </w:tc>
        <w:tc>
          <w:tcPr>
            <w:tcW w:w="1724" w:type="dxa"/>
          </w:tcPr>
          <w:p w14:paraId="0BD86DCA" w14:textId="77777777" w:rsidR="00E43635" w:rsidRPr="003E73D6" w:rsidRDefault="00E43635">
            <w:pPr>
              <w:rPr>
                <w:sz w:val="18"/>
                <w:szCs w:val="18"/>
                <w:u w:val="single"/>
              </w:rPr>
            </w:pPr>
            <w:r w:rsidRPr="003E73D6">
              <w:rPr>
                <w:color w:val="000000"/>
                <w:sz w:val="18"/>
                <w:szCs w:val="18"/>
                <w:u w:val="single"/>
              </w:rPr>
              <w:t>[Date]</w:t>
            </w:r>
          </w:p>
        </w:tc>
        <w:tc>
          <w:tcPr>
            <w:tcW w:w="1724" w:type="dxa"/>
          </w:tcPr>
          <w:p w14:paraId="08F8948F" w14:textId="08C09637" w:rsidR="00E43635" w:rsidRPr="003E73D6" w:rsidRDefault="00E43635">
            <w:pPr>
              <w:rPr>
                <w:sz w:val="18"/>
                <w:szCs w:val="18"/>
                <w:u w:val="single"/>
              </w:rPr>
            </w:pPr>
            <w:r w:rsidRPr="003E73D6">
              <w:rPr>
                <w:color w:val="000000"/>
                <w:sz w:val="18"/>
                <w:szCs w:val="18"/>
                <w:u w:val="single"/>
              </w:rPr>
              <w:t>[Initiales</w:t>
            </w:r>
            <w:r w:rsidR="00493CFE" w:rsidRPr="003E73D6">
              <w:rPr>
                <w:color w:val="000000"/>
                <w:sz w:val="18"/>
                <w:szCs w:val="18"/>
                <w:u w:val="single"/>
              </w:rPr>
              <w:t> :</w:t>
            </w:r>
            <w:r w:rsidRPr="003E73D6">
              <w:rPr>
                <w:color w:val="000000"/>
                <w:sz w:val="18"/>
                <w:szCs w:val="18"/>
              </w:rPr>
              <w:t xml:space="preserve"> </w:t>
            </w:r>
          </w:p>
          <w:p w14:paraId="4367F1F0" w14:textId="77777777" w:rsidR="00E43635" w:rsidRPr="003E73D6" w:rsidRDefault="005A467E">
            <w:pPr>
              <w:rPr>
                <w:sz w:val="18"/>
                <w:szCs w:val="18"/>
                <w:u w:val="single"/>
              </w:rPr>
            </w:pPr>
            <w:proofErr w:type="gramStart"/>
            <w:r w:rsidRPr="003E73D6">
              <w:rPr>
                <w:color w:val="000000"/>
                <w:sz w:val="18"/>
                <w:szCs w:val="18"/>
                <w:u w:val="single"/>
              </w:rPr>
              <w:t>actualisées</w:t>
            </w:r>
            <w:proofErr w:type="gramEnd"/>
            <w:r w:rsidRPr="003E73D6">
              <w:rPr>
                <w:color w:val="000000"/>
                <w:sz w:val="18"/>
                <w:szCs w:val="18"/>
                <w:u w:val="single"/>
              </w:rPr>
              <w:t>]</w:t>
            </w:r>
          </w:p>
        </w:tc>
        <w:tc>
          <w:tcPr>
            <w:tcW w:w="1880" w:type="dxa"/>
          </w:tcPr>
          <w:p w14:paraId="05B962AD" w14:textId="77777777" w:rsidR="00E43635" w:rsidRPr="003E73D6" w:rsidRDefault="00E43635">
            <w:pPr>
              <w:ind w:right="-270"/>
              <w:rPr>
                <w:sz w:val="18"/>
                <w:szCs w:val="18"/>
                <w:u w:val="single"/>
              </w:rPr>
            </w:pPr>
            <w:r w:rsidRPr="003E73D6">
              <w:rPr>
                <w:color w:val="000000"/>
                <w:sz w:val="18"/>
                <w:szCs w:val="18"/>
                <w:u w:val="single"/>
              </w:rPr>
              <w:t>[--]</w:t>
            </w:r>
          </w:p>
        </w:tc>
        <w:tc>
          <w:tcPr>
            <w:tcW w:w="2014" w:type="dxa"/>
            <w:gridSpan w:val="2"/>
          </w:tcPr>
          <w:p w14:paraId="340B3C33" w14:textId="77777777" w:rsidR="00E43635" w:rsidRPr="003E73D6" w:rsidRDefault="00B02C68">
            <w:pPr>
              <w:rPr>
                <w:sz w:val="18"/>
                <w:szCs w:val="18"/>
                <w:u w:val="single"/>
              </w:rPr>
            </w:pPr>
            <w:proofErr w:type="spellStart"/>
            <w:r w:rsidRPr="003E73D6">
              <w:rPr>
                <w:color w:val="000000"/>
                <w:sz w:val="18"/>
                <w:szCs w:val="18"/>
                <w:u w:val="single"/>
              </w:rPr>
              <w:t>s.o</w:t>
            </w:r>
            <w:proofErr w:type="spellEnd"/>
            <w:r w:rsidRPr="003E73D6">
              <w:rPr>
                <w:color w:val="000000"/>
                <w:sz w:val="18"/>
                <w:szCs w:val="18"/>
                <w:u w:val="single"/>
              </w:rPr>
              <w:t>.</w:t>
            </w:r>
          </w:p>
        </w:tc>
        <w:tc>
          <w:tcPr>
            <w:tcW w:w="1700" w:type="dxa"/>
          </w:tcPr>
          <w:p w14:paraId="2E113098" w14:textId="77777777" w:rsidR="00E43635" w:rsidRPr="003E73D6" w:rsidRDefault="00B02C68">
            <w:pPr>
              <w:rPr>
                <w:sz w:val="18"/>
                <w:szCs w:val="18"/>
                <w:u w:val="single"/>
              </w:rPr>
            </w:pPr>
            <w:proofErr w:type="spellStart"/>
            <w:r w:rsidRPr="003E73D6">
              <w:rPr>
                <w:color w:val="000000"/>
                <w:sz w:val="18"/>
                <w:szCs w:val="18"/>
                <w:u w:val="single"/>
              </w:rPr>
              <w:t>s.o</w:t>
            </w:r>
            <w:proofErr w:type="spellEnd"/>
            <w:r w:rsidRPr="003E73D6">
              <w:rPr>
                <w:color w:val="000000"/>
                <w:sz w:val="18"/>
                <w:szCs w:val="18"/>
                <w:u w:val="single"/>
              </w:rPr>
              <w:t>.</w:t>
            </w:r>
          </w:p>
        </w:tc>
      </w:tr>
      <w:bookmarkEnd w:id="17"/>
      <w:tr w:rsidR="008C3D25" w:rsidRPr="003E73D6" w14:paraId="58226B6D" w14:textId="77777777" w:rsidTr="00292D55">
        <w:trPr>
          <w:jc w:val="right"/>
        </w:trPr>
        <w:tc>
          <w:tcPr>
            <w:tcW w:w="3094" w:type="dxa"/>
          </w:tcPr>
          <w:p w14:paraId="68D30C4A" w14:textId="2D892C48" w:rsidR="008C3D25" w:rsidRPr="003E73D6" w:rsidRDefault="008C3D25" w:rsidP="008D3032">
            <w:pPr>
              <w:pStyle w:val="ListParagraph"/>
              <w:keepNext/>
              <w:keepLines/>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lastRenderedPageBreak/>
              <w:t>Stratégies pour promouvoir la réduction des émissions et rejets de mercure et de l</w:t>
            </w:r>
            <w:r w:rsidR="00493CFE" w:rsidRPr="003E73D6">
              <w:rPr>
                <w:color w:val="000000"/>
                <w:sz w:val="18"/>
                <w:szCs w:val="18"/>
                <w:u w:val="single"/>
              </w:rPr>
              <w:t>’</w:t>
            </w:r>
            <w:r w:rsidRPr="003E73D6">
              <w:rPr>
                <w:color w:val="000000"/>
                <w:sz w:val="18"/>
                <w:szCs w:val="18"/>
                <w:u w:val="single"/>
              </w:rPr>
              <w:t>exposition à cette substance dans le secteur de l</w:t>
            </w:r>
            <w:r w:rsidR="00493CFE" w:rsidRPr="003E73D6">
              <w:rPr>
                <w:color w:val="000000"/>
                <w:sz w:val="18"/>
                <w:szCs w:val="18"/>
                <w:u w:val="single"/>
              </w:rPr>
              <w:t>’</w:t>
            </w:r>
            <w:r w:rsidRPr="003E73D6">
              <w:rPr>
                <w:color w:val="000000"/>
                <w:sz w:val="18"/>
                <w:szCs w:val="18"/>
                <w:u w:val="single"/>
              </w:rPr>
              <w:t>extraction minière et de la transformation artisanales et à petite échelle d</w:t>
            </w:r>
            <w:r w:rsidR="00493CFE" w:rsidRPr="003E73D6">
              <w:rPr>
                <w:color w:val="000000"/>
                <w:sz w:val="18"/>
                <w:szCs w:val="18"/>
                <w:u w:val="single"/>
              </w:rPr>
              <w:t>’</w:t>
            </w:r>
            <w:r w:rsidRPr="003E73D6">
              <w:rPr>
                <w:color w:val="000000"/>
                <w:sz w:val="18"/>
                <w:szCs w:val="18"/>
                <w:u w:val="single"/>
              </w:rPr>
              <w:t xml:space="preserve">or et, en particulier, des méthodes ne faisant pas appel au </w:t>
            </w:r>
            <w:proofErr w:type="spellStart"/>
            <w:r w:rsidRPr="003E73D6">
              <w:rPr>
                <w:color w:val="000000"/>
                <w:sz w:val="18"/>
                <w:szCs w:val="18"/>
                <w:u w:val="single"/>
              </w:rPr>
              <w:t>mercure</w:t>
            </w:r>
            <w:r w:rsidRPr="003E73D6">
              <w:rPr>
                <w:i/>
                <w:iCs/>
                <w:color w:val="000000"/>
                <w:sz w:val="18"/>
                <w:szCs w:val="18"/>
                <w:u w:val="single"/>
                <w:vertAlign w:val="superscript"/>
              </w:rPr>
              <w:t>c</w:t>
            </w:r>
            <w:proofErr w:type="spellEnd"/>
          </w:p>
        </w:tc>
        <w:tc>
          <w:tcPr>
            <w:tcW w:w="1128" w:type="dxa"/>
          </w:tcPr>
          <w:p w14:paraId="038B59B0" w14:textId="77777777" w:rsidR="008C3D25" w:rsidRPr="003E73D6" w:rsidRDefault="008C3D25" w:rsidP="008D3032">
            <w:pPr>
              <w:keepNext/>
              <w:keepLines/>
              <w:rPr>
                <w:sz w:val="18"/>
                <w:szCs w:val="18"/>
                <w:u w:val="single"/>
              </w:rPr>
            </w:pPr>
          </w:p>
        </w:tc>
        <w:tc>
          <w:tcPr>
            <w:tcW w:w="1155" w:type="dxa"/>
          </w:tcPr>
          <w:p w14:paraId="13FC7082" w14:textId="77777777" w:rsidR="008C3D25" w:rsidRPr="003E73D6" w:rsidRDefault="008C3D25" w:rsidP="008D3032">
            <w:pPr>
              <w:keepNext/>
              <w:keepLines/>
              <w:rPr>
                <w:sz w:val="18"/>
                <w:szCs w:val="18"/>
                <w:u w:val="single"/>
              </w:rPr>
            </w:pPr>
            <w:r w:rsidRPr="003E73D6">
              <w:rPr>
                <w:color w:val="000000"/>
                <w:sz w:val="18"/>
                <w:szCs w:val="18"/>
                <w:u w:val="single"/>
              </w:rPr>
              <w:t>[Date]</w:t>
            </w:r>
          </w:p>
        </w:tc>
        <w:tc>
          <w:tcPr>
            <w:tcW w:w="1724" w:type="dxa"/>
          </w:tcPr>
          <w:p w14:paraId="5674EE36" w14:textId="77777777" w:rsidR="008C3D25" w:rsidRPr="003E73D6" w:rsidRDefault="008C3D25" w:rsidP="008D3032">
            <w:pPr>
              <w:keepNext/>
              <w:keepLines/>
              <w:rPr>
                <w:sz w:val="18"/>
                <w:szCs w:val="18"/>
                <w:u w:val="single"/>
              </w:rPr>
            </w:pPr>
            <w:r w:rsidRPr="003E73D6">
              <w:rPr>
                <w:color w:val="000000"/>
                <w:sz w:val="18"/>
                <w:szCs w:val="18"/>
                <w:u w:val="single"/>
              </w:rPr>
              <w:t>[Date]</w:t>
            </w:r>
          </w:p>
        </w:tc>
        <w:tc>
          <w:tcPr>
            <w:tcW w:w="1724" w:type="dxa"/>
          </w:tcPr>
          <w:p w14:paraId="5EE3764A" w14:textId="77777777" w:rsidR="008C3D25" w:rsidRPr="003E73D6" w:rsidRDefault="008C3D25" w:rsidP="008D3032">
            <w:pPr>
              <w:keepNext/>
              <w:keepLines/>
              <w:rPr>
                <w:sz w:val="18"/>
                <w:szCs w:val="18"/>
                <w:u w:val="single"/>
              </w:rPr>
            </w:pPr>
            <w:r w:rsidRPr="003E73D6">
              <w:rPr>
                <w:color w:val="000000"/>
                <w:sz w:val="18"/>
                <w:szCs w:val="18"/>
                <w:u w:val="single"/>
              </w:rPr>
              <w:t>[Achevé / en cours / retardé]</w:t>
            </w:r>
          </w:p>
        </w:tc>
        <w:tc>
          <w:tcPr>
            <w:tcW w:w="1880" w:type="dxa"/>
          </w:tcPr>
          <w:p w14:paraId="573DEB91" w14:textId="77777777" w:rsidR="008C3D25" w:rsidRPr="003E73D6" w:rsidRDefault="008C3D25" w:rsidP="008D3032">
            <w:pPr>
              <w:keepNext/>
              <w:keepLines/>
              <w:ind w:right="-270"/>
              <w:rPr>
                <w:sz w:val="18"/>
                <w:szCs w:val="18"/>
                <w:u w:val="single"/>
              </w:rPr>
            </w:pPr>
            <w:r w:rsidRPr="003E73D6">
              <w:rPr>
                <w:color w:val="000000"/>
                <w:sz w:val="18"/>
                <w:szCs w:val="18"/>
                <w:u w:val="single"/>
              </w:rPr>
              <w:t>[--]</w:t>
            </w:r>
          </w:p>
        </w:tc>
        <w:tc>
          <w:tcPr>
            <w:tcW w:w="2014" w:type="dxa"/>
            <w:gridSpan w:val="2"/>
          </w:tcPr>
          <w:p w14:paraId="7D830F16" w14:textId="534E0103" w:rsidR="008C3D25" w:rsidRPr="003E73D6" w:rsidRDefault="0039074D" w:rsidP="008D3032">
            <w:pPr>
              <w:keepNext/>
              <w:keepLines/>
              <w:rPr>
                <w:sz w:val="18"/>
                <w:szCs w:val="18"/>
                <w:u w:val="single"/>
              </w:rPr>
            </w:pPr>
            <w:r w:rsidRPr="003E73D6">
              <w:rPr>
                <w:color w:val="000000"/>
                <w:sz w:val="18"/>
                <w:szCs w:val="18"/>
                <w:u w:val="single"/>
              </w:rPr>
              <w:t>[Par exemple</w:t>
            </w:r>
            <w:r w:rsidR="008C3D25" w:rsidRPr="003E73D6">
              <w:rPr>
                <w:color w:val="000000"/>
                <w:sz w:val="18"/>
                <w:szCs w:val="18"/>
                <w:u w:val="single"/>
              </w:rPr>
              <w:t>, programmation de sessions de formation supplémentaires]</w:t>
            </w:r>
          </w:p>
        </w:tc>
        <w:tc>
          <w:tcPr>
            <w:tcW w:w="1700" w:type="dxa"/>
          </w:tcPr>
          <w:p w14:paraId="27E6B109" w14:textId="2981DC05" w:rsidR="008C3D25" w:rsidRPr="003E73D6" w:rsidRDefault="0039074D" w:rsidP="008D3032">
            <w:pPr>
              <w:keepNext/>
              <w:keepLines/>
              <w:rPr>
                <w:sz w:val="18"/>
                <w:szCs w:val="18"/>
                <w:u w:val="single"/>
              </w:rPr>
            </w:pPr>
            <w:r w:rsidRPr="003E73D6">
              <w:rPr>
                <w:color w:val="000000"/>
                <w:sz w:val="18"/>
                <w:szCs w:val="18"/>
                <w:u w:val="single"/>
              </w:rPr>
              <w:t>[Par exemple</w:t>
            </w:r>
            <w:r w:rsidR="008C3D25" w:rsidRPr="003E73D6">
              <w:rPr>
                <w:color w:val="000000"/>
                <w:sz w:val="18"/>
                <w:szCs w:val="18"/>
                <w:u w:val="single"/>
              </w:rPr>
              <w:t>, adoption de technologies plus lente que prévu]</w:t>
            </w:r>
            <w:r w:rsidR="008C3D25" w:rsidRPr="003E73D6">
              <w:rPr>
                <w:color w:val="000000"/>
                <w:sz w:val="18"/>
                <w:szCs w:val="18"/>
              </w:rPr>
              <w:t xml:space="preserve"> </w:t>
            </w:r>
          </w:p>
        </w:tc>
      </w:tr>
      <w:tr w:rsidR="008C3D25" w:rsidRPr="003E73D6" w14:paraId="1AB6EB71" w14:textId="77777777" w:rsidTr="00292D55">
        <w:trPr>
          <w:jc w:val="right"/>
        </w:trPr>
        <w:tc>
          <w:tcPr>
            <w:tcW w:w="3094" w:type="dxa"/>
          </w:tcPr>
          <w:p w14:paraId="3B80278A" w14:textId="1C9B3787" w:rsidR="008C3D25" w:rsidRPr="003E73D6" w:rsidRDefault="008C3D25"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Stratégies visant à gérer les échanges commerciaux et à empêcher le détournement de mercure et composés du mercure provenant de sources étrangères et nationales destinés à être utilisés pour l</w:t>
            </w:r>
            <w:r w:rsidR="00493CFE" w:rsidRPr="003E73D6">
              <w:rPr>
                <w:color w:val="000000"/>
                <w:sz w:val="18"/>
                <w:szCs w:val="18"/>
                <w:u w:val="single"/>
              </w:rPr>
              <w:t>’</w:t>
            </w:r>
            <w:r w:rsidRPr="003E73D6">
              <w:rPr>
                <w:color w:val="000000"/>
                <w:sz w:val="18"/>
                <w:szCs w:val="18"/>
                <w:u w:val="single"/>
              </w:rPr>
              <w:t>extraction minière et la transformation artisanales et à petite échelle d</w:t>
            </w:r>
            <w:r w:rsidR="00493CFE" w:rsidRPr="003E73D6">
              <w:rPr>
                <w:color w:val="000000"/>
                <w:sz w:val="18"/>
                <w:szCs w:val="18"/>
                <w:u w:val="single"/>
              </w:rPr>
              <w:t>’</w:t>
            </w:r>
            <w:r w:rsidRPr="003E73D6">
              <w:rPr>
                <w:color w:val="000000"/>
                <w:sz w:val="18"/>
                <w:szCs w:val="18"/>
                <w:u w:val="single"/>
              </w:rPr>
              <w:t>or</w:t>
            </w:r>
          </w:p>
        </w:tc>
        <w:tc>
          <w:tcPr>
            <w:tcW w:w="1128" w:type="dxa"/>
          </w:tcPr>
          <w:p w14:paraId="3E79A509" w14:textId="77777777" w:rsidR="008C3D25" w:rsidRPr="003E73D6" w:rsidRDefault="008C3D25" w:rsidP="008C3D25">
            <w:pPr>
              <w:rPr>
                <w:sz w:val="18"/>
                <w:szCs w:val="18"/>
                <w:u w:val="single"/>
              </w:rPr>
            </w:pPr>
          </w:p>
        </w:tc>
        <w:tc>
          <w:tcPr>
            <w:tcW w:w="1155" w:type="dxa"/>
          </w:tcPr>
          <w:p w14:paraId="5BBD242F"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0221F7B8"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6C28FCBF"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7B752059"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5766FBEE" w14:textId="095A4751"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révision du calendrier, programmation de sessions d</w:t>
            </w:r>
            <w:r w:rsidR="00493CFE" w:rsidRPr="003E73D6">
              <w:rPr>
                <w:color w:val="000000"/>
                <w:sz w:val="18"/>
                <w:szCs w:val="18"/>
                <w:u w:val="single"/>
              </w:rPr>
              <w:t>’</w:t>
            </w:r>
            <w:r w:rsidR="008C3D25" w:rsidRPr="003E73D6">
              <w:rPr>
                <w:color w:val="000000"/>
                <w:sz w:val="18"/>
                <w:szCs w:val="18"/>
                <w:u w:val="single"/>
              </w:rPr>
              <w:t>information supplémentaires]</w:t>
            </w:r>
          </w:p>
        </w:tc>
        <w:tc>
          <w:tcPr>
            <w:tcW w:w="1700" w:type="dxa"/>
          </w:tcPr>
          <w:p w14:paraId="24DBAE35" w14:textId="1B4E60B2"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retard dans l</w:t>
            </w:r>
            <w:r w:rsidR="00493CFE" w:rsidRPr="003E73D6">
              <w:rPr>
                <w:color w:val="000000"/>
                <w:sz w:val="18"/>
                <w:szCs w:val="18"/>
                <w:u w:val="single"/>
              </w:rPr>
              <w:t>’</w:t>
            </w:r>
            <w:r w:rsidR="008C3D25" w:rsidRPr="003E73D6">
              <w:rPr>
                <w:color w:val="000000"/>
                <w:sz w:val="18"/>
                <w:szCs w:val="18"/>
                <w:u w:val="single"/>
              </w:rPr>
              <w:t>adoption de la législation]</w:t>
            </w:r>
            <w:r w:rsidR="008C3D25" w:rsidRPr="003E73D6">
              <w:rPr>
                <w:color w:val="000000"/>
                <w:sz w:val="18"/>
                <w:szCs w:val="18"/>
              </w:rPr>
              <w:t xml:space="preserve"> </w:t>
            </w:r>
          </w:p>
        </w:tc>
      </w:tr>
      <w:tr w:rsidR="008C3D25" w:rsidRPr="003E73D6" w14:paraId="1D064801" w14:textId="77777777" w:rsidTr="00292D55">
        <w:trPr>
          <w:jc w:val="right"/>
        </w:trPr>
        <w:tc>
          <w:tcPr>
            <w:tcW w:w="3094" w:type="dxa"/>
          </w:tcPr>
          <w:p w14:paraId="76730CC3" w14:textId="0A43B83F" w:rsidR="008C3D25" w:rsidRPr="003E73D6" w:rsidRDefault="008C3D25"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Stratégies visant à impliquer les parties prenantes dans la mise en œuvre et l</w:t>
            </w:r>
            <w:r w:rsidR="00493CFE" w:rsidRPr="003E73D6">
              <w:rPr>
                <w:color w:val="000000"/>
                <w:sz w:val="18"/>
                <w:szCs w:val="18"/>
                <w:u w:val="single"/>
              </w:rPr>
              <w:t>’</w:t>
            </w:r>
            <w:r w:rsidRPr="003E73D6">
              <w:rPr>
                <w:color w:val="000000"/>
                <w:sz w:val="18"/>
                <w:szCs w:val="18"/>
                <w:u w:val="single"/>
              </w:rPr>
              <w:t>amélioration continue du plan d</w:t>
            </w:r>
            <w:r w:rsidR="00493CFE" w:rsidRPr="003E73D6">
              <w:rPr>
                <w:color w:val="000000"/>
                <w:sz w:val="18"/>
                <w:szCs w:val="18"/>
                <w:u w:val="single"/>
              </w:rPr>
              <w:t>’</w:t>
            </w:r>
            <w:r w:rsidRPr="003E73D6">
              <w:rPr>
                <w:color w:val="000000"/>
                <w:sz w:val="18"/>
                <w:szCs w:val="18"/>
                <w:u w:val="single"/>
              </w:rPr>
              <w:t>action national, y</w:t>
            </w:r>
            <w:r w:rsidR="00795167" w:rsidRPr="003E73D6">
              <w:rPr>
                <w:color w:val="000000"/>
                <w:sz w:val="18"/>
                <w:szCs w:val="18"/>
                <w:u w:val="single"/>
              </w:rPr>
              <w:t> </w:t>
            </w:r>
            <w:r w:rsidRPr="003E73D6">
              <w:rPr>
                <w:color w:val="000000"/>
                <w:sz w:val="18"/>
                <w:szCs w:val="18"/>
                <w:u w:val="single"/>
              </w:rPr>
              <w:t xml:space="preserve">compris les peuples autochtones et les communautés </w:t>
            </w:r>
            <w:proofErr w:type="spellStart"/>
            <w:r w:rsidRPr="003E73D6">
              <w:rPr>
                <w:color w:val="000000"/>
                <w:sz w:val="18"/>
                <w:szCs w:val="18"/>
                <w:u w:val="single"/>
              </w:rPr>
              <w:t>locales</w:t>
            </w:r>
            <w:r w:rsidRPr="003E73D6">
              <w:rPr>
                <w:i/>
                <w:iCs/>
                <w:color w:val="000000"/>
                <w:sz w:val="18"/>
                <w:szCs w:val="18"/>
                <w:u w:val="single"/>
                <w:vertAlign w:val="superscript"/>
              </w:rPr>
              <w:t>d</w:t>
            </w:r>
            <w:proofErr w:type="spellEnd"/>
            <w:r w:rsidRPr="003E73D6">
              <w:rPr>
                <w:i/>
                <w:iCs/>
                <w:color w:val="000000"/>
                <w:sz w:val="18"/>
                <w:szCs w:val="18"/>
                <w:u w:val="single"/>
                <w:vertAlign w:val="superscript"/>
              </w:rPr>
              <w:t>, e</w:t>
            </w:r>
          </w:p>
        </w:tc>
        <w:tc>
          <w:tcPr>
            <w:tcW w:w="1128" w:type="dxa"/>
          </w:tcPr>
          <w:p w14:paraId="36BD9651" w14:textId="77777777" w:rsidR="008C3D25" w:rsidRPr="003E73D6" w:rsidRDefault="008C3D25" w:rsidP="008C3D25">
            <w:pPr>
              <w:rPr>
                <w:sz w:val="18"/>
                <w:szCs w:val="18"/>
                <w:u w:val="single"/>
              </w:rPr>
            </w:pPr>
          </w:p>
        </w:tc>
        <w:tc>
          <w:tcPr>
            <w:tcW w:w="1155" w:type="dxa"/>
          </w:tcPr>
          <w:p w14:paraId="223C7679"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0499B9A8"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18741044"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37A0B6F4"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2B977599" w14:textId="786A22BA"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révision du calendrier, programmation de sessions d</w:t>
            </w:r>
            <w:r w:rsidR="00493CFE" w:rsidRPr="003E73D6">
              <w:rPr>
                <w:color w:val="000000"/>
                <w:sz w:val="18"/>
                <w:szCs w:val="18"/>
                <w:u w:val="single"/>
              </w:rPr>
              <w:t>’</w:t>
            </w:r>
            <w:r w:rsidR="008C3D25" w:rsidRPr="003E73D6">
              <w:rPr>
                <w:color w:val="000000"/>
                <w:sz w:val="18"/>
                <w:szCs w:val="18"/>
                <w:u w:val="single"/>
              </w:rPr>
              <w:t>information supplémentaires]</w:t>
            </w:r>
          </w:p>
        </w:tc>
        <w:tc>
          <w:tcPr>
            <w:tcW w:w="1700" w:type="dxa"/>
          </w:tcPr>
          <w:p w14:paraId="6C8748F1" w14:textId="319AD0A3"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changement de personnel</w:t>
            </w:r>
            <w:r w:rsidR="00E8386B" w:rsidRPr="003E73D6">
              <w:rPr>
                <w:color w:val="000000"/>
                <w:sz w:val="18"/>
                <w:szCs w:val="18"/>
                <w:u w:val="single"/>
              </w:rPr>
              <w:t> ;</w:t>
            </w:r>
            <w:r w:rsidR="008C3D25" w:rsidRPr="003E73D6">
              <w:rPr>
                <w:color w:val="000000"/>
                <w:sz w:val="18"/>
                <w:szCs w:val="18"/>
              </w:rPr>
              <w:t xml:space="preserve"> </w:t>
            </w:r>
            <w:r w:rsidR="008C3D25" w:rsidRPr="003E73D6">
              <w:rPr>
                <w:color w:val="000000"/>
                <w:sz w:val="18"/>
                <w:szCs w:val="18"/>
                <w:u w:val="single"/>
              </w:rPr>
              <w:t>manque de services de traduction]</w:t>
            </w:r>
            <w:r w:rsidR="008C3D25" w:rsidRPr="003E73D6">
              <w:rPr>
                <w:color w:val="000000"/>
                <w:sz w:val="18"/>
                <w:szCs w:val="18"/>
              </w:rPr>
              <w:t xml:space="preserve"> </w:t>
            </w:r>
          </w:p>
        </w:tc>
      </w:tr>
      <w:tr w:rsidR="008C3D25" w:rsidRPr="003E73D6" w14:paraId="71291AE1" w14:textId="77777777" w:rsidTr="00292D55">
        <w:trPr>
          <w:jc w:val="right"/>
        </w:trPr>
        <w:tc>
          <w:tcPr>
            <w:tcW w:w="3094" w:type="dxa"/>
          </w:tcPr>
          <w:p w14:paraId="15050AFC" w14:textId="18917946" w:rsidR="008C3D25" w:rsidRPr="003E73D6" w:rsidRDefault="008C3D25"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Stratégie de santé publique relative à l</w:t>
            </w:r>
            <w:r w:rsidR="00493CFE" w:rsidRPr="003E73D6">
              <w:rPr>
                <w:color w:val="000000"/>
                <w:sz w:val="18"/>
                <w:szCs w:val="18"/>
                <w:u w:val="single"/>
              </w:rPr>
              <w:t>’</w:t>
            </w:r>
            <w:r w:rsidRPr="003E73D6">
              <w:rPr>
                <w:color w:val="000000"/>
                <w:sz w:val="18"/>
                <w:szCs w:val="18"/>
                <w:u w:val="single"/>
              </w:rPr>
              <w:t>exposition des mineur(se)s travaillant dans l</w:t>
            </w:r>
            <w:r w:rsidR="00493CFE" w:rsidRPr="003E73D6">
              <w:rPr>
                <w:color w:val="000000"/>
                <w:sz w:val="18"/>
                <w:szCs w:val="18"/>
                <w:u w:val="single"/>
              </w:rPr>
              <w:t>’</w:t>
            </w:r>
            <w:r w:rsidRPr="003E73D6">
              <w:rPr>
                <w:color w:val="000000"/>
                <w:sz w:val="18"/>
                <w:szCs w:val="18"/>
                <w:u w:val="single"/>
              </w:rPr>
              <w:t>extraction minière artisanale et à petite échelle d</w:t>
            </w:r>
            <w:r w:rsidR="00493CFE" w:rsidRPr="003E73D6">
              <w:rPr>
                <w:color w:val="000000"/>
                <w:sz w:val="18"/>
                <w:szCs w:val="18"/>
                <w:u w:val="single"/>
              </w:rPr>
              <w:t>’</w:t>
            </w:r>
            <w:r w:rsidRPr="003E73D6">
              <w:rPr>
                <w:color w:val="000000"/>
                <w:sz w:val="18"/>
                <w:szCs w:val="18"/>
                <w:u w:val="single"/>
              </w:rPr>
              <w:t>or et de leurs communautés au mercure.</w:t>
            </w:r>
          </w:p>
        </w:tc>
        <w:tc>
          <w:tcPr>
            <w:tcW w:w="1128" w:type="dxa"/>
          </w:tcPr>
          <w:p w14:paraId="7D8316FF" w14:textId="77777777" w:rsidR="008C3D25" w:rsidRPr="003E73D6" w:rsidRDefault="008C3D25" w:rsidP="008C3D25">
            <w:pPr>
              <w:rPr>
                <w:sz w:val="18"/>
                <w:szCs w:val="18"/>
                <w:u w:val="single"/>
              </w:rPr>
            </w:pPr>
          </w:p>
        </w:tc>
        <w:tc>
          <w:tcPr>
            <w:tcW w:w="1155" w:type="dxa"/>
          </w:tcPr>
          <w:p w14:paraId="29163058"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5349759C"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4431D31D"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467CD986"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3EB1C94A" w14:textId="552CE0C9"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allocation de ressources supplémentaires, recrutement de personnel supplémentaire]</w:t>
            </w:r>
          </w:p>
        </w:tc>
        <w:tc>
          <w:tcPr>
            <w:tcW w:w="1700" w:type="dxa"/>
          </w:tcPr>
          <w:p w14:paraId="4583ED08" w14:textId="136F0636"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manque d</w:t>
            </w:r>
            <w:r w:rsidR="00493CFE" w:rsidRPr="003E73D6">
              <w:rPr>
                <w:color w:val="000000"/>
                <w:sz w:val="18"/>
                <w:szCs w:val="18"/>
                <w:u w:val="single"/>
              </w:rPr>
              <w:t>’</w:t>
            </w:r>
            <w:r w:rsidR="008C3D25" w:rsidRPr="003E73D6">
              <w:rPr>
                <w:color w:val="000000"/>
                <w:sz w:val="18"/>
                <w:szCs w:val="18"/>
                <w:u w:val="single"/>
              </w:rPr>
              <w:t>installations]</w:t>
            </w:r>
            <w:r w:rsidR="008C3D25" w:rsidRPr="003E73D6">
              <w:rPr>
                <w:color w:val="000000"/>
                <w:sz w:val="18"/>
                <w:szCs w:val="18"/>
              </w:rPr>
              <w:t xml:space="preserve"> </w:t>
            </w:r>
          </w:p>
        </w:tc>
      </w:tr>
      <w:tr w:rsidR="008C3D25" w:rsidRPr="003E73D6" w14:paraId="50CCEE18" w14:textId="77777777" w:rsidTr="00292D55">
        <w:trPr>
          <w:jc w:val="right"/>
        </w:trPr>
        <w:tc>
          <w:tcPr>
            <w:tcW w:w="3094" w:type="dxa"/>
          </w:tcPr>
          <w:p w14:paraId="50F914CF" w14:textId="5079F814" w:rsidR="008C3D25" w:rsidRPr="003E73D6" w:rsidRDefault="008C3D25"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Stratégies visant à prévenir l</w:t>
            </w:r>
            <w:r w:rsidR="00493CFE" w:rsidRPr="003E73D6">
              <w:rPr>
                <w:color w:val="000000"/>
                <w:sz w:val="18"/>
                <w:szCs w:val="18"/>
                <w:u w:val="single"/>
              </w:rPr>
              <w:t>’</w:t>
            </w:r>
            <w:r w:rsidRPr="003E73D6">
              <w:rPr>
                <w:color w:val="000000"/>
                <w:sz w:val="18"/>
                <w:szCs w:val="18"/>
                <w:u w:val="single"/>
              </w:rPr>
              <w:t>exposition des populations vulnérables, notamment les enfants et les femmes en âge de procréer, en particulier les femmes enceintes, au mercure utilisé dans l</w:t>
            </w:r>
            <w:r w:rsidR="00493CFE" w:rsidRPr="003E73D6">
              <w:rPr>
                <w:color w:val="000000"/>
                <w:sz w:val="18"/>
                <w:szCs w:val="18"/>
                <w:u w:val="single"/>
              </w:rPr>
              <w:t>’</w:t>
            </w:r>
            <w:r w:rsidRPr="003E73D6">
              <w:rPr>
                <w:color w:val="000000"/>
                <w:sz w:val="18"/>
                <w:szCs w:val="18"/>
                <w:u w:val="single"/>
              </w:rPr>
              <w:t>extraction minière artisanale et à petite échelle d</w:t>
            </w:r>
            <w:r w:rsidR="00493CFE" w:rsidRPr="003E73D6">
              <w:rPr>
                <w:color w:val="000000"/>
                <w:sz w:val="18"/>
                <w:szCs w:val="18"/>
                <w:u w:val="single"/>
              </w:rPr>
              <w:t>’</w:t>
            </w:r>
            <w:r w:rsidRPr="003E73D6">
              <w:rPr>
                <w:color w:val="000000"/>
                <w:sz w:val="18"/>
                <w:szCs w:val="18"/>
                <w:u w:val="single"/>
              </w:rPr>
              <w:t>or</w:t>
            </w:r>
            <w:r w:rsidRPr="003E73D6">
              <w:rPr>
                <w:i/>
                <w:iCs/>
                <w:color w:val="000000"/>
                <w:sz w:val="18"/>
                <w:szCs w:val="18"/>
                <w:u w:val="single"/>
                <w:vertAlign w:val="superscript"/>
              </w:rPr>
              <w:t>d, e</w:t>
            </w:r>
          </w:p>
        </w:tc>
        <w:tc>
          <w:tcPr>
            <w:tcW w:w="1128" w:type="dxa"/>
          </w:tcPr>
          <w:p w14:paraId="7EA038C4" w14:textId="77777777" w:rsidR="008C3D25" w:rsidRPr="003E73D6" w:rsidRDefault="008C3D25" w:rsidP="008C3D25">
            <w:pPr>
              <w:rPr>
                <w:sz w:val="18"/>
                <w:szCs w:val="18"/>
                <w:u w:val="single"/>
              </w:rPr>
            </w:pPr>
          </w:p>
        </w:tc>
        <w:tc>
          <w:tcPr>
            <w:tcW w:w="1155" w:type="dxa"/>
          </w:tcPr>
          <w:p w14:paraId="63AEA2CC"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3DA86605"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005E959A"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479DE8DF"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0FFB8823" w14:textId="3B886DDC"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programmation de sessions de formation supplémentaires]</w:t>
            </w:r>
          </w:p>
        </w:tc>
        <w:tc>
          <w:tcPr>
            <w:tcW w:w="1700" w:type="dxa"/>
          </w:tcPr>
          <w:p w14:paraId="3FA24F67" w14:textId="10692BB1"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changement de personnel]</w:t>
            </w:r>
            <w:r w:rsidR="008C3D25" w:rsidRPr="003E73D6">
              <w:rPr>
                <w:color w:val="000000"/>
                <w:sz w:val="18"/>
                <w:szCs w:val="18"/>
              </w:rPr>
              <w:t xml:space="preserve"> </w:t>
            </w:r>
          </w:p>
        </w:tc>
      </w:tr>
      <w:tr w:rsidR="008C3D25" w:rsidRPr="003E73D6" w14:paraId="190CBB0D" w14:textId="77777777" w:rsidTr="00292D55">
        <w:trPr>
          <w:jc w:val="right"/>
        </w:trPr>
        <w:tc>
          <w:tcPr>
            <w:tcW w:w="3094" w:type="dxa"/>
          </w:tcPr>
          <w:p w14:paraId="60D6FA17" w14:textId="0FAD9DB4" w:rsidR="008C3D25" w:rsidRPr="003E73D6" w:rsidRDefault="008C3D25" w:rsidP="00EB2F87">
            <w:pPr>
              <w:pStyle w:val="ListParagraph"/>
              <w:keepNext/>
              <w:keepLines/>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lastRenderedPageBreak/>
              <w:t>Stratégies pour informer les mineur(se)s travaillant dans l</w:t>
            </w:r>
            <w:r w:rsidR="00493CFE" w:rsidRPr="003E73D6">
              <w:rPr>
                <w:color w:val="000000"/>
                <w:sz w:val="18"/>
                <w:szCs w:val="18"/>
                <w:u w:val="single"/>
              </w:rPr>
              <w:t>’</w:t>
            </w:r>
            <w:r w:rsidRPr="003E73D6">
              <w:rPr>
                <w:color w:val="000000"/>
                <w:sz w:val="18"/>
                <w:szCs w:val="18"/>
                <w:u w:val="single"/>
              </w:rPr>
              <w:t>extraction minière artisanale et à petite échelle d</w:t>
            </w:r>
            <w:r w:rsidR="00493CFE" w:rsidRPr="003E73D6">
              <w:rPr>
                <w:color w:val="000000"/>
                <w:sz w:val="18"/>
                <w:szCs w:val="18"/>
                <w:u w:val="single"/>
              </w:rPr>
              <w:t>’</w:t>
            </w:r>
            <w:r w:rsidRPr="003E73D6">
              <w:rPr>
                <w:color w:val="000000"/>
                <w:sz w:val="18"/>
                <w:szCs w:val="18"/>
                <w:u w:val="single"/>
              </w:rPr>
              <w:t>or et les communautés touchées</w:t>
            </w:r>
          </w:p>
        </w:tc>
        <w:tc>
          <w:tcPr>
            <w:tcW w:w="1128" w:type="dxa"/>
          </w:tcPr>
          <w:p w14:paraId="3245295C" w14:textId="77777777" w:rsidR="008C3D25" w:rsidRPr="003E73D6" w:rsidRDefault="008C3D25" w:rsidP="00EB2F87">
            <w:pPr>
              <w:keepNext/>
              <w:keepLines/>
              <w:rPr>
                <w:sz w:val="18"/>
                <w:szCs w:val="18"/>
                <w:u w:val="single"/>
              </w:rPr>
            </w:pPr>
          </w:p>
        </w:tc>
        <w:tc>
          <w:tcPr>
            <w:tcW w:w="1155" w:type="dxa"/>
          </w:tcPr>
          <w:p w14:paraId="22508292" w14:textId="77777777" w:rsidR="008C3D25" w:rsidRPr="003E73D6" w:rsidRDefault="008C3D25" w:rsidP="00EB2F87">
            <w:pPr>
              <w:keepNext/>
              <w:keepLines/>
              <w:rPr>
                <w:sz w:val="18"/>
                <w:szCs w:val="18"/>
                <w:u w:val="single"/>
              </w:rPr>
            </w:pPr>
            <w:r w:rsidRPr="003E73D6">
              <w:rPr>
                <w:color w:val="000000"/>
                <w:sz w:val="18"/>
                <w:szCs w:val="18"/>
                <w:u w:val="single"/>
              </w:rPr>
              <w:t>[Date]</w:t>
            </w:r>
          </w:p>
        </w:tc>
        <w:tc>
          <w:tcPr>
            <w:tcW w:w="1724" w:type="dxa"/>
          </w:tcPr>
          <w:p w14:paraId="05ADCDD8" w14:textId="77777777" w:rsidR="008C3D25" w:rsidRPr="003E73D6" w:rsidRDefault="008C3D25" w:rsidP="00EB2F87">
            <w:pPr>
              <w:keepNext/>
              <w:keepLines/>
              <w:rPr>
                <w:sz w:val="18"/>
                <w:szCs w:val="18"/>
                <w:u w:val="single"/>
              </w:rPr>
            </w:pPr>
            <w:r w:rsidRPr="003E73D6">
              <w:rPr>
                <w:color w:val="000000"/>
                <w:sz w:val="18"/>
                <w:szCs w:val="18"/>
                <w:u w:val="single"/>
              </w:rPr>
              <w:t>[Date]</w:t>
            </w:r>
          </w:p>
        </w:tc>
        <w:tc>
          <w:tcPr>
            <w:tcW w:w="1724" w:type="dxa"/>
          </w:tcPr>
          <w:p w14:paraId="77BE90C9" w14:textId="77777777" w:rsidR="008C3D25" w:rsidRPr="003E73D6" w:rsidRDefault="008C3D25" w:rsidP="00EB2F87">
            <w:pPr>
              <w:keepNext/>
              <w:keepLines/>
              <w:rPr>
                <w:sz w:val="18"/>
                <w:szCs w:val="18"/>
                <w:u w:val="single"/>
              </w:rPr>
            </w:pPr>
            <w:r w:rsidRPr="003E73D6">
              <w:rPr>
                <w:color w:val="000000"/>
                <w:sz w:val="18"/>
                <w:szCs w:val="18"/>
                <w:u w:val="single"/>
              </w:rPr>
              <w:t>[Achevé / en cours / retardé]</w:t>
            </w:r>
          </w:p>
        </w:tc>
        <w:tc>
          <w:tcPr>
            <w:tcW w:w="1880" w:type="dxa"/>
          </w:tcPr>
          <w:p w14:paraId="64C56D7F" w14:textId="77777777" w:rsidR="008C3D25" w:rsidRPr="003E73D6" w:rsidRDefault="008C3D25" w:rsidP="00EB2F87">
            <w:pPr>
              <w:keepNext/>
              <w:keepLines/>
              <w:ind w:right="-270"/>
              <w:rPr>
                <w:sz w:val="18"/>
                <w:szCs w:val="18"/>
                <w:u w:val="single"/>
              </w:rPr>
            </w:pPr>
            <w:r w:rsidRPr="003E73D6">
              <w:rPr>
                <w:color w:val="000000"/>
                <w:sz w:val="18"/>
                <w:szCs w:val="18"/>
                <w:u w:val="single"/>
              </w:rPr>
              <w:t>[--]</w:t>
            </w:r>
          </w:p>
        </w:tc>
        <w:tc>
          <w:tcPr>
            <w:tcW w:w="2014" w:type="dxa"/>
            <w:gridSpan w:val="2"/>
          </w:tcPr>
          <w:p w14:paraId="0506925B" w14:textId="656BF065" w:rsidR="008C3D25" w:rsidRPr="003E73D6" w:rsidRDefault="0039074D" w:rsidP="00EB2F87">
            <w:pPr>
              <w:keepNext/>
              <w:keepLines/>
              <w:rPr>
                <w:sz w:val="18"/>
                <w:szCs w:val="18"/>
                <w:u w:val="single"/>
              </w:rPr>
            </w:pPr>
            <w:r w:rsidRPr="003E73D6">
              <w:rPr>
                <w:color w:val="000000"/>
                <w:sz w:val="18"/>
                <w:szCs w:val="18"/>
                <w:u w:val="single"/>
              </w:rPr>
              <w:t>[Par exemple</w:t>
            </w:r>
            <w:r w:rsidR="008C3D25" w:rsidRPr="003E73D6">
              <w:rPr>
                <w:color w:val="000000"/>
                <w:sz w:val="18"/>
                <w:szCs w:val="18"/>
                <w:u w:val="single"/>
              </w:rPr>
              <w:t>, programmation de sessions de formation supplémentaires]</w:t>
            </w:r>
          </w:p>
        </w:tc>
        <w:tc>
          <w:tcPr>
            <w:tcW w:w="1700" w:type="dxa"/>
          </w:tcPr>
          <w:p w14:paraId="68297224" w14:textId="03296F74" w:rsidR="008C3D25" w:rsidRPr="003E73D6" w:rsidRDefault="0039074D" w:rsidP="00EB2F87">
            <w:pPr>
              <w:keepNext/>
              <w:keepLines/>
              <w:rPr>
                <w:sz w:val="18"/>
                <w:szCs w:val="18"/>
                <w:u w:val="single"/>
              </w:rPr>
            </w:pPr>
            <w:r w:rsidRPr="003E73D6">
              <w:rPr>
                <w:color w:val="000000"/>
                <w:sz w:val="18"/>
                <w:szCs w:val="18"/>
                <w:u w:val="single"/>
              </w:rPr>
              <w:t>[Par exemple</w:t>
            </w:r>
            <w:r w:rsidR="008C3D25" w:rsidRPr="003E73D6">
              <w:rPr>
                <w:color w:val="000000"/>
                <w:sz w:val="18"/>
                <w:szCs w:val="18"/>
                <w:u w:val="single"/>
              </w:rPr>
              <w:t>, adoption de technologies plus lente que prévu]</w:t>
            </w:r>
            <w:r w:rsidR="008C3D25" w:rsidRPr="003E73D6">
              <w:rPr>
                <w:color w:val="000000"/>
                <w:sz w:val="18"/>
                <w:szCs w:val="18"/>
              </w:rPr>
              <w:t xml:space="preserve"> </w:t>
            </w:r>
          </w:p>
        </w:tc>
      </w:tr>
      <w:tr w:rsidR="008C3D25" w:rsidRPr="003E73D6" w14:paraId="18B8A279" w14:textId="77777777" w:rsidTr="00292D55">
        <w:trPr>
          <w:jc w:val="right"/>
        </w:trPr>
        <w:tc>
          <w:tcPr>
            <w:tcW w:w="3094" w:type="dxa"/>
          </w:tcPr>
          <w:p w14:paraId="1870B1C0" w14:textId="0A3FA31A" w:rsidR="008C3D25" w:rsidRPr="003E73D6" w:rsidRDefault="7E3F137B"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Stratégies facultatives telles que l</w:t>
            </w:r>
            <w:r w:rsidR="00493CFE" w:rsidRPr="003E73D6">
              <w:rPr>
                <w:color w:val="000000"/>
                <w:sz w:val="18"/>
                <w:szCs w:val="18"/>
                <w:u w:val="single"/>
              </w:rPr>
              <w:t>’</w:t>
            </w:r>
            <w:r w:rsidRPr="003E73D6">
              <w:rPr>
                <w:color w:val="000000"/>
                <w:sz w:val="18"/>
                <w:szCs w:val="18"/>
                <w:u w:val="single"/>
              </w:rPr>
              <w:t>utilisation ou l</w:t>
            </w:r>
            <w:r w:rsidR="00493CFE" w:rsidRPr="003E73D6">
              <w:rPr>
                <w:color w:val="000000"/>
                <w:sz w:val="18"/>
                <w:szCs w:val="18"/>
                <w:u w:val="single"/>
              </w:rPr>
              <w:t>’</w:t>
            </w:r>
            <w:r w:rsidRPr="003E73D6">
              <w:rPr>
                <w:color w:val="000000"/>
                <w:sz w:val="18"/>
                <w:szCs w:val="18"/>
                <w:u w:val="single"/>
              </w:rPr>
              <w:t>introduction de normes relatives à l</w:t>
            </w:r>
            <w:r w:rsidR="00493CFE" w:rsidRPr="003E73D6">
              <w:rPr>
                <w:color w:val="000000"/>
                <w:sz w:val="18"/>
                <w:szCs w:val="18"/>
                <w:u w:val="single"/>
              </w:rPr>
              <w:t>’</w:t>
            </w:r>
            <w:r w:rsidRPr="003E73D6">
              <w:rPr>
                <w:color w:val="000000"/>
                <w:sz w:val="18"/>
                <w:szCs w:val="18"/>
                <w:u w:val="single"/>
              </w:rPr>
              <w:t>extraction minière artisanale et à petite échelle d</w:t>
            </w:r>
            <w:r w:rsidR="00493CFE" w:rsidRPr="003E73D6">
              <w:rPr>
                <w:color w:val="000000"/>
                <w:sz w:val="18"/>
                <w:szCs w:val="18"/>
                <w:u w:val="single"/>
              </w:rPr>
              <w:t>’</w:t>
            </w:r>
            <w:r w:rsidRPr="003E73D6">
              <w:rPr>
                <w:color w:val="000000"/>
                <w:sz w:val="18"/>
                <w:szCs w:val="18"/>
                <w:u w:val="single"/>
              </w:rPr>
              <w:t>or par des procédés ne faisant pas appel au mercure et de mécanismes reposant sur le marché ou d</w:t>
            </w:r>
            <w:r w:rsidR="00493CFE" w:rsidRPr="003E73D6">
              <w:rPr>
                <w:color w:val="000000"/>
                <w:sz w:val="18"/>
                <w:szCs w:val="18"/>
                <w:u w:val="single"/>
              </w:rPr>
              <w:t>’</w:t>
            </w:r>
            <w:r w:rsidRPr="003E73D6">
              <w:rPr>
                <w:color w:val="000000"/>
                <w:sz w:val="18"/>
                <w:szCs w:val="18"/>
                <w:u w:val="single"/>
              </w:rPr>
              <w:t>outils de marketing</w:t>
            </w:r>
          </w:p>
        </w:tc>
        <w:tc>
          <w:tcPr>
            <w:tcW w:w="1128" w:type="dxa"/>
          </w:tcPr>
          <w:p w14:paraId="365FC5ED" w14:textId="77777777" w:rsidR="008C3D25" w:rsidRPr="003E73D6" w:rsidRDefault="008C3D25" w:rsidP="008C3D25">
            <w:pPr>
              <w:rPr>
                <w:sz w:val="18"/>
                <w:szCs w:val="18"/>
                <w:u w:val="single"/>
              </w:rPr>
            </w:pPr>
          </w:p>
        </w:tc>
        <w:tc>
          <w:tcPr>
            <w:tcW w:w="1155" w:type="dxa"/>
          </w:tcPr>
          <w:p w14:paraId="1338F143"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0A8C5ADB"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458629EC"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47031C93"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5D6C0513" w14:textId="507A3DC3"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partenariat privé-public sur les incitations économiques]</w:t>
            </w:r>
          </w:p>
        </w:tc>
        <w:tc>
          <w:tcPr>
            <w:tcW w:w="1700" w:type="dxa"/>
          </w:tcPr>
          <w:p w14:paraId="140B834B" w14:textId="2946BD95"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manque de connaissances spécialisées]</w:t>
            </w:r>
            <w:r w:rsidR="008C3D25" w:rsidRPr="003E73D6">
              <w:rPr>
                <w:color w:val="000000"/>
                <w:sz w:val="18"/>
                <w:szCs w:val="18"/>
              </w:rPr>
              <w:t xml:space="preserve"> </w:t>
            </w:r>
          </w:p>
        </w:tc>
      </w:tr>
      <w:tr w:rsidR="00E43635" w:rsidRPr="003E73D6" w14:paraId="23235D19" w14:textId="77777777" w:rsidTr="00292D55">
        <w:trPr>
          <w:jc w:val="right"/>
        </w:trPr>
        <w:tc>
          <w:tcPr>
            <w:tcW w:w="14419" w:type="dxa"/>
            <w:gridSpan w:val="9"/>
            <w:shd w:val="clear" w:color="auto" w:fill="BFBFBF" w:themeFill="background1" w:themeFillShade="BF"/>
          </w:tcPr>
          <w:p w14:paraId="7E3DC7B5" w14:textId="77777777" w:rsidR="00E43635" w:rsidRPr="003E73D6" w:rsidRDefault="00E43635" w:rsidP="00C8748D">
            <w:pPr>
              <w:ind w:left="-43"/>
              <w:rPr>
                <w:sz w:val="18"/>
                <w:szCs w:val="18"/>
                <w:u w:val="single"/>
              </w:rPr>
            </w:pPr>
            <w:r w:rsidRPr="003E73D6">
              <w:rPr>
                <w:color w:val="000000"/>
                <w:sz w:val="18"/>
                <w:szCs w:val="18"/>
                <w:u w:val="single"/>
              </w:rPr>
              <w:t>Décisions pertinentes de la Conférence des Parties et orientations (</w:t>
            </w:r>
            <w:r w:rsidRPr="003E73D6">
              <w:rPr>
                <w:i/>
                <w:iCs/>
                <w:color w:val="000000"/>
                <w:sz w:val="18"/>
                <w:szCs w:val="18"/>
                <w:u w:val="single"/>
              </w:rPr>
              <w:t>éléments supplémentaires</w:t>
            </w:r>
            <w:r w:rsidRPr="003E73D6">
              <w:rPr>
                <w:color w:val="000000"/>
                <w:sz w:val="18"/>
                <w:szCs w:val="18"/>
                <w:u w:val="single"/>
              </w:rPr>
              <w:t>)</w:t>
            </w:r>
          </w:p>
        </w:tc>
      </w:tr>
      <w:tr w:rsidR="005A467E" w:rsidRPr="003E73D6" w14:paraId="4A7B50DB" w14:textId="77777777" w:rsidTr="00292D55">
        <w:trPr>
          <w:jc w:val="right"/>
        </w:trPr>
        <w:tc>
          <w:tcPr>
            <w:tcW w:w="3094" w:type="dxa"/>
          </w:tcPr>
          <w:p w14:paraId="1EB742C1" w14:textId="0651B357" w:rsidR="005A467E" w:rsidRPr="003E73D6" w:rsidRDefault="005A467E"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Budget et allocation des ressources (document d</w:t>
            </w:r>
            <w:r w:rsidR="00493CFE" w:rsidRPr="003E73D6">
              <w:rPr>
                <w:color w:val="000000"/>
                <w:sz w:val="18"/>
                <w:szCs w:val="18"/>
                <w:u w:val="single"/>
              </w:rPr>
              <w:t>’</w:t>
            </w:r>
            <w:r w:rsidRPr="003E73D6">
              <w:rPr>
                <w:color w:val="000000"/>
                <w:sz w:val="18"/>
                <w:szCs w:val="18"/>
                <w:u w:val="single"/>
              </w:rPr>
              <w:t>orientation sur l</w:t>
            </w:r>
            <w:r w:rsidR="00493CFE" w:rsidRPr="003E73D6">
              <w:rPr>
                <w:color w:val="000000"/>
                <w:sz w:val="18"/>
                <w:szCs w:val="18"/>
                <w:u w:val="single"/>
              </w:rPr>
              <w:t>’</w:t>
            </w:r>
            <w:r w:rsidRPr="003E73D6">
              <w:rPr>
                <w:color w:val="000000"/>
                <w:sz w:val="18"/>
                <w:szCs w:val="18"/>
                <w:u w:val="single"/>
              </w:rPr>
              <w:t>élaboration d</w:t>
            </w:r>
            <w:r w:rsidR="00493CFE" w:rsidRPr="003E73D6">
              <w:rPr>
                <w:color w:val="000000"/>
                <w:sz w:val="18"/>
                <w:szCs w:val="18"/>
                <w:u w:val="single"/>
              </w:rPr>
              <w:t>’</w:t>
            </w:r>
            <w:r w:rsidRPr="003E73D6">
              <w:rPr>
                <w:color w:val="000000"/>
                <w:sz w:val="18"/>
                <w:szCs w:val="18"/>
                <w:u w:val="single"/>
              </w:rPr>
              <w:t>un PAN, alinéa d) de</w:t>
            </w:r>
            <w:r w:rsidR="003E3D43" w:rsidRPr="003E73D6">
              <w:rPr>
                <w:color w:val="000000"/>
                <w:sz w:val="18"/>
                <w:szCs w:val="18"/>
                <w:u w:val="single"/>
              </w:rPr>
              <w:t> </w:t>
            </w:r>
            <w:r w:rsidRPr="003E73D6">
              <w:rPr>
                <w:color w:val="000000"/>
                <w:sz w:val="18"/>
                <w:szCs w:val="18"/>
                <w:u w:val="single"/>
              </w:rPr>
              <w:t>la section</w:t>
            </w:r>
            <w:r w:rsidR="001B7A63" w:rsidRPr="003E73D6">
              <w:rPr>
                <w:color w:val="000000"/>
                <w:sz w:val="18"/>
                <w:szCs w:val="18"/>
                <w:u w:val="single"/>
              </w:rPr>
              <w:t> </w:t>
            </w:r>
            <w:r w:rsidRPr="003E73D6">
              <w:rPr>
                <w:color w:val="000000"/>
                <w:sz w:val="18"/>
                <w:szCs w:val="18"/>
                <w:u w:val="single"/>
              </w:rPr>
              <w:t>4.4)</w:t>
            </w:r>
          </w:p>
        </w:tc>
        <w:tc>
          <w:tcPr>
            <w:tcW w:w="1128" w:type="dxa"/>
          </w:tcPr>
          <w:p w14:paraId="7788A234" w14:textId="77777777" w:rsidR="005A467E" w:rsidRPr="003E73D6" w:rsidRDefault="005A467E" w:rsidP="005A467E">
            <w:pPr>
              <w:rPr>
                <w:sz w:val="18"/>
                <w:szCs w:val="18"/>
                <w:u w:val="single"/>
              </w:rPr>
            </w:pPr>
          </w:p>
        </w:tc>
        <w:tc>
          <w:tcPr>
            <w:tcW w:w="1155" w:type="dxa"/>
          </w:tcPr>
          <w:p w14:paraId="4FC398A7" w14:textId="77777777" w:rsidR="005A467E" w:rsidRPr="003E73D6" w:rsidRDefault="005A467E" w:rsidP="005A467E">
            <w:pPr>
              <w:rPr>
                <w:sz w:val="18"/>
                <w:szCs w:val="18"/>
                <w:u w:val="single"/>
              </w:rPr>
            </w:pPr>
            <w:r w:rsidRPr="003E73D6">
              <w:rPr>
                <w:color w:val="000000"/>
                <w:sz w:val="18"/>
                <w:szCs w:val="18"/>
                <w:u w:val="single"/>
              </w:rPr>
              <w:t>[Date]</w:t>
            </w:r>
          </w:p>
        </w:tc>
        <w:tc>
          <w:tcPr>
            <w:tcW w:w="1724" w:type="dxa"/>
          </w:tcPr>
          <w:p w14:paraId="1DC430F0" w14:textId="77777777" w:rsidR="005A467E" w:rsidRPr="003E73D6" w:rsidRDefault="005A467E" w:rsidP="005A467E">
            <w:pPr>
              <w:rPr>
                <w:sz w:val="18"/>
                <w:szCs w:val="18"/>
                <w:u w:val="single"/>
              </w:rPr>
            </w:pPr>
            <w:r w:rsidRPr="003E73D6">
              <w:rPr>
                <w:color w:val="000000"/>
                <w:sz w:val="18"/>
                <w:szCs w:val="18"/>
                <w:u w:val="single"/>
              </w:rPr>
              <w:t>[Date]</w:t>
            </w:r>
          </w:p>
        </w:tc>
        <w:tc>
          <w:tcPr>
            <w:tcW w:w="1724" w:type="dxa"/>
          </w:tcPr>
          <w:p w14:paraId="0A961ABE" w14:textId="77777777" w:rsidR="005A467E" w:rsidRPr="003E73D6" w:rsidRDefault="005A467E" w:rsidP="005A467E">
            <w:pPr>
              <w:rPr>
                <w:sz w:val="18"/>
                <w:szCs w:val="18"/>
                <w:u w:val="single"/>
              </w:rPr>
            </w:pPr>
            <w:r w:rsidRPr="003E73D6">
              <w:rPr>
                <w:color w:val="000000"/>
                <w:sz w:val="18"/>
                <w:szCs w:val="18"/>
                <w:u w:val="single"/>
              </w:rPr>
              <w:t>[Achevé / en cours / retardé]</w:t>
            </w:r>
          </w:p>
        </w:tc>
        <w:tc>
          <w:tcPr>
            <w:tcW w:w="1880" w:type="dxa"/>
          </w:tcPr>
          <w:p w14:paraId="3B8C9D4D" w14:textId="77777777" w:rsidR="005A467E" w:rsidRPr="003E73D6" w:rsidRDefault="005A467E" w:rsidP="005A467E">
            <w:pPr>
              <w:ind w:right="-270"/>
              <w:rPr>
                <w:sz w:val="18"/>
                <w:szCs w:val="18"/>
                <w:u w:val="single"/>
              </w:rPr>
            </w:pPr>
            <w:r w:rsidRPr="003E73D6">
              <w:rPr>
                <w:color w:val="000000"/>
                <w:sz w:val="18"/>
                <w:szCs w:val="18"/>
                <w:u w:val="single"/>
              </w:rPr>
              <w:t>[--]</w:t>
            </w:r>
          </w:p>
        </w:tc>
        <w:tc>
          <w:tcPr>
            <w:tcW w:w="2014" w:type="dxa"/>
            <w:gridSpan w:val="2"/>
          </w:tcPr>
          <w:p w14:paraId="1C7B683E" w14:textId="54FFB6A9" w:rsidR="005A467E" w:rsidRPr="003E73D6" w:rsidRDefault="0039074D" w:rsidP="005A467E">
            <w:pPr>
              <w:rPr>
                <w:sz w:val="18"/>
                <w:szCs w:val="18"/>
                <w:u w:val="single"/>
              </w:rPr>
            </w:pPr>
            <w:r w:rsidRPr="003E73D6">
              <w:rPr>
                <w:color w:val="000000"/>
                <w:sz w:val="18"/>
                <w:szCs w:val="18"/>
                <w:u w:val="single"/>
              </w:rPr>
              <w:t>[Par exemple</w:t>
            </w:r>
            <w:r w:rsidR="005A467E" w:rsidRPr="003E73D6">
              <w:rPr>
                <w:color w:val="000000"/>
                <w:sz w:val="18"/>
                <w:szCs w:val="18"/>
                <w:u w:val="single"/>
              </w:rPr>
              <w:t>, révision du calendrier, allocation de ressources supplémentaires]</w:t>
            </w:r>
          </w:p>
        </w:tc>
        <w:tc>
          <w:tcPr>
            <w:tcW w:w="1700" w:type="dxa"/>
          </w:tcPr>
          <w:p w14:paraId="455AE120" w14:textId="694408CA" w:rsidR="005A467E" w:rsidRPr="003E73D6" w:rsidRDefault="0039074D" w:rsidP="005A467E">
            <w:pPr>
              <w:rPr>
                <w:sz w:val="18"/>
                <w:szCs w:val="18"/>
                <w:u w:val="single"/>
              </w:rPr>
            </w:pPr>
            <w:r w:rsidRPr="003E73D6">
              <w:rPr>
                <w:color w:val="000000"/>
                <w:sz w:val="18"/>
                <w:szCs w:val="18"/>
                <w:u w:val="single"/>
              </w:rPr>
              <w:t>[Par exemple</w:t>
            </w:r>
            <w:r w:rsidR="005A467E" w:rsidRPr="003E73D6">
              <w:rPr>
                <w:color w:val="000000"/>
                <w:sz w:val="18"/>
                <w:szCs w:val="18"/>
                <w:u w:val="single"/>
              </w:rPr>
              <w:t>, retard dû</w:t>
            </w:r>
            <w:r w:rsidR="00BB6B7F" w:rsidRPr="003E73D6">
              <w:rPr>
                <w:color w:val="000000"/>
                <w:sz w:val="18"/>
                <w:szCs w:val="18"/>
                <w:u w:val="single"/>
              </w:rPr>
              <w:t> </w:t>
            </w:r>
            <w:r w:rsidR="005A467E" w:rsidRPr="003E73D6">
              <w:rPr>
                <w:color w:val="000000"/>
                <w:sz w:val="18"/>
                <w:szCs w:val="18"/>
                <w:u w:val="single"/>
              </w:rPr>
              <w:t>à des problèmes de</w:t>
            </w:r>
            <w:r w:rsidR="00BB6B7F" w:rsidRPr="003E73D6">
              <w:rPr>
                <w:color w:val="000000"/>
                <w:sz w:val="18"/>
                <w:szCs w:val="18"/>
                <w:u w:val="single"/>
              </w:rPr>
              <w:t> </w:t>
            </w:r>
            <w:r w:rsidR="005A467E" w:rsidRPr="003E73D6">
              <w:rPr>
                <w:color w:val="000000"/>
                <w:sz w:val="18"/>
                <w:szCs w:val="18"/>
                <w:u w:val="single"/>
              </w:rPr>
              <w:t>financement]</w:t>
            </w:r>
            <w:r w:rsidR="005A467E" w:rsidRPr="003E73D6">
              <w:rPr>
                <w:color w:val="000000"/>
                <w:sz w:val="18"/>
                <w:szCs w:val="18"/>
              </w:rPr>
              <w:t xml:space="preserve"> </w:t>
            </w:r>
          </w:p>
        </w:tc>
      </w:tr>
      <w:tr w:rsidR="008C3D25" w:rsidRPr="003E73D6" w14:paraId="24428A2B" w14:textId="77777777" w:rsidTr="00292D55">
        <w:trPr>
          <w:jc w:val="right"/>
        </w:trPr>
        <w:tc>
          <w:tcPr>
            <w:tcW w:w="3094" w:type="dxa"/>
          </w:tcPr>
          <w:p w14:paraId="77D9BF4A" w14:textId="624D9391" w:rsidR="008C3D25" w:rsidRPr="003E73D6" w:rsidRDefault="008C3D25" w:rsidP="002E3F08">
            <w:pPr>
              <w:pStyle w:val="ListParagraph"/>
              <w:numPr>
                <w:ilvl w:val="2"/>
                <w:numId w:val="19"/>
              </w:numPr>
              <w:tabs>
                <w:tab w:val="clear" w:pos="1247"/>
                <w:tab w:val="clear" w:pos="1814"/>
                <w:tab w:val="clear" w:pos="2381"/>
                <w:tab w:val="clear" w:pos="2948"/>
                <w:tab w:val="clear" w:pos="3515"/>
              </w:tabs>
              <w:ind w:left="173" w:hanging="216"/>
              <w:rPr>
                <w:sz w:val="18"/>
                <w:szCs w:val="18"/>
                <w:u w:val="single"/>
              </w:rPr>
            </w:pPr>
            <w:r w:rsidRPr="003E73D6">
              <w:rPr>
                <w:color w:val="000000"/>
                <w:sz w:val="18"/>
                <w:szCs w:val="18"/>
                <w:u w:val="single"/>
              </w:rPr>
              <w:t>Intégration dans le PAN de mesures de sauvegarde de la biodiversité (décision</w:t>
            </w:r>
            <w:r w:rsidR="001B7A63" w:rsidRPr="003E73D6">
              <w:rPr>
                <w:color w:val="000000"/>
                <w:sz w:val="18"/>
                <w:szCs w:val="18"/>
                <w:u w:val="single"/>
              </w:rPr>
              <w:t> </w:t>
            </w:r>
            <w:r w:rsidRPr="003E73D6">
              <w:rPr>
                <w:color w:val="000000"/>
                <w:sz w:val="18"/>
                <w:szCs w:val="18"/>
                <w:u w:val="single"/>
              </w:rPr>
              <w:t>MC-5/17)</w:t>
            </w:r>
          </w:p>
        </w:tc>
        <w:tc>
          <w:tcPr>
            <w:tcW w:w="1128" w:type="dxa"/>
          </w:tcPr>
          <w:p w14:paraId="778C8300" w14:textId="77777777" w:rsidR="008C3D25" w:rsidRPr="003E73D6" w:rsidRDefault="008C3D25" w:rsidP="008C3D25">
            <w:pPr>
              <w:rPr>
                <w:sz w:val="18"/>
                <w:szCs w:val="18"/>
                <w:u w:val="single"/>
              </w:rPr>
            </w:pPr>
          </w:p>
        </w:tc>
        <w:tc>
          <w:tcPr>
            <w:tcW w:w="1155" w:type="dxa"/>
          </w:tcPr>
          <w:p w14:paraId="648A806C"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306D9EF4" w14:textId="77777777" w:rsidR="008C3D25" w:rsidRPr="003E73D6" w:rsidRDefault="008C3D25" w:rsidP="008C3D25">
            <w:pPr>
              <w:rPr>
                <w:sz w:val="18"/>
                <w:szCs w:val="18"/>
                <w:u w:val="single"/>
              </w:rPr>
            </w:pPr>
            <w:r w:rsidRPr="003E73D6">
              <w:rPr>
                <w:color w:val="000000"/>
                <w:sz w:val="18"/>
                <w:szCs w:val="18"/>
                <w:u w:val="single"/>
              </w:rPr>
              <w:t>[Date]</w:t>
            </w:r>
          </w:p>
        </w:tc>
        <w:tc>
          <w:tcPr>
            <w:tcW w:w="1724" w:type="dxa"/>
          </w:tcPr>
          <w:p w14:paraId="7877C9CF" w14:textId="77777777" w:rsidR="008C3D25" w:rsidRPr="003E73D6" w:rsidRDefault="008C3D25" w:rsidP="008C3D25">
            <w:pPr>
              <w:rPr>
                <w:sz w:val="18"/>
                <w:szCs w:val="18"/>
                <w:u w:val="single"/>
              </w:rPr>
            </w:pPr>
            <w:r w:rsidRPr="003E73D6">
              <w:rPr>
                <w:color w:val="000000"/>
                <w:sz w:val="18"/>
                <w:szCs w:val="18"/>
                <w:u w:val="single"/>
              </w:rPr>
              <w:t>[Achevé / en cours / retardé]</w:t>
            </w:r>
          </w:p>
        </w:tc>
        <w:tc>
          <w:tcPr>
            <w:tcW w:w="1880" w:type="dxa"/>
          </w:tcPr>
          <w:p w14:paraId="2685FBDE" w14:textId="77777777" w:rsidR="008C3D25" w:rsidRPr="003E73D6" w:rsidRDefault="008C3D25" w:rsidP="008C3D25">
            <w:pPr>
              <w:ind w:right="-270"/>
              <w:rPr>
                <w:sz w:val="18"/>
                <w:szCs w:val="18"/>
                <w:u w:val="single"/>
              </w:rPr>
            </w:pPr>
            <w:r w:rsidRPr="003E73D6">
              <w:rPr>
                <w:color w:val="000000"/>
                <w:sz w:val="18"/>
                <w:szCs w:val="18"/>
                <w:u w:val="single"/>
              </w:rPr>
              <w:t>[--]</w:t>
            </w:r>
          </w:p>
        </w:tc>
        <w:tc>
          <w:tcPr>
            <w:tcW w:w="2014" w:type="dxa"/>
            <w:gridSpan w:val="2"/>
          </w:tcPr>
          <w:p w14:paraId="7D1C3C40" w14:textId="054E5E6F"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révision du calendrier, allocation de ressources supplémentaires]</w:t>
            </w:r>
          </w:p>
        </w:tc>
        <w:tc>
          <w:tcPr>
            <w:tcW w:w="1700" w:type="dxa"/>
          </w:tcPr>
          <w:p w14:paraId="3F4063D4" w14:textId="4E6E0458" w:rsidR="008C3D25" w:rsidRPr="003E73D6" w:rsidRDefault="0039074D" w:rsidP="008C3D25">
            <w:pPr>
              <w:rPr>
                <w:sz w:val="18"/>
                <w:szCs w:val="18"/>
                <w:u w:val="single"/>
              </w:rPr>
            </w:pPr>
            <w:r w:rsidRPr="003E73D6">
              <w:rPr>
                <w:color w:val="000000"/>
                <w:sz w:val="18"/>
                <w:szCs w:val="18"/>
                <w:u w:val="single"/>
              </w:rPr>
              <w:t>[Par exemple</w:t>
            </w:r>
            <w:r w:rsidR="008C3D25" w:rsidRPr="003E73D6">
              <w:rPr>
                <w:color w:val="000000"/>
                <w:sz w:val="18"/>
                <w:szCs w:val="18"/>
                <w:u w:val="single"/>
              </w:rPr>
              <w:t>, retard dû</w:t>
            </w:r>
            <w:r w:rsidR="00BB6B7F" w:rsidRPr="003E73D6">
              <w:rPr>
                <w:color w:val="000000"/>
                <w:sz w:val="18"/>
                <w:szCs w:val="18"/>
                <w:u w:val="single"/>
              </w:rPr>
              <w:t> </w:t>
            </w:r>
            <w:r w:rsidR="008C3D25" w:rsidRPr="003E73D6">
              <w:rPr>
                <w:color w:val="000000"/>
                <w:sz w:val="18"/>
                <w:szCs w:val="18"/>
                <w:u w:val="single"/>
              </w:rPr>
              <w:t>à des problèmes de</w:t>
            </w:r>
            <w:r w:rsidR="00BB6B7F" w:rsidRPr="003E73D6">
              <w:rPr>
                <w:color w:val="000000"/>
                <w:sz w:val="18"/>
                <w:szCs w:val="18"/>
                <w:u w:val="single"/>
              </w:rPr>
              <w:t> </w:t>
            </w:r>
            <w:r w:rsidR="008C3D25" w:rsidRPr="003E73D6">
              <w:rPr>
                <w:color w:val="000000"/>
                <w:sz w:val="18"/>
                <w:szCs w:val="18"/>
                <w:u w:val="single"/>
              </w:rPr>
              <w:t>financement]</w:t>
            </w:r>
            <w:r w:rsidR="008C3D25" w:rsidRPr="003E73D6">
              <w:rPr>
                <w:color w:val="000000"/>
                <w:sz w:val="18"/>
                <w:szCs w:val="18"/>
              </w:rPr>
              <w:t xml:space="preserve"> </w:t>
            </w:r>
          </w:p>
        </w:tc>
      </w:tr>
    </w:tbl>
    <w:p w14:paraId="27BB5868" w14:textId="77777777" w:rsidR="00E43635" w:rsidRPr="003E73D6" w:rsidRDefault="00F20522" w:rsidP="00F20522">
      <w:pPr>
        <w:pStyle w:val="ListParagraph"/>
        <w:spacing w:before="60"/>
        <w:ind w:left="1247"/>
        <w:contextualSpacing w:val="0"/>
        <w:rPr>
          <w:sz w:val="18"/>
          <w:szCs w:val="18"/>
          <w:u w:val="single"/>
        </w:rPr>
      </w:pPr>
      <w:r w:rsidRPr="003E73D6">
        <w:rPr>
          <w:u w:val="single"/>
        </w:rPr>
        <w:tab/>
      </w:r>
      <w:proofErr w:type="gramStart"/>
      <w:r w:rsidRPr="003E73D6">
        <w:rPr>
          <w:i/>
          <w:iCs/>
          <w:sz w:val="18"/>
          <w:szCs w:val="18"/>
          <w:u w:val="single"/>
          <w:vertAlign w:val="superscript"/>
        </w:rPr>
        <w:t>a</w:t>
      </w:r>
      <w:proofErr w:type="gramEnd"/>
      <w:r w:rsidRPr="003E73D6">
        <w:rPr>
          <w:sz w:val="18"/>
          <w:szCs w:val="18"/>
          <w:u w:val="single"/>
        </w:rPr>
        <w:t xml:space="preserve"> Pourcentage = (niveau réel) / (niveau cible)</w:t>
      </w:r>
      <w:r w:rsidRPr="003E73D6">
        <w:rPr>
          <w:sz w:val="18"/>
          <w:szCs w:val="18"/>
        </w:rPr>
        <w:t>.</w:t>
      </w:r>
    </w:p>
    <w:p w14:paraId="593B5DE1" w14:textId="2532AC3D" w:rsidR="00E43635" w:rsidRPr="003E73D6" w:rsidRDefault="00F20522" w:rsidP="00F20522">
      <w:pPr>
        <w:pStyle w:val="ListParagraph"/>
        <w:spacing w:before="60"/>
        <w:ind w:left="1247"/>
        <w:contextualSpacing w:val="0"/>
        <w:rPr>
          <w:sz w:val="18"/>
          <w:szCs w:val="18"/>
          <w:u w:val="single"/>
        </w:rPr>
      </w:pPr>
      <w:r w:rsidRPr="003E73D6">
        <w:rPr>
          <w:sz w:val="18"/>
          <w:szCs w:val="18"/>
          <w:u w:val="single"/>
        </w:rPr>
        <w:tab/>
      </w:r>
      <w:proofErr w:type="gramStart"/>
      <w:r w:rsidRPr="003E73D6">
        <w:rPr>
          <w:i/>
          <w:iCs/>
          <w:sz w:val="18"/>
          <w:szCs w:val="18"/>
          <w:u w:val="single"/>
          <w:vertAlign w:val="superscript"/>
        </w:rPr>
        <w:t>b</w:t>
      </w:r>
      <w:proofErr w:type="gramEnd"/>
      <w:r w:rsidRPr="003E73D6">
        <w:rPr>
          <w:sz w:val="18"/>
          <w:szCs w:val="18"/>
          <w:u w:val="single"/>
        </w:rPr>
        <w:t> Les estimations initiales de l</w:t>
      </w:r>
      <w:r w:rsidR="00493CFE" w:rsidRPr="003E73D6">
        <w:rPr>
          <w:sz w:val="18"/>
          <w:szCs w:val="18"/>
          <w:u w:val="single"/>
        </w:rPr>
        <w:t>’</w:t>
      </w:r>
      <w:r w:rsidRPr="003E73D6">
        <w:rPr>
          <w:sz w:val="18"/>
          <w:szCs w:val="18"/>
          <w:u w:val="single"/>
        </w:rPr>
        <w:t>utilisation du mercure et des pratiques dans le cadre de l</w:t>
      </w:r>
      <w:r w:rsidR="00493CFE" w:rsidRPr="003E73D6">
        <w:rPr>
          <w:sz w:val="18"/>
          <w:szCs w:val="18"/>
          <w:u w:val="single"/>
        </w:rPr>
        <w:t>’</w:t>
      </w:r>
      <w:r w:rsidRPr="003E73D6">
        <w:rPr>
          <w:sz w:val="18"/>
          <w:szCs w:val="18"/>
          <w:u w:val="single"/>
        </w:rPr>
        <w:t>extraction minière artisanale et à petite échelle d</w:t>
      </w:r>
      <w:r w:rsidR="00493CFE" w:rsidRPr="003E73D6">
        <w:rPr>
          <w:sz w:val="18"/>
          <w:szCs w:val="18"/>
          <w:u w:val="single"/>
        </w:rPr>
        <w:t>’</w:t>
      </w:r>
      <w:r w:rsidRPr="003E73D6">
        <w:rPr>
          <w:sz w:val="18"/>
          <w:szCs w:val="18"/>
          <w:u w:val="single"/>
        </w:rPr>
        <w:t>or comportant souvent d</w:t>
      </w:r>
      <w:r w:rsidR="00493CFE" w:rsidRPr="003E73D6">
        <w:rPr>
          <w:sz w:val="18"/>
          <w:szCs w:val="18"/>
          <w:u w:val="single"/>
        </w:rPr>
        <w:t>’</w:t>
      </w:r>
      <w:r w:rsidRPr="003E73D6">
        <w:rPr>
          <w:sz w:val="18"/>
          <w:szCs w:val="18"/>
          <w:u w:val="single"/>
        </w:rPr>
        <w:t>importantes incertitudes,</w:t>
      </w:r>
      <w:r w:rsidRPr="003E73D6">
        <w:rPr>
          <w:sz w:val="18"/>
          <w:szCs w:val="18"/>
        </w:rPr>
        <w:t xml:space="preserve"> </w:t>
      </w:r>
      <w:r w:rsidRPr="003E73D6">
        <w:rPr>
          <w:sz w:val="18"/>
          <w:szCs w:val="18"/>
          <w:u w:val="single"/>
        </w:rPr>
        <w:t>les nouvelles données peuvent faire apparaître le besoin de modifier ces estimations initiales sur la base d</w:t>
      </w:r>
      <w:r w:rsidR="00493CFE" w:rsidRPr="003E73D6">
        <w:rPr>
          <w:sz w:val="18"/>
          <w:szCs w:val="18"/>
          <w:u w:val="single"/>
        </w:rPr>
        <w:t>’</w:t>
      </w:r>
      <w:r w:rsidRPr="003E73D6">
        <w:rPr>
          <w:sz w:val="18"/>
          <w:szCs w:val="18"/>
          <w:u w:val="single"/>
        </w:rPr>
        <w:t>éléments probants. Dans ce cas, il faut conserver les données de référence initiales, mais des valeurs ajustées peuvent leur être accolées. Dans le rapport, il convient d</w:t>
      </w:r>
      <w:r w:rsidR="00493CFE" w:rsidRPr="003E73D6">
        <w:rPr>
          <w:sz w:val="18"/>
          <w:szCs w:val="18"/>
          <w:u w:val="single"/>
        </w:rPr>
        <w:t>’</w:t>
      </w:r>
      <w:r w:rsidRPr="003E73D6">
        <w:rPr>
          <w:sz w:val="18"/>
          <w:szCs w:val="18"/>
          <w:u w:val="single"/>
        </w:rPr>
        <w:t>utiliser les champs prévus pour signaler toute modification des données de référence sur la base de nouvelles données</w:t>
      </w:r>
      <w:r w:rsidRPr="003E73D6">
        <w:rPr>
          <w:i/>
          <w:iCs/>
          <w:sz w:val="18"/>
          <w:szCs w:val="18"/>
        </w:rPr>
        <w:t>.</w:t>
      </w:r>
    </w:p>
    <w:p w14:paraId="558D613F" w14:textId="45A73DE7" w:rsidR="00E43635" w:rsidRPr="003E73D6" w:rsidRDefault="00F20522" w:rsidP="00F20522">
      <w:pPr>
        <w:pStyle w:val="ListParagraph"/>
        <w:spacing w:before="60"/>
        <w:ind w:left="1247"/>
        <w:contextualSpacing w:val="0"/>
        <w:rPr>
          <w:sz w:val="18"/>
          <w:szCs w:val="18"/>
          <w:u w:val="single"/>
        </w:rPr>
      </w:pPr>
      <w:r w:rsidRPr="003E73D6">
        <w:rPr>
          <w:sz w:val="18"/>
          <w:szCs w:val="18"/>
          <w:u w:val="single"/>
        </w:rPr>
        <w:tab/>
      </w:r>
      <w:proofErr w:type="gramStart"/>
      <w:r w:rsidRPr="003E73D6">
        <w:rPr>
          <w:i/>
          <w:iCs/>
          <w:sz w:val="18"/>
          <w:szCs w:val="18"/>
          <w:u w:val="single"/>
          <w:vertAlign w:val="superscript"/>
        </w:rPr>
        <w:t>c</w:t>
      </w:r>
      <w:proofErr w:type="gramEnd"/>
      <w:r w:rsidRPr="003E73D6">
        <w:rPr>
          <w:sz w:val="18"/>
          <w:szCs w:val="18"/>
          <w:u w:val="single"/>
        </w:rPr>
        <w:t> Le chapitre</w:t>
      </w:r>
      <w:r w:rsidR="001D2C3D" w:rsidRPr="003E73D6">
        <w:rPr>
          <w:sz w:val="18"/>
          <w:szCs w:val="18"/>
          <w:u w:val="single"/>
        </w:rPr>
        <w:t> </w:t>
      </w:r>
      <w:r w:rsidRPr="003E73D6">
        <w:rPr>
          <w:sz w:val="18"/>
          <w:szCs w:val="18"/>
          <w:u w:val="single"/>
        </w:rPr>
        <w:t>8 de ce document présente des recommandations clefs relatives à la gestion des résidus de l</w:t>
      </w:r>
      <w:r w:rsidR="00493CFE" w:rsidRPr="003E73D6">
        <w:rPr>
          <w:sz w:val="18"/>
          <w:szCs w:val="18"/>
          <w:u w:val="single"/>
        </w:rPr>
        <w:t>’</w:t>
      </w:r>
      <w:r w:rsidRPr="003E73D6">
        <w:rPr>
          <w:sz w:val="18"/>
          <w:szCs w:val="18"/>
          <w:u w:val="single"/>
        </w:rPr>
        <w:t>extraction minière artisanale et à petite échelle d</w:t>
      </w:r>
      <w:r w:rsidR="00493CFE" w:rsidRPr="003E73D6">
        <w:rPr>
          <w:sz w:val="18"/>
          <w:szCs w:val="18"/>
          <w:u w:val="single"/>
        </w:rPr>
        <w:t>’</w:t>
      </w:r>
      <w:r w:rsidRPr="003E73D6">
        <w:rPr>
          <w:sz w:val="18"/>
          <w:szCs w:val="18"/>
          <w:u w:val="single"/>
        </w:rPr>
        <w:t>or. Les Parties pourront trouver des informations techniques dans le document d</w:t>
      </w:r>
      <w:r w:rsidR="00493CFE" w:rsidRPr="003E73D6">
        <w:rPr>
          <w:sz w:val="18"/>
          <w:szCs w:val="18"/>
          <w:u w:val="single"/>
        </w:rPr>
        <w:t>’</w:t>
      </w:r>
      <w:r w:rsidRPr="003E73D6">
        <w:rPr>
          <w:sz w:val="18"/>
          <w:szCs w:val="18"/>
          <w:u w:val="single"/>
        </w:rPr>
        <w:t>orientation pour la gestion des résidus de l</w:t>
      </w:r>
      <w:r w:rsidR="00493CFE" w:rsidRPr="003E73D6">
        <w:rPr>
          <w:sz w:val="18"/>
          <w:szCs w:val="18"/>
          <w:u w:val="single"/>
        </w:rPr>
        <w:t>’</w:t>
      </w:r>
      <w:r w:rsidRPr="003E73D6">
        <w:rPr>
          <w:sz w:val="18"/>
          <w:szCs w:val="18"/>
          <w:u w:val="single"/>
        </w:rPr>
        <w:t>extraction minière artisanale et à petite échelle d</w:t>
      </w:r>
      <w:r w:rsidR="00493CFE" w:rsidRPr="003E73D6">
        <w:rPr>
          <w:sz w:val="18"/>
          <w:szCs w:val="18"/>
          <w:u w:val="single"/>
        </w:rPr>
        <w:t>’</w:t>
      </w:r>
      <w:r w:rsidRPr="003E73D6">
        <w:rPr>
          <w:sz w:val="18"/>
          <w:szCs w:val="18"/>
          <w:u w:val="single"/>
        </w:rPr>
        <w:t>or</w:t>
      </w:r>
      <w:r w:rsidR="00042EEF" w:rsidRPr="003E73D6">
        <w:rPr>
          <w:sz w:val="18"/>
          <w:szCs w:val="18"/>
          <w:u w:val="single"/>
        </w:rPr>
        <w:t xml:space="preserve"> </w:t>
      </w:r>
      <w:r w:rsidRPr="003E73D6">
        <w:rPr>
          <w:sz w:val="18"/>
          <w:szCs w:val="18"/>
          <w:u w:val="single"/>
        </w:rPr>
        <w:t>(UNEP/MC/COP.4/INF/6)</w:t>
      </w:r>
      <w:r w:rsidRPr="003E73D6">
        <w:rPr>
          <w:sz w:val="18"/>
          <w:szCs w:val="18"/>
        </w:rPr>
        <w:t>.</w:t>
      </w:r>
      <w:hyperlink r:id="rId23" w:history="1"/>
    </w:p>
    <w:p w14:paraId="2BD885EE" w14:textId="6E90703C" w:rsidR="00E43635" w:rsidRPr="003E73D6" w:rsidRDefault="00F20522" w:rsidP="59BB6CAF">
      <w:pPr>
        <w:pStyle w:val="ListParagraph"/>
        <w:spacing w:before="60"/>
        <w:ind w:left="1247"/>
        <w:rPr>
          <w:sz w:val="18"/>
          <w:szCs w:val="18"/>
          <w:u w:val="single"/>
        </w:rPr>
      </w:pPr>
      <w:r w:rsidRPr="003E73D6">
        <w:rPr>
          <w:sz w:val="18"/>
          <w:szCs w:val="18"/>
          <w:u w:val="single"/>
        </w:rPr>
        <w:tab/>
      </w:r>
      <w:proofErr w:type="gramStart"/>
      <w:r w:rsidRPr="003E73D6">
        <w:rPr>
          <w:i/>
          <w:iCs/>
          <w:sz w:val="18"/>
          <w:szCs w:val="18"/>
          <w:u w:val="single"/>
          <w:vertAlign w:val="superscript"/>
        </w:rPr>
        <w:t>d</w:t>
      </w:r>
      <w:proofErr w:type="gramEnd"/>
      <w:r w:rsidRPr="003E73D6">
        <w:rPr>
          <w:sz w:val="18"/>
          <w:szCs w:val="18"/>
          <w:u w:val="single"/>
        </w:rPr>
        <w:t> La section</w:t>
      </w:r>
      <w:r w:rsidR="00F04B3C" w:rsidRPr="003E73D6">
        <w:rPr>
          <w:sz w:val="18"/>
          <w:szCs w:val="18"/>
          <w:u w:val="single"/>
        </w:rPr>
        <w:t> </w:t>
      </w:r>
      <w:r w:rsidRPr="003E73D6">
        <w:rPr>
          <w:sz w:val="18"/>
          <w:szCs w:val="18"/>
          <w:u w:val="single"/>
        </w:rPr>
        <w:t>4.7.1 du présent document se réfère au guide provisoire sur l</w:t>
      </w:r>
      <w:r w:rsidR="00493CFE" w:rsidRPr="003E73D6">
        <w:rPr>
          <w:sz w:val="18"/>
          <w:szCs w:val="18"/>
          <w:u w:val="single"/>
        </w:rPr>
        <w:t>’</w:t>
      </w:r>
      <w:r w:rsidRPr="003E73D6">
        <w:rPr>
          <w:sz w:val="18"/>
          <w:szCs w:val="18"/>
          <w:u w:val="single"/>
        </w:rPr>
        <w:t>association et la participation des peuples autochtones et des communautés locales à l</w:t>
      </w:r>
      <w:r w:rsidR="00493CFE" w:rsidRPr="003E73D6">
        <w:rPr>
          <w:sz w:val="18"/>
          <w:szCs w:val="18"/>
          <w:u w:val="single"/>
        </w:rPr>
        <w:t>’</w:t>
      </w:r>
      <w:r w:rsidRPr="003E73D6">
        <w:rPr>
          <w:sz w:val="18"/>
          <w:szCs w:val="18"/>
          <w:u w:val="single"/>
        </w:rPr>
        <w:t>élaboration, à</w:t>
      </w:r>
      <w:r w:rsidR="00F25B3A" w:rsidRPr="003E73D6">
        <w:rPr>
          <w:sz w:val="18"/>
          <w:szCs w:val="18"/>
          <w:u w:val="single"/>
        </w:rPr>
        <w:t> </w:t>
      </w:r>
      <w:r w:rsidRPr="003E73D6">
        <w:rPr>
          <w:sz w:val="18"/>
          <w:szCs w:val="18"/>
          <w:u w:val="single"/>
        </w:rPr>
        <w:t>la mise en œuvre et à l</w:t>
      </w:r>
      <w:r w:rsidR="00493CFE" w:rsidRPr="003E73D6">
        <w:rPr>
          <w:sz w:val="18"/>
          <w:szCs w:val="18"/>
          <w:u w:val="single"/>
        </w:rPr>
        <w:t>’</w:t>
      </w:r>
      <w:r w:rsidRPr="003E73D6">
        <w:rPr>
          <w:sz w:val="18"/>
          <w:szCs w:val="18"/>
          <w:u w:val="single"/>
        </w:rPr>
        <w:t>examen des PAN concernant l</w:t>
      </w:r>
      <w:r w:rsidR="00493CFE" w:rsidRPr="003E73D6">
        <w:rPr>
          <w:sz w:val="18"/>
          <w:szCs w:val="18"/>
          <w:u w:val="single"/>
        </w:rPr>
        <w:t>’</w:t>
      </w:r>
      <w:r w:rsidRPr="003E73D6">
        <w:rPr>
          <w:sz w:val="18"/>
          <w:szCs w:val="18"/>
          <w:u w:val="single"/>
        </w:rPr>
        <w:t>extraction minière artisanale et à petite échelle d</w:t>
      </w:r>
      <w:r w:rsidR="00493CFE" w:rsidRPr="003E73D6">
        <w:rPr>
          <w:sz w:val="18"/>
          <w:szCs w:val="18"/>
          <w:u w:val="single"/>
        </w:rPr>
        <w:t>’</w:t>
      </w:r>
      <w:r w:rsidRPr="003E73D6">
        <w:rPr>
          <w:sz w:val="18"/>
          <w:szCs w:val="18"/>
          <w:u w:val="single"/>
        </w:rPr>
        <w:t>or. On trouvera plus d</w:t>
      </w:r>
      <w:r w:rsidR="00493CFE" w:rsidRPr="003E73D6">
        <w:rPr>
          <w:sz w:val="18"/>
          <w:szCs w:val="18"/>
          <w:u w:val="single"/>
        </w:rPr>
        <w:t>’</w:t>
      </w:r>
      <w:r w:rsidRPr="003E73D6">
        <w:rPr>
          <w:sz w:val="18"/>
          <w:szCs w:val="18"/>
          <w:u w:val="single"/>
        </w:rPr>
        <w:t>informations dans le document UNEP/MC/COP.6/INF/11</w:t>
      </w:r>
      <w:r w:rsidRPr="003E73D6">
        <w:rPr>
          <w:sz w:val="18"/>
          <w:szCs w:val="18"/>
        </w:rPr>
        <w:t>.</w:t>
      </w:r>
      <w:r w:rsidRPr="003E73D6">
        <w:rPr>
          <w:sz w:val="18"/>
          <w:szCs w:val="18"/>
          <w:u w:val="single"/>
        </w:rPr>
        <w:t xml:space="preserve"> </w:t>
      </w:r>
    </w:p>
    <w:p w14:paraId="2C96BF59" w14:textId="73F1290E" w:rsidR="00E43635" w:rsidRPr="003E73D6" w:rsidRDefault="00F20522" w:rsidP="59BB6CAF">
      <w:pPr>
        <w:pStyle w:val="ListParagraph"/>
        <w:spacing w:before="60"/>
        <w:ind w:left="1247"/>
        <w:rPr>
          <w:sz w:val="18"/>
          <w:szCs w:val="18"/>
          <w:u w:val="single"/>
        </w:rPr>
      </w:pPr>
      <w:r w:rsidRPr="003E73D6">
        <w:rPr>
          <w:sz w:val="18"/>
          <w:szCs w:val="18"/>
          <w:u w:val="single"/>
        </w:rPr>
        <w:tab/>
      </w:r>
      <w:proofErr w:type="gramStart"/>
      <w:r w:rsidRPr="003E73D6">
        <w:rPr>
          <w:i/>
          <w:iCs/>
          <w:sz w:val="18"/>
          <w:szCs w:val="18"/>
          <w:u w:val="single"/>
          <w:vertAlign w:val="superscript"/>
        </w:rPr>
        <w:t>e</w:t>
      </w:r>
      <w:proofErr w:type="gramEnd"/>
      <w:r w:rsidRPr="003E73D6">
        <w:rPr>
          <w:sz w:val="18"/>
          <w:szCs w:val="18"/>
          <w:u w:val="single"/>
        </w:rPr>
        <w:t> Le chapitre</w:t>
      </w:r>
      <w:r w:rsidR="00F04B3C" w:rsidRPr="003E73D6">
        <w:rPr>
          <w:sz w:val="18"/>
          <w:szCs w:val="18"/>
          <w:u w:val="single"/>
        </w:rPr>
        <w:t> </w:t>
      </w:r>
      <w:r w:rsidRPr="003E73D6">
        <w:rPr>
          <w:sz w:val="18"/>
          <w:szCs w:val="18"/>
          <w:u w:val="single"/>
        </w:rPr>
        <w:t>7 du présent document souligne le fait que les approches qui tiennent compte des questions de genre sont essentielles pour atteindre l</w:t>
      </w:r>
      <w:r w:rsidR="00493CFE" w:rsidRPr="003E73D6">
        <w:rPr>
          <w:sz w:val="18"/>
          <w:szCs w:val="18"/>
          <w:u w:val="single"/>
        </w:rPr>
        <w:t>’</w:t>
      </w:r>
      <w:r w:rsidRPr="003E73D6">
        <w:rPr>
          <w:sz w:val="18"/>
          <w:szCs w:val="18"/>
          <w:u w:val="single"/>
        </w:rPr>
        <w:t>objectif de l</w:t>
      </w:r>
      <w:r w:rsidR="00493CFE" w:rsidRPr="003E73D6">
        <w:rPr>
          <w:sz w:val="18"/>
          <w:szCs w:val="18"/>
          <w:u w:val="single"/>
        </w:rPr>
        <w:t>’</w:t>
      </w:r>
      <w:r w:rsidRPr="003E73D6">
        <w:rPr>
          <w:sz w:val="18"/>
          <w:szCs w:val="18"/>
          <w:u w:val="single"/>
        </w:rPr>
        <w:t>article</w:t>
      </w:r>
      <w:r w:rsidR="00F04B3C" w:rsidRPr="003E73D6">
        <w:rPr>
          <w:sz w:val="18"/>
          <w:szCs w:val="18"/>
          <w:u w:val="single"/>
        </w:rPr>
        <w:t> </w:t>
      </w:r>
      <w:r w:rsidRPr="003E73D6">
        <w:rPr>
          <w:sz w:val="18"/>
          <w:szCs w:val="18"/>
          <w:u w:val="single"/>
        </w:rPr>
        <w:t>7 et de l</w:t>
      </w:r>
      <w:r w:rsidR="00493CFE" w:rsidRPr="003E73D6">
        <w:rPr>
          <w:sz w:val="18"/>
          <w:szCs w:val="18"/>
          <w:u w:val="single"/>
        </w:rPr>
        <w:t>’</w:t>
      </w:r>
      <w:r w:rsidRPr="003E73D6">
        <w:rPr>
          <w:sz w:val="18"/>
          <w:szCs w:val="18"/>
          <w:u w:val="single"/>
        </w:rPr>
        <w:t>Annexe</w:t>
      </w:r>
      <w:r w:rsidR="00F04B3C" w:rsidRPr="003E73D6">
        <w:rPr>
          <w:sz w:val="18"/>
          <w:szCs w:val="18"/>
          <w:u w:val="single"/>
        </w:rPr>
        <w:t> </w:t>
      </w:r>
      <w:r w:rsidRPr="003E73D6">
        <w:rPr>
          <w:sz w:val="18"/>
          <w:szCs w:val="18"/>
          <w:u w:val="single"/>
        </w:rPr>
        <w:t>C, en particulier pour protéger la santé humaine et l</w:t>
      </w:r>
      <w:r w:rsidR="00493CFE" w:rsidRPr="003E73D6">
        <w:rPr>
          <w:sz w:val="18"/>
          <w:szCs w:val="18"/>
          <w:u w:val="single"/>
        </w:rPr>
        <w:t>’</w:t>
      </w:r>
      <w:r w:rsidRPr="003E73D6">
        <w:rPr>
          <w:sz w:val="18"/>
          <w:szCs w:val="18"/>
          <w:u w:val="single"/>
        </w:rPr>
        <w:t>environnement des effets néfastes de l</w:t>
      </w:r>
      <w:r w:rsidR="00493CFE" w:rsidRPr="003E73D6">
        <w:rPr>
          <w:sz w:val="18"/>
          <w:szCs w:val="18"/>
          <w:u w:val="single"/>
        </w:rPr>
        <w:t>’</w:t>
      </w:r>
      <w:r w:rsidRPr="003E73D6">
        <w:rPr>
          <w:sz w:val="18"/>
          <w:szCs w:val="18"/>
          <w:u w:val="single"/>
        </w:rPr>
        <w:t>utilisation du mercure pour l</w:t>
      </w:r>
      <w:r w:rsidR="00493CFE" w:rsidRPr="003E73D6">
        <w:rPr>
          <w:sz w:val="18"/>
          <w:szCs w:val="18"/>
          <w:u w:val="single"/>
        </w:rPr>
        <w:t>’</w:t>
      </w:r>
      <w:r w:rsidRPr="003E73D6">
        <w:rPr>
          <w:sz w:val="18"/>
          <w:szCs w:val="18"/>
          <w:u w:val="single"/>
        </w:rPr>
        <w:t>extraction minière artisanale et à petite échelle d</w:t>
      </w:r>
      <w:r w:rsidR="00493CFE" w:rsidRPr="003E73D6">
        <w:rPr>
          <w:sz w:val="18"/>
          <w:szCs w:val="18"/>
          <w:u w:val="single"/>
        </w:rPr>
        <w:t>’</w:t>
      </w:r>
      <w:r w:rsidRPr="003E73D6">
        <w:rPr>
          <w:sz w:val="18"/>
          <w:szCs w:val="18"/>
          <w:u w:val="single"/>
        </w:rPr>
        <w:t>or. Le présent document d</w:t>
      </w:r>
      <w:r w:rsidR="00493CFE" w:rsidRPr="003E73D6">
        <w:rPr>
          <w:sz w:val="18"/>
          <w:szCs w:val="18"/>
          <w:u w:val="single"/>
        </w:rPr>
        <w:t>’</w:t>
      </w:r>
      <w:r w:rsidRPr="003E73D6">
        <w:rPr>
          <w:sz w:val="18"/>
          <w:szCs w:val="18"/>
          <w:u w:val="single"/>
        </w:rPr>
        <w:t>orientation invite les Parties à recenser et à traiter les problèmes qui relèvent des questions de genre dans le cadre des activités d</w:t>
      </w:r>
      <w:r w:rsidR="00493CFE" w:rsidRPr="003E73D6">
        <w:rPr>
          <w:sz w:val="18"/>
          <w:szCs w:val="18"/>
          <w:u w:val="single"/>
        </w:rPr>
        <w:t>’</w:t>
      </w:r>
      <w:r w:rsidRPr="003E73D6">
        <w:rPr>
          <w:sz w:val="18"/>
          <w:szCs w:val="18"/>
          <w:u w:val="single"/>
        </w:rPr>
        <w:t>extraction minière artisanale et à petite échelle d</w:t>
      </w:r>
      <w:r w:rsidR="00493CFE" w:rsidRPr="003E73D6">
        <w:rPr>
          <w:sz w:val="18"/>
          <w:szCs w:val="18"/>
          <w:u w:val="single"/>
        </w:rPr>
        <w:t>’</w:t>
      </w:r>
      <w:r w:rsidRPr="003E73D6">
        <w:rPr>
          <w:sz w:val="18"/>
          <w:szCs w:val="18"/>
          <w:u w:val="single"/>
        </w:rPr>
        <w:t>or et à appliquer des mesures qui promeuvent la participation réelle des femmes et des autres groupes marginalisés à l</w:t>
      </w:r>
      <w:r w:rsidR="00493CFE" w:rsidRPr="003E73D6">
        <w:rPr>
          <w:sz w:val="18"/>
          <w:szCs w:val="18"/>
          <w:u w:val="single"/>
        </w:rPr>
        <w:t>’</w:t>
      </w:r>
      <w:r w:rsidRPr="003E73D6">
        <w:rPr>
          <w:sz w:val="18"/>
          <w:szCs w:val="18"/>
          <w:u w:val="single"/>
        </w:rPr>
        <w:t>élaboration, à la mise en œuvre et à</w:t>
      </w:r>
      <w:r w:rsidR="00D655ED" w:rsidRPr="003E73D6">
        <w:rPr>
          <w:sz w:val="18"/>
          <w:szCs w:val="18"/>
          <w:u w:val="single"/>
        </w:rPr>
        <w:t> </w:t>
      </w:r>
      <w:r w:rsidRPr="003E73D6">
        <w:rPr>
          <w:sz w:val="18"/>
          <w:szCs w:val="18"/>
          <w:u w:val="single"/>
        </w:rPr>
        <w:t>l</w:t>
      </w:r>
      <w:r w:rsidR="00493CFE" w:rsidRPr="003E73D6">
        <w:rPr>
          <w:sz w:val="18"/>
          <w:szCs w:val="18"/>
          <w:u w:val="single"/>
        </w:rPr>
        <w:t>’</w:t>
      </w:r>
      <w:r w:rsidRPr="003E73D6">
        <w:rPr>
          <w:sz w:val="18"/>
          <w:szCs w:val="18"/>
          <w:u w:val="single"/>
        </w:rPr>
        <w:t>examen des PAN</w:t>
      </w:r>
      <w:r w:rsidRPr="003E73D6">
        <w:rPr>
          <w:sz w:val="18"/>
          <w:szCs w:val="18"/>
        </w:rPr>
        <w:t>.</w:t>
      </w:r>
      <w:r w:rsidRPr="003E73D6">
        <w:rPr>
          <w:sz w:val="18"/>
          <w:szCs w:val="18"/>
          <w:u w:val="single"/>
        </w:rPr>
        <w:t xml:space="preserve"> </w:t>
      </w:r>
    </w:p>
    <w:p w14:paraId="2E37828A" w14:textId="77777777" w:rsidR="0081704A" w:rsidRPr="003E73D6" w:rsidRDefault="0081704A" w:rsidP="00F20522">
      <w:pPr>
        <w:pStyle w:val="ListParagraph"/>
        <w:spacing w:before="60"/>
        <w:ind w:left="1247"/>
        <w:contextualSpacing w:val="0"/>
        <w:rPr>
          <w:sz w:val="18"/>
          <w:szCs w:val="18"/>
          <w:u w:val="single"/>
        </w:rPr>
        <w:sectPr w:rsidR="0081704A" w:rsidRPr="003E73D6" w:rsidSect="002E3F08">
          <w:pgSz w:w="16839" w:h="11907" w:orient="landscape" w:code="9"/>
          <w:pgMar w:top="907" w:right="992" w:bottom="1418" w:left="1418" w:header="539" w:footer="975" w:gutter="0"/>
          <w:cols w:space="539"/>
          <w:docGrid w:linePitch="360"/>
        </w:sectPr>
      </w:pPr>
    </w:p>
    <w:p w14:paraId="2297AD5E" w14:textId="698BF318" w:rsidR="00E43635" w:rsidRPr="003E73D6" w:rsidRDefault="00E43635" w:rsidP="002F4350">
      <w:pPr>
        <w:spacing w:before="240"/>
        <w:jc w:val="both"/>
        <w:rPr>
          <w:u w:val="single"/>
        </w:rPr>
      </w:pPr>
      <w:r w:rsidRPr="003E73D6">
        <w:rPr>
          <w:b/>
          <w:bCs/>
          <w:u w:val="single"/>
        </w:rPr>
        <w:lastRenderedPageBreak/>
        <w:t>Section 3</w:t>
      </w:r>
      <w:r w:rsidR="00493CFE" w:rsidRPr="003E73D6">
        <w:rPr>
          <w:b/>
          <w:bCs/>
          <w:u w:val="single"/>
        </w:rPr>
        <w:t> :</w:t>
      </w:r>
      <w:r w:rsidRPr="003E73D6">
        <w:rPr>
          <w:b/>
          <w:bCs/>
          <w:u w:val="single"/>
        </w:rPr>
        <w:t xml:space="preserve"> Recommandations et prochaines étapes (</w:t>
      </w:r>
      <w:r w:rsidRPr="003E73D6">
        <w:rPr>
          <w:b/>
          <w:bCs/>
          <w:i/>
          <w:iCs/>
          <w:u w:val="single"/>
        </w:rPr>
        <w:t>expliquer brièvement</w:t>
      </w:r>
      <w:r w:rsidRPr="003E73D6">
        <w:rPr>
          <w:b/>
          <w:bCs/>
          <w:u w:val="single"/>
        </w:rPr>
        <w:t>).</w:t>
      </w:r>
      <w:r w:rsidRPr="003E73D6">
        <w:rPr>
          <w:u w:val="single"/>
        </w:rPr>
        <w:t xml:space="preserve"> La présente section énumère et décrit brièvement les recommandations visant à améliorer la mise en œuvre du PAN à l</w:t>
      </w:r>
      <w:r w:rsidR="00493CFE" w:rsidRPr="003E73D6">
        <w:rPr>
          <w:u w:val="single"/>
        </w:rPr>
        <w:t>’</w:t>
      </w:r>
      <w:r w:rsidRPr="003E73D6">
        <w:rPr>
          <w:u w:val="single"/>
        </w:rPr>
        <w:t>issue de l</w:t>
      </w:r>
      <w:r w:rsidR="00493CFE" w:rsidRPr="003E73D6">
        <w:rPr>
          <w:u w:val="single"/>
        </w:rPr>
        <w:t>’</w:t>
      </w:r>
      <w:r w:rsidRPr="003E73D6">
        <w:rPr>
          <w:u w:val="single"/>
        </w:rPr>
        <w:t>examen et énonce les prochaines étapes et les jalons à venir ou mis à jour en vue du cycle suivant d</w:t>
      </w:r>
      <w:r w:rsidR="00493CFE" w:rsidRPr="003E73D6">
        <w:rPr>
          <w:u w:val="single"/>
        </w:rPr>
        <w:t>’</w:t>
      </w:r>
      <w:r w:rsidRPr="003E73D6">
        <w:rPr>
          <w:u w:val="single"/>
        </w:rPr>
        <w:t>établissement des rapports</w:t>
      </w:r>
      <w:r w:rsidRPr="003E73D6">
        <w:t>.</w:t>
      </w:r>
    </w:p>
    <w:p w14:paraId="2FE2C2B2" w14:textId="4E212C68" w:rsidR="00E43635" w:rsidRPr="003E73D6" w:rsidRDefault="00E43635" w:rsidP="002E3F08">
      <w:pPr>
        <w:numPr>
          <w:ilvl w:val="0"/>
          <w:numId w:val="21"/>
        </w:numPr>
        <w:tabs>
          <w:tab w:val="clear" w:pos="1247"/>
          <w:tab w:val="clear" w:pos="1814"/>
          <w:tab w:val="clear" w:pos="2381"/>
          <w:tab w:val="clear" w:pos="2948"/>
          <w:tab w:val="clear" w:pos="3515"/>
        </w:tabs>
        <w:jc w:val="both"/>
        <w:rPr>
          <w:u w:val="single"/>
        </w:rPr>
      </w:pPr>
      <w:r w:rsidRPr="003E73D6">
        <w:rPr>
          <w:b/>
          <w:bCs/>
          <w:u w:val="single"/>
        </w:rPr>
        <w:t>Recommandations pour améliorer la mise en œuvre du PAN</w:t>
      </w:r>
      <w:r w:rsidR="00493CFE" w:rsidRPr="003E73D6">
        <w:rPr>
          <w:b/>
          <w:bCs/>
        </w:rPr>
        <w:t> :</w:t>
      </w:r>
      <w:r w:rsidRPr="003E73D6">
        <w:t xml:space="preserve"> </w:t>
      </w:r>
    </w:p>
    <w:p w14:paraId="2953EE72" w14:textId="2BE58E8D" w:rsidR="00E43635" w:rsidRPr="003E73D6" w:rsidRDefault="0039074D" w:rsidP="002E3F08">
      <w:pPr>
        <w:numPr>
          <w:ilvl w:val="1"/>
          <w:numId w:val="21"/>
        </w:numPr>
        <w:tabs>
          <w:tab w:val="clear" w:pos="1247"/>
          <w:tab w:val="clear" w:pos="1814"/>
          <w:tab w:val="clear" w:pos="2381"/>
          <w:tab w:val="clear" w:pos="2948"/>
          <w:tab w:val="clear" w:pos="3515"/>
        </w:tabs>
        <w:jc w:val="both"/>
        <w:rPr>
          <w:u w:val="single"/>
        </w:rPr>
      </w:pPr>
      <w:r w:rsidRPr="003E73D6">
        <w:rPr>
          <w:u w:val="single"/>
        </w:rPr>
        <w:t>[Par exemple</w:t>
      </w:r>
      <w:r w:rsidR="00E43635" w:rsidRPr="003E73D6">
        <w:rPr>
          <w:u w:val="single"/>
        </w:rPr>
        <w:t>, recommandation 1</w:t>
      </w:r>
      <w:r w:rsidR="00493CFE" w:rsidRPr="003E73D6">
        <w:rPr>
          <w:u w:val="single"/>
        </w:rPr>
        <w:t> :</w:t>
      </w:r>
      <w:r w:rsidR="00E43635" w:rsidRPr="003E73D6">
        <w:rPr>
          <w:u w:val="single"/>
        </w:rPr>
        <w:t xml:space="preserve"> accroître les efforts de sensibilisation auprès des communautés éloignées.]</w:t>
      </w:r>
    </w:p>
    <w:p w14:paraId="13EF65B5" w14:textId="61382CF6" w:rsidR="00E43635" w:rsidRPr="003E73D6" w:rsidRDefault="0039074D" w:rsidP="002E3F08">
      <w:pPr>
        <w:numPr>
          <w:ilvl w:val="1"/>
          <w:numId w:val="21"/>
        </w:numPr>
        <w:tabs>
          <w:tab w:val="clear" w:pos="1247"/>
          <w:tab w:val="clear" w:pos="1814"/>
          <w:tab w:val="clear" w:pos="2381"/>
          <w:tab w:val="clear" w:pos="2948"/>
          <w:tab w:val="clear" w:pos="3515"/>
        </w:tabs>
        <w:jc w:val="both"/>
        <w:rPr>
          <w:u w:val="single"/>
        </w:rPr>
      </w:pPr>
      <w:r w:rsidRPr="003E73D6">
        <w:rPr>
          <w:u w:val="single"/>
        </w:rPr>
        <w:t>[Par exemple</w:t>
      </w:r>
      <w:r w:rsidR="00E43635" w:rsidRPr="003E73D6">
        <w:rPr>
          <w:u w:val="single"/>
        </w:rPr>
        <w:t>, recommandation 2</w:t>
      </w:r>
      <w:r w:rsidR="00493CFE" w:rsidRPr="003E73D6">
        <w:rPr>
          <w:u w:val="single"/>
        </w:rPr>
        <w:t> :</w:t>
      </w:r>
      <w:r w:rsidR="00E43635" w:rsidRPr="003E73D6">
        <w:rPr>
          <w:u w:val="single"/>
        </w:rPr>
        <w:t xml:space="preserve"> renforcer les mécanismes d</w:t>
      </w:r>
      <w:r w:rsidR="00493CFE" w:rsidRPr="003E73D6">
        <w:rPr>
          <w:u w:val="single"/>
        </w:rPr>
        <w:t>’</w:t>
      </w:r>
      <w:r w:rsidR="00E43635" w:rsidRPr="003E73D6">
        <w:rPr>
          <w:u w:val="single"/>
        </w:rPr>
        <w:t>application à l</w:t>
      </w:r>
      <w:r w:rsidR="00493CFE" w:rsidRPr="003E73D6">
        <w:rPr>
          <w:u w:val="single"/>
        </w:rPr>
        <w:t>’</w:t>
      </w:r>
      <w:r w:rsidR="00E43635" w:rsidRPr="003E73D6">
        <w:rPr>
          <w:u w:val="single"/>
        </w:rPr>
        <w:t>appui des pratiques de production d</w:t>
      </w:r>
      <w:r w:rsidR="00493CFE" w:rsidRPr="003E73D6">
        <w:rPr>
          <w:u w:val="single"/>
        </w:rPr>
        <w:t>’</w:t>
      </w:r>
      <w:r w:rsidR="00E43635" w:rsidRPr="003E73D6">
        <w:rPr>
          <w:u w:val="single"/>
        </w:rPr>
        <w:t>or sans mercure.]</w:t>
      </w:r>
    </w:p>
    <w:p w14:paraId="621D7F82" w14:textId="23E6FA51" w:rsidR="00E43635" w:rsidRPr="003E73D6" w:rsidRDefault="00E43635" w:rsidP="002E3F08">
      <w:pPr>
        <w:numPr>
          <w:ilvl w:val="0"/>
          <w:numId w:val="21"/>
        </w:numPr>
        <w:tabs>
          <w:tab w:val="clear" w:pos="1247"/>
          <w:tab w:val="clear" w:pos="1814"/>
          <w:tab w:val="clear" w:pos="2381"/>
          <w:tab w:val="clear" w:pos="2948"/>
          <w:tab w:val="clear" w:pos="3515"/>
        </w:tabs>
        <w:jc w:val="both"/>
        <w:rPr>
          <w:u w:val="single"/>
        </w:rPr>
      </w:pPr>
      <w:r w:rsidRPr="003E73D6">
        <w:rPr>
          <w:b/>
          <w:bCs/>
          <w:u w:val="single"/>
        </w:rPr>
        <w:t>Prochaines étapes</w:t>
      </w:r>
      <w:r w:rsidR="00493CFE" w:rsidRPr="003E73D6">
        <w:rPr>
          <w:b/>
          <w:bCs/>
          <w:u w:val="single"/>
        </w:rPr>
        <w:t> :</w:t>
      </w:r>
      <w:r w:rsidRPr="003E73D6">
        <w:rPr>
          <w:b/>
          <w:bCs/>
          <w:u w:val="single"/>
        </w:rPr>
        <w:t xml:space="preserve"> </w:t>
      </w:r>
      <w:r w:rsidRPr="003E73D6">
        <w:rPr>
          <w:u w:val="single"/>
        </w:rPr>
        <w:t>Décrire les prochaines étapes et les jalons à venir en vue du cycle suivant d</w:t>
      </w:r>
      <w:r w:rsidR="00493CFE" w:rsidRPr="003E73D6">
        <w:rPr>
          <w:u w:val="single"/>
        </w:rPr>
        <w:t>’</w:t>
      </w:r>
      <w:r w:rsidRPr="003E73D6">
        <w:rPr>
          <w:u w:val="single"/>
        </w:rPr>
        <w:t>établissement des rapports</w:t>
      </w:r>
      <w:r w:rsidRPr="003E73D6">
        <w:t>.</w:t>
      </w:r>
    </w:p>
    <w:p w14:paraId="20B18541" w14:textId="02688173" w:rsidR="00E43635" w:rsidRPr="003E73D6" w:rsidRDefault="0039074D" w:rsidP="002E3F08">
      <w:pPr>
        <w:numPr>
          <w:ilvl w:val="1"/>
          <w:numId w:val="21"/>
        </w:numPr>
        <w:tabs>
          <w:tab w:val="clear" w:pos="1247"/>
          <w:tab w:val="clear" w:pos="1814"/>
          <w:tab w:val="clear" w:pos="2381"/>
          <w:tab w:val="clear" w:pos="2948"/>
          <w:tab w:val="clear" w:pos="3515"/>
        </w:tabs>
        <w:jc w:val="both"/>
        <w:rPr>
          <w:u w:val="single"/>
        </w:rPr>
      </w:pPr>
      <w:r w:rsidRPr="003E73D6">
        <w:rPr>
          <w:u w:val="single"/>
        </w:rPr>
        <w:t>[Par exemple</w:t>
      </w:r>
      <w:r w:rsidR="00E43635" w:rsidRPr="003E73D6">
        <w:rPr>
          <w:u w:val="single"/>
        </w:rPr>
        <w:t>, prochaine étape 1</w:t>
      </w:r>
      <w:r w:rsidR="00493CFE" w:rsidRPr="003E73D6">
        <w:rPr>
          <w:u w:val="single"/>
        </w:rPr>
        <w:t> :</w:t>
      </w:r>
      <w:r w:rsidR="00E43635" w:rsidRPr="003E73D6">
        <w:rPr>
          <w:u w:val="single"/>
        </w:rPr>
        <w:t xml:space="preserve"> établir la version finale du programme de certification d</w:t>
      </w:r>
      <w:r w:rsidR="00493CFE" w:rsidRPr="003E73D6">
        <w:rPr>
          <w:u w:val="single"/>
        </w:rPr>
        <w:t>’</w:t>
      </w:r>
      <w:r w:rsidR="00E43635" w:rsidRPr="003E73D6">
        <w:rPr>
          <w:u w:val="single"/>
        </w:rPr>
        <w:t>extraction minière sans mercure.]</w:t>
      </w:r>
    </w:p>
    <w:p w14:paraId="5551DF16" w14:textId="32D4331B" w:rsidR="00E43635" w:rsidRPr="003E73D6" w:rsidRDefault="0039074D" w:rsidP="002E3F08">
      <w:pPr>
        <w:numPr>
          <w:ilvl w:val="1"/>
          <w:numId w:val="21"/>
        </w:numPr>
        <w:tabs>
          <w:tab w:val="clear" w:pos="1247"/>
          <w:tab w:val="clear" w:pos="1814"/>
          <w:tab w:val="clear" w:pos="2381"/>
          <w:tab w:val="clear" w:pos="2948"/>
          <w:tab w:val="clear" w:pos="3515"/>
        </w:tabs>
        <w:jc w:val="both"/>
        <w:rPr>
          <w:u w:val="single"/>
        </w:rPr>
      </w:pPr>
      <w:r w:rsidRPr="003E73D6">
        <w:rPr>
          <w:u w:val="single"/>
        </w:rPr>
        <w:t>[Par exemple</w:t>
      </w:r>
      <w:r w:rsidR="00E43635" w:rsidRPr="003E73D6">
        <w:rPr>
          <w:u w:val="single"/>
        </w:rPr>
        <w:t>, prochaine étape 2</w:t>
      </w:r>
      <w:r w:rsidR="00493CFE" w:rsidRPr="003E73D6">
        <w:rPr>
          <w:u w:val="single"/>
        </w:rPr>
        <w:t> :</w:t>
      </w:r>
      <w:r w:rsidR="00E43635" w:rsidRPr="003E73D6">
        <w:rPr>
          <w:u w:val="single"/>
        </w:rPr>
        <w:t xml:space="preserve"> étendre les programmes de sensibilisation sanitaire auprès des communautés vulnérables.]</w:t>
      </w:r>
    </w:p>
    <w:p w14:paraId="40E82BFA" w14:textId="3611FF99" w:rsidR="00E43635" w:rsidRPr="003E73D6" w:rsidRDefault="00E43635" w:rsidP="00E43635">
      <w:pPr>
        <w:spacing w:before="100" w:beforeAutospacing="1" w:after="100" w:afterAutospacing="1"/>
        <w:jc w:val="both"/>
        <w:rPr>
          <w:kern w:val="2"/>
          <w:u w:val="single"/>
          <w14:ligatures w14:val="standardContextual"/>
        </w:rPr>
      </w:pPr>
      <w:r w:rsidRPr="003E73D6">
        <w:rPr>
          <w:b/>
          <w:bCs/>
          <w:u w:val="single"/>
        </w:rPr>
        <w:t>Section 4</w:t>
      </w:r>
      <w:r w:rsidR="00493CFE" w:rsidRPr="003E73D6">
        <w:rPr>
          <w:b/>
          <w:bCs/>
          <w:u w:val="single"/>
        </w:rPr>
        <w:t> :</w:t>
      </w:r>
      <w:r w:rsidRPr="003E73D6">
        <w:rPr>
          <w:b/>
          <w:bCs/>
          <w:u w:val="single"/>
        </w:rPr>
        <w:t xml:space="preserve"> Joindre le rapport technique de référence, s</w:t>
      </w:r>
      <w:r w:rsidR="00493CFE" w:rsidRPr="003E73D6">
        <w:rPr>
          <w:b/>
          <w:bCs/>
          <w:u w:val="single"/>
        </w:rPr>
        <w:t>’</w:t>
      </w:r>
      <w:r w:rsidRPr="003E73D6">
        <w:rPr>
          <w:b/>
          <w:bCs/>
          <w:u w:val="single"/>
        </w:rPr>
        <w:t>il y a lieu.</w:t>
      </w:r>
      <w:r w:rsidRPr="003E73D6">
        <w:rPr>
          <w:u w:val="single"/>
        </w:rPr>
        <w:t xml:space="preserve"> Un rapport technique de référence devrait contenir les données justificatives, les calculs et les méthodes utilisées pour compiler les informations communiquées dans le formulaire</w:t>
      </w:r>
      <w:r w:rsidRPr="003E73D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4"/>
        <w:gridCol w:w="1914"/>
        <w:gridCol w:w="1914"/>
        <w:gridCol w:w="1915"/>
        <w:gridCol w:w="1915"/>
      </w:tblGrid>
      <w:tr w:rsidR="0094529B" w:rsidRPr="003E73D6" w14:paraId="47BC9B89" w14:textId="77777777" w:rsidTr="0094529B">
        <w:tc>
          <w:tcPr>
            <w:tcW w:w="1914" w:type="dxa"/>
          </w:tcPr>
          <w:p w14:paraId="25EBFF9F" w14:textId="77777777" w:rsidR="0094529B" w:rsidRPr="003E73D6" w:rsidRDefault="0094529B" w:rsidP="0094529B">
            <w:pPr>
              <w:pStyle w:val="Normal-pool"/>
              <w:spacing w:before="520"/>
            </w:pPr>
          </w:p>
        </w:tc>
        <w:tc>
          <w:tcPr>
            <w:tcW w:w="1914" w:type="dxa"/>
          </w:tcPr>
          <w:p w14:paraId="69BA3C85" w14:textId="77777777" w:rsidR="0094529B" w:rsidRPr="003E73D6" w:rsidRDefault="0094529B" w:rsidP="0094529B">
            <w:pPr>
              <w:pStyle w:val="Normal-pool"/>
              <w:spacing w:before="520"/>
            </w:pPr>
          </w:p>
        </w:tc>
        <w:tc>
          <w:tcPr>
            <w:tcW w:w="1914" w:type="dxa"/>
            <w:tcBorders>
              <w:bottom w:val="single" w:sz="4" w:space="0" w:color="auto"/>
            </w:tcBorders>
          </w:tcPr>
          <w:p w14:paraId="28B09847" w14:textId="77777777" w:rsidR="0094529B" w:rsidRPr="003E73D6" w:rsidRDefault="0094529B" w:rsidP="0094529B">
            <w:pPr>
              <w:pStyle w:val="Normal-pool"/>
              <w:spacing w:before="520"/>
            </w:pPr>
          </w:p>
        </w:tc>
        <w:tc>
          <w:tcPr>
            <w:tcW w:w="1915" w:type="dxa"/>
          </w:tcPr>
          <w:p w14:paraId="19CEAD18" w14:textId="77777777" w:rsidR="0094529B" w:rsidRPr="003E73D6" w:rsidRDefault="0094529B" w:rsidP="0094529B">
            <w:pPr>
              <w:pStyle w:val="Normal-pool"/>
              <w:spacing w:before="520"/>
            </w:pPr>
          </w:p>
        </w:tc>
        <w:tc>
          <w:tcPr>
            <w:tcW w:w="1915" w:type="dxa"/>
          </w:tcPr>
          <w:p w14:paraId="28D32845" w14:textId="77777777" w:rsidR="0094529B" w:rsidRPr="003E73D6" w:rsidRDefault="0094529B" w:rsidP="0094529B">
            <w:pPr>
              <w:pStyle w:val="Normal-pool"/>
              <w:spacing w:before="520"/>
            </w:pPr>
          </w:p>
        </w:tc>
      </w:tr>
    </w:tbl>
    <w:p w14:paraId="29A7A0A7" w14:textId="21666898" w:rsidR="0094529B" w:rsidRPr="003E73D6" w:rsidRDefault="0094529B" w:rsidP="0061610F">
      <w:pPr>
        <w:pStyle w:val="Normal-pool"/>
      </w:pPr>
    </w:p>
    <w:sectPr w:rsidR="0094529B" w:rsidRPr="003E73D6" w:rsidSect="002E3F08">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B3D7" w14:textId="77777777" w:rsidR="00524EAA" w:rsidRPr="002E3F08" w:rsidRDefault="00524EAA">
      <w:r w:rsidRPr="002E3F08">
        <w:separator/>
      </w:r>
    </w:p>
  </w:endnote>
  <w:endnote w:type="continuationSeparator" w:id="0">
    <w:p w14:paraId="13299DD4" w14:textId="77777777" w:rsidR="00524EAA" w:rsidRPr="002E3F08" w:rsidRDefault="00524EAA">
      <w:r w:rsidRPr="002E3F08">
        <w:continuationSeparator/>
      </w:r>
    </w:p>
  </w:endnote>
  <w:endnote w:type="continuationNotice" w:id="1">
    <w:p w14:paraId="7BFFECB1" w14:textId="77777777" w:rsidR="00524EAA" w:rsidRPr="002E3F08" w:rsidRDefault="00524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91B1" w14:textId="1DF7F4EB" w:rsidR="00CD6C5D" w:rsidRPr="002E3F08" w:rsidRDefault="002E3F08" w:rsidP="002E3F08">
    <w:pPr>
      <w:pStyle w:val="Footer-pool"/>
    </w:pPr>
    <w:r w:rsidRPr="002E3F08">
      <w:fldChar w:fldCharType="begin"/>
    </w:r>
    <w:r w:rsidRPr="002E3F08">
      <w:instrText xml:space="preserve"> PAGE </w:instrText>
    </w:r>
    <w:r w:rsidRPr="002E3F08">
      <w:fldChar w:fldCharType="separate"/>
    </w:r>
    <w:r w:rsidRPr="002E3F08">
      <w:rPr>
        <w:noProof/>
      </w:rPr>
      <w:t>3</w:t>
    </w:r>
    <w:r w:rsidRPr="002E3F0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C377" w14:textId="78AFE5A7" w:rsidR="00CD6C5D" w:rsidRPr="002E3F08" w:rsidRDefault="002E3F08" w:rsidP="002E3F08">
    <w:pPr>
      <w:pStyle w:val="Footer-pool"/>
      <w:jc w:val="right"/>
    </w:pPr>
    <w:r w:rsidRPr="002E3F08">
      <w:fldChar w:fldCharType="begin"/>
    </w:r>
    <w:r w:rsidRPr="002E3F08">
      <w:instrText xml:space="preserve"> PAGE \* MERGEFORMAT </w:instrText>
    </w:r>
    <w:r w:rsidRPr="002E3F08">
      <w:fldChar w:fldCharType="separate"/>
    </w:r>
    <w:r w:rsidRPr="002E3F08">
      <w:rPr>
        <w:noProof/>
      </w:rPr>
      <w:t>4</w:t>
    </w:r>
    <w:r w:rsidRPr="002E3F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9911" w14:textId="5CFD95CB" w:rsidR="00AE0DBD" w:rsidRPr="002E3F08" w:rsidRDefault="002E3F08" w:rsidP="002E3F08">
    <w:pPr>
      <w:pStyle w:val="Footer-jobnumber"/>
    </w:pPr>
    <w:bookmarkStart w:id="16" w:name="FooterJobDate"/>
    <w:r w:rsidRPr="002E3F08">
      <w:t>K</w:t>
    </w:r>
    <w:r w:rsidR="00DD253B">
      <w:t>2512312</w:t>
    </w:r>
    <w:r w:rsidRPr="002E3F08">
      <w:t>[F]</w:t>
    </w:r>
    <w:r w:rsidRPr="002E3F08">
      <w:tab/>
      <w:t>1</w:t>
    </w:r>
    <w:r w:rsidR="00F40AF8">
      <w:t>7</w:t>
    </w:r>
    <w:r w:rsidRPr="002E3F08">
      <w:t>0925</w:t>
    </w:r>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CF7D" w14:textId="77777777" w:rsidR="00524EAA" w:rsidRPr="002E3F08" w:rsidRDefault="00524EAA" w:rsidP="002E3F08">
      <w:pPr>
        <w:pStyle w:val="Footnote-Separator"/>
        <w:ind w:left="624"/>
        <w:rPr>
          <w:szCs w:val="18"/>
        </w:rPr>
      </w:pPr>
      <w:r w:rsidRPr="002E3F08">
        <w:separator/>
      </w:r>
    </w:p>
  </w:footnote>
  <w:footnote w:type="continuationSeparator" w:id="0">
    <w:p w14:paraId="02B9E34A" w14:textId="77777777" w:rsidR="00524EAA" w:rsidRPr="002E3F08" w:rsidRDefault="00524EAA" w:rsidP="002E3F08">
      <w:pPr>
        <w:pStyle w:val="Footnote-Separator"/>
      </w:pPr>
      <w:r w:rsidRPr="002E3F08">
        <w:continuationSeparator/>
      </w:r>
    </w:p>
  </w:footnote>
  <w:footnote w:type="continuationNotice" w:id="1">
    <w:p w14:paraId="39A9A80F" w14:textId="77777777" w:rsidR="00524EAA" w:rsidRPr="002E3F08" w:rsidRDefault="00524EAA" w:rsidP="002E3F08">
      <w:pPr>
        <w:pStyle w:val="ASpacer"/>
      </w:pPr>
    </w:p>
  </w:footnote>
  <w:footnote w:id="2">
    <w:p w14:paraId="09464308" w14:textId="77777777" w:rsidR="002E3F08" w:rsidRPr="002E3F08" w:rsidRDefault="002E3F08" w:rsidP="002E3F08">
      <w:pPr>
        <w:pStyle w:val="Footnote-Text"/>
      </w:pPr>
      <w:r w:rsidRPr="002E3F08">
        <w:rPr>
          <w:rStyle w:val="FootnoteReference"/>
          <w:sz w:val="18"/>
          <w:vertAlign w:val="baseline"/>
        </w:rPr>
        <w:t>*</w:t>
      </w:r>
      <w:r w:rsidRPr="002E3F08">
        <w:t xml:space="preserve"> UNEP/MC/COP.6/1/Rev.1.</w:t>
      </w:r>
    </w:p>
  </w:footnote>
  <w:footnote w:id="3">
    <w:p w14:paraId="3B62C1F6" w14:textId="3D890B17" w:rsidR="000F6CCB" w:rsidRPr="002E3F08" w:rsidRDefault="002E3F08" w:rsidP="002E3F08">
      <w:pPr>
        <w:pStyle w:val="Footnote-Text"/>
        <w:rPr>
          <w:szCs w:val="18"/>
        </w:rPr>
      </w:pPr>
      <w:r w:rsidRPr="002E3F08">
        <w:rPr>
          <w:rStyle w:val="FootnoteReference"/>
        </w:rPr>
        <w:footnoteRef/>
      </w:r>
      <w:r w:rsidR="000F6CCB" w:rsidRPr="002E3F08">
        <w:t xml:space="preserve"> Consultable à l</w:t>
      </w:r>
      <w:r w:rsidR="00493CFE" w:rsidRPr="002E3F08">
        <w:t>’</w:t>
      </w:r>
      <w:r w:rsidR="000F6CCB" w:rsidRPr="002E3F08">
        <w:t>adresse suivante</w:t>
      </w:r>
      <w:r w:rsidR="00493CFE" w:rsidRPr="002E3F08">
        <w:t> </w:t>
      </w:r>
      <w:hyperlink r:id="rId1" w:history="1">
        <w:r w:rsidR="00D72B72" w:rsidRPr="002E3F08">
          <w:rPr>
            <w:rStyle w:val="Hyperlink"/>
          </w:rPr>
          <w:t>https://minamataconvention.org/sites/default/files/inline-files/NAP_guidance2018_FR.pdf</w:t>
        </w:r>
      </w:hyperlink>
      <w:r w:rsidR="000F6CCB" w:rsidRPr="002E3F08">
        <w:t>.</w:t>
      </w:r>
      <w:hyperlink r:id="rId2" w:history="1"/>
    </w:p>
  </w:footnote>
  <w:footnote w:id="4">
    <w:p w14:paraId="6C9E69BE" w14:textId="0FC0B033" w:rsidR="007538ED" w:rsidRPr="007538ED" w:rsidRDefault="007538ED" w:rsidP="00F60180">
      <w:pPr>
        <w:pStyle w:val="FootnoteText"/>
      </w:pPr>
      <w:r>
        <w:rPr>
          <w:rStyle w:val="FootnoteReference"/>
        </w:rPr>
        <w:footnoteRef/>
      </w:r>
      <w:r w:rsidR="007E4C83">
        <w:t xml:space="preserve"> </w:t>
      </w:r>
      <w:r w:rsidR="00F60180" w:rsidRPr="00F60180">
        <w:t xml:space="preserve">Rendu en anglais par l’acronyme ASGM pour « artisanal and </w:t>
      </w:r>
      <w:proofErr w:type="spellStart"/>
      <w:r w:rsidR="00F60180" w:rsidRPr="00F60180">
        <w:t>small-scale</w:t>
      </w:r>
      <w:proofErr w:type="spellEnd"/>
      <w:r w:rsidR="00F60180" w:rsidRPr="00F60180">
        <w:t xml:space="preserve"> gold </w:t>
      </w:r>
      <w:proofErr w:type="spellStart"/>
      <w:r w:rsidR="00F60180" w:rsidRPr="00F60180">
        <w:t>mining</w:t>
      </w:r>
      <w:proofErr w:type="spellEnd"/>
      <w:r w:rsidR="00F60180" w:rsidRPr="00F60180">
        <w:t> » dans le document d’orientation et, partant, dans les modifications proposées.</w:t>
      </w:r>
    </w:p>
  </w:footnote>
  <w:footnote w:id="5">
    <w:p w14:paraId="63D67820" w14:textId="526A4120" w:rsidR="00A25BEF" w:rsidRPr="002E3F08" w:rsidRDefault="002E3F08" w:rsidP="002E3F08">
      <w:pPr>
        <w:pStyle w:val="Footnote-Text"/>
        <w:rPr>
          <w:szCs w:val="18"/>
        </w:rPr>
      </w:pPr>
      <w:r w:rsidRPr="002E3F08">
        <w:rPr>
          <w:rStyle w:val="FootnoteReference"/>
        </w:rPr>
        <w:footnoteRef/>
      </w:r>
      <w:r w:rsidR="00A25BEF" w:rsidRPr="002E3F08">
        <w:t xml:space="preserve"> Dans le document d</w:t>
      </w:r>
      <w:r w:rsidR="00493CFE" w:rsidRPr="002E3F08">
        <w:t>’</w:t>
      </w:r>
      <w:r w:rsidR="00A25BEF" w:rsidRPr="002E3F08">
        <w:t>orientation et, partant, dans les modifications proposées, « plan d</w:t>
      </w:r>
      <w:r w:rsidR="00493CFE" w:rsidRPr="002E3F08">
        <w:t>’</w:t>
      </w:r>
      <w:r w:rsidR="00A25BEF" w:rsidRPr="002E3F08">
        <w:t>action national » est abrégé en « PAN ».</w:t>
      </w:r>
    </w:p>
  </w:footnote>
  <w:footnote w:id="6">
    <w:p w14:paraId="35CB4808" w14:textId="2DAF4E82" w:rsidR="00E43635" w:rsidRPr="002E3F08" w:rsidRDefault="002E3F08" w:rsidP="002E3F08">
      <w:pPr>
        <w:pStyle w:val="Footnote-Text"/>
        <w:rPr>
          <w:szCs w:val="18"/>
        </w:rPr>
      </w:pPr>
      <w:r w:rsidRPr="002E3F08">
        <w:rPr>
          <w:rStyle w:val="FootnoteReference"/>
        </w:rPr>
        <w:footnoteRef/>
      </w:r>
      <w:r w:rsidR="00E43635" w:rsidRPr="002E3F08">
        <w:t xml:space="preserve"> On trouvera plus d</w:t>
      </w:r>
      <w:r w:rsidR="00493CFE" w:rsidRPr="002E3F08">
        <w:t>’</w:t>
      </w:r>
      <w:r w:rsidR="00E43635" w:rsidRPr="002E3F08">
        <w:t>informations sur les rapports nationaux et sur la manière de les établir dans le document d</w:t>
      </w:r>
      <w:r w:rsidR="00493CFE" w:rsidRPr="002E3F08">
        <w:t>’</w:t>
      </w:r>
      <w:r w:rsidR="00E43635" w:rsidRPr="002E3F08">
        <w:t>orientation relatif à l</w:t>
      </w:r>
      <w:r w:rsidR="00493CFE" w:rsidRPr="002E3F08">
        <w:t>’</w:t>
      </w:r>
      <w:r w:rsidR="00E43635" w:rsidRPr="002E3F08">
        <w:t>utilisation du formulaire d</w:t>
      </w:r>
      <w:r w:rsidR="00493CFE" w:rsidRPr="002E3F08">
        <w:t>’</w:t>
      </w:r>
      <w:r w:rsidR="00E43635" w:rsidRPr="002E3F08">
        <w:t>établissement des rapports nationaux à l</w:t>
      </w:r>
      <w:r w:rsidR="00493CFE" w:rsidRPr="002E3F08">
        <w:t>’</w:t>
      </w:r>
      <w:r w:rsidR="00E43635" w:rsidRPr="002E3F08">
        <w:t>adresse suivante</w:t>
      </w:r>
      <w:r w:rsidR="00493CFE" w:rsidRPr="002E3F08">
        <w:t> :</w:t>
      </w:r>
      <w:r w:rsidR="00E43635" w:rsidRPr="002E3F08">
        <w:t xml:space="preserve"> </w:t>
      </w:r>
      <w:hyperlink r:id="rId3" w:history="1">
        <w:r w:rsidR="0092553F" w:rsidRPr="002E3F08">
          <w:rPr>
            <w:rStyle w:val="Hyperlink"/>
          </w:rPr>
          <w:t>https://minamataconvention.org/en/documents/guidance-completing-national-reporting-format-minamata-convention-mercury</w:t>
        </w:r>
      </w:hyperlink>
      <w:r w:rsidR="00E43635" w:rsidRPr="002E3F08">
        <w:t xml:space="preserve"> (en anglais uniquement). </w:t>
      </w:r>
      <w:hyperlink r:id="rId4" w:history="1"/>
    </w:p>
  </w:footnote>
  <w:footnote w:id="7">
    <w:p w14:paraId="52971DAB" w14:textId="562F9FB4" w:rsidR="00E43635" w:rsidRPr="002E3F08" w:rsidRDefault="002E3F08" w:rsidP="002E3F08">
      <w:pPr>
        <w:pStyle w:val="Footnote-Text"/>
        <w:rPr>
          <w:szCs w:val="18"/>
        </w:rPr>
      </w:pPr>
      <w:r w:rsidRPr="002E3F08">
        <w:rPr>
          <w:rStyle w:val="FootnoteReference"/>
        </w:rPr>
        <w:footnoteRef/>
      </w:r>
      <w:r w:rsidR="00E43635" w:rsidRPr="002E3F08">
        <w:t xml:space="preserve"> Consultable à l</w:t>
      </w:r>
      <w:r w:rsidR="00493CFE" w:rsidRPr="002E3F08">
        <w:t>’</w:t>
      </w:r>
      <w:r w:rsidR="00E43635" w:rsidRPr="002E3F08">
        <w:t>adresse suivante</w:t>
      </w:r>
      <w:r w:rsidR="00493CFE" w:rsidRPr="002E3F08">
        <w:t> :</w:t>
      </w:r>
      <w:r w:rsidR="00E43635" w:rsidRPr="002E3F08">
        <w:t xml:space="preserve"> </w:t>
      </w:r>
      <w:hyperlink r:id="rId5" w:history="1">
        <w:r w:rsidR="008902D4" w:rsidRPr="002E3F08">
          <w:rPr>
            <w:rStyle w:val="Hyperlink"/>
          </w:rPr>
          <w:t>https://minamataconvention.org/en/documents/guidance-completing-national-reporting-format-minamata-convention-mercury</w:t>
        </w:r>
      </w:hyperlink>
      <w:r w:rsidR="00E43635" w:rsidRPr="002E3F08">
        <w:t xml:space="preserve"> (en anglais uniquement).</w:t>
      </w:r>
      <w:hyperlink r:id="rId6" w:history="1"/>
    </w:p>
  </w:footnote>
  <w:footnote w:id="8">
    <w:p w14:paraId="0A59FCE5" w14:textId="4AB2BA33" w:rsidR="00E43635" w:rsidRPr="002E3F08" w:rsidRDefault="002E3F08" w:rsidP="002E3F08">
      <w:pPr>
        <w:pStyle w:val="Footnote-Text"/>
        <w:rPr>
          <w:szCs w:val="18"/>
        </w:rPr>
      </w:pPr>
      <w:r w:rsidRPr="002E3F08">
        <w:rPr>
          <w:rStyle w:val="FootnoteReference"/>
        </w:rPr>
        <w:footnoteRef/>
      </w:r>
      <w:r w:rsidR="00E43635" w:rsidRPr="002E3F08">
        <w:t xml:space="preserve"> </w:t>
      </w:r>
      <w:r w:rsidR="00E43635" w:rsidRPr="00E01C38">
        <w:rPr>
          <w:u w:val="single"/>
        </w:rPr>
        <w:t>Aux fins du présent document, le terme « communautés locales » désigne les communautés non autochtones qui incarnent des modes de vie traditionnels mais ne se définissent pas comme étant des peuples autochtones. De même, dans le cadre de la Plateforme intergouvernementale scientifique et politique sur la biodiversité et les services écosystémiques (IPBES), le terme « communautés locales » désigne les communautés non autochtones qui ont des liens historiques avec des lieux et des moyens de subsistance caractérisés par des relations à long terme avec l</w:t>
      </w:r>
      <w:r w:rsidR="00493CFE" w:rsidRPr="00E01C38">
        <w:rPr>
          <w:u w:val="single"/>
        </w:rPr>
        <w:t>’</w:t>
      </w:r>
      <w:r w:rsidR="00E43635" w:rsidRPr="00E01C38">
        <w:rPr>
          <w:u w:val="single"/>
        </w:rPr>
        <w:t>environnement naturel, souvent sur plusieurs générations (source</w:t>
      </w:r>
      <w:r w:rsidR="00493CFE" w:rsidRPr="00E01C38">
        <w:rPr>
          <w:u w:val="single"/>
        </w:rPr>
        <w:t> :</w:t>
      </w:r>
      <w:r w:rsidR="00E43635" w:rsidRPr="00E01C38">
        <w:rPr>
          <w:u w:val="single"/>
        </w:rPr>
        <w:t xml:space="preserve"> glossaire de l</w:t>
      </w:r>
      <w:r w:rsidR="00493CFE" w:rsidRPr="00E01C38">
        <w:rPr>
          <w:u w:val="single"/>
        </w:rPr>
        <w:t>’</w:t>
      </w:r>
      <w:r w:rsidR="00E43635" w:rsidRPr="00E01C38">
        <w:rPr>
          <w:u w:val="single"/>
        </w:rPr>
        <w:t>IPBES</w:t>
      </w:r>
      <w:r w:rsidR="00E43635" w:rsidRPr="002E3F08">
        <w:t xml:space="preserve"> </w:t>
      </w:r>
      <w:hyperlink r:id="rId7" w:history="1">
        <w:r w:rsidR="00081DA0" w:rsidRPr="000F5EA5">
          <w:rPr>
            <w:rStyle w:val="Hyperlink"/>
            <w:u w:val="single"/>
          </w:rPr>
          <w:t>https://www.ipbes.net/node/41450</w:t>
        </w:r>
      </w:hyperlink>
      <w:r w:rsidR="00E43635" w:rsidRPr="000F5EA5">
        <w:rPr>
          <w:u w:val="single"/>
        </w:rPr>
        <w:t>, en anglais uniquement)</w:t>
      </w:r>
      <w:r w:rsidR="00E43635" w:rsidRPr="002E3F08">
        <w:t>.</w:t>
      </w:r>
      <w:bookmarkStart w:id="11" w:name="_Hlk185248301"/>
      <w:bookmarkStart w:id="12" w:name="_Hlk185247947"/>
      <w:bookmarkEnd w:id="11"/>
      <w:r w:rsidR="00E43635" w:rsidRPr="002E3F08">
        <w:fldChar w:fldCharType="begin"/>
      </w:r>
      <w:r w:rsidR="00E43635" w:rsidRPr="002E3F08">
        <w:instrText>HYPERLINK "https://www.ipbes.net/node/41450"</w:instrText>
      </w:r>
      <w:r w:rsidR="00E43635" w:rsidRPr="002E3F08">
        <w:fldChar w:fldCharType="separate"/>
      </w:r>
      <w:r w:rsidR="00E43635" w:rsidRPr="002E3F08">
        <w:fldChar w:fldCharType="end"/>
      </w:r>
      <w:bookmarkEnd w:id="12"/>
    </w:p>
  </w:footnote>
  <w:footnote w:id="9">
    <w:p w14:paraId="39479384" w14:textId="5514716B" w:rsidR="00E43635" w:rsidRPr="002E3F08" w:rsidRDefault="002E3F08" w:rsidP="002E3F08">
      <w:pPr>
        <w:pStyle w:val="Footnote-Text"/>
        <w:rPr>
          <w:szCs w:val="18"/>
        </w:rPr>
      </w:pPr>
      <w:r w:rsidRPr="002E3F08">
        <w:rPr>
          <w:rStyle w:val="FootnoteReference"/>
        </w:rPr>
        <w:footnoteRef/>
      </w:r>
      <w:r w:rsidR="00E43635" w:rsidRPr="002E3F08">
        <w:t xml:space="preserve"> </w:t>
      </w:r>
      <w:r w:rsidR="00E43635" w:rsidRPr="00A6333B">
        <w:rPr>
          <w:u w:val="single"/>
        </w:rPr>
        <w:t>Les estimations initiales de l</w:t>
      </w:r>
      <w:r w:rsidR="00493CFE" w:rsidRPr="00A6333B">
        <w:rPr>
          <w:u w:val="single"/>
        </w:rPr>
        <w:t>’</w:t>
      </w:r>
      <w:r w:rsidR="00E43635" w:rsidRPr="00A6333B">
        <w:rPr>
          <w:u w:val="single"/>
        </w:rPr>
        <w:t>utilisation du mercure et des pratiques dans le cadre de l</w:t>
      </w:r>
      <w:r w:rsidR="00493CFE" w:rsidRPr="00A6333B">
        <w:rPr>
          <w:u w:val="single"/>
        </w:rPr>
        <w:t>’</w:t>
      </w:r>
      <w:r w:rsidR="00E43635" w:rsidRPr="00A6333B">
        <w:rPr>
          <w:u w:val="single"/>
        </w:rPr>
        <w:t>extraction minière artisanale et à petite échelle d</w:t>
      </w:r>
      <w:r w:rsidR="00493CFE" w:rsidRPr="00A6333B">
        <w:rPr>
          <w:u w:val="single"/>
        </w:rPr>
        <w:t>’</w:t>
      </w:r>
      <w:r w:rsidR="00E43635" w:rsidRPr="00A6333B">
        <w:rPr>
          <w:u w:val="single"/>
        </w:rPr>
        <w:t>or comportant souvent d</w:t>
      </w:r>
      <w:r w:rsidR="00493CFE" w:rsidRPr="00A6333B">
        <w:rPr>
          <w:u w:val="single"/>
        </w:rPr>
        <w:t>’</w:t>
      </w:r>
      <w:r w:rsidR="00E43635" w:rsidRPr="00A6333B">
        <w:rPr>
          <w:u w:val="single"/>
        </w:rPr>
        <w:t>importantes incertitudes, les nouvelles données peuvent faire apparaître le besoin de modifier ces estimations initiales sur la base d</w:t>
      </w:r>
      <w:r w:rsidR="00493CFE" w:rsidRPr="00A6333B">
        <w:rPr>
          <w:u w:val="single"/>
        </w:rPr>
        <w:t>’</w:t>
      </w:r>
      <w:r w:rsidR="00E43635" w:rsidRPr="00A6333B">
        <w:rPr>
          <w:u w:val="single"/>
        </w:rPr>
        <w:t>éléments probants. Dans ce cas, il</w:t>
      </w:r>
      <w:r w:rsidR="00E85536">
        <w:rPr>
          <w:u w:val="single"/>
        </w:rPr>
        <w:t> </w:t>
      </w:r>
      <w:r w:rsidR="00E43635" w:rsidRPr="00A6333B">
        <w:rPr>
          <w:u w:val="single"/>
        </w:rPr>
        <w:t>convient de conserver les données de référence initiales, mais des valeurs ajustées peuvent leur être accolées</w:t>
      </w:r>
      <w:r w:rsidR="00E43635" w:rsidRPr="002E3F08">
        <w:t xml:space="preserve">. </w:t>
      </w:r>
    </w:p>
  </w:footnote>
  <w:footnote w:id="10">
    <w:p w14:paraId="09F2FCE2" w14:textId="01371C27" w:rsidR="00E43635" w:rsidRPr="000C2968" w:rsidRDefault="002E3F08" w:rsidP="002E3F08">
      <w:pPr>
        <w:pStyle w:val="Footnote-Text"/>
        <w:rPr>
          <w:szCs w:val="18"/>
          <w:lang w:val="en-GB"/>
        </w:rPr>
      </w:pPr>
      <w:r w:rsidRPr="00C77897">
        <w:rPr>
          <w:rStyle w:val="FootnoteReference"/>
        </w:rPr>
        <w:footnoteRef/>
      </w:r>
      <w:r w:rsidR="00E43635" w:rsidRPr="000C2968">
        <w:rPr>
          <w:lang w:val="en-GB"/>
        </w:rPr>
        <w:t xml:space="preserve"> </w:t>
      </w:r>
      <w:r w:rsidR="00E43635" w:rsidRPr="0033133D">
        <w:rPr>
          <w:u w:val="single"/>
          <w:lang w:val="en-GB"/>
        </w:rPr>
        <w:t>J. D. O</w:t>
      </w:r>
      <w:r w:rsidR="00493CFE" w:rsidRPr="0033133D">
        <w:rPr>
          <w:u w:val="single"/>
          <w:lang w:val="en-GB"/>
        </w:rPr>
        <w:t>’</w:t>
      </w:r>
      <w:r w:rsidR="00E43635" w:rsidRPr="0033133D">
        <w:rPr>
          <w:u w:val="single"/>
          <w:lang w:val="en-GB"/>
        </w:rPr>
        <w:t xml:space="preserve">Neill and K. Telmer (2017), </w:t>
      </w:r>
      <w:r w:rsidR="00E43635" w:rsidRPr="0033133D">
        <w:rPr>
          <w:i/>
          <w:iCs/>
          <w:u w:val="single"/>
          <w:lang w:val="en-GB"/>
        </w:rPr>
        <w:t>Estimating Mercury Use and Documenting Practices in Artisanal and Small-Scale Gold Mining (ASGM)</w:t>
      </w:r>
      <w:r w:rsidR="00E43635" w:rsidRPr="0033133D">
        <w:rPr>
          <w:u w:val="single"/>
          <w:lang w:val="en-GB"/>
        </w:rPr>
        <w:t xml:space="preserve"> (Programme des Nations</w:t>
      </w:r>
      <w:r w:rsidR="00755ABF" w:rsidRPr="0033133D">
        <w:rPr>
          <w:u w:val="single"/>
          <w:lang w:val="en-GB"/>
        </w:rPr>
        <w:t> </w:t>
      </w:r>
      <w:proofErr w:type="spellStart"/>
      <w:r w:rsidR="00E43635" w:rsidRPr="0033133D">
        <w:rPr>
          <w:u w:val="single"/>
          <w:lang w:val="en-GB"/>
        </w:rPr>
        <w:t>Unies</w:t>
      </w:r>
      <w:proofErr w:type="spellEnd"/>
      <w:r w:rsidR="00E43635" w:rsidRPr="0033133D">
        <w:rPr>
          <w:u w:val="single"/>
          <w:lang w:val="en-GB"/>
        </w:rPr>
        <w:t xml:space="preserve"> pour </w:t>
      </w:r>
      <w:proofErr w:type="spellStart"/>
      <w:r w:rsidR="00E43635" w:rsidRPr="0033133D">
        <w:rPr>
          <w:u w:val="single"/>
          <w:lang w:val="en-GB"/>
        </w:rPr>
        <w:t>l</w:t>
      </w:r>
      <w:r w:rsidR="00493CFE" w:rsidRPr="0033133D">
        <w:rPr>
          <w:u w:val="single"/>
          <w:lang w:val="en-GB"/>
        </w:rPr>
        <w:t>’</w:t>
      </w:r>
      <w:r w:rsidR="00E43635" w:rsidRPr="0033133D">
        <w:rPr>
          <w:u w:val="single"/>
          <w:lang w:val="en-GB"/>
        </w:rPr>
        <w:t>environnement</w:t>
      </w:r>
      <w:proofErr w:type="spellEnd"/>
      <w:r w:rsidR="00E43635" w:rsidRPr="0033133D">
        <w:rPr>
          <w:u w:val="single"/>
          <w:lang w:val="en-GB"/>
        </w:rPr>
        <w:t>, Genève)</w:t>
      </w:r>
      <w:r w:rsidR="00E43635" w:rsidRPr="000C2968">
        <w:rPr>
          <w:lang w:val="en-GB"/>
        </w:rPr>
        <w:t>.</w:t>
      </w:r>
    </w:p>
  </w:footnote>
  <w:footnote w:id="11">
    <w:p w14:paraId="49DC19FB" w14:textId="5C95FE06" w:rsidR="00E43635" w:rsidRPr="002E3F08" w:rsidRDefault="002E3F08" w:rsidP="002E3F08">
      <w:pPr>
        <w:pStyle w:val="Footnote-Text"/>
        <w:rPr>
          <w:szCs w:val="18"/>
        </w:rPr>
      </w:pPr>
      <w:r w:rsidRPr="00C77897">
        <w:rPr>
          <w:rStyle w:val="FootnoteReference"/>
        </w:rPr>
        <w:footnoteRef/>
      </w:r>
      <w:r w:rsidR="00E43635" w:rsidRPr="002E3F08">
        <w:t xml:space="preserve"> </w:t>
      </w:r>
      <w:r w:rsidR="00E43635" w:rsidRPr="002E3F08">
        <w:rPr>
          <w:u w:val="single"/>
        </w:rPr>
        <w:t>On trouvera également d</w:t>
      </w:r>
      <w:r w:rsidR="00493CFE" w:rsidRPr="002E3F08">
        <w:rPr>
          <w:u w:val="single"/>
        </w:rPr>
        <w:t>’</w:t>
      </w:r>
      <w:r w:rsidR="00E43635" w:rsidRPr="002E3F08">
        <w:rPr>
          <w:u w:val="single"/>
        </w:rPr>
        <w:t>autres méthodes et outils relatifs aux plans d</w:t>
      </w:r>
      <w:r w:rsidR="00493CFE" w:rsidRPr="002E3F08">
        <w:rPr>
          <w:u w:val="single"/>
        </w:rPr>
        <w:t>’</w:t>
      </w:r>
      <w:r w:rsidR="00E43635" w:rsidRPr="002E3F08">
        <w:rPr>
          <w:u w:val="single"/>
        </w:rPr>
        <w:t>action nationaux à l</w:t>
      </w:r>
      <w:r w:rsidR="00493CFE" w:rsidRPr="002E3F08">
        <w:rPr>
          <w:u w:val="single"/>
        </w:rPr>
        <w:t>’</w:t>
      </w:r>
      <w:r w:rsidR="00E43635" w:rsidRPr="002E3F08">
        <w:rPr>
          <w:u w:val="single"/>
        </w:rPr>
        <w:t>adresse suivante</w:t>
      </w:r>
      <w:r w:rsidR="00493CFE" w:rsidRPr="00CD222B">
        <w:t> :</w:t>
      </w:r>
      <w:r w:rsidR="00E43635" w:rsidRPr="00CD222B">
        <w:t xml:space="preserve"> </w:t>
      </w:r>
      <w:hyperlink r:id="rId8" w:history="1">
        <w:r w:rsidR="00081DA0" w:rsidRPr="002E3F08">
          <w:rPr>
            <w:rStyle w:val="Hyperlink"/>
          </w:rPr>
          <w:t>https://www.unep.org/globalmercurypartnership/what-we-do/artisanal-and-small-scale-gold-mining-asgm/national-action-plans</w:t>
        </w:r>
      </w:hyperlink>
      <w:r w:rsidR="00E43635" w:rsidRPr="001258B1">
        <w:t>.</w:t>
      </w:r>
      <w:hyperlink r:id="rId9" w:history="1"/>
    </w:p>
  </w:footnote>
  <w:footnote w:id="12">
    <w:p w14:paraId="1BDD8EA6" w14:textId="4EFC9CC2" w:rsidR="00E43635" w:rsidRPr="002E3F08" w:rsidRDefault="002E3F08" w:rsidP="002E3F08">
      <w:pPr>
        <w:pStyle w:val="Footnote-Text"/>
        <w:rPr>
          <w:szCs w:val="18"/>
        </w:rPr>
      </w:pPr>
      <w:r w:rsidRPr="002E3F08">
        <w:rPr>
          <w:rStyle w:val="FootnoteReference"/>
        </w:rPr>
        <w:footnoteRef/>
      </w:r>
      <w:r w:rsidR="00E43635" w:rsidRPr="002E3F08">
        <w:t xml:space="preserve"> </w:t>
      </w:r>
      <w:r w:rsidR="00E43635" w:rsidRPr="00B570E5">
        <w:rPr>
          <w:u w:val="single"/>
        </w:rPr>
        <w:t>On trouvera plus d</w:t>
      </w:r>
      <w:r w:rsidR="00493CFE" w:rsidRPr="00B570E5">
        <w:rPr>
          <w:u w:val="single"/>
        </w:rPr>
        <w:t>’</w:t>
      </w:r>
      <w:r w:rsidR="00E43635" w:rsidRPr="00B570E5">
        <w:rPr>
          <w:u w:val="single"/>
        </w:rPr>
        <w:t>informations sur la présentation de rapports dans le cadre de la Convention de Minamata à l</w:t>
      </w:r>
      <w:r w:rsidR="00493CFE" w:rsidRPr="00B570E5">
        <w:rPr>
          <w:u w:val="single"/>
        </w:rPr>
        <w:t>’</w:t>
      </w:r>
      <w:r w:rsidR="00E43635" w:rsidRPr="00B570E5">
        <w:rPr>
          <w:u w:val="single"/>
        </w:rPr>
        <w:t>adresse suivante</w:t>
      </w:r>
      <w:r w:rsidR="00493CFE" w:rsidRPr="002E3F08">
        <w:t> :</w:t>
      </w:r>
      <w:r w:rsidR="00E43635" w:rsidRPr="002E3F08">
        <w:t xml:space="preserve"> </w:t>
      </w:r>
      <w:hyperlink r:id="rId10" w:history="1">
        <w:r w:rsidR="007836EB" w:rsidRPr="002E3F08">
          <w:rPr>
            <w:rStyle w:val="Hyperlink"/>
          </w:rPr>
          <w:t>https://minamataconvention.org/fr/parties/reporting</w:t>
        </w:r>
      </w:hyperlink>
      <w:r w:rsidR="00E43635" w:rsidRPr="002E3F08">
        <w:t>.</w:t>
      </w:r>
      <w:hyperlink r:id="rId11" w:history="1"/>
    </w:p>
  </w:footnote>
  <w:footnote w:id="13">
    <w:p w14:paraId="1DB62F54" w14:textId="562DAD04" w:rsidR="00E43635" w:rsidRPr="002E3F08" w:rsidRDefault="002E3F08" w:rsidP="002E3F08">
      <w:pPr>
        <w:pStyle w:val="Footnote-Text"/>
        <w:rPr>
          <w:szCs w:val="18"/>
          <w:u w:val="single"/>
        </w:rPr>
      </w:pPr>
      <w:r w:rsidRPr="002E3F08">
        <w:rPr>
          <w:rStyle w:val="FootnoteReference"/>
        </w:rPr>
        <w:footnoteRef/>
      </w:r>
      <w:r w:rsidR="00E43635" w:rsidRPr="002E3F08">
        <w:t xml:space="preserve"> </w:t>
      </w:r>
      <w:r w:rsidR="00E43635" w:rsidRPr="00A414DF">
        <w:rPr>
          <w:u w:val="single"/>
        </w:rPr>
        <w:t>On trouvera plus d</w:t>
      </w:r>
      <w:r w:rsidR="00493CFE" w:rsidRPr="00A414DF">
        <w:rPr>
          <w:u w:val="single"/>
        </w:rPr>
        <w:t>’</w:t>
      </w:r>
      <w:r w:rsidR="00E43635" w:rsidRPr="00A414DF">
        <w:rPr>
          <w:u w:val="single"/>
        </w:rPr>
        <w:t>informations sur les rapports nationaux et un document d</w:t>
      </w:r>
      <w:r w:rsidR="00493CFE" w:rsidRPr="00A414DF">
        <w:rPr>
          <w:u w:val="single"/>
        </w:rPr>
        <w:t>’</w:t>
      </w:r>
      <w:r w:rsidR="00E43635" w:rsidRPr="00A414DF">
        <w:rPr>
          <w:u w:val="single"/>
        </w:rPr>
        <w:t>orientation relatif à l</w:t>
      </w:r>
      <w:r w:rsidR="00493CFE" w:rsidRPr="00A414DF">
        <w:rPr>
          <w:u w:val="single"/>
        </w:rPr>
        <w:t>’</w:t>
      </w:r>
      <w:r w:rsidR="00E43635" w:rsidRPr="00A414DF">
        <w:rPr>
          <w:u w:val="single"/>
        </w:rPr>
        <w:t>utilisation du formulaire d</w:t>
      </w:r>
      <w:r w:rsidR="00493CFE" w:rsidRPr="00A414DF">
        <w:rPr>
          <w:u w:val="single"/>
        </w:rPr>
        <w:t>’</w:t>
      </w:r>
      <w:r w:rsidR="00E43635" w:rsidRPr="00A414DF">
        <w:rPr>
          <w:u w:val="single"/>
        </w:rPr>
        <w:t>établissement des rapports nationaux à l</w:t>
      </w:r>
      <w:r w:rsidR="00493CFE" w:rsidRPr="00A414DF">
        <w:rPr>
          <w:u w:val="single"/>
        </w:rPr>
        <w:t>’</w:t>
      </w:r>
      <w:r w:rsidR="00E43635" w:rsidRPr="00A414DF">
        <w:rPr>
          <w:u w:val="single"/>
        </w:rPr>
        <w:t>adresse suivante</w:t>
      </w:r>
      <w:r w:rsidR="00493CFE" w:rsidRPr="00D231FB">
        <w:t> </w:t>
      </w:r>
      <w:r w:rsidR="00493CFE" w:rsidRPr="002E3F08">
        <w:t>:</w:t>
      </w:r>
      <w:r w:rsidR="00E43635" w:rsidRPr="002E3F08">
        <w:t xml:space="preserve"> </w:t>
      </w:r>
      <w:hyperlink r:id="rId12" w:history="1">
        <w:r w:rsidR="007836EB" w:rsidRPr="00D619B2">
          <w:rPr>
            <w:rStyle w:val="Hyperlink"/>
          </w:rPr>
          <w:t>https://minamataconvention.org/en/documents/guidance-completing-national-reporting-format-minamata-convention-mercury</w:t>
        </w:r>
      </w:hyperlink>
      <w:r w:rsidR="00E43635" w:rsidRPr="00D619B2">
        <w:t xml:space="preserve"> (</w:t>
      </w:r>
      <w:r w:rsidR="00E43635" w:rsidRPr="000447B2">
        <w:rPr>
          <w:u w:val="single"/>
        </w:rPr>
        <w:t>en anglais uniquement</w:t>
      </w:r>
      <w:r w:rsidR="00E43635" w:rsidRPr="00D619B2">
        <w:t>).</w:t>
      </w:r>
      <w:hyperlink r:id="rId13" w:history="1"/>
    </w:p>
  </w:footnote>
  <w:footnote w:id="14">
    <w:p w14:paraId="714265C1" w14:textId="3AE8B7FA" w:rsidR="00E43635" w:rsidRPr="002E3F08" w:rsidRDefault="002E3F08" w:rsidP="002E3F08">
      <w:pPr>
        <w:pStyle w:val="Footnote-Text"/>
        <w:rPr>
          <w:szCs w:val="18"/>
        </w:rPr>
      </w:pPr>
      <w:r w:rsidRPr="002E3F08">
        <w:rPr>
          <w:rStyle w:val="FootnoteReference"/>
        </w:rPr>
        <w:footnoteRef/>
      </w:r>
      <w:r w:rsidR="00E43635" w:rsidRPr="002E3F08">
        <w:t xml:space="preserve"> </w:t>
      </w:r>
      <w:r w:rsidR="00E43635" w:rsidRPr="00A414DF">
        <w:rPr>
          <w:u w:val="single"/>
        </w:rPr>
        <w:t>Ces catégories peuvent comprendre des décisions de la Conférence des Parties ou des orientations adoptées ou publiées après l</w:t>
      </w:r>
      <w:r w:rsidR="00493CFE" w:rsidRPr="00A414DF">
        <w:rPr>
          <w:u w:val="single"/>
        </w:rPr>
        <w:t>’</w:t>
      </w:r>
      <w:r w:rsidR="00E43635" w:rsidRPr="00A414DF">
        <w:rPr>
          <w:u w:val="single"/>
        </w:rPr>
        <w:t>élaboration ou la mise en œuvre du PAN de la Partie concernée et non couvertes par la période d</w:t>
      </w:r>
      <w:r w:rsidR="00493CFE" w:rsidRPr="00A414DF">
        <w:rPr>
          <w:u w:val="single"/>
        </w:rPr>
        <w:t>’</w:t>
      </w:r>
      <w:r w:rsidR="00E43635" w:rsidRPr="00A414DF">
        <w:rPr>
          <w:u w:val="single"/>
        </w:rPr>
        <w:t>examen considérée</w:t>
      </w:r>
      <w:r w:rsidR="00E43635" w:rsidRPr="002E3F0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79A6" w14:textId="22F4873A" w:rsidR="00CD6C5D" w:rsidRPr="002E3F08" w:rsidRDefault="002E3F08" w:rsidP="002E3F08">
    <w:pPr>
      <w:pStyle w:val="Header-pool"/>
    </w:pPr>
    <w:r w:rsidRPr="002E3F08">
      <w:rPr>
        <w:noProof/>
      </w:rPr>
      <w:fldChar w:fldCharType="begin"/>
    </w:r>
    <w:r w:rsidRPr="002E3F08">
      <w:rPr>
        <w:noProof/>
      </w:rPr>
      <w:instrText xml:space="preserve"> StyleRef A_Symbol </w:instrText>
    </w:r>
    <w:r w:rsidRPr="002E3F08">
      <w:rPr>
        <w:noProof/>
      </w:rPr>
      <w:fldChar w:fldCharType="separate"/>
    </w:r>
    <w:r w:rsidR="009B1356">
      <w:rPr>
        <w:noProof/>
      </w:rPr>
      <w:t>UNEP/MC/COP.6/7/Add.1</w:t>
    </w:r>
    <w:r w:rsidRPr="002E3F0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2D56" w14:textId="50F2C950" w:rsidR="00CD6C5D" w:rsidRPr="002E3F08" w:rsidRDefault="002E3F08" w:rsidP="002E3F08">
    <w:pPr>
      <w:pStyle w:val="Header-pool"/>
      <w:jc w:val="right"/>
    </w:pPr>
    <w:r w:rsidRPr="002E3F08">
      <w:rPr>
        <w:noProof/>
      </w:rPr>
      <w:fldChar w:fldCharType="begin"/>
    </w:r>
    <w:r w:rsidRPr="002E3F08">
      <w:rPr>
        <w:noProof/>
      </w:rPr>
      <w:instrText xml:space="preserve"> StyleRef A_Symbol </w:instrText>
    </w:r>
    <w:r w:rsidRPr="002E3F08">
      <w:rPr>
        <w:noProof/>
      </w:rPr>
      <w:fldChar w:fldCharType="separate"/>
    </w:r>
    <w:r w:rsidR="009B1356">
      <w:rPr>
        <w:noProof/>
      </w:rPr>
      <w:t>UNEP/MC/COP.6/7/Add.1</w:t>
    </w:r>
    <w:r w:rsidRPr="002E3F0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4F7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5A0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F62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B0D1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5A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83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A87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04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34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050ADE"/>
    <w:multiLevelType w:val="hybridMultilevel"/>
    <w:tmpl w:val="44D031EC"/>
    <w:lvl w:ilvl="0" w:tplc="49A00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360B6"/>
    <w:multiLevelType w:val="multilevel"/>
    <w:tmpl w:val="E3408B4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48132A"/>
    <w:multiLevelType w:val="multilevel"/>
    <w:tmpl w:val="E7460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F6872"/>
    <w:multiLevelType w:val="multilevel"/>
    <w:tmpl w:val="40F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440E8"/>
    <w:multiLevelType w:val="multilevel"/>
    <w:tmpl w:val="AFA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D7B39"/>
    <w:multiLevelType w:val="multilevel"/>
    <w:tmpl w:val="0A0E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0" w15:restartNumberingAfterBreak="0">
    <w:nsid w:val="5F8A05E4"/>
    <w:multiLevelType w:val="hybridMultilevel"/>
    <w:tmpl w:val="78641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6007D"/>
    <w:multiLevelType w:val="multilevel"/>
    <w:tmpl w:val="E9E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7F0B4F"/>
    <w:multiLevelType w:val="multilevel"/>
    <w:tmpl w:val="F2E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242644713">
    <w:abstractNumId w:val="23"/>
  </w:num>
  <w:num w:numId="2" w16cid:durableId="1933662228">
    <w:abstractNumId w:val="14"/>
  </w:num>
  <w:num w:numId="3" w16cid:durableId="1991909117">
    <w:abstractNumId w:val="10"/>
  </w:num>
  <w:num w:numId="4" w16cid:durableId="1138956019">
    <w:abstractNumId w:val="13"/>
  </w:num>
  <w:num w:numId="5" w16cid:durableId="1520850606">
    <w:abstractNumId w:val="9"/>
  </w:num>
  <w:num w:numId="6" w16cid:durableId="1648433387">
    <w:abstractNumId w:val="7"/>
  </w:num>
  <w:num w:numId="7" w16cid:durableId="364916153">
    <w:abstractNumId w:val="6"/>
  </w:num>
  <w:num w:numId="8" w16cid:durableId="870387138">
    <w:abstractNumId w:val="5"/>
  </w:num>
  <w:num w:numId="9" w16cid:durableId="820921893">
    <w:abstractNumId w:val="4"/>
  </w:num>
  <w:num w:numId="10" w16cid:durableId="834153669">
    <w:abstractNumId w:val="8"/>
  </w:num>
  <w:num w:numId="11" w16cid:durableId="1990550444">
    <w:abstractNumId w:val="3"/>
  </w:num>
  <w:num w:numId="12" w16cid:durableId="1179198436">
    <w:abstractNumId w:val="2"/>
  </w:num>
  <w:num w:numId="13" w16cid:durableId="1368489857">
    <w:abstractNumId w:val="1"/>
  </w:num>
  <w:num w:numId="14" w16cid:durableId="421991604">
    <w:abstractNumId w:val="0"/>
  </w:num>
  <w:num w:numId="15" w16cid:durableId="1366902197">
    <w:abstractNumId w:val="16"/>
  </w:num>
  <w:num w:numId="16" w16cid:durableId="1744133761">
    <w:abstractNumId w:val="21"/>
  </w:num>
  <w:num w:numId="17" w16cid:durableId="38631683">
    <w:abstractNumId w:val="18"/>
  </w:num>
  <w:num w:numId="18" w16cid:durableId="425730553">
    <w:abstractNumId w:val="17"/>
  </w:num>
  <w:num w:numId="19" w16cid:durableId="1117405687">
    <w:abstractNumId w:val="12"/>
  </w:num>
  <w:num w:numId="20" w16cid:durableId="1924296233">
    <w:abstractNumId w:val="22"/>
  </w:num>
  <w:num w:numId="21" w16cid:durableId="1868448710">
    <w:abstractNumId w:val="15"/>
  </w:num>
  <w:num w:numId="22" w16cid:durableId="39329876">
    <w:abstractNumId w:val="11"/>
  </w:num>
  <w:num w:numId="23" w16cid:durableId="1513497644">
    <w:abstractNumId w:val="20"/>
  </w:num>
  <w:num w:numId="24" w16cid:durableId="642736346">
    <w:abstractNumId w:val="19"/>
  </w:num>
  <w:num w:numId="25" w16cid:durableId="25065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6882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6123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insDel="0" w:formatting="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D"/>
    <w:rsid w:val="00000E54"/>
    <w:rsid w:val="00002331"/>
    <w:rsid w:val="0000695D"/>
    <w:rsid w:val="00012D2F"/>
    <w:rsid w:val="000149E6"/>
    <w:rsid w:val="00016AF3"/>
    <w:rsid w:val="00017252"/>
    <w:rsid w:val="0001756E"/>
    <w:rsid w:val="000208C8"/>
    <w:rsid w:val="00021207"/>
    <w:rsid w:val="000247B0"/>
    <w:rsid w:val="00025CB8"/>
    <w:rsid w:val="00026997"/>
    <w:rsid w:val="00033E0B"/>
    <w:rsid w:val="00035EDE"/>
    <w:rsid w:val="000379C1"/>
    <w:rsid w:val="00040E1F"/>
    <w:rsid w:val="00042EEF"/>
    <w:rsid w:val="000447B2"/>
    <w:rsid w:val="000509B4"/>
    <w:rsid w:val="000514AD"/>
    <w:rsid w:val="00052ACE"/>
    <w:rsid w:val="00056B2C"/>
    <w:rsid w:val="00057DBA"/>
    <w:rsid w:val="0006035B"/>
    <w:rsid w:val="0007166E"/>
    <w:rsid w:val="00071886"/>
    <w:rsid w:val="000742BC"/>
    <w:rsid w:val="0007729A"/>
    <w:rsid w:val="0008041D"/>
    <w:rsid w:val="0008168A"/>
    <w:rsid w:val="00081DA0"/>
    <w:rsid w:val="00082A0C"/>
    <w:rsid w:val="00082DCD"/>
    <w:rsid w:val="00083504"/>
    <w:rsid w:val="00084E94"/>
    <w:rsid w:val="00086779"/>
    <w:rsid w:val="0008710B"/>
    <w:rsid w:val="0009640C"/>
    <w:rsid w:val="000A1D8A"/>
    <w:rsid w:val="000B21D5"/>
    <w:rsid w:val="000B22A2"/>
    <w:rsid w:val="000C2968"/>
    <w:rsid w:val="000C2A52"/>
    <w:rsid w:val="000C46A9"/>
    <w:rsid w:val="000D1328"/>
    <w:rsid w:val="000D1396"/>
    <w:rsid w:val="000D19EA"/>
    <w:rsid w:val="000D3327"/>
    <w:rsid w:val="000D33C0"/>
    <w:rsid w:val="000D5884"/>
    <w:rsid w:val="000D6941"/>
    <w:rsid w:val="000D71B6"/>
    <w:rsid w:val="000E0405"/>
    <w:rsid w:val="000E0C9C"/>
    <w:rsid w:val="000E2036"/>
    <w:rsid w:val="000F326F"/>
    <w:rsid w:val="000F4CDE"/>
    <w:rsid w:val="000F5EA5"/>
    <w:rsid w:val="000F6CCB"/>
    <w:rsid w:val="000F6CFF"/>
    <w:rsid w:val="000F7BAA"/>
    <w:rsid w:val="001108CA"/>
    <w:rsid w:val="00115F73"/>
    <w:rsid w:val="00120061"/>
    <w:rsid w:val="001202E3"/>
    <w:rsid w:val="00123699"/>
    <w:rsid w:val="001258B1"/>
    <w:rsid w:val="00126054"/>
    <w:rsid w:val="0012693C"/>
    <w:rsid w:val="00127E3D"/>
    <w:rsid w:val="0013059D"/>
    <w:rsid w:val="00131BD9"/>
    <w:rsid w:val="00132719"/>
    <w:rsid w:val="0013578C"/>
    <w:rsid w:val="0014083A"/>
    <w:rsid w:val="00141A55"/>
    <w:rsid w:val="00141F2F"/>
    <w:rsid w:val="001446A3"/>
    <w:rsid w:val="00155395"/>
    <w:rsid w:val="00160F28"/>
    <w:rsid w:val="00172E6C"/>
    <w:rsid w:val="00173D27"/>
    <w:rsid w:val="00174739"/>
    <w:rsid w:val="00175CFE"/>
    <w:rsid w:val="0018127C"/>
    <w:rsid w:val="00181EC8"/>
    <w:rsid w:val="00181FC0"/>
    <w:rsid w:val="00184349"/>
    <w:rsid w:val="0019161E"/>
    <w:rsid w:val="00191DED"/>
    <w:rsid w:val="00195F33"/>
    <w:rsid w:val="00197C63"/>
    <w:rsid w:val="001A5EE1"/>
    <w:rsid w:val="001A7FF9"/>
    <w:rsid w:val="001B0EF7"/>
    <w:rsid w:val="001B1617"/>
    <w:rsid w:val="001B4056"/>
    <w:rsid w:val="001B504B"/>
    <w:rsid w:val="001B7A63"/>
    <w:rsid w:val="001C29FC"/>
    <w:rsid w:val="001C47ED"/>
    <w:rsid w:val="001D2C3D"/>
    <w:rsid w:val="001D3874"/>
    <w:rsid w:val="001D3FAF"/>
    <w:rsid w:val="001D5344"/>
    <w:rsid w:val="001D69A0"/>
    <w:rsid w:val="001D7E75"/>
    <w:rsid w:val="001E0389"/>
    <w:rsid w:val="001E0BAF"/>
    <w:rsid w:val="001E1C20"/>
    <w:rsid w:val="001E22D1"/>
    <w:rsid w:val="001E56D2"/>
    <w:rsid w:val="001E60F5"/>
    <w:rsid w:val="001E7D56"/>
    <w:rsid w:val="001F671B"/>
    <w:rsid w:val="001F75DE"/>
    <w:rsid w:val="00200D58"/>
    <w:rsid w:val="002013BE"/>
    <w:rsid w:val="0020233A"/>
    <w:rsid w:val="0020458C"/>
    <w:rsid w:val="002045EC"/>
    <w:rsid w:val="00205669"/>
    <w:rsid w:val="00205EAB"/>
    <w:rsid w:val="002063A4"/>
    <w:rsid w:val="00206F97"/>
    <w:rsid w:val="0021145B"/>
    <w:rsid w:val="00213812"/>
    <w:rsid w:val="00214277"/>
    <w:rsid w:val="0021444D"/>
    <w:rsid w:val="00227165"/>
    <w:rsid w:val="0022762D"/>
    <w:rsid w:val="00232303"/>
    <w:rsid w:val="00232FF0"/>
    <w:rsid w:val="002347C2"/>
    <w:rsid w:val="00234806"/>
    <w:rsid w:val="002378D6"/>
    <w:rsid w:val="00240C2C"/>
    <w:rsid w:val="00243D36"/>
    <w:rsid w:val="00247707"/>
    <w:rsid w:val="00260532"/>
    <w:rsid w:val="00263171"/>
    <w:rsid w:val="0027098C"/>
    <w:rsid w:val="00276250"/>
    <w:rsid w:val="00277919"/>
    <w:rsid w:val="00286740"/>
    <w:rsid w:val="00287B42"/>
    <w:rsid w:val="002929D8"/>
    <w:rsid w:val="00292D55"/>
    <w:rsid w:val="002935C2"/>
    <w:rsid w:val="00296534"/>
    <w:rsid w:val="002A237D"/>
    <w:rsid w:val="002A4C53"/>
    <w:rsid w:val="002A6525"/>
    <w:rsid w:val="002B0672"/>
    <w:rsid w:val="002B1B4C"/>
    <w:rsid w:val="002B247F"/>
    <w:rsid w:val="002C0E3F"/>
    <w:rsid w:val="002C145D"/>
    <w:rsid w:val="002C2C3E"/>
    <w:rsid w:val="002C4969"/>
    <w:rsid w:val="002C533E"/>
    <w:rsid w:val="002C5525"/>
    <w:rsid w:val="002C6CEF"/>
    <w:rsid w:val="002D027F"/>
    <w:rsid w:val="002D2AD5"/>
    <w:rsid w:val="002D2C14"/>
    <w:rsid w:val="002D7A85"/>
    <w:rsid w:val="002D7B60"/>
    <w:rsid w:val="002E19D4"/>
    <w:rsid w:val="002E2EF9"/>
    <w:rsid w:val="002E3F08"/>
    <w:rsid w:val="002F0362"/>
    <w:rsid w:val="002F1EB1"/>
    <w:rsid w:val="002F2BAA"/>
    <w:rsid w:val="002F2E10"/>
    <w:rsid w:val="002F4350"/>
    <w:rsid w:val="002F4761"/>
    <w:rsid w:val="002F5C79"/>
    <w:rsid w:val="003019E2"/>
    <w:rsid w:val="00304779"/>
    <w:rsid w:val="003131C8"/>
    <w:rsid w:val="0031413F"/>
    <w:rsid w:val="003148BB"/>
    <w:rsid w:val="00317189"/>
    <w:rsid w:val="00317976"/>
    <w:rsid w:val="00323885"/>
    <w:rsid w:val="00325106"/>
    <w:rsid w:val="00325E93"/>
    <w:rsid w:val="00326ACD"/>
    <w:rsid w:val="0033133D"/>
    <w:rsid w:val="00331475"/>
    <w:rsid w:val="00344338"/>
    <w:rsid w:val="003455CF"/>
    <w:rsid w:val="00351A93"/>
    <w:rsid w:val="00355EA9"/>
    <w:rsid w:val="0035733E"/>
    <w:rsid w:val="003578DE"/>
    <w:rsid w:val="003636E1"/>
    <w:rsid w:val="00365F6B"/>
    <w:rsid w:val="00370BF9"/>
    <w:rsid w:val="00371340"/>
    <w:rsid w:val="0037156C"/>
    <w:rsid w:val="003749E5"/>
    <w:rsid w:val="003759E2"/>
    <w:rsid w:val="00377D5B"/>
    <w:rsid w:val="003830A1"/>
    <w:rsid w:val="00383EA5"/>
    <w:rsid w:val="00386999"/>
    <w:rsid w:val="00390145"/>
    <w:rsid w:val="003902EF"/>
    <w:rsid w:val="0039074D"/>
    <w:rsid w:val="00391ECE"/>
    <w:rsid w:val="00392C4E"/>
    <w:rsid w:val="00394379"/>
    <w:rsid w:val="0039572F"/>
    <w:rsid w:val="00396257"/>
    <w:rsid w:val="00397EB8"/>
    <w:rsid w:val="003A07AB"/>
    <w:rsid w:val="003A086E"/>
    <w:rsid w:val="003A37B8"/>
    <w:rsid w:val="003A4FD0"/>
    <w:rsid w:val="003A69D1"/>
    <w:rsid w:val="003A7705"/>
    <w:rsid w:val="003B1545"/>
    <w:rsid w:val="003B3A92"/>
    <w:rsid w:val="003C035E"/>
    <w:rsid w:val="003C0CEB"/>
    <w:rsid w:val="003C3267"/>
    <w:rsid w:val="003C34F7"/>
    <w:rsid w:val="003C409D"/>
    <w:rsid w:val="003C5BA6"/>
    <w:rsid w:val="003D47F8"/>
    <w:rsid w:val="003E3D43"/>
    <w:rsid w:val="003E6F9A"/>
    <w:rsid w:val="003E73D6"/>
    <w:rsid w:val="003F0E85"/>
    <w:rsid w:val="003F49E9"/>
    <w:rsid w:val="003F7842"/>
    <w:rsid w:val="00404CB5"/>
    <w:rsid w:val="00404D00"/>
    <w:rsid w:val="00405251"/>
    <w:rsid w:val="00410C55"/>
    <w:rsid w:val="0041604D"/>
    <w:rsid w:val="00416854"/>
    <w:rsid w:val="00417725"/>
    <w:rsid w:val="0041779A"/>
    <w:rsid w:val="00417B99"/>
    <w:rsid w:val="004221DA"/>
    <w:rsid w:val="00423E48"/>
    <w:rsid w:val="004243EA"/>
    <w:rsid w:val="004255AE"/>
    <w:rsid w:val="00430EB7"/>
    <w:rsid w:val="00437F26"/>
    <w:rsid w:val="00440DA2"/>
    <w:rsid w:val="00444097"/>
    <w:rsid w:val="00445487"/>
    <w:rsid w:val="00451B92"/>
    <w:rsid w:val="00452BD4"/>
    <w:rsid w:val="00453819"/>
    <w:rsid w:val="00454769"/>
    <w:rsid w:val="00456D58"/>
    <w:rsid w:val="004629DD"/>
    <w:rsid w:val="00466991"/>
    <w:rsid w:val="0047064C"/>
    <w:rsid w:val="00472F6C"/>
    <w:rsid w:val="00473387"/>
    <w:rsid w:val="00474D90"/>
    <w:rsid w:val="00477ACF"/>
    <w:rsid w:val="00477AFF"/>
    <w:rsid w:val="00481F0B"/>
    <w:rsid w:val="00486A5B"/>
    <w:rsid w:val="00493CFE"/>
    <w:rsid w:val="00495BFE"/>
    <w:rsid w:val="004A42E1"/>
    <w:rsid w:val="004B162C"/>
    <w:rsid w:val="004C3DBE"/>
    <w:rsid w:val="004C51C1"/>
    <w:rsid w:val="004C5C96"/>
    <w:rsid w:val="004D06A4"/>
    <w:rsid w:val="004D5FDF"/>
    <w:rsid w:val="004D60EA"/>
    <w:rsid w:val="004E59D4"/>
    <w:rsid w:val="004E79AC"/>
    <w:rsid w:val="004F1A81"/>
    <w:rsid w:val="004F487E"/>
    <w:rsid w:val="004F776E"/>
    <w:rsid w:val="0050252D"/>
    <w:rsid w:val="00503A1A"/>
    <w:rsid w:val="005218D9"/>
    <w:rsid w:val="00524EAA"/>
    <w:rsid w:val="005303EF"/>
    <w:rsid w:val="005329CB"/>
    <w:rsid w:val="00532E47"/>
    <w:rsid w:val="00536186"/>
    <w:rsid w:val="00536826"/>
    <w:rsid w:val="00540014"/>
    <w:rsid w:val="00544CBB"/>
    <w:rsid w:val="00546EB1"/>
    <w:rsid w:val="00550518"/>
    <w:rsid w:val="00552CD6"/>
    <w:rsid w:val="00562F0F"/>
    <w:rsid w:val="00565BBE"/>
    <w:rsid w:val="0057315F"/>
    <w:rsid w:val="0057472C"/>
    <w:rsid w:val="00575DF1"/>
    <w:rsid w:val="0057609F"/>
    <w:rsid w:val="00576104"/>
    <w:rsid w:val="005940BC"/>
    <w:rsid w:val="0059491D"/>
    <w:rsid w:val="00594BA0"/>
    <w:rsid w:val="00597F5B"/>
    <w:rsid w:val="005A4479"/>
    <w:rsid w:val="005A467E"/>
    <w:rsid w:val="005B15A3"/>
    <w:rsid w:val="005C4C53"/>
    <w:rsid w:val="005C67C8"/>
    <w:rsid w:val="005D0249"/>
    <w:rsid w:val="005D1EA2"/>
    <w:rsid w:val="005D272F"/>
    <w:rsid w:val="005D28B2"/>
    <w:rsid w:val="005D6E8C"/>
    <w:rsid w:val="005E7438"/>
    <w:rsid w:val="005F100C"/>
    <w:rsid w:val="005F68DA"/>
    <w:rsid w:val="005F75E6"/>
    <w:rsid w:val="006014DD"/>
    <w:rsid w:val="006031BC"/>
    <w:rsid w:val="0060719A"/>
    <w:rsid w:val="0060773B"/>
    <w:rsid w:val="00607D94"/>
    <w:rsid w:val="00614862"/>
    <w:rsid w:val="006157B5"/>
    <w:rsid w:val="0061610F"/>
    <w:rsid w:val="00621A7C"/>
    <w:rsid w:val="00626FC6"/>
    <w:rsid w:val="006303B4"/>
    <w:rsid w:val="00633CEB"/>
    <w:rsid w:val="00633D3D"/>
    <w:rsid w:val="00633F3A"/>
    <w:rsid w:val="00634092"/>
    <w:rsid w:val="006400C9"/>
    <w:rsid w:val="00640948"/>
    <w:rsid w:val="0064103D"/>
    <w:rsid w:val="00641703"/>
    <w:rsid w:val="006425F3"/>
    <w:rsid w:val="006431A6"/>
    <w:rsid w:val="006459F6"/>
    <w:rsid w:val="00645FA1"/>
    <w:rsid w:val="00647E0E"/>
    <w:rsid w:val="006501AD"/>
    <w:rsid w:val="00651BFA"/>
    <w:rsid w:val="006533B3"/>
    <w:rsid w:val="006541B6"/>
    <w:rsid w:val="00654383"/>
    <w:rsid w:val="00663A80"/>
    <w:rsid w:val="00665A4B"/>
    <w:rsid w:val="006731FE"/>
    <w:rsid w:val="00675F1D"/>
    <w:rsid w:val="00681D77"/>
    <w:rsid w:val="00692E2A"/>
    <w:rsid w:val="006A38BB"/>
    <w:rsid w:val="006A39C5"/>
    <w:rsid w:val="006A76F2"/>
    <w:rsid w:val="006B0EE5"/>
    <w:rsid w:val="006C3DDA"/>
    <w:rsid w:val="006C6486"/>
    <w:rsid w:val="006D3277"/>
    <w:rsid w:val="006D342A"/>
    <w:rsid w:val="006D7139"/>
    <w:rsid w:val="006D7EFB"/>
    <w:rsid w:val="006E5C4B"/>
    <w:rsid w:val="006E6672"/>
    <w:rsid w:val="006E6722"/>
    <w:rsid w:val="006F10F1"/>
    <w:rsid w:val="007027B9"/>
    <w:rsid w:val="00707C01"/>
    <w:rsid w:val="00713D8F"/>
    <w:rsid w:val="00715E88"/>
    <w:rsid w:val="00723B2C"/>
    <w:rsid w:val="0072508B"/>
    <w:rsid w:val="00732257"/>
    <w:rsid w:val="007327B9"/>
    <w:rsid w:val="00734CAA"/>
    <w:rsid w:val="00736583"/>
    <w:rsid w:val="00746857"/>
    <w:rsid w:val="00747157"/>
    <w:rsid w:val="007538ED"/>
    <w:rsid w:val="0075473A"/>
    <w:rsid w:val="00754C35"/>
    <w:rsid w:val="00755106"/>
    <w:rsid w:val="0075533C"/>
    <w:rsid w:val="00755ABF"/>
    <w:rsid w:val="00757581"/>
    <w:rsid w:val="007611A0"/>
    <w:rsid w:val="007658A0"/>
    <w:rsid w:val="007707A6"/>
    <w:rsid w:val="00771992"/>
    <w:rsid w:val="00777A07"/>
    <w:rsid w:val="007836EB"/>
    <w:rsid w:val="00783907"/>
    <w:rsid w:val="00786952"/>
    <w:rsid w:val="00791988"/>
    <w:rsid w:val="00792EFC"/>
    <w:rsid w:val="007947AB"/>
    <w:rsid w:val="00795167"/>
    <w:rsid w:val="00796D3F"/>
    <w:rsid w:val="00797CE8"/>
    <w:rsid w:val="007A1683"/>
    <w:rsid w:val="007A289A"/>
    <w:rsid w:val="007A3330"/>
    <w:rsid w:val="007A36F8"/>
    <w:rsid w:val="007A5C12"/>
    <w:rsid w:val="007A68D4"/>
    <w:rsid w:val="007A7CB0"/>
    <w:rsid w:val="007B1CF4"/>
    <w:rsid w:val="007B2347"/>
    <w:rsid w:val="007B26AD"/>
    <w:rsid w:val="007B2ABB"/>
    <w:rsid w:val="007B628D"/>
    <w:rsid w:val="007B68A3"/>
    <w:rsid w:val="007C2541"/>
    <w:rsid w:val="007C5B52"/>
    <w:rsid w:val="007D5637"/>
    <w:rsid w:val="007D66A8"/>
    <w:rsid w:val="007D773D"/>
    <w:rsid w:val="007D7DAE"/>
    <w:rsid w:val="007E003F"/>
    <w:rsid w:val="007E1245"/>
    <w:rsid w:val="007E4C83"/>
    <w:rsid w:val="007F5FA6"/>
    <w:rsid w:val="00800ED0"/>
    <w:rsid w:val="00802E72"/>
    <w:rsid w:val="00804101"/>
    <w:rsid w:val="00805853"/>
    <w:rsid w:val="00805F1D"/>
    <w:rsid w:val="008164F2"/>
    <w:rsid w:val="008165E7"/>
    <w:rsid w:val="0081704A"/>
    <w:rsid w:val="00821395"/>
    <w:rsid w:val="00830E26"/>
    <w:rsid w:val="00832901"/>
    <w:rsid w:val="00843576"/>
    <w:rsid w:val="00843B64"/>
    <w:rsid w:val="008470BD"/>
    <w:rsid w:val="008478FC"/>
    <w:rsid w:val="00851944"/>
    <w:rsid w:val="0085320E"/>
    <w:rsid w:val="00854928"/>
    <w:rsid w:val="00861AFA"/>
    <w:rsid w:val="0086759F"/>
    <w:rsid w:val="00867BFF"/>
    <w:rsid w:val="008755CC"/>
    <w:rsid w:val="0088480A"/>
    <w:rsid w:val="00884960"/>
    <w:rsid w:val="00885E13"/>
    <w:rsid w:val="0088757A"/>
    <w:rsid w:val="008902D4"/>
    <w:rsid w:val="008911C7"/>
    <w:rsid w:val="008957DD"/>
    <w:rsid w:val="00896EAC"/>
    <w:rsid w:val="00897D98"/>
    <w:rsid w:val="008A26B4"/>
    <w:rsid w:val="008A5985"/>
    <w:rsid w:val="008A6DF2"/>
    <w:rsid w:val="008A7807"/>
    <w:rsid w:val="008B0D6B"/>
    <w:rsid w:val="008B3832"/>
    <w:rsid w:val="008B4CC9"/>
    <w:rsid w:val="008C13F0"/>
    <w:rsid w:val="008C1B8B"/>
    <w:rsid w:val="008C3D25"/>
    <w:rsid w:val="008D093A"/>
    <w:rsid w:val="008D3032"/>
    <w:rsid w:val="008D35EE"/>
    <w:rsid w:val="008D3AE0"/>
    <w:rsid w:val="008D7C99"/>
    <w:rsid w:val="008E0FCB"/>
    <w:rsid w:val="008E650A"/>
    <w:rsid w:val="00901CAC"/>
    <w:rsid w:val="00907D78"/>
    <w:rsid w:val="00913C90"/>
    <w:rsid w:val="0091754B"/>
    <w:rsid w:val="00917DA1"/>
    <w:rsid w:val="0092178C"/>
    <w:rsid w:val="00923F43"/>
    <w:rsid w:val="009240DC"/>
    <w:rsid w:val="0092493F"/>
    <w:rsid w:val="0092553F"/>
    <w:rsid w:val="009268EA"/>
    <w:rsid w:val="00930B88"/>
    <w:rsid w:val="009369F4"/>
    <w:rsid w:val="009378DC"/>
    <w:rsid w:val="00940DCC"/>
    <w:rsid w:val="0094179A"/>
    <w:rsid w:val="00941C51"/>
    <w:rsid w:val="0094459E"/>
    <w:rsid w:val="00944DBC"/>
    <w:rsid w:val="0094529B"/>
    <w:rsid w:val="00950977"/>
    <w:rsid w:val="009516A3"/>
    <w:rsid w:val="00951A7B"/>
    <w:rsid w:val="009540EC"/>
    <w:rsid w:val="0095552F"/>
    <w:rsid w:val="00956274"/>
    <w:rsid w:val="009564A6"/>
    <w:rsid w:val="00957B5D"/>
    <w:rsid w:val="00961A33"/>
    <w:rsid w:val="009628B9"/>
    <w:rsid w:val="00962A17"/>
    <w:rsid w:val="00962EF0"/>
    <w:rsid w:val="00967621"/>
    <w:rsid w:val="00967E6A"/>
    <w:rsid w:val="0097296F"/>
    <w:rsid w:val="009741ED"/>
    <w:rsid w:val="00974353"/>
    <w:rsid w:val="00976905"/>
    <w:rsid w:val="00980797"/>
    <w:rsid w:val="00980F31"/>
    <w:rsid w:val="00983F87"/>
    <w:rsid w:val="009935AC"/>
    <w:rsid w:val="009A6054"/>
    <w:rsid w:val="009B1356"/>
    <w:rsid w:val="009B4A0F"/>
    <w:rsid w:val="009B686D"/>
    <w:rsid w:val="009C0FEC"/>
    <w:rsid w:val="009C11D2"/>
    <w:rsid w:val="009C4697"/>
    <w:rsid w:val="009C6C70"/>
    <w:rsid w:val="009D0922"/>
    <w:rsid w:val="009D0B63"/>
    <w:rsid w:val="009E1A50"/>
    <w:rsid w:val="009E307E"/>
    <w:rsid w:val="009E47E3"/>
    <w:rsid w:val="009E53FD"/>
    <w:rsid w:val="009E6418"/>
    <w:rsid w:val="009F22EA"/>
    <w:rsid w:val="00A00CDC"/>
    <w:rsid w:val="00A03A4A"/>
    <w:rsid w:val="00A07870"/>
    <w:rsid w:val="00A07F19"/>
    <w:rsid w:val="00A129F5"/>
    <w:rsid w:val="00A13346"/>
    <w:rsid w:val="00A1348D"/>
    <w:rsid w:val="00A142D1"/>
    <w:rsid w:val="00A1489E"/>
    <w:rsid w:val="00A232EE"/>
    <w:rsid w:val="00A25BEF"/>
    <w:rsid w:val="00A373DD"/>
    <w:rsid w:val="00A414DF"/>
    <w:rsid w:val="00A4175F"/>
    <w:rsid w:val="00A44411"/>
    <w:rsid w:val="00A469FA"/>
    <w:rsid w:val="00A50E94"/>
    <w:rsid w:val="00A5159E"/>
    <w:rsid w:val="00A53E63"/>
    <w:rsid w:val="00A55B01"/>
    <w:rsid w:val="00A56B5B"/>
    <w:rsid w:val="00A57F4B"/>
    <w:rsid w:val="00A603FF"/>
    <w:rsid w:val="00A6333B"/>
    <w:rsid w:val="00A657DD"/>
    <w:rsid w:val="00A666A6"/>
    <w:rsid w:val="00A675FD"/>
    <w:rsid w:val="00A7241E"/>
    <w:rsid w:val="00A72437"/>
    <w:rsid w:val="00A74C11"/>
    <w:rsid w:val="00A80611"/>
    <w:rsid w:val="00A84B15"/>
    <w:rsid w:val="00A87016"/>
    <w:rsid w:val="00AA5E85"/>
    <w:rsid w:val="00AB1F69"/>
    <w:rsid w:val="00AB2B42"/>
    <w:rsid w:val="00AB5340"/>
    <w:rsid w:val="00AC010E"/>
    <w:rsid w:val="00AC01CC"/>
    <w:rsid w:val="00AC16B8"/>
    <w:rsid w:val="00AC3194"/>
    <w:rsid w:val="00AC5E98"/>
    <w:rsid w:val="00AC7C96"/>
    <w:rsid w:val="00AD1333"/>
    <w:rsid w:val="00AD458A"/>
    <w:rsid w:val="00AE0DBD"/>
    <w:rsid w:val="00AE237D"/>
    <w:rsid w:val="00AE2A3D"/>
    <w:rsid w:val="00AE502A"/>
    <w:rsid w:val="00AF0DF7"/>
    <w:rsid w:val="00AF4B9B"/>
    <w:rsid w:val="00AF5325"/>
    <w:rsid w:val="00AF6746"/>
    <w:rsid w:val="00AF7C07"/>
    <w:rsid w:val="00B02C68"/>
    <w:rsid w:val="00B06C9B"/>
    <w:rsid w:val="00B166F8"/>
    <w:rsid w:val="00B22C66"/>
    <w:rsid w:val="00B22C93"/>
    <w:rsid w:val="00B248C3"/>
    <w:rsid w:val="00B24ACF"/>
    <w:rsid w:val="00B27589"/>
    <w:rsid w:val="00B33238"/>
    <w:rsid w:val="00B36178"/>
    <w:rsid w:val="00B37EF9"/>
    <w:rsid w:val="00B405B7"/>
    <w:rsid w:val="00B45E6D"/>
    <w:rsid w:val="00B47F28"/>
    <w:rsid w:val="00B52222"/>
    <w:rsid w:val="00B523A2"/>
    <w:rsid w:val="00B53412"/>
    <w:rsid w:val="00B54FE7"/>
    <w:rsid w:val="00B570E5"/>
    <w:rsid w:val="00B57C47"/>
    <w:rsid w:val="00B61749"/>
    <w:rsid w:val="00B62C71"/>
    <w:rsid w:val="00B66901"/>
    <w:rsid w:val="00B67ADE"/>
    <w:rsid w:val="00B707BA"/>
    <w:rsid w:val="00B71E6D"/>
    <w:rsid w:val="00B72070"/>
    <w:rsid w:val="00B779E1"/>
    <w:rsid w:val="00B80FB6"/>
    <w:rsid w:val="00B859A3"/>
    <w:rsid w:val="00B91EE1"/>
    <w:rsid w:val="00B93254"/>
    <w:rsid w:val="00BA0090"/>
    <w:rsid w:val="00BA1A67"/>
    <w:rsid w:val="00BA3DE2"/>
    <w:rsid w:val="00BB24F4"/>
    <w:rsid w:val="00BB49DE"/>
    <w:rsid w:val="00BB6B7F"/>
    <w:rsid w:val="00BB6F61"/>
    <w:rsid w:val="00BC07FE"/>
    <w:rsid w:val="00BC60FF"/>
    <w:rsid w:val="00BC7F02"/>
    <w:rsid w:val="00BD0163"/>
    <w:rsid w:val="00BD09A9"/>
    <w:rsid w:val="00BD159E"/>
    <w:rsid w:val="00BD1FC2"/>
    <w:rsid w:val="00BD5FA2"/>
    <w:rsid w:val="00BE5B5F"/>
    <w:rsid w:val="00BE6BA5"/>
    <w:rsid w:val="00BF020B"/>
    <w:rsid w:val="00BF5E28"/>
    <w:rsid w:val="00C0564A"/>
    <w:rsid w:val="00C26F55"/>
    <w:rsid w:val="00C26F73"/>
    <w:rsid w:val="00C30C63"/>
    <w:rsid w:val="00C32B37"/>
    <w:rsid w:val="00C36B8B"/>
    <w:rsid w:val="00C403FD"/>
    <w:rsid w:val="00C47DBF"/>
    <w:rsid w:val="00C50EBC"/>
    <w:rsid w:val="00C53666"/>
    <w:rsid w:val="00C552FF"/>
    <w:rsid w:val="00C558DA"/>
    <w:rsid w:val="00C55AF3"/>
    <w:rsid w:val="00C605CA"/>
    <w:rsid w:val="00C60713"/>
    <w:rsid w:val="00C60CC5"/>
    <w:rsid w:val="00C709F8"/>
    <w:rsid w:val="00C70B49"/>
    <w:rsid w:val="00C7420B"/>
    <w:rsid w:val="00C75C7C"/>
    <w:rsid w:val="00C77897"/>
    <w:rsid w:val="00C80374"/>
    <w:rsid w:val="00C81951"/>
    <w:rsid w:val="00C83A8F"/>
    <w:rsid w:val="00C84759"/>
    <w:rsid w:val="00C870F0"/>
    <w:rsid w:val="00C8748D"/>
    <w:rsid w:val="00C9104E"/>
    <w:rsid w:val="00C9482C"/>
    <w:rsid w:val="00C97578"/>
    <w:rsid w:val="00CA6C7F"/>
    <w:rsid w:val="00CA78AF"/>
    <w:rsid w:val="00CB6F7A"/>
    <w:rsid w:val="00CB6F8C"/>
    <w:rsid w:val="00CC0260"/>
    <w:rsid w:val="00CC10A6"/>
    <w:rsid w:val="00CC127A"/>
    <w:rsid w:val="00CC2689"/>
    <w:rsid w:val="00CD222B"/>
    <w:rsid w:val="00CD579A"/>
    <w:rsid w:val="00CD59C0"/>
    <w:rsid w:val="00CD5EB8"/>
    <w:rsid w:val="00CD6797"/>
    <w:rsid w:val="00CD6AC7"/>
    <w:rsid w:val="00CD6C5D"/>
    <w:rsid w:val="00CD7044"/>
    <w:rsid w:val="00CE08B9"/>
    <w:rsid w:val="00CE524C"/>
    <w:rsid w:val="00CE70DD"/>
    <w:rsid w:val="00CF141F"/>
    <w:rsid w:val="00CF4777"/>
    <w:rsid w:val="00CF5AF8"/>
    <w:rsid w:val="00D067BB"/>
    <w:rsid w:val="00D070CC"/>
    <w:rsid w:val="00D0727B"/>
    <w:rsid w:val="00D1352A"/>
    <w:rsid w:val="00D13EDE"/>
    <w:rsid w:val="00D169AF"/>
    <w:rsid w:val="00D2270E"/>
    <w:rsid w:val="00D231FB"/>
    <w:rsid w:val="00D25249"/>
    <w:rsid w:val="00D255A7"/>
    <w:rsid w:val="00D34B35"/>
    <w:rsid w:val="00D35460"/>
    <w:rsid w:val="00D40054"/>
    <w:rsid w:val="00D44172"/>
    <w:rsid w:val="00D44999"/>
    <w:rsid w:val="00D526D8"/>
    <w:rsid w:val="00D619B2"/>
    <w:rsid w:val="00D61EC6"/>
    <w:rsid w:val="00D63B8C"/>
    <w:rsid w:val="00D655ED"/>
    <w:rsid w:val="00D712FD"/>
    <w:rsid w:val="00D72B72"/>
    <w:rsid w:val="00D72CB6"/>
    <w:rsid w:val="00D739CC"/>
    <w:rsid w:val="00D751C6"/>
    <w:rsid w:val="00D8093D"/>
    <w:rsid w:val="00D8108C"/>
    <w:rsid w:val="00D842AE"/>
    <w:rsid w:val="00D8730D"/>
    <w:rsid w:val="00D905B6"/>
    <w:rsid w:val="00D9211C"/>
    <w:rsid w:val="00D92DE0"/>
    <w:rsid w:val="00D92FEF"/>
    <w:rsid w:val="00D93A0F"/>
    <w:rsid w:val="00DA1BCA"/>
    <w:rsid w:val="00DA3C8A"/>
    <w:rsid w:val="00DA3FFA"/>
    <w:rsid w:val="00DA7299"/>
    <w:rsid w:val="00DB36B7"/>
    <w:rsid w:val="00DB3E23"/>
    <w:rsid w:val="00DB5190"/>
    <w:rsid w:val="00DB57B6"/>
    <w:rsid w:val="00DB6E3E"/>
    <w:rsid w:val="00DC46FF"/>
    <w:rsid w:val="00DC5254"/>
    <w:rsid w:val="00DD16A8"/>
    <w:rsid w:val="00DD1A4F"/>
    <w:rsid w:val="00DD253B"/>
    <w:rsid w:val="00DD2EDF"/>
    <w:rsid w:val="00DD3107"/>
    <w:rsid w:val="00DD33A9"/>
    <w:rsid w:val="00DD5EFF"/>
    <w:rsid w:val="00DD7C2C"/>
    <w:rsid w:val="00DE09B4"/>
    <w:rsid w:val="00DE6E55"/>
    <w:rsid w:val="00DF5660"/>
    <w:rsid w:val="00E01C38"/>
    <w:rsid w:val="00E0574F"/>
    <w:rsid w:val="00E06797"/>
    <w:rsid w:val="00E10E17"/>
    <w:rsid w:val="00E11F2F"/>
    <w:rsid w:val="00E122BC"/>
    <w:rsid w:val="00E1265B"/>
    <w:rsid w:val="00E13B48"/>
    <w:rsid w:val="00E1404F"/>
    <w:rsid w:val="00E15742"/>
    <w:rsid w:val="00E168BF"/>
    <w:rsid w:val="00E212EF"/>
    <w:rsid w:val="00E21C83"/>
    <w:rsid w:val="00E21F1F"/>
    <w:rsid w:val="00E24ADA"/>
    <w:rsid w:val="00E25545"/>
    <w:rsid w:val="00E256F6"/>
    <w:rsid w:val="00E277E3"/>
    <w:rsid w:val="00E32F59"/>
    <w:rsid w:val="00E3372B"/>
    <w:rsid w:val="00E34868"/>
    <w:rsid w:val="00E36107"/>
    <w:rsid w:val="00E362C6"/>
    <w:rsid w:val="00E37F15"/>
    <w:rsid w:val="00E43313"/>
    <w:rsid w:val="00E43635"/>
    <w:rsid w:val="00E440CD"/>
    <w:rsid w:val="00E46D9A"/>
    <w:rsid w:val="00E509D1"/>
    <w:rsid w:val="00E565FF"/>
    <w:rsid w:val="00E600D6"/>
    <w:rsid w:val="00E62393"/>
    <w:rsid w:val="00E636B7"/>
    <w:rsid w:val="00E63C75"/>
    <w:rsid w:val="00E6486C"/>
    <w:rsid w:val="00E65388"/>
    <w:rsid w:val="00E67833"/>
    <w:rsid w:val="00E72AA9"/>
    <w:rsid w:val="00E74ACB"/>
    <w:rsid w:val="00E8386B"/>
    <w:rsid w:val="00E85536"/>
    <w:rsid w:val="00E85B7D"/>
    <w:rsid w:val="00E9121B"/>
    <w:rsid w:val="00E91E5F"/>
    <w:rsid w:val="00E94B48"/>
    <w:rsid w:val="00E95E52"/>
    <w:rsid w:val="00E96614"/>
    <w:rsid w:val="00EA0AE2"/>
    <w:rsid w:val="00EA27AF"/>
    <w:rsid w:val="00EA292F"/>
    <w:rsid w:val="00EA39E5"/>
    <w:rsid w:val="00EB2F87"/>
    <w:rsid w:val="00EB3106"/>
    <w:rsid w:val="00EC5A46"/>
    <w:rsid w:val="00EC63E2"/>
    <w:rsid w:val="00EC7EF7"/>
    <w:rsid w:val="00ED0087"/>
    <w:rsid w:val="00ED1F3E"/>
    <w:rsid w:val="00ED31A9"/>
    <w:rsid w:val="00EE1BA8"/>
    <w:rsid w:val="00EE1E98"/>
    <w:rsid w:val="00EE397B"/>
    <w:rsid w:val="00EE4483"/>
    <w:rsid w:val="00EE5261"/>
    <w:rsid w:val="00EE6135"/>
    <w:rsid w:val="00EF22B3"/>
    <w:rsid w:val="00EF469A"/>
    <w:rsid w:val="00EF4C57"/>
    <w:rsid w:val="00EF4F27"/>
    <w:rsid w:val="00F03B69"/>
    <w:rsid w:val="00F04B3C"/>
    <w:rsid w:val="00F07A50"/>
    <w:rsid w:val="00F10497"/>
    <w:rsid w:val="00F113DA"/>
    <w:rsid w:val="00F1225B"/>
    <w:rsid w:val="00F12749"/>
    <w:rsid w:val="00F16965"/>
    <w:rsid w:val="00F20522"/>
    <w:rsid w:val="00F217E6"/>
    <w:rsid w:val="00F23184"/>
    <w:rsid w:val="00F25B3A"/>
    <w:rsid w:val="00F25F15"/>
    <w:rsid w:val="00F260BC"/>
    <w:rsid w:val="00F26CEF"/>
    <w:rsid w:val="00F319FC"/>
    <w:rsid w:val="00F37DC8"/>
    <w:rsid w:val="00F40AF8"/>
    <w:rsid w:val="00F41375"/>
    <w:rsid w:val="00F439B3"/>
    <w:rsid w:val="00F43A98"/>
    <w:rsid w:val="00F44986"/>
    <w:rsid w:val="00F45AA8"/>
    <w:rsid w:val="00F502DD"/>
    <w:rsid w:val="00F511D5"/>
    <w:rsid w:val="00F52A1B"/>
    <w:rsid w:val="00F54B70"/>
    <w:rsid w:val="00F56759"/>
    <w:rsid w:val="00F60180"/>
    <w:rsid w:val="00F60A99"/>
    <w:rsid w:val="00F63650"/>
    <w:rsid w:val="00F638FC"/>
    <w:rsid w:val="00F650C3"/>
    <w:rsid w:val="00F65D85"/>
    <w:rsid w:val="00F67342"/>
    <w:rsid w:val="00F7203C"/>
    <w:rsid w:val="00F75453"/>
    <w:rsid w:val="00F77285"/>
    <w:rsid w:val="00F8091E"/>
    <w:rsid w:val="00F80F0E"/>
    <w:rsid w:val="00F82692"/>
    <w:rsid w:val="00F8615C"/>
    <w:rsid w:val="00F969E5"/>
    <w:rsid w:val="00F97AEE"/>
    <w:rsid w:val="00F97E54"/>
    <w:rsid w:val="00FA1C95"/>
    <w:rsid w:val="00FA6BB0"/>
    <w:rsid w:val="00FA758A"/>
    <w:rsid w:val="00FA7926"/>
    <w:rsid w:val="00FB1DFB"/>
    <w:rsid w:val="00FB2DB4"/>
    <w:rsid w:val="00FC0FCC"/>
    <w:rsid w:val="00FD03CB"/>
    <w:rsid w:val="00FD2D77"/>
    <w:rsid w:val="00FD5860"/>
    <w:rsid w:val="00FE033E"/>
    <w:rsid w:val="00FE2088"/>
    <w:rsid w:val="00FE352D"/>
    <w:rsid w:val="00FE40EB"/>
    <w:rsid w:val="00FE4D02"/>
    <w:rsid w:val="00FE51C9"/>
    <w:rsid w:val="00FE7B2F"/>
    <w:rsid w:val="00FE7D62"/>
    <w:rsid w:val="00FF26EC"/>
    <w:rsid w:val="00FF2ACC"/>
    <w:rsid w:val="00FF3819"/>
    <w:rsid w:val="0F61EA0D"/>
    <w:rsid w:val="0FB57DB9"/>
    <w:rsid w:val="1584FFE9"/>
    <w:rsid w:val="1B01884D"/>
    <w:rsid w:val="24C917B8"/>
    <w:rsid w:val="2D6AEC4E"/>
    <w:rsid w:val="38F8DDC3"/>
    <w:rsid w:val="3A207628"/>
    <w:rsid w:val="3FFA4A82"/>
    <w:rsid w:val="4A1BD7F0"/>
    <w:rsid w:val="4EA37A85"/>
    <w:rsid w:val="59BB6CAF"/>
    <w:rsid w:val="6018D937"/>
    <w:rsid w:val="61CCC638"/>
    <w:rsid w:val="6672136B"/>
    <w:rsid w:val="6853D889"/>
    <w:rsid w:val="6C209A9E"/>
    <w:rsid w:val="716761DF"/>
    <w:rsid w:val="769512DA"/>
    <w:rsid w:val="78F33E48"/>
    <w:rsid w:val="7E3F137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D0427"/>
  <w15:chartTrackingRefBased/>
  <w15:docId w15:val="{9E1598A9-1850-48CD-BF9B-F4AEE62C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E3F08"/>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2E3F08"/>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2E3F08"/>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2E3F08"/>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2E3F08"/>
    <w:pPr>
      <w:numPr>
        <w:numId w:val="27"/>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2E3F08"/>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2E3F08"/>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2E3F08"/>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2E3F08"/>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2E3F08"/>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E3F08"/>
    <w:rPr>
      <w:rFonts w:ascii="Times New Roman" w:hAnsi="Times New Roman"/>
      <w:b/>
      <w:sz w:val="18"/>
      <w:lang w:val="fr-FR"/>
    </w:rPr>
  </w:style>
  <w:style w:type="table" w:customStyle="1" w:styleId="Tabledocright">
    <w:name w:val="Table_doc_right"/>
    <w:basedOn w:val="TableNormal"/>
    <w:rsid w:val="002E3F0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E3F08"/>
    <w:pPr>
      <w:ind w:left="1000"/>
    </w:pPr>
    <w:rPr>
      <w:sz w:val="18"/>
      <w:szCs w:val="18"/>
    </w:rPr>
  </w:style>
  <w:style w:type="paragraph" w:styleId="TOC7">
    <w:name w:val="toc 7"/>
    <w:basedOn w:val="Normal"/>
    <w:next w:val="Normal"/>
    <w:autoRedefine/>
    <w:semiHidden/>
    <w:rsid w:val="002E3F08"/>
    <w:pPr>
      <w:ind w:left="1200"/>
    </w:pPr>
    <w:rPr>
      <w:sz w:val="18"/>
      <w:szCs w:val="18"/>
    </w:rPr>
  </w:style>
  <w:style w:type="paragraph" w:styleId="TOC8">
    <w:name w:val="toc 8"/>
    <w:basedOn w:val="Normal"/>
    <w:next w:val="Normal"/>
    <w:autoRedefine/>
    <w:semiHidden/>
    <w:rsid w:val="002E3F08"/>
    <w:pPr>
      <w:ind w:left="1400"/>
    </w:pPr>
    <w:rPr>
      <w:sz w:val="18"/>
      <w:szCs w:val="18"/>
    </w:rPr>
  </w:style>
  <w:style w:type="paragraph" w:styleId="TOC9">
    <w:name w:val="toc 9"/>
    <w:basedOn w:val="Normal"/>
    <w:next w:val="Normal"/>
    <w:autoRedefine/>
    <w:semiHidden/>
    <w:rsid w:val="002E3F08"/>
    <w:pPr>
      <w:ind w:left="1600"/>
    </w:pPr>
    <w:rPr>
      <w:sz w:val="18"/>
      <w:szCs w:val="18"/>
    </w:rPr>
  </w:style>
  <w:style w:type="paragraph" w:customStyle="1" w:styleId="Titlefigure">
    <w:name w:val="Title_figure"/>
    <w:basedOn w:val="Titletable"/>
    <w:next w:val="NormalNonumber"/>
    <w:rsid w:val="002E3F08"/>
    <w:rPr>
      <w:bCs w:val="0"/>
    </w:rPr>
  </w:style>
  <w:style w:type="paragraph" w:styleId="TableofFigures">
    <w:name w:val="table of figures"/>
    <w:basedOn w:val="Normal"/>
    <w:next w:val="Normal"/>
    <w:autoRedefine/>
    <w:semiHidden/>
    <w:rsid w:val="002E3F08"/>
    <w:pPr>
      <w:ind w:left="1814" w:hanging="567"/>
    </w:pPr>
  </w:style>
  <w:style w:type="paragraph" w:customStyle="1" w:styleId="CH1">
    <w:name w:val="CH1"/>
    <w:basedOn w:val="Normal-pool"/>
    <w:next w:val="CH2"/>
    <w:qFormat/>
    <w:rsid w:val="002E3F0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E3F08"/>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2E3F08"/>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2E3F0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2E3F08"/>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AE0DBD"/>
    <w:pPr>
      <w:tabs>
        <w:tab w:val="left" w:pos="4321"/>
        <w:tab w:val="right" w:pos="8641"/>
      </w:tabs>
      <w:spacing w:before="60"/>
    </w:pPr>
    <w:rPr>
      <w:b/>
      <w:sz w:val="18"/>
    </w:rPr>
  </w:style>
  <w:style w:type="paragraph" w:customStyle="1" w:styleId="Footer-pool">
    <w:name w:val="Footer-pool"/>
    <w:basedOn w:val="Normal"/>
    <w:next w:val="Normal"/>
    <w:rsid w:val="002E3F08"/>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2E3F08"/>
    <w:pPr>
      <w:pBdr>
        <w:bottom w:val="single" w:sz="4" w:space="1" w:color="auto"/>
      </w:pBdr>
      <w:tabs>
        <w:tab w:val="center" w:pos="4536"/>
        <w:tab w:val="right" w:pos="9072"/>
      </w:tabs>
      <w:spacing w:after="120"/>
    </w:pPr>
    <w:rPr>
      <w:b/>
      <w:sz w:val="18"/>
    </w:rPr>
  </w:style>
  <w:style w:type="character" w:styleId="FootnoteReference">
    <w:name w:val="footnote reference"/>
    <w:rsid w:val="002E3F08"/>
    <w:rPr>
      <w:rFonts w:ascii="Times New Roman" w:hAnsi="Times New Roman"/>
      <w:color w:val="auto"/>
      <w:sz w:val="20"/>
      <w:szCs w:val="18"/>
      <w:vertAlign w:val="superscript"/>
      <w:lang w:val="fr-FR"/>
    </w:rPr>
  </w:style>
  <w:style w:type="table" w:customStyle="1" w:styleId="AATable">
    <w:name w:val="AA_Table"/>
    <w:basedOn w:val="TableNormal"/>
    <w:semiHidden/>
    <w:rsid w:val="00AE0DB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E3F08"/>
    <w:pPr>
      <w:keepNext/>
      <w:keepLines/>
      <w:suppressAutoHyphens/>
    </w:pPr>
    <w:rPr>
      <w:b/>
    </w:rPr>
  </w:style>
  <w:style w:type="paragraph" w:customStyle="1" w:styleId="AATitle2">
    <w:name w:val="AA_Title2"/>
    <w:basedOn w:val="AATitle"/>
    <w:qFormat/>
    <w:rsid w:val="002E3F08"/>
    <w:pPr>
      <w:keepNext w:val="0"/>
      <w:keepLines w:val="0"/>
      <w:spacing w:before="120" w:after="120"/>
    </w:pPr>
  </w:style>
  <w:style w:type="paragraph" w:customStyle="1" w:styleId="BBTitle">
    <w:name w:val="BB_Title"/>
    <w:basedOn w:val="Normal-pool"/>
    <w:link w:val="BBTitleChar"/>
    <w:qFormat/>
    <w:rsid w:val="002E3F08"/>
    <w:pPr>
      <w:keepNext/>
      <w:keepLines/>
      <w:suppressAutoHyphens/>
      <w:spacing w:before="320" w:after="240"/>
      <w:ind w:left="1247" w:right="567"/>
    </w:pPr>
    <w:rPr>
      <w:b/>
      <w:sz w:val="28"/>
      <w:szCs w:val="28"/>
    </w:rPr>
  </w:style>
  <w:style w:type="paragraph" w:customStyle="1" w:styleId="CH4">
    <w:name w:val="CH4"/>
    <w:basedOn w:val="Normal-pool"/>
    <w:next w:val="Normalnumber"/>
    <w:rsid w:val="002E3F08"/>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2E3F08"/>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2E3F08"/>
    <w:rPr>
      <w:color w:val="0000FF"/>
      <w:u w:val="none"/>
      <w:lang w:val="fr-FR"/>
    </w:rPr>
  </w:style>
  <w:style w:type="numbering" w:customStyle="1" w:styleId="Normallist">
    <w:name w:val="Normal_list"/>
    <w:basedOn w:val="NoList"/>
    <w:rsid w:val="002E3F08"/>
    <w:pPr>
      <w:numPr>
        <w:numId w:val="24"/>
      </w:numPr>
    </w:pPr>
  </w:style>
  <w:style w:type="paragraph" w:customStyle="1" w:styleId="NormalNonumber">
    <w:name w:val="Normal_No_number"/>
    <w:basedOn w:val="Normal-pool"/>
    <w:qFormat/>
    <w:rsid w:val="002E3F08"/>
    <w:pPr>
      <w:spacing w:after="120"/>
      <w:ind w:left="1247"/>
    </w:pPr>
  </w:style>
  <w:style w:type="paragraph" w:customStyle="1" w:styleId="Normalnumber">
    <w:name w:val="Normal_number"/>
    <w:basedOn w:val="Normal"/>
    <w:link w:val="NormalnumberChar"/>
    <w:qFormat/>
    <w:rsid w:val="002E3F08"/>
    <w:pPr>
      <w:numPr>
        <w:numId w:val="26"/>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2E3F08"/>
    <w:pPr>
      <w:keepNext/>
      <w:keepLines/>
      <w:suppressAutoHyphens/>
      <w:spacing w:after="60"/>
      <w:ind w:left="1247"/>
    </w:pPr>
    <w:rPr>
      <w:b/>
      <w:bCs/>
    </w:rPr>
  </w:style>
  <w:style w:type="paragraph" w:styleId="TOC1">
    <w:name w:val="toc 1"/>
    <w:basedOn w:val="Normal"/>
    <w:next w:val="Normal"/>
    <w:autoRedefine/>
    <w:uiPriority w:val="39"/>
    <w:unhideWhenUsed/>
    <w:rsid w:val="002E3F08"/>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2E3F08"/>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2E3F08"/>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2E3F08"/>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2E3F08"/>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link w:val="ZZAnxheaderChar"/>
    <w:rsid w:val="002E3F08"/>
    <w:rPr>
      <w:b/>
      <w:bCs/>
      <w:sz w:val="28"/>
      <w:szCs w:val="22"/>
    </w:rPr>
  </w:style>
  <w:style w:type="paragraph" w:customStyle="1" w:styleId="ZZAnxtitle">
    <w:name w:val="ZZ_Anx_title"/>
    <w:basedOn w:val="Normal-pool"/>
    <w:rsid w:val="002E3F08"/>
    <w:pPr>
      <w:spacing w:before="360" w:after="120"/>
      <w:ind w:left="1247"/>
    </w:pPr>
    <w:rPr>
      <w:b/>
      <w:bCs/>
      <w:sz w:val="28"/>
      <w:szCs w:val="26"/>
    </w:rPr>
  </w:style>
  <w:style w:type="paragraph" w:styleId="NormalWeb">
    <w:name w:val="Normal (Web)"/>
    <w:basedOn w:val="Normal"/>
    <w:uiPriority w:val="99"/>
    <w:semiHidden/>
    <w:unhideWhenUsed/>
    <w:rsid w:val="00AE0DB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E3F08"/>
    <w:pPr>
      <w:spacing w:before="40" w:after="40"/>
    </w:pPr>
    <w:rPr>
      <w:sz w:val="18"/>
    </w:rPr>
  </w:style>
  <w:style w:type="paragraph" w:customStyle="1" w:styleId="Footnote-Text">
    <w:name w:val="Footnote-Text"/>
    <w:basedOn w:val="Normal-pool"/>
    <w:rsid w:val="002E3F08"/>
    <w:pPr>
      <w:spacing w:before="20" w:after="40"/>
      <w:ind w:left="1247"/>
    </w:pPr>
    <w:rPr>
      <w:sz w:val="18"/>
    </w:rPr>
  </w:style>
  <w:style w:type="paragraph" w:customStyle="1" w:styleId="AConvName">
    <w:name w:val="A_ConvName"/>
    <w:basedOn w:val="Normal-pool"/>
    <w:next w:val="Normal-pool"/>
    <w:rsid w:val="002E3F08"/>
    <w:pPr>
      <w:tabs>
        <w:tab w:val="clear" w:pos="1247"/>
      </w:tabs>
      <w:spacing w:before="120" w:after="240"/>
    </w:pPr>
    <w:rPr>
      <w:rFonts w:ascii="Arial" w:hAnsi="Arial"/>
      <w:b/>
      <w:sz w:val="28"/>
    </w:rPr>
  </w:style>
  <w:style w:type="paragraph" w:customStyle="1" w:styleId="ASymbol">
    <w:name w:val="A_Symbol"/>
    <w:basedOn w:val="Normal-pool"/>
    <w:rsid w:val="002E3F08"/>
    <w:pPr>
      <w:tabs>
        <w:tab w:val="clear" w:pos="1247"/>
      </w:tabs>
    </w:pPr>
  </w:style>
  <w:style w:type="paragraph" w:customStyle="1" w:styleId="AText">
    <w:name w:val="A_Text"/>
    <w:basedOn w:val="Normal-pool"/>
    <w:rsid w:val="002E3F08"/>
    <w:pPr>
      <w:spacing w:before="120"/>
    </w:pPr>
  </w:style>
  <w:style w:type="paragraph" w:customStyle="1" w:styleId="ATwoLetters">
    <w:name w:val="A_TwoLetters"/>
    <w:basedOn w:val="Normal-pool"/>
    <w:next w:val="Normal-pool"/>
    <w:rsid w:val="002E3F08"/>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E3F08"/>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E0DBD"/>
    <w:rPr>
      <w:rFonts w:ascii="Tahoma" w:hAnsi="Tahoma" w:cs="Tahoma"/>
      <w:sz w:val="16"/>
      <w:szCs w:val="16"/>
    </w:rPr>
  </w:style>
  <w:style w:type="character" w:customStyle="1" w:styleId="BalloonTextChar">
    <w:name w:val="Balloon Text Char"/>
    <w:basedOn w:val="DefaultParagraphFont"/>
    <w:link w:val="BalloonText"/>
    <w:rsid w:val="00AE0DBD"/>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2E3F08"/>
    <w:rPr>
      <w:sz w:val="16"/>
      <w:szCs w:val="16"/>
      <w:lang w:val="fr-FR"/>
    </w:rPr>
  </w:style>
  <w:style w:type="paragraph" w:styleId="CommentText">
    <w:name w:val="annotation text"/>
    <w:basedOn w:val="Normal"/>
    <w:link w:val="CommentTextChar"/>
    <w:unhideWhenUsed/>
    <w:rsid w:val="002E3F08"/>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2E3F08"/>
    <w:rPr>
      <w:rFonts w:eastAsia="Times New Roman"/>
      <w:lang w:val="fr-FR" w:eastAsia="en-US"/>
    </w:rPr>
  </w:style>
  <w:style w:type="paragraph" w:styleId="CommentSubject">
    <w:name w:val="annotation subject"/>
    <w:basedOn w:val="CommentText"/>
    <w:next w:val="CommentText"/>
    <w:link w:val="CommentSubjectChar"/>
    <w:semiHidden/>
    <w:unhideWhenUsed/>
    <w:rsid w:val="002E3F08"/>
    <w:rPr>
      <w:b/>
      <w:bCs/>
    </w:rPr>
  </w:style>
  <w:style w:type="character" w:customStyle="1" w:styleId="CommentSubjectChar">
    <w:name w:val="Comment Subject Char"/>
    <w:basedOn w:val="CommentTextChar"/>
    <w:link w:val="CommentSubject"/>
    <w:semiHidden/>
    <w:rsid w:val="002E3F08"/>
    <w:rPr>
      <w:rFonts w:eastAsia="Times New Roman"/>
      <w:b/>
      <w:bCs/>
      <w:lang w:val="fr-FR" w:eastAsia="en-US"/>
    </w:rPr>
  </w:style>
  <w:style w:type="character" w:styleId="FollowedHyperlink">
    <w:name w:val="FollowedHyperlink"/>
    <w:uiPriority w:val="99"/>
    <w:semiHidden/>
    <w:rsid w:val="002E3F08"/>
    <w:rPr>
      <w:color w:val="0000FF"/>
      <w:u w:val="none"/>
      <w:lang w:val="fr-FR"/>
    </w:rPr>
  </w:style>
  <w:style w:type="character" w:customStyle="1" w:styleId="FooterChar">
    <w:name w:val="Footer Char"/>
    <w:basedOn w:val="DefaultParagraphFont"/>
    <w:link w:val="Footer"/>
    <w:uiPriority w:val="99"/>
    <w:rsid w:val="002E3F08"/>
    <w:rPr>
      <w:rFonts w:eastAsia="Times New Roman"/>
      <w:lang w:val="fr-FR" w:eastAsia="en-US"/>
    </w:rPr>
  </w:style>
  <w:style w:type="character" w:customStyle="1" w:styleId="HeaderChar">
    <w:name w:val="Header Char"/>
    <w:basedOn w:val="DefaultParagraphFont"/>
    <w:link w:val="Header"/>
    <w:uiPriority w:val="99"/>
    <w:semiHidden/>
    <w:rsid w:val="002E3F08"/>
    <w:rPr>
      <w:rFonts w:eastAsia="Times New Roman"/>
      <w:lang w:val="fr-FR" w:eastAsia="en-US"/>
    </w:rPr>
  </w:style>
  <w:style w:type="character" w:customStyle="1" w:styleId="Heading1Char">
    <w:name w:val="Heading 1 Char"/>
    <w:basedOn w:val="DefaultParagraphFont"/>
    <w:link w:val="Heading1"/>
    <w:rsid w:val="002E3F08"/>
    <w:rPr>
      <w:rFonts w:eastAsia="Times New Roman"/>
      <w:b/>
      <w:sz w:val="28"/>
      <w:szCs w:val="28"/>
      <w:lang w:val="fr-FR"/>
    </w:rPr>
  </w:style>
  <w:style w:type="character" w:customStyle="1" w:styleId="Heading2Char">
    <w:name w:val="Heading 2 Char"/>
    <w:basedOn w:val="DefaultParagraphFont"/>
    <w:link w:val="Heading2"/>
    <w:rsid w:val="002E3F08"/>
    <w:rPr>
      <w:rFonts w:eastAsia="Times New Roman"/>
      <w:b/>
      <w:sz w:val="24"/>
      <w:szCs w:val="24"/>
      <w:lang w:val="fr-FR"/>
    </w:rPr>
  </w:style>
  <w:style w:type="character" w:customStyle="1" w:styleId="Heading3Char">
    <w:name w:val="Heading 3 Char"/>
    <w:basedOn w:val="DefaultParagraphFont"/>
    <w:link w:val="Heading3"/>
    <w:rsid w:val="002E3F08"/>
    <w:rPr>
      <w:rFonts w:eastAsia="Times New Roman"/>
      <w:b/>
      <w:lang w:val="fr-FR"/>
    </w:rPr>
  </w:style>
  <w:style w:type="character" w:customStyle="1" w:styleId="Heading4Char">
    <w:name w:val="Heading 4 Char"/>
    <w:basedOn w:val="DefaultParagraphFont"/>
    <w:link w:val="Heading4"/>
    <w:rsid w:val="002E3F08"/>
    <w:rPr>
      <w:rFonts w:eastAsia="Times New Roman"/>
      <w:b/>
      <w:lang w:val="fr-FR" w:eastAsia="en-US"/>
    </w:rPr>
  </w:style>
  <w:style w:type="character" w:customStyle="1" w:styleId="Heading5Char">
    <w:name w:val="Heading 5 Char"/>
    <w:basedOn w:val="DefaultParagraphFont"/>
    <w:link w:val="Heading5"/>
    <w:rsid w:val="002E3F08"/>
    <w:rPr>
      <w:rFonts w:eastAsia="Times New Roman"/>
      <w:b/>
      <w:lang w:val="fr-FR"/>
    </w:rPr>
  </w:style>
  <w:style w:type="character" w:customStyle="1" w:styleId="Heading6Char">
    <w:name w:val="Heading 6 Char"/>
    <w:basedOn w:val="DefaultParagraphFont"/>
    <w:link w:val="Heading6"/>
    <w:rsid w:val="002E3F08"/>
    <w:rPr>
      <w:rFonts w:eastAsia="Times New Roman"/>
      <w:bCs/>
      <w:sz w:val="24"/>
      <w:lang w:val="fr-FR"/>
    </w:rPr>
  </w:style>
  <w:style w:type="character" w:customStyle="1" w:styleId="Heading7Char">
    <w:name w:val="Heading 7 Char"/>
    <w:basedOn w:val="DefaultParagraphFont"/>
    <w:link w:val="Heading7"/>
    <w:rsid w:val="002E3F08"/>
    <w:rPr>
      <w:rFonts w:eastAsia="Times New Roman"/>
      <w:b/>
      <w:snapToGrid w:val="0"/>
      <w:u w:val="single"/>
      <w:lang w:val="fr-FR"/>
    </w:rPr>
  </w:style>
  <w:style w:type="character" w:customStyle="1" w:styleId="Heading8Char">
    <w:name w:val="Heading 8 Char"/>
    <w:basedOn w:val="DefaultParagraphFont"/>
    <w:link w:val="Heading8"/>
    <w:rsid w:val="002E3F08"/>
    <w:rPr>
      <w:rFonts w:eastAsia="Times New Roman"/>
      <w:b/>
      <w:snapToGrid w:val="0"/>
      <w:u w:val="single"/>
      <w:lang w:val="fr-FR"/>
    </w:rPr>
  </w:style>
  <w:style w:type="character" w:customStyle="1" w:styleId="Heading9Char">
    <w:name w:val="Heading 9 Char"/>
    <w:basedOn w:val="DefaultParagraphFont"/>
    <w:link w:val="Heading9"/>
    <w:rsid w:val="002E3F08"/>
    <w:rPr>
      <w:rFonts w:eastAsia="Times New Roman"/>
      <w:snapToGrid w:val="0"/>
      <w:u w:val="single"/>
      <w:lang w:val="fr-FR" w:eastAsia="en-US"/>
    </w:rPr>
  </w:style>
  <w:style w:type="paragraph" w:styleId="ListParagraph">
    <w:name w:val="List Paragraph"/>
    <w:basedOn w:val="Normal"/>
    <w:uiPriority w:val="34"/>
    <w:qFormat/>
    <w:rsid w:val="00AE0DBD"/>
    <w:pPr>
      <w:ind w:left="720"/>
      <w:contextualSpacing/>
    </w:pPr>
  </w:style>
  <w:style w:type="paragraph" w:styleId="NoSpacing">
    <w:name w:val="No Spacing"/>
    <w:uiPriority w:val="1"/>
    <w:semiHidden/>
    <w:qFormat/>
    <w:rsid w:val="00AE0DBD"/>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2E3F08"/>
    <w:rPr>
      <w:rFonts w:eastAsia="Times New Roman"/>
      <w:lang w:eastAsia="en-US"/>
    </w:rPr>
  </w:style>
  <w:style w:type="character" w:styleId="PlaceholderText">
    <w:name w:val="Placeholder Text"/>
    <w:basedOn w:val="DefaultParagraphFont"/>
    <w:uiPriority w:val="99"/>
    <w:semiHidden/>
    <w:rsid w:val="00AE0DBD"/>
    <w:rPr>
      <w:color w:val="808080"/>
      <w:lang w:val="fr-FR"/>
    </w:rPr>
  </w:style>
  <w:style w:type="table" w:styleId="TableGrid">
    <w:name w:val="Table Grid"/>
    <w:basedOn w:val="TableNormal"/>
    <w:uiPriority w:val="39"/>
    <w:rsid w:val="00AE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2E3F08"/>
    <w:pPr>
      <w:spacing w:before="120" w:after="240"/>
    </w:pPr>
    <w:rPr>
      <w:rFonts w:eastAsia="Times New Roman"/>
    </w:rPr>
  </w:style>
  <w:style w:type="character" w:customStyle="1" w:styleId="ALogoChar">
    <w:name w:val="A_Logo Char"/>
    <w:basedOn w:val="DefaultParagraphFont"/>
    <w:link w:val="ALogo"/>
    <w:rsid w:val="002E3F08"/>
    <w:rPr>
      <w:rFonts w:eastAsia="Times New Roman"/>
      <w:lang w:val="fr-FR"/>
    </w:rPr>
  </w:style>
  <w:style w:type="paragraph" w:customStyle="1" w:styleId="ASpacer">
    <w:name w:val="A_Spacer"/>
    <w:basedOn w:val="Normal-pool"/>
    <w:link w:val="ASpacerChar"/>
    <w:qFormat/>
    <w:rsid w:val="002E3F08"/>
    <w:rPr>
      <w:rFonts w:eastAsia="Times New Roman"/>
      <w:sz w:val="2"/>
    </w:rPr>
  </w:style>
  <w:style w:type="character" w:customStyle="1" w:styleId="ASpacerChar">
    <w:name w:val="A_Spacer Char"/>
    <w:basedOn w:val="DefaultParagraphFont"/>
    <w:link w:val="ASpacer"/>
    <w:rsid w:val="002E3F08"/>
    <w:rPr>
      <w:rFonts w:eastAsia="Times New Roman"/>
      <w:sz w:val="2"/>
      <w:lang w:val="fr-FR"/>
    </w:rPr>
  </w:style>
  <w:style w:type="paragraph" w:customStyle="1" w:styleId="AATitle1">
    <w:name w:val="AA_Title1"/>
    <w:basedOn w:val="Normal-pool"/>
    <w:qFormat/>
    <w:rsid w:val="002E3F08"/>
  </w:style>
  <w:style w:type="character" w:styleId="UnresolvedMention">
    <w:name w:val="Unresolved Mention"/>
    <w:basedOn w:val="DefaultParagraphFont"/>
    <w:uiPriority w:val="99"/>
    <w:semiHidden/>
    <w:rsid w:val="00AE0DBD"/>
    <w:rPr>
      <w:color w:val="605E5C"/>
      <w:shd w:val="clear" w:color="auto" w:fill="E1DFDD"/>
      <w:lang w:val="fr-FR"/>
    </w:rPr>
  </w:style>
  <w:style w:type="paragraph" w:customStyle="1" w:styleId="ANormal">
    <w:name w:val="A_Normal"/>
    <w:basedOn w:val="Normal-pool"/>
    <w:qFormat/>
    <w:rsid w:val="002E3F08"/>
    <w:rPr>
      <w:rFonts w:eastAsia="Times New Roman"/>
    </w:rPr>
  </w:style>
  <w:style w:type="paragraph" w:customStyle="1" w:styleId="AText0">
    <w:name w:val="A_Text0"/>
    <w:basedOn w:val="AText"/>
    <w:next w:val="Normal-pool"/>
    <w:qFormat/>
    <w:rsid w:val="002E3F08"/>
    <w:pPr>
      <w:spacing w:before="0" w:after="120"/>
    </w:pPr>
    <w:rPr>
      <w:rFonts w:eastAsia="Times New Roman"/>
    </w:rPr>
  </w:style>
  <w:style w:type="paragraph" w:styleId="Footer">
    <w:name w:val="footer"/>
    <w:basedOn w:val="Normal"/>
    <w:link w:val="FooterChar"/>
    <w:uiPriority w:val="99"/>
    <w:rsid w:val="002E3F08"/>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AE0DBD"/>
    <w:rPr>
      <w:rFonts w:eastAsia="Times New Roman"/>
      <w:b/>
      <w:sz w:val="18"/>
      <w:lang w:val="fr-FR" w:eastAsia="en-US"/>
    </w:rPr>
  </w:style>
  <w:style w:type="paragraph" w:customStyle="1" w:styleId="Normal-pool">
    <w:name w:val="Normal-pool"/>
    <w:link w:val="Normal-poolChar"/>
    <w:qFormat/>
    <w:rsid w:val="002E3F08"/>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2E3F08"/>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2E3F08"/>
    <w:pPr>
      <w:spacing w:before="60"/>
    </w:pPr>
    <w:rPr>
      <w:sz w:val="18"/>
    </w:rPr>
  </w:style>
  <w:style w:type="paragraph" w:styleId="Bibliography">
    <w:name w:val="Bibliography"/>
    <w:basedOn w:val="Normal"/>
    <w:next w:val="Normal"/>
    <w:uiPriority w:val="37"/>
    <w:semiHidden/>
    <w:rsid w:val="00AE0DBD"/>
  </w:style>
  <w:style w:type="paragraph" w:styleId="BlockText">
    <w:name w:val="Block Text"/>
    <w:basedOn w:val="Normal"/>
    <w:semiHidden/>
    <w:unhideWhenUsed/>
    <w:rsid w:val="00AE0D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E0DBD"/>
    <w:pPr>
      <w:spacing w:after="120"/>
    </w:pPr>
  </w:style>
  <w:style w:type="character" w:customStyle="1" w:styleId="BodyTextChar">
    <w:name w:val="Body Text Char"/>
    <w:basedOn w:val="DefaultParagraphFont"/>
    <w:link w:val="BodyText"/>
    <w:semiHidden/>
    <w:rsid w:val="00AE0DBD"/>
    <w:rPr>
      <w:rFonts w:eastAsia="Times New Roman"/>
      <w:lang w:val="fr-FR" w:eastAsia="en-US"/>
    </w:rPr>
  </w:style>
  <w:style w:type="paragraph" w:styleId="BodyText2">
    <w:name w:val="Body Text 2"/>
    <w:basedOn w:val="Normal"/>
    <w:link w:val="BodyText2Char"/>
    <w:semiHidden/>
    <w:unhideWhenUsed/>
    <w:rsid w:val="00AE0DBD"/>
    <w:pPr>
      <w:spacing w:after="120" w:line="480" w:lineRule="auto"/>
    </w:pPr>
  </w:style>
  <w:style w:type="character" w:customStyle="1" w:styleId="BodyText2Char">
    <w:name w:val="Body Text 2 Char"/>
    <w:basedOn w:val="DefaultParagraphFont"/>
    <w:link w:val="BodyText2"/>
    <w:semiHidden/>
    <w:rsid w:val="00AE0DBD"/>
    <w:rPr>
      <w:rFonts w:eastAsia="Times New Roman"/>
      <w:lang w:val="fr-FR" w:eastAsia="en-US"/>
    </w:rPr>
  </w:style>
  <w:style w:type="paragraph" w:styleId="BodyText3">
    <w:name w:val="Body Text 3"/>
    <w:basedOn w:val="Normal"/>
    <w:link w:val="BodyText3Char"/>
    <w:semiHidden/>
    <w:unhideWhenUsed/>
    <w:rsid w:val="00AE0DBD"/>
    <w:pPr>
      <w:spacing w:after="120"/>
    </w:pPr>
    <w:rPr>
      <w:sz w:val="16"/>
      <w:szCs w:val="16"/>
    </w:rPr>
  </w:style>
  <w:style w:type="character" w:customStyle="1" w:styleId="BodyText3Char">
    <w:name w:val="Body Text 3 Char"/>
    <w:basedOn w:val="DefaultParagraphFont"/>
    <w:link w:val="BodyText3"/>
    <w:semiHidden/>
    <w:rsid w:val="00AE0DBD"/>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AE0DBD"/>
    <w:pPr>
      <w:spacing w:after="0"/>
      <w:ind w:firstLine="360"/>
    </w:pPr>
  </w:style>
  <w:style w:type="character" w:customStyle="1" w:styleId="BodyTextFirstIndentChar">
    <w:name w:val="Body Text First Indent Char"/>
    <w:basedOn w:val="BodyTextChar"/>
    <w:link w:val="BodyTextFirstIndent"/>
    <w:semiHidden/>
    <w:rsid w:val="00AE0DBD"/>
    <w:rPr>
      <w:rFonts w:eastAsia="Times New Roman"/>
      <w:lang w:val="fr-FR" w:eastAsia="en-US"/>
    </w:rPr>
  </w:style>
  <w:style w:type="paragraph" w:styleId="BodyTextIndent">
    <w:name w:val="Body Text Indent"/>
    <w:basedOn w:val="Normal"/>
    <w:link w:val="BodyTextIndentChar"/>
    <w:semiHidden/>
    <w:unhideWhenUsed/>
    <w:rsid w:val="00AE0DBD"/>
    <w:pPr>
      <w:spacing w:after="120"/>
      <w:ind w:left="283"/>
    </w:pPr>
  </w:style>
  <w:style w:type="character" w:customStyle="1" w:styleId="BodyTextIndentChar">
    <w:name w:val="Body Text Indent Char"/>
    <w:basedOn w:val="DefaultParagraphFont"/>
    <w:link w:val="BodyTextIndent"/>
    <w:semiHidden/>
    <w:rsid w:val="00AE0DBD"/>
    <w:rPr>
      <w:rFonts w:eastAsia="Times New Roman"/>
      <w:lang w:val="fr-FR" w:eastAsia="en-US"/>
    </w:rPr>
  </w:style>
  <w:style w:type="paragraph" w:styleId="BodyTextFirstIndent2">
    <w:name w:val="Body Text First Indent 2"/>
    <w:basedOn w:val="BodyTextIndent"/>
    <w:link w:val="BodyTextFirstIndent2Char"/>
    <w:semiHidden/>
    <w:unhideWhenUsed/>
    <w:rsid w:val="00AE0DBD"/>
    <w:pPr>
      <w:spacing w:after="0"/>
      <w:ind w:left="360" w:firstLine="360"/>
    </w:pPr>
  </w:style>
  <w:style w:type="character" w:customStyle="1" w:styleId="BodyTextFirstIndent2Char">
    <w:name w:val="Body Text First Indent 2 Char"/>
    <w:basedOn w:val="BodyTextIndentChar"/>
    <w:link w:val="BodyTextFirstIndent2"/>
    <w:semiHidden/>
    <w:rsid w:val="00AE0DBD"/>
    <w:rPr>
      <w:rFonts w:eastAsia="Times New Roman"/>
      <w:lang w:val="fr-FR" w:eastAsia="en-US"/>
    </w:rPr>
  </w:style>
  <w:style w:type="paragraph" w:styleId="BodyTextIndent2">
    <w:name w:val="Body Text Indent 2"/>
    <w:basedOn w:val="Normal"/>
    <w:link w:val="BodyTextIndent2Char"/>
    <w:semiHidden/>
    <w:unhideWhenUsed/>
    <w:rsid w:val="00AE0DBD"/>
    <w:pPr>
      <w:spacing w:after="120" w:line="480" w:lineRule="auto"/>
      <w:ind w:left="283"/>
    </w:pPr>
  </w:style>
  <w:style w:type="character" w:customStyle="1" w:styleId="BodyTextIndent2Char">
    <w:name w:val="Body Text Indent 2 Char"/>
    <w:basedOn w:val="DefaultParagraphFont"/>
    <w:link w:val="BodyTextIndent2"/>
    <w:semiHidden/>
    <w:rsid w:val="00AE0DBD"/>
    <w:rPr>
      <w:rFonts w:eastAsia="Times New Roman"/>
      <w:lang w:val="fr-FR" w:eastAsia="en-US"/>
    </w:rPr>
  </w:style>
  <w:style w:type="paragraph" w:styleId="BodyTextIndent3">
    <w:name w:val="Body Text Indent 3"/>
    <w:basedOn w:val="Normal"/>
    <w:link w:val="BodyTextIndent3Char"/>
    <w:semiHidden/>
    <w:unhideWhenUsed/>
    <w:rsid w:val="00AE0DBD"/>
    <w:pPr>
      <w:spacing w:after="120"/>
      <w:ind w:left="283"/>
    </w:pPr>
    <w:rPr>
      <w:sz w:val="16"/>
      <w:szCs w:val="16"/>
    </w:rPr>
  </w:style>
  <w:style w:type="character" w:customStyle="1" w:styleId="BodyTextIndent3Char">
    <w:name w:val="Body Text Indent 3 Char"/>
    <w:basedOn w:val="DefaultParagraphFont"/>
    <w:link w:val="BodyTextIndent3"/>
    <w:semiHidden/>
    <w:rsid w:val="00AE0DBD"/>
    <w:rPr>
      <w:rFonts w:eastAsia="Times New Roman"/>
      <w:sz w:val="16"/>
      <w:szCs w:val="16"/>
      <w:lang w:val="fr-FR" w:eastAsia="en-US"/>
    </w:rPr>
  </w:style>
  <w:style w:type="character" w:styleId="BookTitle">
    <w:name w:val="Book Title"/>
    <w:basedOn w:val="DefaultParagraphFont"/>
    <w:uiPriority w:val="33"/>
    <w:semiHidden/>
    <w:qFormat/>
    <w:rsid w:val="00AE0DBD"/>
    <w:rPr>
      <w:b/>
      <w:bCs/>
      <w:i/>
      <w:iCs/>
      <w:spacing w:val="5"/>
      <w:lang w:val="fr-FR"/>
    </w:rPr>
  </w:style>
  <w:style w:type="paragraph" w:styleId="Caption">
    <w:name w:val="caption"/>
    <w:basedOn w:val="Normal"/>
    <w:next w:val="Normal"/>
    <w:semiHidden/>
    <w:unhideWhenUsed/>
    <w:qFormat/>
    <w:rsid w:val="00AE0DBD"/>
    <w:pPr>
      <w:spacing w:after="200"/>
    </w:pPr>
    <w:rPr>
      <w:i/>
      <w:iCs/>
      <w:color w:val="1F497D" w:themeColor="text2"/>
      <w:sz w:val="18"/>
      <w:szCs w:val="18"/>
    </w:rPr>
  </w:style>
  <w:style w:type="paragraph" w:styleId="Closing">
    <w:name w:val="Closing"/>
    <w:basedOn w:val="Normal"/>
    <w:link w:val="ClosingChar"/>
    <w:semiHidden/>
    <w:unhideWhenUsed/>
    <w:rsid w:val="00AE0DBD"/>
    <w:pPr>
      <w:ind w:left="4252"/>
    </w:pPr>
  </w:style>
  <w:style w:type="character" w:customStyle="1" w:styleId="ClosingChar">
    <w:name w:val="Closing Char"/>
    <w:basedOn w:val="DefaultParagraphFont"/>
    <w:link w:val="Closing"/>
    <w:semiHidden/>
    <w:rsid w:val="00AE0DBD"/>
    <w:rPr>
      <w:rFonts w:eastAsia="Times New Roman"/>
      <w:lang w:val="fr-FR" w:eastAsia="en-US"/>
    </w:rPr>
  </w:style>
  <w:style w:type="table" w:styleId="ColorfulGrid">
    <w:name w:val="Colorful Grid"/>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E0D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0D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E0D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E0D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E0D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E0D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E0D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0D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E0D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0D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0D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E0D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0D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E0D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E0D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E0D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E0D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E0D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E0DBD"/>
  </w:style>
  <w:style w:type="character" w:customStyle="1" w:styleId="DateChar">
    <w:name w:val="Date Char"/>
    <w:basedOn w:val="DefaultParagraphFont"/>
    <w:link w:val="Date"/>
    <w:semiHidden/>
    <w:rsid w:val="00AE0DBD"/>
    <w:rPr>
      <w:rFonts w:eastAsia="Times New Roman"/>
      <w:lang w:val="fr-FR" w:eastAsia="en-US"/>
    </w:rPr>
  </w:style>
  <w:style w:type="paragraph" w:styleId="DocumentMap">
    <w:name w:val="Document Map"/>
    <w:basedOn w:val="Normal"/>
    <w:link w:val="DocumentMapChar"/>
    <w:semiHidden/>
    <w:unhideWhenUsed/>
    <w:rsid w:val="00AE0DBD"/>
    <w:rPr>
      <w:rFonts w:ascii="Segoe UI" w:hAnsi="Segoe UI" w:cs="Segoe UI"/>
      <w:sz w:val="16"/>
      <w:szCs w:val="16"/>
    </w:rPr>
  </w:style>
  <w:style w:type="character" w:customStyle="1" w:styleId="DocumentMapChar">
    <w:name w:val="Document Map Char"/>
    <w:basedOn w:val="DefaultParagraphFont"/>
    <w:link w:val="DocumentMap"/>
    <w:semiHidden/>
    <w:rsid w:val="00AE0DBD"/>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AE0DBD"/>
  </w:style>
  <w:style w:type="character" w:customStyle="1" w:styleId="E-mailSignatureChar">
    <w:name w:val="E-mail Signature Char"/>
    <w:basedOn w:val="DefaultParagraphFont"/>
    <w:link w:val="E-mailSignature"/>
    <w:semiHidden/>
    <w:rsid w:val="00AE0DBD"/>
    <w:rPr>
      <w:rFonts w:eastAsia="Times New Roman"/>
      <w:lang w:val="fr-FR" w:eastAsia="en-US"/>
    </w:rPr>
  </w:style>
  <w:style w:type="character" w:styleId="Emphasis">
    <w:name w:val="Emphasis"/>
    <w:basedOn w:val="DefaultParagraphFont"/>
    <w:semiHidden/>
    <w:qFormat/>
    <w:rsid w:val="00AE0DBD"/>
    <w:rPr>
      <w:i/>
      <w:iCs/>
      <w:lang w:val="fr-FR"/>
    </w:rPr>
  </w:style>
  <w:style w:type="character" w:styleId="EndnoteReference">
    <w:name w:val="endnote reference"/>
    <w:basedOn w:val="DefaultParagraphFont"/>
    <w:semiHidden/>
    <w:unhideWhenUsed/>
    <w:rsid w:val="00AE0DBD"/>
    <w:rPr>
      <w:vertAlign w:val="superscript"/>
      <w:lang w:val="fr-FR"/>
    </w:rPr>
  </w:style>
  <w:style w:type="paragraph" w:styleId="EndnoteText">
    <w:name w:val="endnote text"/>
    <w:basedOn w:val="Normal"/>
    <w:link w:val="EndnoteTextChar"/>
    <w:semiHidden/>
    <w:unhideWhenUsed/>
    <w:rsid w:val="00AE0DBD"/>
  </w:style>
  <w:style w:type="character" w:customStyle="1" w:styleId="EndnoteTextChar">
    <w:name w:val="Endnote Text Char"/>
    <w:basedOn w:val="DefaultParagraphFont"/>
    <w:link w:val="EndnoteText"/>
    <w:semiHidden/>
    <w:rsid w:val="00AE0DBD"/>
    <w:rPr>
      <w:rFonts w:eastAsia="Times New Roman"/>
      <w:lang w:val="fr-FR" w:eastAsia="en-US"/>
    </w:rPr>
  </w:style>
  <w:style w:type="paragraph" w:styleId="EnvelopeAddress">
    <w:name w:val="envelope address"/>
    <w:basedOn w:val="Normal"/>
    <w:semiHidden/>
    <w:unhideWhenUsed/>
    <w:rsid w:val="00AE0D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E0DBD"/>
    <w:rPr>
      <w:rFonts w:asciiTheme="majorHAnsi" w:eastAsiaTheme="majorEastAsia" w:hAnsiTheme="majorHAnsi" w:cstheme="majorBidi"/>
    </w:rPr>
  </w:style>
  <w:style w:type="paragraph" w:styleId="FootnoteText">
    <w:name w:val="footnote text"/>
    <w:aliases w:val="Geneva 9,Font: Geneva 9,Boston 10,f,fn,Footnotes,Footnote ak,ft,fn cafc,Footnotes Char Char,Footnote Text Char Char,fn Char Char,footnote text Char Char Char Ch,Footnote Text Char1,footnote text Char Char Char Ch Char,DNV-FT"/>
    <w:basedOn w:val="Normal"/>
    <w:link w:val="FootnoteTextChar"/>
    <w:rsid w:val="002E3F08"/>
    <w:pPr>
      <w:tabs>
        <w:tab w:val="left" w:pos="4082"/>
      </w:tabs>
      <w:spacing w:before="20" w:after="40"/>
      <w:ind w:left="1247"/>
    </w:pPr>
    <w:rPr>
      <w:sz w:val="18"/>
    </w:rPr>
  </w:style>
  <w:style w:type="character" w:customStyle="1" w:styleId="FootnoteTextChar">
    <w:name w:val="Footnote Text Char"/>
    <w:aliases w:val="Geneva 9 Char,Font: Geneva 9 Char,Boston 10 Char,f Char,fn Char,Footnotes Char,Footnote ak Char,ft Char,fn cafc Char,Footnotes Char Char Char,Footnote Text Char Char Char,fn Char Char Char,footnote text Char Char Char Ch Char1"/>
    <w:basedOn w:val="DefaultParagraphFont"/>
    <w:link w:val="FootnoteText"/>
    <w:rsid w:val="00AE0DBD"/>
    <w:rPr>
      <w:rFonts w:eastAsia="Times New Roman"/>
      <w:sz w:val="18"/>
      <w:lang w:val="fr-FR" w:eastAsia="en-US"/>
    </w:rPr>
  </w:style>
  <w:style w:type="table" w:styleId="GridTable1Light">
    <w:name w:val="Grid Table 1 Light"/>
    <w:basedOn w:val="TableNormal"/>
    <w:uiPriority w:val="46"/>
    <w:rsid w:val="00AE0D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0D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E0D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E0D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E0D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E0D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E0D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E0D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E0D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E0D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E0D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E0D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E0D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E0D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E0DBD"/>
    <w:rPr>
      <w:color w:val="2B579A"/>
      <w:shd w:val="clear" w:color="auto" w:fill="E1DFDD"/>
      <w:lang w:val="fr-FR"/>
    </w:rPr>
  </w:style>
  <w:style w:type="character" w:styleId="HTMLAcronym">
    <w:name w:val="HTML Acronym"/>
    <w:basedOn w:val="DefaultParagraphFont"/>
    <w:semiHidden/>
    <w:unhideWhenUsed/>
    <w:rsid w:val="00AE0DBD"/>
    <w:rPr>
      <w:lang w:val="fr-FR"/>
    </w:rPr>
  </w:style>
  <w:style w:type="paragraph" w:styleId="HTMLAddress">
    <w:name w:val="HTML Address"/>
    <w:basedOn w:val="Normal"/>
    <w:link w:val="HTMLAddressChar"/>
    <w:semiHidden/>
    <w:unhideWhenUsed/>
    <w:rsid w:val="00AE0DBD"/>
    <w:rPr>
      <w:i/>
      <w:iCs/>
    </w:rPr>
  </w:style>
  <w:style w:type="character" w:customStyle="1" w:styleId="HTMLAddressChar">
    <w:name w:val="HTML Address Char"/>
    <w:basedOn w:val="DefaultParagraphFont"/>
    <w:link w:val="HTMLAddress"/>
    <w:semiHidden/>
    <w:rsid w:val="00AE0DBD"/>
    <w:rPr>
      <w:rFonts w:eastAsia="Times New Roman"/>
      <w:i/>
      <w:iCs/>
      <w:lang w:val="fr-FR" w:eastAsia="en-US"/>
    </w:rPr>
  </w:style>
  <w:style w:type="character" w:styleId="HTMLCite">
    <w:name w:val="HTML Cite"/>
    <w:basedOn w:val="DefaultParagraphFont"/>
    <w:semiHidden/>
    <w:unhideWhenUsed/>
    <w:rsid w:val="00AE0DBD"/>
    <w:rPr>
      <w:i/>
      <w:iCs/>
      <w:lang w:val="fr-FR"/>
    </w:rPr>
  </w:style>
  <w:style w:type="character" w:styleId="HTMLCode">
    <w:name w:val="HTML Code"/>
    <w:basedOn w:val="DefaultParagraphFont"/>
    <w:semiHidden/>
    <w:unhideWhenUsed/>
    <w:rsid w:val="00AE0DBD"/>
    <w:rPr>
      <w:rFonts w:ascii="Consolas" w:hAnsi="Consolas"/>
      <w:sz w:val="20"/>
      <w:szCs w:val="20"/>
      <w:lang w:val="fr-FR"/>
    </w:rPr>
  </w:style>
  <w:style w:type="character" w:styleId="HTMLDefinition">
    <w:name w:val="HTML Definition"/>
    <w:basedOn w:val="DefaultParagraphFont"/>
    <w:semiHidden/>
    <w:unhideWhenUsed/>
    <w:rsid w:val="00AE0DBD"/>
    <w:rPr>
      <w:i/>
      <w:iCs/>
      <w:lang w:val="fr-FR"/>
    </w:rPr>
  </w:style>
  <w:style w:type="character" w:styleId="HTMLKeyboard">
    <w:name w:val="HTML Keyboard"/>
    <w:basedOn w:val="DefaultParagraphFont"/>
    <w:semiHidden/>
    <w:unhideWhenUsed/>
    <w:rsid w:val="00AE0DBD"/>
    <w:rPr>
      <w:rFonts w:ascii="Consolas" w:hAnsi="Consolas"/>
      <w:sz w:val="20"/>
      <w:szCs w:val="20"/>
      <w:lang w:val="fr-FR"/>
    </w:rPr>
  </w:style>
  <w:style w:type="paragraph" w:styleId="HTMLPreformatted">
    <w:name w:val="HTML Preformatted"/>
    <w:basedOn w:val="Normal"/>
    <w:link w:val="HTMLPreformattedChar"/>
    <w:semiHidden/>
    <w:unhideWhenUsed/>
    <w:rsid w:val="00AE0DBD"/>
    <w:rPr>
      <w:rFonts w:ascii="Consolas" w:hAnsi="Consolas"/>
    </w:rPr>
  </w:style>
  <w:style w:type="character" w:customStyle="1" w:styleId="HTMLPreformattedChar">
    <w:name w:val="HTML Preformatted Char"/>
    <w:basedOn w:val="DefaultParagraphFont"/>
    <w:link w:val="HTMLPreformatted"/>
    <w:semiHidden/>
    <w:rsid w:val="00AE0DBD"/>
    <w:rPr>
      <w:rFonts w:ascii="Consolas" w:eastAsia="Times New Roman" w:hAnsi="Consolas"/>
      <w:lang w:val="fr-FR" w:eastAsia="en-US"/>
    </w:rPr>
  </w:style>
  <w:style w:type="character" w:styleId="HTMLSample">
    <w:name w:val="HTML Sample"/>
    <w:basedOn w:val="DefaultParagraphFont"/>
    <w:semiHidden/>
    <w:unhideWhenUsed/>
    <w:rsid w:val="00AE0DBD"/>
    <w:rPr>
      <w:rFonts w:ascii="Consolas" w:hAnsi="Consolas"/>
      <w:sz w:val="24"/>
      <w:szCs w:val="24"/>
      <w:lang w:val="fr-FR"/>
    </w:rPr>
  </w:style>
  <w:style w:type="character" w:styleId="HTMLTypewriter">
    <w:name w:val="HTML Typewriter"/>
    <w:basedOn w:val="DefaultParagraphFont"/>
    <w:semiHidden/>
    <w:unhideWhenUsed/>
    <w:rsid w:val="00AE0DBD"/>
    <w:rPr>
      <w:rFonts w:ascii="Consolas" w:hAnsi="Consolas"/>
      <w:sz w:val="20"/>
      <w:szCs w:val="20"/>
      <w:lang w:val="fr-FR"/>
    </w:rPr>
  </w:style>
  <w:style w:type="character" w:styleId="HTMLVariable">
    <w:name w:val="HTML Variable"/>
    <w:basedOn w:val="DefaultParagraphFont"/>
    <w:semiHidden/>
    <w:unhideWhenUsed/>
    <w:rsid w:val="00AE0DBD"/>
    <w:rPr>
      <w:i/>
      <w:iCs/>
      <w:lang w:val="fr-FR"/>
    </w:rPr>
  </w:style>
  <w:style w:type="paragraph" w:styleId="Index1">
    <w:name w:val="index 1"/>
    <w:basedOn w:val="Normal"/>
    <w:next w:val="Normal"/>
    <w:autoRedefine/>
    <w:semiHidden/>
    <w:unhideWhenUsed/>
    <w:rsid w:val="00AE0DBD"/>
    <w:pPr>
      <w:tabs>
        <w:tab w:val="clear" w:pos="1247"/>
      </w:tabs>
      <w:ind w:left="200" w:hanging="200"/>
    </w:pPr>
  </w:style>
  <w:style w:type="paragraph" w:styleId="Index2">
    <w:name w:val="index 2"/>
    <w:basedOn w:val="Normal"/>
    <w:next w:val="Normal"/>
    <w:autoRedefine/>
    <w:semiHidden/>
    <w:unhideWhenUsed/>
    <w:rsid w:val="00AE0DBD"/>
    <w:pPr>
      <w:tabs>
        <w:tab w:val="clear" w:pos="1247"/>
      </w:tabs>
      <w:ind w:left="400" w:hanging="200"/>
    </w:pPr>
  </w:style>
  <w:style w:type="paragraph" w:styleId="Index3">
    <w:name w:val="index 3"/>
    <w:basedOn w:val="Normal"/>
    <w:next w:val="Normal"/>
    <w:autoRedefine/>
    <w:semiHidden/>
    <w:unhideWhenUsed/>
    <w:rsid w:val="00AE0DBD"/>
    <w:pPr>
      <w:tabs>
        <w:tab w:val="clear" w:pos="1247"/>
      </w:tabs>
      <w:ind w:left="600" w:hanging="200"/>
    </w:pPr>
  </w:style>
  <w:style w:type="paragraph" w:styleId="Index4">
    <w:name w:val="index 4"/>
    <w:basedOn w:val="Normal"/>
    <w:next w:val="Normal"/>
    <w:autoRedefine/>
    <w:semiHidden/>
    <w:unhideWhenUsed/>
    <w:rsid w:val="00AE0DBD"/>
    <w:pPr>
      <w:tabs>
        <w:tab w:val="clear" w:pos="1247"/>
      </w:tabs>
      <w:ind w:left="800" w:hanging="200"/>
    </w:pPr>
  </w:style>
  <w:style w:type="paragraph" w:styleId="Index5">
    <w:name w:val="index 5"/>
    <w:basedOn w:val="Normal"/>
    <w:next w:val="Normal"/>
    <w:autoRedefine/>
    <w:semiHidden/>
    <w:unhideWhenUsed/>
    <w:rsid w:val="00AE0DBD"/>
    <w:pPr>
      <w:tabs>
        <w:tab w:val="clear" w:pos="1247"/>
      </w:tabs>
      <w:ind w:left="1000" w:hanging="200"/>
    </w:pPr>
  </w:style>
  <w:style w:type="paragraph" w:styleId="Index6">
    <w:name w:val="index 6"/>
    <w:basedOn w:val="Normal"/>
    <w:next w:val="Normal"/>
    <w:autoRedefine/>
    <w:semiHidden/>
    <w:unhideWhenUsed/>
    <w:rsid w:val="00AE0DBD"/>
    <w:pPr>
      <w:tabs>
        <w:tab w:val="clear" w:pos="1247"/>
      </w:tabs>
      <w:ind w:left="1200" w:hanging="200"/>
    </w:pPr>
  </w:style>
  <w:style w:type="paragraph" w:styleId="Index7">
    <w:name w:val="index 7"/>
    <w:basedOn w:val="Normal"/>
    <w:next w:val="Normal"/>
    <w:autoRedefine/>
    <w:semiHidden/>
    <w:unhideWhenUsed/>
    <w:rsid w:val="00AE0DBD"/>
    <w:pPr>
      <w:tabs>
        <w:tab w:val="clear" w:pos="1247"/>
      </w:tabs>
      <w:ind w:left="1400" w:hanging="200"/>
    </w:pPr>
  </w:style>
  <w:style w:type="paragraph" w:styleId="Index8">
    <w:name w:val="index 8"/>
    <w:basedOn w:val="Normal"/>
    <w:next w:val="Normal"/>
    <w:autoRedefine/>
    <w:semiHidden/>
    <w:unhideWhenUsed/>
    <w:rsid w:val="00AE0DBD"/>
    <w:pPr>
      <w:tabs>
        <w:tab w:val="clear" w:pos="1247"/>
      </w:tabs>
      <w:ind w:left="1600" w:hanging="200"/>
    </w:pPr>
  </w:style>
  <w:style w:type="paragraph" w:styleId="Index9">
    <w:name w:val="index 9"/>
    <w:basedOn w:val="Normal"/>
    <w:next w:val="Normal"/>
    <w:autoRedefine/>
    <w:semiHidden/>
    <w:unhideWhenUsed/>
    <w:rsid w:val="00AE0DBD"/>
    <w:pPr>
      <w:tabs>
        <w:tab w:val="clear" w:pos="1247"/>
      </w:tabs>
      <w:ind w:left="1800" w:hanging="200"/>
    </w:pPr>
  </w:style>
  <w:style w:type="paragraph" w:styleId="IndexHeading">
    <w:name w:val="index heading"/>
    <w:basedOn w:val="Normal"/>
    <w:next w:val="Index1"/>
    <w:semiHidden/>
    <w:unhideWhenUsed/>
    <w:rsid w:val="00AE0DB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E0DBD"/>
    <w:rPr>
      <w:i/>
      <w:iCs/>
      <w:color w:val="4F81BD" w:themeColor="accent1"/>
      <w:lang w:val="fr-FR"/>
    </w:rPr>
  </w:style>
  <w:style w:type="paragraph" w:styleId="IntenseQuote">
    <w:name w:val="Intense Quote"/>
    <w:basedOn w:val="Normal"/>
    <w:next w:val="Normal"/>
    <w:link w:val="IntenseQuoteChar"/>
    <w:uiPriority w:val="30"/>
    <w:semiHidden/>
    <w:qFormat/>
    <w:rsid w:val="00AE0D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E0DBD"/>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AE0DBD"/>
    <w:rPr>
      <w:b/>
      <w:bCs/>
      <w:smallCaps/>
      <w:color w:val="4F81BD" w:themeColor="accent1"/>
      <w:spacing w:val="5"/>
      <w:lang w:val="fr-FR"/>
    </w:rPr>
  </w:style>
  <w:style w:type="table" w:styleId="LightGrid">
    <w:name w:val="Light Grid"/>
    <w:basedOn w:val="TableNormal"/>
    <w:uiPriority w:val="62"/>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E0D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0D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E0D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E0D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E0D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E0D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E0D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E0DBD"/>
    <w:rPr>
      <w:lang w:val="fr-FR"/>
    </w:rPr>
  </w:style>
  <w:style w:type="paragraph" w:styleId="List">
    <w:name w:val="List"/>
    <w:basedOn w:val="Normal"/>
    <w:semiHidden/>
    <w:unhideWhenUsed/>
    <w:rsid w:val="00AE0DBD"/>
    <w:pPr>
      <w:ind w:left="283" w:hanging="283"/>
      <w:contextualSpacing/>
    </w:pPr>
  </w:style>
  <w:style w:type="paragraph" w:styleId="List2">
    <w:name w:val="List 2"/>
    <w:basedOn w:val="Normal"/>
    <w:semiHidden/>
    <w:unhideWhenUsed/>
    <w:rsid w:val="00AE0DBD"/>
    <w:pPr>
      <w:ind w:left="566" w:hanging="283"/>
      <w:contextualSpacing/>
    </w:pPr>
  </w:style>
  <w:style w:type="paragraph" w:styleId="List3">
    <w:name w:val="List 3"/>
    <w:basedOn w:val="Normal"/>
    <w:semiHidden/>
    <w:unhideWhenUsed/>
    <w:rsid w:val="00AE0DBD"/>
    <w:pPr>
      <w:ind w:left="849" w:hanging="283"/>
      <w:contextualSpacing/>
    </w:pPr>
  </w:style>
  <w:style w:type="paragraph" w:styleId="List4">
    <w:name w:val="List 4"/>
    <w:basedOn w:val="Normal"/>
    <w:semiHidden/>
    <w:unhideWhenUsed/>
    <w:rsid w:val="00AE0DBD"/>
    <w:pPr>
      <w:ind w:left="1132" w:hanging="283"/>
      <w:contextualSpacing/>
    </w:pPr>
  </w:style>
  <w:style w:type="paragraph" w:styleId="List5">
    <w:name w:val="List 5"/>
    <w:basedOn w:val="Normal"/>
    <w:semiHidden/>
    <w:unhideWhenUsed/>
    <w:rsid w:val="00AE0DBD"/>
    <w:pPr>
      <w:ind w:left="1415" w:hanging="283"/>
      <w:contextualSpacing/>
    </w:pPr>
  </w:style>
  <w:style w:type="paragraph" w:styleId="ListBullet">
    <w:name w:val="List Bullet"/>
    <w:basedOn w:val="Normal"/>
    <w:semiHidden/>
    <w:rsid w:val="00AE0DBD"/>
    <w:pPr>
      <w:numPr>
        <w:numId w:val="5"/>
      </w:numPr>
      <w:contextualSpacing/>
    </w:pPr>
  </w:style>
  <w:style w:type="paragraph" w:styleId="ListBullet2">
    <w:name w:val="List Bullet 2"/>
    <w:basedOn w:val="Normal"/>
    <w:semiHidden/>
    <w:unhideWhenUsed/>
    <w:rsid w:val="00AE0DBD"/>
    <w:pPr>
      <w:numPr>
        <w:numId w:val="6"/>
      </w:numPr>
      <w:contextualSpacing/>
    </w:pPr>
  </w:style>
  <w:style w:type="paragraph" w:styleId="ListBullet3">
    <w:name w:val="List Bullet 3"/>
    <w:basedOn w:val="Normal"/>
    <w:semiHidden/>
    <w:unhideWhenUsed/>
    <w:rsid w:val="00AE0DBD"/>
    <w:pPr>
      <w:numPr>
        <w:numId w:val="7"/>
      </w:numPr>
      <w:contextualSpacing/>
    </w:pPr>
  </w:style>
  <w:style w:type="paragraph" w:styleId="ListBullet4">
    <w:name w:val="List Bullet 4"/>
    <w:basedOn w:val="Normal"/>
    <w:semiHidden/>
    <w:unhideWhenUsed/>
    <w:rsid w:val="00AE0DBD"/>
    <w:pPr>
      <w:numPr>
        <w:numId w:val="8"/>
      </w:numPr>
      <w:contextualSpacing/>
    </w:pPr>
  </w:style>
  <w:style w:type="paragraph" w:styleId="ListBullet5">
    <w:name w:val="List Bullet 5"/>
    <w:basedOn w:val="Normal"/>
    <w:semiHidden/>
    <w:unhideWhenUsed/>
    <w:rsid w:val="00AE0DBD"/>
    <w:pPr>
      <w:numPr>
        <w:numId w:val="9"/>
      </w:numPr>
      <w:contextualSpacing/>
    </w:pPr>
  </w:style>
  <w:style w:type="paragraph" w:styleId="ListContinue">
    <w:name w:val="List Continue"/>
    <w:basedOn w:val="Normal"/>
    <w:semiHidden/>
    <w:unhideWhenUsed/>
    <w:rsid w:val="00AE0DBD"/>
    <w:pPr>
      <w:spacing w:after="120"/>
      <w:ind w:left="283"/>
      <w:contextualSpacing/>
    </w:pPr>
  </w:style>
  <w:style w:type="paragraph" w:styleId="ListContinue2">
    <w:name w:val="List Continue 2"/>
    <w:basedOn w:val="Normal"/>
    <w:semiHidden/>
    <w:unhideWhenUsed/>
    <w:rsid w:val="00AE0DBD"/>
    <w:pPr>
      <w:spacing w:after="120"/>
      <w:ind w:left="566"/>
      <w:contextualSpacing/>
    </w:pPr>
  </w:style>
  <w:style w:type="paragraph" w:styleId="ListContinue3">
    <w:name w:val="List Continue 3"/>
    <w:basedOn w:val="Normal"/>
    <w:semiHidden/>
    <w:rsid w:val="00AE0DBD"/>
    <w:pPr>
      <w:spacing w:after="120"/>
      <w:ind w:left="849"/>
      <w:contextualSpacing/>
    </w:pPr>
  </w:style>
  <w:style w:type="paragraph" w:styleId="ListContinue4">
    <w:name w:val="List Continue 4"/>
    <w:basedOn w:val="Normal"/>
    <w:semiHidden/>
    <w:rsid w:val="00AE0DBD"/>
    <w:pPr>
      <w:spacing w:after="120"/>
      <w:ind w:left="1132"/>
      <w:contextualSpacing/>
    </w:pPr>
  </w:style>
  <w:style w:type="paragraph" w:styleId="ListContinue5">
    <w:name w:val="List Continue 5"/>
    <w:basedOn w:val="Normal"/>
    <w:semiHidden/>
    <w:rsid w:val="00AE0DBD"/>
    <w:pPr>
      <w:spacing w:after="120"/>
      <w:ind w:left="1415"/>
      <w:contextualSpacing/>
    </w:pPr>
  </w:style>
  <w:style w:type="paragraph" w:styleId="ListNumber">
    <w:name w:val="List Number"/>
    <w:basedOn w:val="Normal"/>
    <w:semiHidden/>
    <w:rsid w:val="002E3F08"/>
    <w:pPr>
      <w:numPr>
        <w:numId w:val="10"/>
      </w:numPr>
      <w:contextualSpacing/>
    </w:pPr>
  </w:style>
  <w:style w:type="paragraph" w:styleId="ListNumber2">
    <w:name w:val="List Number 2"/>
    <w:basedOn w:val="Normal"/>
    <w:semiHidden/>
    <w:unhideWhenUsed/>
    <w:rsid w:val="00AE0DBD"/>
    <w:pPr>
      <w:numPr>
        <w:numId w:val="11"/>
      </w:numPr>
      <w:contextualSpacing/>
    </w:pPr>
  </w:style>
  <w:style w:type="paragraph" w:styleId="ListNumber3">
    <w:name w:val="List Number 3"/>
    <w:basedOn w:val="Normal"/>
    <w:semiHidden/>
    <w:unhideWhenUsed/>
    <w:rsid w:val="00AE0DBD"/>
    <w:pPr>
      <w:numPr>
        <w:numId w:val="12"/>
      </w:numPr>
      <w:contextualSpacing/>
    </w:pPr>
  </w:style>
  <w:style w:type="paragraph" w:styleId="ListNumber4">
    <w:name w:val="List Number 4"/>
    <w:basedOn w:val="Normal"/>
    <w:semiHidden/>
    <w:unhideWhenUsed/>
    <w:rsid w:val="00AE0DBD"/>
    <w:pPr>
      <w:numPr>
        <w:numId w:val="13"/>
      </w:numPr>
      <w:contextualSpacing/>
    </w:pPr>
  </w:style>
  <w:style w:type="paragraph" w:styleId="ListNumber5">
    <w:name w:val="List Number 5"/>
    <w:basedOn w:val="Normal"/>
    <w:semiHidden/>
    <w:unhideWhenUsed/>
    <w:rsid w:val="00AE0DBD"/>
    <w:pPr>
      <w:numPr>
        <w:numId w:val="14"/>
      </w:numPr>
      <w:contextualSpacing/>
    </w:pPr>
  </w:style>
  <w:style w:type="table" w:styleId="ListTable1Light">
    <w:name w:val="List Table 1 Light"/>
    <w:basedOn w:val="TableNormal"/>
    <w:uiPriority w:val="46"/>
    <w:rsid w:val="00AE0D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E0D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E0D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E0D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E0D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E0D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E0D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E0D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E0D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E0D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E0D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E0D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E0D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E0D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E0D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E0D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E0D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E0D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E0D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E0D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E0D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E0D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E0D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E0D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E0D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E0D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E0D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E0D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E0D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E0D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E0D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E0D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E0D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E0D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E0D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E0D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E0D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E0D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E0D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0D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0D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E0D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E0DB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AE0DBD"/>
    <w:rPr>
      <w:rFonts w:ascii="Consolas" w:eastAsia="Times New Roman" w:hAnsi="Consolas"/>
      <w:lang w:val="fr-FR" w:eastAsia="en-US"/>
    </w:rPr>
  </w:style>
  <w:style w:type="table" w:styleId="MediumGrid1">
    <w:name w:val="Medium Grid 1"/>
    <w:basedOn w:val="TableNormal"/>
    <w:uiPriority w:val="67"/>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E0D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0D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E0D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E0D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E0D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E0D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E0D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E0DBD"/>
    <w:rPr>
      <w:color w:val="2B579A"/>
      <w:shd w:val="clear" w:color="auto" w:fill="E1DFDD"/>
      <w:lang w:val="fr-FR"/>
    </w:rPr>
  </w:style>
  <w:style w:type="paragraph" w:styleId="MessageHeader">
    <w:name w:val="Message Header"/>
    <w:basedOn w:val="Normal"/>
    <w:link w:val="MessageHeaderChar"/>
    <w:semiHidden/>
    <w:rsid w:val="00AE0D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E0DBD"/>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AE0DBD"/>
    <w:pPr>
      <w:ind w:left="720"/>
    </w:pPr>
  </w:style>
  <w:style w:type="paragraph" w:styleId="NoteHeading">
    <w:name w:val="Note Heading"/>
    <w:basedOn w:val="Normal"/>
    <w:next w:val="Normal"/>
    <w:link w:val="NoteHeadingChar"/>
    <w:semiHidden/>
    <w:unhideWhenUsed/>
    <w:rsid w:val="00AE0DBD"/>
  </w:style>
  <w:style w:type="character" w:customStyle="1" w:styleId="NoteHeadingChar">
    <w:name w:val="Note Heading Char"/>
    <w:basedOn w:val="DefaultParagraphFont"/>
    <w:link w:val="NoteHeading"/>
    <w:semiHidden/>
    <w:rsid w:val="00AE0DBD"/>
    <w:rPr>
      <w:rFonts w:eastAsia="Times New Roman"/>
      <w:lang w:val="fr-FR" w:eastAsia="en-US"/>
    </w:rPr>
  </w:style>
  <w:style w:type="table" w:styleId="PlainTable1">
    <w:name w:val="Plain Table 1"/>
    <w:basedOn w:val="TableNormal"/>
    <w:uiPriority w:val="41"/>
    <w:rsid w:val="00AE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E0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E0DBD"/>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0D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0D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E0DBD"/>
    <w:rPr>
      <w:rFonts w:ascii="Consolas" w:hAnsi="Consolas"/>
      <w:sz w:val="21"/>
      <w:szCs w:val="21"/>
    </w:rPr>
  </w:style>
  <w:style w:type="character" w:customStyle="1" w:styleId="PlainTextChar">
    <w:name w:val="Plain Text Char"/>
    <w:basedOn w:val="DefaultParagraphFont"/>
    <w:link w:val="PlainText"/>
    <w:semiHidden/>
    <w:rsid w:val="00AE0DBD"/>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AE0D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E0DBD"/>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AE0DBD"/>
  </w:style>
  <w:style w:type="character" w:customStyle="1" w:styleId="SalutationChar">
    <w:name w:val="Salutation Char"/>
    <w:basedOn w:val="DefaultParagraphFont"/>
    <w:link w:val="Salutation"/>
    <w:semiHidden/>
    <w:rsid w:val="00AE0DBD"/>
    <w:rPr>
      <w:rFonts w:eastAsia="Times New Roman"/>
      <w:lang w:val="fr-FR" w:eastAsia="en-US"/>
    </w:rPr>
  </w:style>
  <w:style w:type="paragraph" w:styleId="Signature">
    <w:name w:val="Signature"/>
    <w:basedOn w:val="Normal"/>
    <w:link w:val="SignatureChar"/>
    <w:semiHidden/>
    <w:unhideWhenUsed/>
    <w:rsid w:val="00AE0DBD"/>
    <w:pPr>
      <w:ind w:left="4252"/>
    </w:pPr>
  </w:style>
  <w:style w:type="character" w:customStyle="1" w:styleId="SignatureChar">
    <w:name w:val="Signature Char"/>
    <w:basedOn w:val="DefaultParagraphFont"/>
    <w:link w:val="Signature"/>
    <w:semiHidden/>
    <w:rsid w:val="00AE0DBD"/>
    <w:rPr>
      <w:rFonts w:eastAsia="Times New Roman"/>
      <w:lang w:val="fr-FR" w:eastAsia="en-US"/>
    </w:rPr>
  </w:style>
  <w:style w:type="character" w:styleId="SmartHyperlink">
    <w:name w:val="Smart Hyperlink"/>
    <w:basedOn w:val="DefaultParagraphFont"/>
    <w:uiPriority w:val="99"/>
    <w:semiHidden/>
    <w:rsid w:val="00AE0DBD"/>
    <w:rPr>
      <w:u w:val="dotted"/>
      <w:lang w:val="fr-FR"/>
    </w:rPr>
  </w:style>
  <w:style w:type="character" w:styleId="SmartLink">
    <w:name w:val="Smart Link"/>
    <w:basedOn w:val="DefaultParagraphFont"/>
    <w:uiPriority w:val="99"/>
    <w:semiHidden/>
    <w:unhideWhenUsed/>
    <w:rsid w:val="00AE0DBD"/>
    <w:rPr>
      <w:color w:val="0000FF"/>
      <w:u w:val="single"/>
      <w:shd w:val="clear" w:color="auto" w:fill="F3F2F1"/>
      <w:lang w:val="fr-FR"/>
    </w:rPr>
  </w:style>
  <w:style w:type="character" w:styleId="Strong">
    <w:name w:val="Strong"/>
    <w:basedOn w:val="DefaultParagraphFont"/>
    <w:semiHidden/>
    <w:qFormat/>
    <w:rsid w:val="00AE0DBD"/>
    <w:rPr>
      <w:b/>
      <w:bCs/>
      <w:lang w:val="fr-FR"/>
    </w:rPr>
  </w:style>
  <w:style w:type="paragraph" w:styleId="Subtitle">
    <w:name w:val="Subtitle"/>
    <w:basedOn w:val="Normal"/>
    <w:next w:val="Normal"/>
    <w:link w:val="SubtitleChar"/>
    <w:semiHidden/>
    <w:qFormat/>
    <w:rsid w:val="00AE0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E0DBD"/>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AE0DBD"/>
    <w:rPr>
      <w:i/>
      <w:iCs/>
      <w:color w:val="404040" w:themeColor="text1" w:themeTint="BF"/>
      <w:lang w:val="fr-FR"/>
    </w:rPr>
  </w:style>
  <w:style w:type="character" w:styleId="SubtleReference">
    <w:name w:val="Subtle Reference"/>
    <w:basedOn w:val="DefaultParagraphFont"/>
    <w:uiPriority w:val="31"/>
    <w:semiHidden/>
    <w:qFormat/>
    <w:rsid w:val="00AE0DBD"/>
    <w:rPr>
      <w:smallCaps/>
      <w:color w:val="5A5A5A" w:themeColor="text1" w:themeTint="A5"/>
      <w:lang w:val="fr-FR"/>
    </w:rPr>
  </w:style>
  <w:style w:type="table" w:styleId="Table3Deffects1">
    <w:name w:val="Table 3D effect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E0D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E0DBD"/>
    <w:pPr>
      <w:tabs>
        <w:tab w:val="clear" w:pos="1247"/>
      </w:tabs>
      <w:ind w:left="200" w:hanging="200"/>
    </w:pPr>
  </w:style>
  <w:style w:type="table" w:styleId="TableProfessional">
    <w:name w:val="Table Professional"/>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E0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E0DBD"/>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AE0D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E0DB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E43635"/>
    <w:rPr>
      <w:b/>
      <w:bCs/>
      <w:sz w:val="28"/>
      <w:szCs w:val="22"/>
    </w:rPr>
  </w:style>
  <w:style w:type="character" w:customStyle="1" w:styleId="CH2Char">
    <w:name w:val="CH2 Char"/>
    <w:link w:val="CH2"/>
    <w:rsid w:val="00E43635"/>
    <w:rPr>
      <w:b/>
      <w:sz w:val="24"/>
      <w:szCs w:val="24"/>
    </w:rPr>
  </w:style>
  <w:style w:type="character" w:customStyle="1" w:styleId="BBTitleChar">
    <w:name w:val="BB_Title Char"/>
    <w:link w:val="BBTitle"/>
    <w:rsid w:val="00E43635"/>
    <w:rPr>
      <w:b/>
      <w:sz w:val="28"/>
      <w:szCs w:val="28"/>
    </w:rPr>
  </w:style>
  <w:style w:type="paragraph" w:styleId="Revision">
    <w:name w:val="Revision"/>
    <w:hidden/>
    <w:uiPriority w:val="99"/>
    <w:semiHidden/>
    <w:rsid w:val="00BF020B"/>
    <w:rPr>
      <w:rFonts w:eastAsia="Times New Roman"/>
      <w:lang w:val="en-GB" w:eastAsia="en-US"/>
    </w:rPr>
  </w:style>
  <w:style w:type="character" w:customStyle="1" w:styleId="Normal-poolChar">
    <w:name w:val="Normal-pool Char"/>
    <w:link w:val="Normal-pool"/>
    <w:locked/>
    <w:rsid w:val="0001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nep.org/globalmercurypartnership/insights-asgm-national-action-pla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inamataconvention.org/en/parties/national-action-pla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ep.org/globalmercurypartnership/insights-asgm-national-action-plans" TargetMode="External"/><Relationship Id="rId23" Type="http://schemas.openxmlformats.org/officeDocument/2006/relationships/hyperlink" Target="https://minamataconvention.org/en/documents/guidance-document-management-artisanal-and-small-scale-gold-mining-tailing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fr/parties/national-action-plan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unep.org/globalmercurypartnership/what-we-do/artisanal-and-small-scale-gold-mining-asgm/national-action-plans" TargetMode="External"/><Relationship Id="rId13" Type="http://schemas.openxmlformats.org/officeDocument/2006/relationships/hyperlink" Target="https://minamataconvention.org/en/documents/guidance-completing-national-reporting-format-minamata-convention-mercury" TargetMode="External"/><Relationship Id="rId3" Type="http://schemas.openxmlformats.org/officeDocument/2006/relationships/hyperlink" Target="https://minamataconvention.org/en/documents/guidance-completing-national-reporting-format-minamata-convention-mercury" TargetMode="External"/><Relationship Id="rId7" Type="http://schemas.openxmlformats.org/officeDocument/2006/relationships/hyperlink" Target="https://www.ipbes.net/node/41450" TargetMode="External"/><Relationship Id="rId12" Type="http://schemas.openxmlformats.org/officeDocument/2006/relationships/hyperlink" Target="https://minamataconvention.org/en/documents/guidance-completing-national-reporting-format-minamata-convention-mercury" TargetMode="External"/><Relationship Id="rId2" Type="http://schemas.openxmlformats.org/officeDocument/2006/relationships/hyperlink" Target="https://minamataconvention.org/sites/default/files/2021-06/NAP_guidance2018_EN.pdf" TargetMode="External"/><Relationship Id="rId1" Type="http://schemas.openxmlformats.org/officeDocument/2006/relationships/hyperlink" Target="https://minamataconvention.org/sites/default/files/inline-files/NAP_guidance2018_FR.pdf" TargetMode="External"/><Relationship Id="rId6" Type="http://schemas.openxmlformats.org/officeDocument/2006/relationships/hyperlink" Target="https://minamataconvention.org/en/documents/guidance-completing-national-reporting-format-minamata-convention-mercury" TargetMode="External"/><Relationship Id="rId11" Type="http://schemas.openxmlformats.org/officeDocument/2006/relationships/hyperlink" Target="https://minamataconvention.org/en/parties/reporting" TargetMode="External"/><Relationship Id="rId5" Type="http://schemas.openxmlformats.org/officeDocument/2006/relationships/hyperlink" Target="https://minamataconvention.org/en/documents/guidance-completing-national-reporting-format-minamata-convention-mercury" TargetMode="External"/><Relationship Id="rId10" Type="http://schemas.openxmlformats.org/officeDocument/2006/relationships/hyperlink" Target="https://minamataconvention.org/fr/parties/reporting" TargetMode="External"/><Relationship Id="rId4" Type="http://schemas.openxmlformats.org/officeDocument/2006/relationships/hyperlink" Target="https://minamataconvention.org/en/documents/guidance-completing-national-reporting-format-minamata-convention-mercury" TargetMode="External"/><Relationship Id="rId9" Type="http://schemas.openxmlformats.org/officeDocument/2006/relationships/hyperlink" Target="https://www.unep.org/globalmercurypartnership/what-we-do/artisanal-and-small-scale-gold-mining-asgm/national-action-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www.w3.org/XML/1998/namespace"/>
    <ds:schemaRef ds:uri="786100a8-bbaa-48b6-aa10-6d2082f346b4"/>
    <ds:schemaRef ds:uri="http://schemas.openxmlformats.org/package/2006/metadata/core-properties"/>
    <ds:schemaRef ds:uri="http://purl.org/dc/elements/1.1/"/>
    <ds:schemaRef ds:uri="http://schemas.microsoft.com/office/infopath/2007/PartnerControls"/>
    <ds:schemaRef ds:uri="25a4600d-fc45-4aed-ad1e-9b44b590e5cc"/>
    <ds:schemaRef ds:uri="http://schemas.microsoft.com/office/2006/documentManagement/types"/>
    <ds:schemaRef ds:uri="985ec44e-1bab-4c0b-9df0-6ba128686fc9"/>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3C296E3-B2F6-408A-8E22-29436C764761}"/>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12</Pages>
  <Words>4895</Words>
  <Characters>27376</Characters>
  <Application>Microsoft Office Word</Application>
  <DocSecurity>0</DocSecurity>
  <PresentationFormat/>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Herimalala Raveloarinjato</cp:lastModifiedBy>
  <cp:revision>3</cp:revision>
  <cp:lastPrinted>2025-09-17T11:56:00Z</cp:lastPrinted>
  <dcterms:created xsi:type="dcterms:W3CDTF">2025-09-17T11:56:00Z</dcterms:created>
  <dcterms:modified xsi:type="dcterms:W3CDTF">2025-09-17T11:56:00Z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