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A28A4" w:rsidRPr="00256FD2" w14:paraId="09BECC0E" w14:textId="77777777" w:rsidTr="001A28A4">
        <w:trPr>
          <w:trHeight w:val="850"/>
        </w:trPr>
        <w:tc>
          <w:tcPr>
            <w:tcW w:w="1559" w:type="dxa"/>
          </w:tcPr>
          <w:p w14:paraId="16F5C1BC" w14:textId="2A51E77C" w:rsidR="001A28A4" w:rsidRPr="00256FD2" w:rsidRDefault="001A28A4" w:rsidP="001A28A4">
            <w:pPr>
              <w:pStyle w:val="AUnitedNations"/>
            </w:pPr>
            <w:r w:rsidRPr="00256FD2">
              <w:t xml:space="preserve">NATIONS </w:t>
            </w:r>
            <w:r w:rsidRPr="00256FD2">
              <w:br/>
              <w:t>UNIES</w:t>
            </w:r>
          </w:p>
        </w:tc>
        <w:tc>
          <w:tcPr>
            <w:tcW w:w="6520" w:type="dxa"/>
          </w:tcPr>
          <w:p w14:paraId="6D1606A9" w14:textId="189C683F" w:rsidR="001A28A4" w:rsidRPr="00256FD2" w:rsidRDefault="001A28A4" w:rsidP="001A28A4">
            <w:pPr>
              <w:pStyle w:val="Normal-pool"/>
            </w:pPr>
            <w:r w:rsidRPr="00256FD2">
              <w:rPr>
                <w:noProof/>
              </w:rPr>
              <w:drawing>
                <wp:anchor distT="0" distB="0" distL="114300" distR="114300" simplePos="0" relativeHeight="251660288" behindDoc="0" locked="0" layoutInCell="1" allowOverlap="1" wp14:anchorId="4357F9DA" wp14:editId="0BF5258E">
                  <wp:simplePos x="0" y="0"/>
                  <wp:positionH relativeFrom="column">
                    <wp:posOffset>-1149</wp:posOffset>
                  </wp:positionH>
                  <wp:positionV relativeFrom="paragraph">
                    <wp:posOffset>1866</wp:posOffset>
                  </wp:positionV>
                  <wp:extent cx="1269153" cy="573559"/>
                  <wp:effectExtent l="0" t="0" r="7620" b="0"/>
                  <wp:wrapNone/>
                  <wp:docPr id="1526999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9924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10A7889" w14:textId="77777777" w:rsidR="001A28A4" w:rsidRPr="00256FD2" w:rsidRDefault="001A28A4" w:rsidP="001A28A4">
            <w:pPr>
              <w:pStyle w:val="Normal-pool"/>
            </w:pPr>
          </w:p>
        </w:tc>
      </w:tr>
    </w:tbl>
    <w:p w14:paraId="26E7DC8F" w14:textId="77777777" w:rsidR="001A28A4" w:rsidRPr="00256FD2" w:rsidRDefault="001A28A4" w:rsidP="001A28A4">
      <w:pPr>
        <w:pStyle w:val="ASpacer"/>
      </w:pPr>
    </w:p>
    <w:tbl>
      <w:tblPr>
        <w:tblW w:w="9496" w:type="dxa"/>
        <w:tblLook w:val="0000" w:firstRow="0" w:lastRow="0" w:firstColumn="0" w:lastColumn="0" w:noHBand="0" w:noVBand="0"/>
      </w:tblPr>
      <w:tblGrid>
        <w:gridCol w:w="6378"/>
        <w:gridCol w:w="3118"/>
      </w:tblGrid>
      <w:tr w:rsidR="001A28A4" w:rsidRPr="00256FD2" w14:paraId="0DAC5B06" w14:textId="77777777" w:rsidTr="001A28A4">
        <w:trPr>
          <w:trHeight w:val="340"/>
        </w:trPr>
        <w:tc>
          <w:tcPr>
            <w:tcW w:w="3358" w:type="pct"/>
            <w:vAlign w:val="bottom"/>
          </w:tcPr>
          <w:p w14:paraId="534C6945" w14:textId="77777777" w:rsidR="001A28A4" w:rsidRPr="00256FD2" w:rsidRDefault="001A28A4" w:rsidP="001A28A4">
            <w:pPr>
              <w:pStyle w:val="Normal-pool"/>
            </w:pPr>
          </w:p>
        </w:tc>
        <w:tc>
          <w:tcPr>
            <w:tcW w:w="1642" w:type="pct"/>
            <w:noWrap/>
            <w:vAlign w:val="bottom"/>
          </w:tcPr>
          <w:p w14:paraId="356F6617" w14:textId="449EB839" w:rsidR="001A28A4" w:rsidRPr="00256FD2" w:rsidRDefault="001A28A4" w:rsidP="001A28A4">
            <w:pPr>
              <w:pStyle w:val="ASymbol"/>
            </w:pPr>
            <w:r w:rsidRPr="00256FD2">
              <w:rPr>
                <w:b/>
                <w:sz w:val="28"/>
              </w:rPr>
              <w:t>UNEP</w:t>
            </w:r>
            <w:r w:rsidRPr="00256FD2">
              <w:t>/MC/COP.</w:t>
            </w:r>
            <w:bookmarkStart w:id="0" w:name="Symbol1A"/>
            <w:r w:rsidRPr="00256FD2">
              <w:t>6</w:t>
            </w:r>
            <w:bookmarkStart w:id="1" w:name="Symbol1B"/>
            <w:bookmarkEnd w:id="0"/>
            <w:r w:rsidRPr="00256FD2">
              <w:t>/7</w:t>
            </w:r>
            <w:bookmarkEnd w:id="1"/>
          </w:p>
        </w:tc>
      </w:tr>
    </w:tbl>
    <w:p w14:paraId="06851A4E" w14:textId="77777777" w:rsidR="001A28A4" w:rsidRPr="00256FD2" w:rsidRDefault="001A28A4" w:rsidP="001A28A4">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A28A4" w:rsidRPr="00256FD2" w14:paraId="66382898" w14:textId="77777777" w:rsidTr="001A28A4">
        <w:trPr>
          <w:trHeight w:val="2098"/>
        </w:trPr>
        <w:tc>
          <w:tcPr>
            <w:tcW w:w="3685" w:type="dxa"/>
          </w:tcPr>
          <w:p w14:paraId="0853FC91" w14:textId="2360EAC5" w:rsidR="001A28A4" w:rsidRPr="00256FD2" w:rsidRDefault="001A28A4" w:rsidP="001A28A4">
            <w:pPr>
              <w:pStyle w:val="ALogo"/>
            </w:pPr>
            <w:r w:rsidRPr="00256FD2">
              <w:rPr>
                <w:noProof/>
              </w:rPr>
              <w:drawing>
                <wp:inline distT="0" distB="0" distL="0" distR="0" wp14:anchorId="581B5A10" wp14:editId="46DB45AA">
                  <wp:extent cx="2202815" cy="1028700"/>
                  <wp:effectExtent l="0" t="0" r="6985" b="0"/>
                  <wp:docPr id="1580785060" name="Picture 2"/>
                  <wp:cNvGraphicFramePr/>
                  <a:graphic xmlns:a="http://schemas.openxmlformats.org/drawingml/2006/main">
                    <a:graphicData uri="http://schemas.openxmlformats.org/drawingml/2006/picture">
                      <pic:pic xmlns:pic="http://schemas.openxmlformats.org/drawingml/2006/picture">
                        <pic:nvPicPr>
                          <pic:cNvPr id="158078506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256FD2">
              <w:t xml:space="preserve"> </w:t>
            </w:r>
          </w:p>
          <w:p w14:paraId="08CEB8E8" w14:textId="74F8D017" w:rsidR="001A28A4" w:rsidRPr="00256FD2" w:rsidRDefault="001A28A4" w:rsidP="001A28A4">
            <w:pPr>
              <w:pStyle w:val="ALogo"/>
            </w:pPr>
          </w:p>
        </w:tc>
        <w:tc>
          <w:tcPr>
            <w:tcW w:w="2693" w:type="dxa"/>
          </w:tcPr>
          <w:p w14:paraId="7D984F87" w14:textId="77777777" w:rsidR="001A28A4" w:rsidRPr="00256FD2" w:rsidRDefault="001A28A4" w:rsidP="001A28A4">
            <w:pPr>
              <w:pStyle w:val="Normal-pool"/>
            </w:pPr>
          </w:p>
        </w:tc>
        <w:tc>
          <w:tcPr>
            <w:tcW w:w="3118" w:type="dxa"/>
          </w:tcPr>
          <w:p w14:paraId="6F204D0E" w14:textId="7D523A8A" w:rsidR="001A28A4" w:rsidRPr="00256FD2" w:rsidRDefault="001A28A4" w:rsidP="001A28A4">
            <w:pPr>
              <w:pStyle w:val="AText"/>
            </w:pPr>
            <w:proofErr w:type="spellStart"/>
            <w:r w:rsidRPr="00256FD2">
              <w:t>Distr</w:t>
            </w:r>
            <w:proofErr w:type="spellEnd"/>
            <w:r w:rsidRPr="00256FD2">
              <w:t xml:space="preserve">. </w:t>
            </w:r>
            <w:bookmarkStart w:id="2" w:name="Distribution"/>
            <w:proofErr w:type="gramStart"/>
            <w:r w:rsidR="00E80565" w:rsidRPr="00256FD2">
              <w:t>générale</w:t>
            </w:r>
            <w:bookmarkEnd w:id="2"/>
            <w:proofErr w:type="gramEnd"/>
            <w:r w:rsidRPr="00256FD2">
              <w:t xml:space="preserve"> </w:t>
            </w:r>
          </w:p>
          <w:p w14:paraId="41DE3C49" w14:textId="631B5BB5" w:rsidR="001A28A4" w:rsidRPr="00256FD2" w:rsidRDefault="00E80565" w:rsidP="001A28A4">
            <w:pPr>
              <w:pStyle w:val="AText0"/>
            </w:pPr>
            <w:r w:rsidRPr="00256FD2">
              <w:t>28 juillet 2025</w:t>
            </w:r>
            <w:r w:rsidR="001A28A4" w:rsidRPr="00256FD2">
              <w:t xml:space="preserve"> </w:t>
            </w:r>
          </w:p>
          <w:p w14:paraId="572FF789" w14:textId="0C5ACF1F" w:rsidR="001A28A4" w:rsidRPr="00256FD2" w:rsidRDefault="001A28A4" w:rsidP="001A28A4">
            <w:pPr>
              <w:pStyle w:val="AText"/>
            </w:pPr>
            <w:bookmarkStart w:id="3" w:name="DistributionLang"/>
            <w:r w:rsidRPr="00256FD2">
              <w:t xml:space="preserve">Français </w:t>
            </w:r>
            <w:r w:rsidRPr="00256FD2">
              <w:br/>
              <w:t>Original : anglais</w:t>
            </w:r>
            <w:bookmarkEnd w:id="3"/>
          </w:p>
        </w:tc>
      </w:tr>
    </w:tbl>
    <w:p w14:paraId="5781E26E" w14:textId="77777777" w:rsidR="001A28A4" w:rsidRPr="00256FD2" w:rsidRDefault="001A28A4" w:rsidP="001A28A4">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A28A4" w:rsidRPr="00256FD2" w14:paraId="412ABDE7" w14:textId="77777777" w:rsidTr="001A28A4">
        <w:trPr>
          <w:trHeight w:val="57"/>
        </w:trPr>
        <w:tc>
          <w:tcPr>
            <w:tcW w:w="5301" w:type="dxa"/>
          </w:tcPr>
          <w:p w14:paraId="641235CB" w14:textId="77777777" w:rsidR="001A28A4" w:rsidRPr="00256FD2" w:rsidRDefault="001A28A4" w:rsidP="001A28A4">
            <w:pPr>
              <w:pStyle w:val="AATitle"/>
            </w:pPr>
            <w:bookmarkStart w:id="4" w:name="CorNot1Text"/>
            <w:r w:rsidRPr="00256FD2">
              <w:t xml:space="preserve">Conférence des Parties à la Convention de </w:t>
            </w:r>
            <w:r w:rsidRPr="00256FD2">
              <w:br/>
              <w:t xml:space="preserve">Minamata sur le mercure </w:t>
            </w:r>
          </w:p>
          <w:p w14:paraId="575686EC" w14:textId="75E1CA83" w:rsidR="001A28A4" w:rsidRPr="00256FD2" w:rsidRDefault="001A28A4" w:rsidP="001A28A4">
            <w:pPr>
              <w:pStyle w:val="AATitle"/>
            </w:pPr>
            <w:r w:rsidRPr="00256FD2">
              <w:t>Sixième réunion</w:t>
            </w:r>
            <w:bookmarkEnd w:id="4"/>
            <w:r w:rsidRPr="00256FD2">
              <w:t xml:space="preserve"> </w:t>
            </w:r>
          </w:p>
          <w:p w14:paraId="4A05906F" w14:textId="4446F537" w:rsidR="001A28A4" w:rsidRPr="00256FD2" w:rsidRDefault="001A28A4" w:rsidP="001A28A4">
            <w:pPr>
              <w:pStyle w:val="AATitle1"/>
            </w:pPr>
            <w:bookmarkStart w:id="5" w:name="CorNot1VenueDate"/>
            <w:r w:rsidRPr="00256FD2">
              <w:t>Genève, 3-7 novembre 2025</w:t>
            </w:r>
            <w:bookmarkEnd w:id="5"/>
            <w:r w:rsidRPr="00256FD2">
              <w:t xml:space="preserve"> </w:t>
            </w:r>
          </w:p>
          <w:p w14:paraId="4892F1EF" w14:textId="51F5BDD2" w:rsidR="001A28A4" w:rsidRPr="00256FD2" w:rsidRDefault="001A28A4" w:rsidP="001A28A4">
            <w:pPr>
              <w:pStyle w:val="AATitle1"/>
            </w:pPr>
            <w:bookmarkStart w:id="6" w:name="CorNot1AgItem"/>
            <w:r w:rsidRPr="00256FD2">
              <w:t>Point</w:t>
            </w:r>
            <w:r w:rsidR="00E80565" w:rsidRPr="00256FD2">
              <w:t> 4 c)</w:t>
            </w:r>
            <w:r w:rsidRPr="00256FD2">
              <w:t xml:space="preserve"> de l’ordre du jour provisoire</w:t>
            </w:r>
            <w:bookmarkEnd w:id="6"/>
            <w:r w:rsidR="00E80565" w:rsidRPr="00256FD2">
              <w:rPr>
                <w:rStyle w:val="FootnoteReference"/>
                <w:rFonts w:eastAsia="SimSun"/>
                <w:vertAlign w:val="baseline"/>
              </w:rPr>
              <w:footnoteReference w:customMarkFollows="1" w:id="2"/>
              <w:t>*</w:t>
            </w:r>
          </w:p>
          <w:p w14:paraId="0242D276" w14:textId="357D4E04" w:rsidR="001A28A4" w:rsidRPr="00256FD2" w:rsidRDefault="00E80565" w:rsidP="001A28A4">
            <w:pPr>
              <w:pStyle w:val="AATitle2"/>
            </w:pPr>
            <w:r w:rsidRPr="00256FD2">
              <w:rPr>
                <w:rFonts w:eastAsiaTheme="minorEastAsia"/>
              </w:rPr>
              <w:t>Questions soumises à la Conférence des Parties pour examen ou décision : extraction minière artisanale et</w:t>
            </w:r>
            <w:r w:rsidR="00407B2C" w:rsidRPr="00256FD2">
              <w:rPr>
                <w:rFonts w:eastAsiaTheme="minorEastAsia"/>
              </w:rPr>
              <w:t> </w:t>
            </w:r>
            <w:r w:rsidRPr="00256FD2">
              <w:rPr>
                <w:rFonts w:eastAsiaTheme="minorEastAsia"/>
              </w:rPr>
              <w:t>à</w:t>
            </w:r>
            <w:r w:rsidR="00234490" w:rsidRPr="00256FD2">
              <w:rPr>
                <w:rFonts w:eastAsiaTheme="minorEastAsia"/>
              </w:rPr>
              <w:t> </w:t>
            </w:r>
            <w:r w:rsidRPr="00256FD2">
              <w:rPr>
                <w:rFonts w:eastAsiaTheme="minorEastAsia"/>
              </w:rPr>
              <w:t>petite</w:t>
            </w:r>
            <w:r w:rsidR="00234490" w:rsidRPr="00256FD2">
              <w:rPr>
                <w:rFonts w:eastAsiaTheme="minorEastAsia"/>
              </w:rPr>
              <w:t> </w:t>
            </w:r>
            <w:r w:rsidRPr="00256FD2">
              <w:rPr>
                <w:rFonts w:eastAsiaTheme="minorEastAsia"/>
              </w:rPr>
              <w:t>échelle</w:t>
            </w:r>
            <w:r w:rsidR="00234490" w:rsidRPr="00256FD2">
              <w:rPr>
                <w:rFonts w:eastAsiaTheme="minorEastAsia"/>
              </w:rPr>
              <w:t> </w:t>
            </w:r>
            <w:r w:rsidRPr="00256FD2">
              <w:rPr>
                <w:rFonts w:eastAsiaTheme="minorEastAsia"/>
              </w:rPr>
              <w:t>d’or</w:t>
            </w:r>
          </w:p>
        </w:tc>
        <w:tc>
          <w:tcPr>
            <w:tcW w:w="4195" w:type="dxa"/>
          </w:tcPr>
          <w:p w14:paraId="5890AC31" w14:textId="77777777" w:rsidR="001A28A4" w:rsidRPr="00256FD2" w:rsidRDefault="001A28A4" w:rsidP="001A28A4">
            <w:pPr>
              <w:pStyle w:val="Normal-pool"/>
            </w:pPr>
          </w:p>
        </w:tc>
      </w:tr>
    </w:tbl>
    <w:p w14:paraId="1FC0283F" w14:textId="78E590A0" w:rsidR="001030F4" w:rsidRPr="00256FD2" w:rsidRDefault="001030F4" w:rsidP="001030F4">
      <w:pPr>
        <w:pStyle w:val="BBTitle"/>
      </w:pPr>
      <w:r w:rsidRPr="00256FD2">
        <w:rPr>
          <w:bCs/>
        </w:rPr>
        <w:t>Questions soumises à la Conférence des Parties pour examen en</w:t>
      </w:r>
      <w:r w:rsidR="00E70923" w:rsidRPr="00256FD2">
        <w:rPr>
          <w:bCs/>
        </w:rPr>
        <w:t> </w:t>
      </w:r>
      <w:r w:rsidRPr="00256FD2">
        <w:rPr>
          <w:bCs/>
        </w:rPr>
        <w:t>application de la décision</w:t>
      </w:r>
      <w:r w:rsidR="004712CA" w:rsidRPr="00256FD2">
        <w:rPr>
          <w:bCs/>
        </w:rPr>
        <w:t> </w:t>
      </w:r>
      <w:r w:rsidRPr="00256FD2">
        <w:rPr>
          <w:bCs/>
        </w:rPr>
        <w:t>MC-5/7 sur l</w:t>
      </w:r>
      <w:r w:rsidR="007C21C3" w:rsidRPr="00256FD2">
        <w:rPr>
          <w:bCs/>
        </w:rPr>
        <w:t>’</w:t>
      </w:r>
      <w:r w:rsidRPr="00256FD2">
        <w:rPr>
          <w:bCs/>
        </w:rPr>
        <w:t>extraction minière artisanale et à petite échelle d</w:t>
      </w:r>
      <w:r w:rsidR="007C21C3" w:rsidRPr="00256FD2">
        <w:rPr>
          <w:bCs/>
        </w:rPr>
        <w:t>’</w:t>
      </w:r>
      <w:r w:rsidRPr="00256FD2">
        <w:rPr>
          <w:bCs/>
        </w:rPr>
        <w:t>or</w:t>
      </w:r>
    </w:p>
    <w:p w14:paraId="29D4BBA6" w14:textId="77777777" w:rsidR="001030F4" w:rsidRPr="00256FD2" w:rsidRDefault="001030F4" w:rsidP="001030F4">
      <w:pPr>
        <w:pStyle w:val="CH2"/>
      </w:pPr>
      <w:r w:rsidRPr="00256FD2">
        <w:tab/>
      </w:r>
      <w:r w:rsidRPr="00256FD2">
        <w:tab/>
      </w:r>
      <w:r w:rsidRPr="00256FD2">
        <w:rPr>
          <w:bCs/>
        </w:rPr>
        <w:t>Note du secrétariat</w:t>
      </w:r>
    </w:p>
    <w:p w14:paraId="612FA313" w14:textId="2BD81586" w:rsidR="001030F4" w:rsidRPr="00256FD2" w:rsidRDefault="004228D3" w:rsidP="007C21C3">
      <w:pPr>
        <w:pStyle w:val="CH1"/>
      </w:pPr>
      <w:r w:rsidRPr="00256FD2">
        <w:tab/>
      </w:r>
      <w:r w:rsidR="007C21C3" w:rsidRPr="00256FD2">
        <w:t>I.</w:t>
      </w:r>
      <w:r w:rsidR="007C21C3" w:rsidRPr="00256FD2">
        <w:tab/>
      </w:r>
      <w:r w:rsidR="001030F4" w:rsidRPr="00256FD2">
        <w:t>Introduction</w:t>
      </w:r>
      <w:bookmarkStart w:id="7" w:name="_Hlk192252242"/>
    </w:p>
    <w:bookmarkEnd w:id="7"/>
    <w:p w14:paraId="7B8FEC96" w14:textId="4FEEAC18" w:rsidR="001030F4" w:rsidRPr="00256FD2" w:rsidRDefault="001030F4" w:rsidP="007D0D36">
      <w:pPr>
        <w:pStyle w:val="Normalnumber"/>
      </w:pPr>
      <w:r w:rsidRPr="00256FD2">
        <w:t>L</w:t>
      </w:r>
      <w:r w:rsidR="007C21C3" w:rsidRPr="00256FD2">
        <w:t>’</w:t>
      </w:r>
      <w:r w:rsidRPr="00256FD2">
        <w:t xml:space="preserve">extraction </w:t>
      </w:r>
      <w:r w:rsidR="00397F4F" w:rsidRPr="00256FD2">
        <w:t xml:space="preserve">minière </w:t>
      </w:r>
      <w:r w:rsidRPr="00256FD2">
        <w:t>artisanale et à petite échelle d</w:t>
      </w:r>
      <w:r w:rsidR="007C21C3" w:rsidRPr="00256FD2">
        <w:t>’</w:t>
      </w:r>
      <w:r w:rsidRPr="00256FD2">
        <w:t>or reste le secteur qui génère l</w:t>
      </w:r>
      <w:r w:rsidR="007C21C3" w:rsidRPr="00256FD2">
        <w:t>’</w:t>
      </w:r>
      <w:r w:rsidRPr="00256FD2">
        <w:t xml:space="preserve">utilisation, les émissions et les rejets de mercure les plus importants au niveau mondial, ce qui </w:t>
      </w:r>
      <w:r w:rsidR="000D31EB" w:rsidRPr="00256FD2">
        <w:t>a</w:t>
      </w:r>
      <w:r w:rsidRPr="00256FD2">
        <w:t xml:space="preserve"> des impacts considérables sur la santé humaine, les terres, les écosystèmes et la biodiversité.</w:t>
      </w:r>
    </w:p>
    <w:p w14:paraId="5B742AC8" w14:textId="2C078025" w:rsidR="001030F4" w:rsidRPr="00256FD2" w:rsidRDefault="001030F4" w:rsidP="00CE391A">
      <w:pPr>
        <w:pStyle w:val="Normalnumber"/>
      </w:pPr>
      <w:r w:rsidRPr="00256FD2">
        <w:t>La présente note fournit des informations sur l</w:t>
      </w:r>
      <w:r w:rsidR="007C21C3" w:rsidRPr="00256FD2">
        <w:t>’</w:t>
      </w:r>
      <w:r w:rsidRPr="00256FD2">
        <w:t>état d</w:t>
      </w:r>
      <w:r w:rsidR="007C21C3" w:rsidRPr="00256FD2">
        <w:t>’</w:t>
      </w:r>
      <w:r w:rsidRPr="00256FD2">
        <w:t>avancement de l</w:t>
      </w:r>
      <w:r w:rsidR="007C21C3" w:rsidRPr="00256FD2">
        <w:t>’</w:t>
      </w:r>
      <w:r w:rsidRPr="00256FD2">
        <w:t>exécution des mandats énoncés dans la décision</w:t>
      </w:r>
      <w:r w:rsidR="006C76A1" w:rsidRPr="00256FD2">
        <w:t> </w:t>
      </w:r>
      <w:r w:rsidRPr="00256FD2">
        <w:t>MC-5/7 sur l</w:t>
      </w:r>
      <w:r w:rsidR="007C21C3" w:rsidRPr="00256FD2">
        <w:t>’</w:t>
      </w:r>
      <w:r w:rsidRPr="00256FD2">
        <w:t>extraction minière artisanale et à petite échelle d</w:t>
      </w:r>
      <w:r w:rsidR="007C21C3" w:rsidRPr="00256FD2">
        <w:t>’</w:t>
      </w:r>
      <w:r w:rsidRPr="00256FD2">
        <w:t>or, que la Conférence des Parties à la Convention de Minamata sur le mercure a adoptée à sa cinquième réunion.</w:t>
      </w:r>
    </w:p>
    <w:p w14:paraId="129A10E7" w14:textId="3614F572" w:rsidR="001030F4" w:rsidRPr="00256FD2" w:rsidRDefault="004228D3" w:rsidP="001030F4">
      <w:pPr>
        <w:pStyle w:val="CH1"/>
        <w:spacing w:before="60"/>
        <w:rPr>
          <w:sz w:val="20"/>
          <w:szCs w:val="20"/>
        </w:rPr>
      </w:pPr>
      <w:r w:rsidRPr="00256FD2">
        <w:rPr>
          <w:bCs/>
        </w:rPr>
        <w:tab/>
      </w:r>
      <w:r w:rsidR="001030F4" w:rsidRPr="00256FD2">
        <w:rPr>
          <w:bCs/>
        </w:rPr>
        <w:t>II.</w:t>
      </w:r>
      <w:r w:rsidR="007C21C3" w:rsidRPr="00256FD2">
        <w:tab/>
      </w:r>
      <w:r w:rsidR="001030F4" w:rsidRPr="00256FD2">
        <w:rPr>
          <w:bCs/>
        </w:rPr>
        <w:t>Application de la décision</w:t>
      </w:r>
      <w:r w:rsidR="008245BF" w:rsidRPr="00256FD2">
        <w:rPr>
          <w:bCs/>
        </w:rPr>
        <w:t> </w:t>
      </w:r>
      <w:r w:rsidR="001030F4" w:rsidRPr="00256FD2">
        <w:rPr>
          <w:bCs/>
        </w:rPr>
        <w:t>MC-5/7</w:t>
      </w:r>
    </w:p>
    <w:p w14:paraId="3B872404" w14:textId="7ABAF312" w:rsidR="001030F4" w:rsidRPr="00256FD2" w:rsidRDefault="004228D3" w:rsidP="007C21C3">
      <w:pPr>
        <w:pStyle w:val="CH2"/>
        <w:ind w:left="1245" w:right="0" w:hanging="1245"/>
      </w:pPr>
      <w:r w:rsidRPr="00256FD2">
        <w:tab/>
      </w:r>
      <w:r w:rsidR="007C21C3" w:rsidRPr="00256FD2">
        <w:t>A.</w:t>
      </w:r>
      <w:r w:rsidR="007C21C3" w:rsidRPr="00256FD2">
        <w:tab/>
      </w:r>
      <w:r w:rsidR="007C21C3" w:rsidRPr="00256FD2">
        <w:tab/>
      </w:r>
      <w:r w:rsidR="001030F4" w:rsidRPr="00256FD2">
        <w:t xml:space="preserve">Progrès réalisés en matière de notifications, de communications et </w:t>
      </w:r>
      <w:r w:rsidR="001713CC" w:rsidRPr="00256FD2">
        <w:t>de comptes rendus</w:t>
      </w:r>
      <w:r w:rsidR="001030F4" w:rsidRPr="00256FD2">
        <w:t xml:space="preserve"> au</w:t>
      </w:r>
      <w:r w:rsidR="001030F4" w:rsidRPr="00256FD2">
        <w:rPr>
          <w:bCs/>
        </w:rPr>
        <w:t xml:space="preserve"> titre de l</w:t>
      </w:r>
      <w:r w:rsidR="007C21C3" w:rsidRPr="00256FD2">
        <w:rPr>
          <w:bCs/>
        </w:rPr>
        <w:t>’</w:t>
      </w:r>
      <w:r w:rsidR="001030F4" w:rsidRPr="00256FD2">
        <w:rPr>
          <w:bCs/>
        </w:rPr>
        <w:t>article</w:t>
      </w:r>
      <w:r w:rsidR="008245BF" w:rsidRPr="00256FD2">
        <w:rPr>
          <w:bCs/>
        </w:rPr>
        <w:t> </w:t>
      </w:r>
      <w:r w:rsidR="001030F4" w:rsidRPr="00256FD2">
        <w:rPr>
          <w:bCs/>
        </w:rPr>
        <w:t>7</w:t>
      </w:r>
    </w:p>
    <w:p w14:paraId="4A7D8CD6" w14:textId="164C07D5" w:rsidR="001030F4" w:rsidRPr="00256FD2" w:rsidRDefault="001D71D1" w:rsidP="00CE391A">
      <w:pPr>
        <w:pStyle w:val="Normalnumber"/>
      </w:pPr>
      <w:r w:rsidRPr="00256FD2">
        <w:t>Au paragraphe 1 de la décision</w:t>
      </w:r>
      <w:r w:rsidR="00E9045C" w:rsidRPr="00256FD2">
        <w:t> </w:t>
      </w:r>
      <w:r w:rsidRPr="00256FD2">
        <w:t>MC-5/7, toutes les Parties qui avaient adressé une notification au secrétariat en application du paragraphe</w:t>
      </w:r>
      <w:r w:rsidR="00E9045C" w:rsidRPr="00256FD2">
        <w:t> </w:t>
      </w:r>
      <w:r w:rsidRPr="00256FD2">
        <w:t>3 de l</w:t>
      </w:r>
      <w:r w:rsidR="007C21C3" w:rsidRPr="00256FD2">
        <w:t>’</w:t>
      </w:r>
      <w:r w:rsidRPr="00256FD2">
        <w:t>article</w:t>
      </w:r>
      <w:r w:rsidR="00E9045C" w:rsidRPr="00256FD2">
        <w:t> </w:t>
      </w:r>
      <w:r w:rsidRPr="00256FD2">
        <w:t>7, et en particulier les Parties qui avaient reçu un soutien du Fonds pour l</w:t>
      </w:r>
      <w:r w:rsidR="007C21C3" w:rsidRPr="00256FD2">
        <w:t>’</w:t>
      </w:r>
      <w:r w:rsidRPr="00256FD2">
        <w:t>environnement mondial (FEM) pour élaborer leur plan d</w:t>
      </w:r>
      <w:r w:rsidR="007C21C3" w:rsidRPr="00256FD2">
        <w:t>’</w:t>
      </w:r>
      <w:r w:rsidRPr="00256FD2">
        <w:t>action national mais n</w:t>
      </w:r>
      <w:r w:rsidR="00673EC7" w:rsidRPr="00256FD2">
        <w:t>e l</w:t>
      </w:r>
      <w:r w:rsidR="007C21C3" w:rsidRPr="00256FD2">
        <w:t>’</w:t>
      </w:r>
      <w:r w:rsidRPr="00256FD2">
        <w:t>avaient pas encore soumis, ont été priées de soumettre leur plan définitif au secrétariat dès</w:t>
      </w:r>
      <w:r w:rsidR="00891B4C" w:rsidRPr="00256FD2">
        <w:t> </w:t>
      </w:r>
      <w:r w:rsidRPr="00256FD2">
        <w:t>que possible, en tenant compte du délai fixé à l</w:t>
      </w:r>
      <w:r w:rsidR="007C21C3" w:rsidRPr="00256FD2">
        <w:t>’</w:t>
      </w:r>
      <w:r w:rsidRPr="00256FD2">
        <w:t>alinéa b) du paragraphe</w:t>
      </w:r>
      <w:r w:rsidR="00E9045C" w:rsidRPr="00256FD2">
        <w:t> </w:t>
      </w:r>
      <w:r w:rsidRPr="00256FD2">
        <w:t>3 de l</w:t>
      </w:r>
      <w:r w:rsidR="007C21C3" w:rsidRPr="00256FD2">
        <w:t>’</w:t>
      </w:r>
      <w:r w:rsidRPr="00256FD2">
        <w:t>article</w:t>
      </w:r>
      <w:r w:rsidR="00E9045C" w:rsidRPr="00256FD2">
        <w:t> </w:t>
      </w:r>
      <w:r w:rsidRPr="00256FD2">
        <w:t>7. Au</w:t>
      </w:r>
      <w:r w:rsidR="00891B4C" w:rsidRPr="00256FD2">
        <w:t> </w:t>
      </w:r>
      <w:r w:rsidRPr="00256FD2">
        <w:t>paragraphe 2 de la décision, toutes les Parties qui avaient soumis leur plan d</w:t>
      </w:r>
      <w:r w:rsidR="007C21C3" w:rsidRPr="00256FD2">
        <w:t>’</w:t>
      </w:r>
      <w:r w:rsidRPr="00256FD2">
        <w:t>action national ont été engagées à soumettre un compte rendu des progrès qu</w:t>
      </w:r>
      <w:r w:rsidR="007C21C3" w:rsidRPr="00256FD2">
        <w:t>’</w:t>
      </w:r>
      <w:r w:rsidRPr="00256FD2">
        <w:t>elles avaient accomplis dans le respect de leurs obligations au titre de l</w:t>
      </w:r>
      <w:r w:rsidR="007C21C3" w:rsidRPr="00256FD2">
        <w:t>’</w:t>
      </w:r>
      <w:r w:rsidRPr="00256FD2">
        <w:t>article</w:t>
      </w:r>
      <w:r w:rsidR="00E9045C" w:rsidRPr="00256FD2">
        <w:t> </w:t>
      </w:r>
      <w:r w:rsidRPr="00256FD2">
        <w:t xml:space="preserve">7 et </w:t>
      </w:r>
      <w:r w:rsidR="00323B24" w:rsidRPr="00256FD2">
        <w:t>à</w:t>
      </w:r>
      <w:r w:rsidRPr="00256FD2">
        <w:t xml:space="preserve"> faire figurer ce compte rendu dans le rapport qu</w:t>
      </w:r>
      <w:r w:rsidR="007C21C3" w:rsidRPr="00256FD2">
        <w:t>’</w:t>
      </w:r>
      <w:r w:rsidRPr="00256FD2">
        <w:t>elles devaient présenter en application de l</w:t>
      </w:r>
      <w:r w:rsidR="007C21C3" w:rsidRPr="00256FD2">
        <w:t>’</w:t>
      </w:r>
      <w:r w:rsidRPr="00256FD2">
        <w:t>article</w:t>
      </w:r>
      <w:r w:rsidR="00E9045C" w:rsidRPr="00256FD2">
        <w:t> </w:t>
      </w:r>
      <w:r w:rsidRPr="00256FD2">
        <w:t>21, comme prévu à l</w:t>
      </w:r>
      <w:r w:rsidR="007C21C3" w:rsidRPr="00256FD2">
        <w:t>’</w:t>
      </w:r>
      <w:r w:rsidRPr="00256FD2">
        <w:t>alinéa c) du paragraphe</w:t>
      </w:r>
      <w:r w:rsidR="00E9045C" w:rsidRPr="00256FD2">
        <w:t> </w:t>
      </w:r>
      <w:r w:rsidRPr="00256FD2">
        <w:t>3 de l</w:t>
      </w:r>
      <w:r w:rsidR="007C21C3" w:rsidRPr="00256FD2">
        <w:t>’</w:t>
      </w:r>
      <w:r w:rsidRPr="00256FD2">
        <w:t>article</w:t>
      </w:r>
      <w:r w:rsidR="00E9045C" w:rsidRPr="00256FD2">
        <w:t> </w:t>
      </w:r>
      <w:r w:rsidRPr="00256FD2">
        <w:t xml:space="preserve">7. </w:t>
      </w:r>
    </w:p>
    <w:p w14:paraId="7F3A7C1A" w14:textId="4E72EA44" w:rsidR="00EB2473" w:rsidRPr="00256FD2" w:rsidRDefault="00080616" w:rsidP="00CE391A">
      <w:pPr>
        <w:pStyle w:val="Normalnumber"/>
        <w:keepNext/>
        <w:keepLines/>
      </w:pPr>
      <w:r w:rsidRPr="00256FD2">
        <w:lastRenderedPageBreak/>
        <w:t xml:space="preserve">Le 22 janvier 2024, la Secrétaire exécutive a envoyé une lettre à </w:t>
      </w:r>
      <w:proofErr w:type="spellStart"/>
      <w:r w:rsidRPr="00256FD2">
        <w:t>tou</w:t>
      </w:r>
      <w:proofErr w:type="spellEnd"/>
      <w:r w:rsidRPr="00256FD2">
        <w:t xml:space="preserve">(te)s les correspondant(e)s nationaux(ales) et les missions permanentes pour leur rappeler </w:t>
      </w:r>
      <w:r w:rsidR="000908AC" w:rsidRPr="00256FD2">
        <w:t>l’obligation de</w:t>
      </w:r>
      <w:r w:rsidRPr="00256FD2">
        <w:t xml:space="preserve"> soumettre un plan d</w:t>
      </w:r>
      <w:r w:rsidR="007C21C3" w:rsidRPr="00256FD2">
        <w:t>’</w:t>
      </w:r>
      <w:r w:rsidRPr="00256FD2">
        <w:t>action national ou, si un tel plan avait déjà été soumis,</w:t>
      </w:r>
      <w:r w:rsidR="000908AC" w:rsidRPr="00256FD2">
        <w:t xml:space="preserve"> de</w:t>
      </w:r>
      <w:r w:rsidRPr="00256FD2">
        <w:t xml:space="preserve"> fournir un compte rendu des progrès accomplis dans la mise en œuvre de l</w:t>
      </w:r>
      <w:r w:rsidR="007C21C3" w:rsidRPr="00256FD2">
        <w:t>’</w:t>
      </w:r>
      <w:r w:rsidRPr="00256FD2">
        <w:t>article</w:t>
      </w:r>
      <w:r w:rsidR="006639C7" w:rsidRPr="00256FD2">
        <w:t> </w:t>
      </w:r>
      <w:r w:rsidRPr="00256FD2">
        <w:t>7 de la Convention.</w:t>
      </w:r>
    </w:p>
    <w:p w14:paraId="4795C1AB" w14:textId="76EE4CFF" w:rsidR="001030F4" w:rsidRPr="00256FD2" w:rsidRDefault="001030F4" w:rsidP="00CE391A">
      <w:pPr>
        <w:pStyle w:val="Normalnumber"/>
      </w:pPr>
      <w:r w:rsidRPr="00256FD2">
        <w:t>En ce qui concernait l</w:t>
      </w:r>
      <w:r w:rsidR="007C21C3" w:rsidRPr="00256FD2">
        <w:t>’</w:t>
      </w:r>
      <w:r w:rsidRPr="00256FD2">
        <w:t>élaboration des plans d</w:t>
      </w:r>
      <w:r w:rsidR="007C21C3" w:rsidRPr="00256FD2">
        <w:t>’</w:t>
      </w:r>
      <w:r w:rsidRPr="00256FD2">
        <w:t>action nationaux, au 30 juin 2025, le FEM avait fourni un financement à 50 pays</w:t>
      </w:r>
      <w:r w:rsidRPr="00256FD2">
        <w:rPr>
          <w:rStyle w:val="FootnoteReference"/>
        </w:rPr>
        <w:footnoteReference w:id="3"/>
      </w:r>
      <w:r w:rsidRPr="00256FD2">
        <w:t xml:space="preserve"> pour leur permettre d</w:t>
      </w:r>
      <w:r w:rsidR="007C21C3" w:rsidRPr="00256FD2">
        <w:t>’</w:t>
      </w:r>
      <w:r w:rsidRPr="00256FD2">
        <w:t>élaborer leur plan d</w:t>
      </w:r>
      <w:r w:rsidR="007C21C3" w:rsidRPr="00256FD2">
        <w:t>’</w:t>
      </w:r>
      <w:r w:rsidRPr="00256FD2">
        <w:t xml:space="preserve">action national et avait </w:t>
      </w:r>
      <w:r w:rsidR="002F2C53" w:rsidRPr="00256FD2">
        <w:t>inclus</w:t>
      </w:r>
      <w:r w:rsidRPr="00256FD2">
        <w:t xml:space="preserve"> une composante globale relative aux plans d</w:t>
      </w:r>
      <w:r w:rsidR="007C21C3" w:rsidRPr="00256FD2">
        <w:t>’</w:t>
      </w:r>
      <w:r w:rsidRPr="00256FD2">
        <w:t xml:space="preserve">action nationaux et à la gestion des connaissances dans son programme </w:t>
      </w:r>
      <w:proofErr w:type="spellStart"/>
      <w:r w:rsidRPr="00256FD2">
        <w:t>planetGOLD</w:t>
      </w:r>
      <w:proofErr w:type="spellEnd"/>
      <w:r w:rsidRPr="00256FD2">
        <w:rPr>
          <w:vertAlign w:val="superscript"/>
        </w:rPr>
        <w:footnoteReference w:id="4"/>
      </w:r>
      <w:r w:rsidRPr="00256FD2">
        <w:t xml:space="preserve">. </w:t>
      </w:r>
    </w:p>
    <w:p w14:paraId="5733A712" w14:textId="0A1A32F7" w:rsidR="001030F4" w:rsidRPr="00256FD2" w:rsidRDefault="004228D3" w:rsidP="007C21C3">
      <w:pPr>
        <w:pStyle w:val="CH3"/>
        <w:ind w:left="0" w:firstLine="0"/>
      </w:pPr>
      <w:r w:rsidRPr="00256FD2">
        <w:tab/>
      </w:r>
      <w:r w:rsidR="007C21C3" w:rsidRPr="00256FD2">
        <w:t>1.</w:t>
      </w:r>
      <w:r w:rsidR="007C21C3" w:rsidRPr="00256FD2">
        <w:tab/>
      </w:r>
      <w:r w:rsidR="001030F4" w:rsidRPr="00256FD2">
        <w:t>Notifications</w:t>
      </w:r>
    </w:p>
    <w:p w14:paraId="39214BEC" w14:textId="3299E386" w:rsidR="00AE3F14" w:rsidRPr="00256FD2" w:rsidRDefault="00AE3F14" w:rsidP="00CE391A">
      <w:pPr>
        <w:pStyle w:val="Normalnumber"/>
      </w:pPr>
      <w:r w:rsidRPr="00256FD2">
        <w:t>Au 31 mai 2025, 51</w:t>
      </w:r>
      <w:r w:rsidR="00846538" w:rsidRPr="00256FD2">
        <w:t> </w:t>
      </w:r>
      <w:r w:rsidRPr="00256FD2">
        <w:t>Parties avaient notifié au secrétariat que les activités d</w:t>
      </w:r>
      <w:r w:rsidR="007C21C3" w:rsidRPr="00256FD2">
        <w:t>’</w:t>
      </w:r>
      <w:r w:rsidRPr="00256FD2">
        <w:t>extraction minière et de transformation artisanales et à petite échelle d</w:t>
      </w:r>
      <w:r w:rsidR="007C21C3" w:rsidRPr="00256FD2">
        <w:t>’</w:t>
      </w:r>
      <w:r w:rsidRPr="00256FD2">
        <w:t>or utilisant l</w:t>
      </w:r>
      <w:r w:rsidR="007C21C3" w:rsidRPr="00256FD2">
        <w:t>’</w:t>
      </w:r>
      <w:r w:rsidRPr="00256FD2">
        <w:t>amalgamation au mercure menées sur leur territoire étaient non négligeables. Quatre</w:t>
      </w:r>
      <w:r w:rsidR="00114232" w:rsidRPr="00256FD2">
        <w:t> </w:t>
      </w:r>
      <w:r w:rsidRPr="00256FD2">
        <w:t xml:space="preserve">États </w:t>
      </w:r>
      <w:proofErr w:type="gramStart"/>
      <w:r w:rsidRPr="00256FD2">
        <w:t>non parties</w:t>
      </w:r>
      <w:proofErr w:type="gramEnd"/>
      <w:r w:rsidRPr="00256FD2">
        <w:t xml:space="preserve"> avaient également adressé de telles notifications au secrétariat, la notification par un État non partie étant une condition </w:t>
      </w:r>
      <w:r w:rsidR="00B76AC6" w:rsidRPr="00256FD2">
        <w:t>préalable à</w:t>
      </w:r>
      <w:r w:rsidR="001B372D" w:rsidRPr="00256FD2">
        <w:t> </w:t>
      </w:r>
      <w:r w:rsidR="00B76AC6" w:rsidRPr="00256FD2">
        <w:t>l’obtention par l</w:t>
      </w:r>
      <w:r w:rsidRPr="00256FD2">
        <w:t xml:space="preserve">es signataires </w:t>
      </w:r>
      <w:r w:rsidR="00B76AC6" w:rsidRPr="00256FD2">
        <w:t>d’</w:t>
      </w:r>
      <w:r w:rsidRPr="00256FD2">
        <w:t xml:space="preserve">un financement du FEM </w:t>
      </w:r>
      <w:r w:rsidR="00B76AC6" w:rsidRPr="00256FD2">
        <w:t xml:space="preserve">pour </w:t>
      </w:r>
      <w:r w:rsidRPr="00256FD2">
        <w:t>une activité habilitante. Les notifications sont publiées sur le site Web de la Convention de</w:t>
      </w:r>
      <w:r w:rsidR="009A2468" w:rsidRPr="00256FD2">
        <w:t> </w:t>
      </w:r>
      <w:r w:rsidRPr="00256FD2">
        <w:t>Minamata, sous l</w:t>
      </w:r>
      <w:r w:rsidR="007C21C3" w:rsidRPr="00256FD2">
        <w:t>’</w:t>
      </w:r>
      <w:r w:rsidRPr="00256FD2">
        <w:t>onglet « Parties »</w:t>
      </w:r>
      <w:r w:rsidRPr="00256FD2">
        <w:rPr>
          <w:vertAlign w:val="superscript"/>
        </w:rPr>
        <w:footnoteReference w:id="5"/>
      </w:r>
      <w:r w:rsidRPr="00256FD2">
        <w:t>.</w:t>
      </w:r>
    </w:p>
    <w:p w14:paraId="11F8BA01" w14:textId="0CD410E3" w:rsidR="001030F4" w:rsidRPr="00256FD2" w:rsidRDefault="00A16BF4" w:rsidP="00CE391A">
      <w:pPr>
        <w:pStyle w:val="Normalnumber"/>
      </w:pPr>
      <w:r w:rsidRPr="00256FD2">
        <w:t>On trouvera dans l</w:t>
      </w:r>
      <w:r w:rsidR="007C21C3" w:rsidRPr="00256FD2">
        <w:t>’</w:t>
      </w:r>
      <w:r w:rsidRPr="00256FD2">
        <w:t>annexe</w:t>
      </w:r>
      <w:r w:rsidR="009A2468" w:rsidRPr="00256FD2">
        <w:t> </w:t>
      </w:r>
      <w:r w:rsidRPr="00256FD2">
        <w:t>II de la présente note des informations plus détaillées sur la soumission des notifications et des réponses à la question</w:t>
      </w:r>
      <w:r w:rsidR="009A2468" w:rsidRPr="00256FD2">
        <w:t> </w:t>
      </w:r>
      <w:r w:rsidRPr="00256FD2">
        <w:t>7.4 dans le rapport national complet.</w:t>
      </w:r>
    </w:p>
    <w:p w14:paraId="0E0467F2" w14:textId="0D4519CF" w:rsidR="001030F4" w:rsidRPr="00256FD2" w:rsidRDefault="00C25A6E" w:rsidP="001030F4">
      <w:pPr>
        <w:pStyle w:val="CH3"/>
      </w:pPr>
      <w:r w:rsidRPr="00256FD2">
        <w:rPr>
          <w:bCs/>
        </w:rPr>
        <w:tab/>
      </w:r>
      <w:r w:rsidR="001030F4" w:rsidRPr="00256FD2">
        <w:rPr>
          <w:bCs/>
        </w:rPr>
        <w:t>2.</w:t>
      </w:r>
      <w:r w:rsidR="007C21C3" w:rsidRPr="00256FD2">
        <w:rPr>
          <w:bCs/>
        </w:rPr>
        <w:tab/>
      </w:r>
      <w:r w:rsidR="001030F4" w:rsidRPr="00256FD2">
        <w:rPr>
          <w:bCs/>
        </w:rPr>
        <w:t>Soumission des plans d</w:t>
      </w:r>
      <w:r w:rsidR="007C21C3" w:rsidRPr="00256FD2">
        <w:rPr>
          <w:bCs/>
        </w:rPr>
        <w:t>’</w:t>
      </w:r>
      <w:r w:rsidR="001030F4" w:rsidRPr="00256FD2">
        <w:rPr>
          <w:bCs/>
        </w:rPr>
        <w:t>action nationaux</w:t>
      </w:r>
    </w:p>
    <w:p w14:paraId="5A146F80" w14:textId="154DBBA8" w:rsidR="001030F4" w:rsidRPr="00256FD2" w:rsidRDefault="001030F4" w:rsidP="00CE391A">
      <w:pPr>
        <w:pStyle w:val="Normalnumber"/>
      </w:pPr>
      <w:r w:rsidRPr="00256FD2">
        <w:t>En ce qui concernait la soumission des plans d</w:t>
      </w:r>
      <w:r w:rsidR="007C21C3" w:rsidRPr="00256FD2">
        <w:t>’</w:t>
      </w:r>
      <w:r w:rsidRPr="00256FD2">
        <w:t>action nationaux au secrétariat</w:t>
      </w:r>
      <w:r w:rsidR="007C21C3" w:rsidRPr="00256FD2">
        <w:t xml:space="preserve"> : </w:t>
      </w:r>
    </w:p>
    <w:p w14:paraId="5D06715E" w14:textId="098B4AEE" w:rsidR="001030F4" w:rsidRPr="00256FD2" w:rsidRDefault="001030F4" w:rsidP="00BE4B5E">
      <w:pPr>
        <w:pStyle w:val="Normalnumber"/>
        <w:numPr>
          <w:ilvl w:val="1"/>
          <w:numId w:val="1"/>
        </w:numPr>
        <w:tabs>
          <w:tab w:val="clear" w:pos="1247"/>
          <w:tab w:val="clear" w:pos="1814"/>
          <w:tab w:val="clear" w:pos="2381"/>
          <w:tab w:val="clear" w:pos="2495"/>
          <w:tab w:val="clear" w:pos="2948"/>
          <w:tab w:val="clear" w:pos="3515"/>
          <w:tab w:val="num" w:pos="624"/>
          <w:tab w:val="left" w:pos="2408"/>
        </w:tabs>
        <w:ind w:firstLine="587"/>
      </w:pPr>
      <w:r w:rsidRPr="00256FD2">
        <w:t>Sur les 35</w:t>
      </w:r>
      <w:r w:rsidR="009A2468" w:rsidRPr="00256FD2">
        <w:t> </w:t>
      </w:r>
      <w:r w:rsidRPr="00256FD2">
        <w:t>plans d</w:t>
      </w:r>
      <w:r w:rsidR="007C21C3" w:rsidRPr="00256FD2">
        <w:t>’</w:t>
      </w:r>
      <w:r w:rsidRPr="00256FD2">
        <w:t>action nationaux qui ont été soumis au secrétariat, 5 avaient été soumis en 2024, par suite du rapport présenté par le secrétariat à la Conférence des Parties à sa cinquième</w:t>
      </w:r>
      <w:r w:rsidR="00687AE7" w:rsidRPr="00256FD2">
        <w:t> </w:t>
      </w:r>
      <w:r w:rsidRPr="00256FD2">
        <w:t>réunion, début novembre 2023</w:t>
      </w:r>
      <w:r w:rsidR="00CE391A" w:rsidRPr="00256FD2">
        <w:t> ;</w:t>
      </w:r>
    </w:p>
    <w:p w14:paraId="5B380441" w14:textId="29BFB8D0" w:rsidR="001030F4" w:rsidRPr="00256FD2" w:rsidRDefault="001030F4" w:rsidP="00BE4B5E">
      <w:pPr>
        <w:pStyle w:val="Normalnumber"/>
        <w:numPr>
          <w:ilvl w:val="1"/>
          <w:numId w:val="1"/>
        </w:numPr>
        <w:tabs>
          <w:tab w:val="clear" w:pos="1247"/>
          <w:tab w:val="clear" w:pos="1814"/>
          <w:tab w:val="clear" w:pos="2381"/>
          <w:tab w:val="clear" w:pos="2495"/>
          <w:tab w:val="clear" w:pos="2948"/>
          <w:tab w:val="clear" w:pos="3515"/>
          <w:tab w:val="num" w:pos="624"/>
          <w:tab w:val="left" w:pos="2408"/>
        </w:tabs>
        <w:ind w:firstLine="587"/>
      </w:pPr>
      <w:r w:rsidRPr="00256FD2">
        <w:t>En outre, deux</w:t>
      </w:r>
      <w:r w:rsidR="00687AE7" w:rsidRPr="00256FD2">
        <w:t> </w:t>
      </w:r>
      <w:r w:rsidRPr="00256FD2">
        <w:t xml:space="preserve">États </w:t>
      </w:r>
      <w:proofErr w:type="gramStart"/>
      <w:r w:rsidRPr="00256FD2">
        <w:t>non parties</w:t>
      </w:r>
      <w:proofErr w:type="gramEnd"/>
      <w:r w:rsidRPr="00256FD2">
        <w:t xml:space="preserve"> avaient soumis </w:t>
      </w:r>
      <w:r w:rsidR="007D3A65" w:rsidRPr="00256FD2">
        <w:t>un</w:t>
      </w:r>
      <w:r w:rsidRPr="00256FD2">
        <w:t xml:space="preserve"> plan d</w:t>
      </w:r>
      <w:r w:rsidR="007C21C3" w:rsidRPr="00256FD2">
        <w:t>’</w:t>
      </w:r>
      <w:r w:rsidRPr="00256FD2">
        <w:t>action national</w:t>
      </w:r>
      <w:r w:rsidR="00CE391A" w:rsidRPr="00256FD2">
        <w:t> ;</w:t>
      </w:r>
    </w:p>
    <w:p w14:paraId="0F081B0A" w14:textId="31162967" w:rsidR="001030F4" w:rsidRPr="00256FD2" w:rsidRDefault="001030F4" w:rsidP="00BE4B5E">
      <w:pPr>
        <w:pStyle w:val="Normalnumber"/>
        <w:numPr>
          <w:ilvl w:val="1"/>
          <w:numId w:val="1"/>
        </w:numPr>
        <w:tabs>
          <w:tab w:val="clear" w:pos="1247"/>
          <w:tab w:val="clear" w:pos="1814"/>
          <w:tab w:val="clear" w:pos="2381"/>
          <w:tab w:val="clear" w:pos="2495"/>
          <w:tab w:val="clear" w:pos="2948"/>
          <w:tab w:val="clear" w:pos="3515"/>
          <w:tab w:val="num" w:pos="624"/>
          <w:tab w:val="left" w:pos="2408"/>
        </w:tabs>
        <w:ind w:firstLine="587"/>
      </w:pPr>
      <w:r w:rsidRPr="00256FD2">
        <w:t xml:space="preserve">La liste des États Parties et non parties </w:t>
      </w:r>
      <w:r w:rsidR="006C1DF0" w:rsidRPr="00256FD2">
        <w:t>ayant</w:t>
      </w:r>
      <w:r w:rsidRPr="00256FD2">
        <w:t xml:space="preserve"> soumis un plan d</w:t>
      </w:r>
      <w:r w:rsidR="007C21C3" w:rsidRPr="00256FD2">
        <w:t>’</w:t>
      </w:r>
      <w:r w:rsidRPr="00256FD2">
        <w:t>action national est consultable dans l</w:t>
      </w:r>
      <w:r w:rsidR="007C21C3" w:rsidRPr="00256FD2">
        <w:t>’</w:t>
      </w:r>
      <w:r w:rsidRPr="00256FD2">
        <w:t>annexe</w:t>
      </w:r>
      <w:r w:rsidR="00687AE7" w:rsidRPr="00256FD2">
        <w:t> </w:t>
      </w:r>
      <w:r w:rsidRPr="00256FD2">
        <w:t xml:space="preserve">II de la présente note. Tous les plans soumis au secrétariat sont publiés sur le site Web de la </w:t>
      </w:r>
      <w:r w:rsidR="00BA3CF0" w:rsidRPr="00256FD2">
        <w:t>C</w:t>
      </w:r>
      <w:r w:rsidRPr="00256FD2">
        <w:t>onvention de</w:t>
      </w:r>
      <w:r w:rsidR="009A4936" w:rsidRPr="00256FD2">
        <w:t> </w:t>
      </w:r>
      <w:r w:rsidRPr="00256FD2">
        <w:t>Minamata.</w:t>
      </w:r>
    </w:p>
    <w:p w14:paraId="450217EA" w14:textId="7C9E26E1" w:rsidR="001030F4" w:rsidRPr="00256FD2" w:rsidRDefault="00C25A6E" w:rsidP="00C25A6E">
      <w:pPr>
        <w:pStyle w:val="CH3"/>
      </w:pPr>
      <w:r w:rsidRPr="00256FD2">
        <w:tab/>
      </w:r>
      <w:r w:rsidR="007C21C3" w:rsidRPr="00256FD2">
        <w:t>3.</w:t>
      </w:r>
      <w:r w:rsidR="007C21C3" w:rsidRPr="00256FD2">
        <w:tab/>
      </w:r>
      <w:r w:rsidR="00FC31E7" w:rsidRPr="00256FD2">
        <w:t>Comptes rendus des progrès accomplis dans</w:t>
      </w:r>
      <w:r w:rsidR="001030F4" w:rsidRPr="00256FD2">
        <w:t xml:space="preserve"> la mise en œuvre de l</w:t>
      </w:r>
      <w:r w:rsidR="007C21C3" w:rsidRPr="00256FD2">
        <w:t>’</w:t>
      </w:r>
      <w:r w:rsidR="001030F4" w:rsidRPr="00256FD2">
        <w:t>article</w:t>
      </w:r>
      <w:r w:rsidR="009A4936" w:rsidRPr="00256FD2">
        <w:t> </w:t>
      </w:r>
      <w:r w:rsidR="001030F4" w:rsidRPr="00256FD2">
        <w:t>7</w:t>
      </w:r>
    </w:p>
    <w:p w14:paraId="7C5C3835" w14:textId="7A416C80" w:rsidR="001030F4" w:rsidRPr="00256FD2" w:rsidRDefault="001030F4" w:rsidP="00CE391A">
      <w:pPr>
        <w:pStyle w:val="Normalnumber"/>
      </w:pPr>
      <w:r w:rsidRPr="00256FD2">
        <w:t>L</w:t>
      </w:r>
      <w:r w:rsidR="007C21C3" w:rsidRPr="00256FD2">
        <w:t>’</w:t>
      </w:r>
      <w:r w:rsidRPr="00256FD2">
        <w:t>alinéa c) du paragraphe</w:t>
      </w:r>
      <w:r w:rsidR="009A4936" w:rsidRPr="00256FD2">
        <w:t> </w:t>
      </w:r>
      <w:r w:rsidRPr="00256FD2">
        <w:t>3 de l</w:t>
      </w:r>
      <w:r w:rsidR="007C21C3" w:rsidRPr="00256FD2">
        <w:t>’</w:t>
      </w:r>
      <w:r w:rsidRPr="00256FD2">
        <w:t>article</w:t>
      </w:r>
      <w:r w:rsidR="009A4936" w:rsidRPr="00256FD2">
        <w:t> </w:t>
      </w:r>
      <w:r w:rsidRPr="00256FD2">
        <w:t>7 prévoit que les Parties qui ont constaté que les activités d</w:t>
      </w:r>
      <w:r w:rsidR="007C21C3" w:rsidRPr="00256FD2">
        <w:t>’</w:t>
      </w:r>
      <w:r w:rsidRPr="00256FD2">
        <w:t>extraction minière et de transformation artisanales et à petite échelle d</w:t>
      </w:r>
      <w:r w:rsidR="007C21C3" w:rsidRPr="00256FD2">
        <w:t>’</w:t>
      </w:r>
      <w:r w:rsidRPr="00256FD2">
        <w:t>or menées sur son territoire sont non négligeables, ayant notifié ce constat au secrétariat et élaboré et soumis un plan d</w:t>
      </w:r>
      <w:r w:rsidR="007C21C3" w:rsidRPr="00256FD2">
        <w:t>’</w:t>
      </w:r>
      <w:r w:rsidRPr="00256FD2">
        <w:t>action national, sont tenues de fournir un compte rendu des progrès qu</w:t>
      </w:r>
      <w:r w:rsidR="007C21C3" w:rsidRPr="00256FD2">
        <w:t>’</w:t>
      </w:r>
      <w:r w:rsidRPr="00256FD2">
        <w:t>elles ont accomplis dans le respect de leurs obligations au titre de l</w:t>
      </w:r>
      <w:r w:rsidR="007C21C3" w:rsidRPr="00256FD2">
        <w:t>’</w:t>
      </w:r>
      <w:r w:rsidRPr="00256FD2">
        <w:t>article</w:t>
      </w:r>
      <w:r w:rsidR="009A4936" w:rsidRPr="00256FD2">
        <w:t> </w:t>
      </w:r>
      <w:r w:rsidRPr="00256FD2">
        <w:t>7 et de faire figurer ces comptes rendus dans leurs rapports soumis en application de l</w:t>
      </w:r>
      <w:r w:rsidR="007C21C3" w:rsidRPr="00256FD2">
        <w:t>’</w:t>
      </w:r>
      <w:r w:rsidRPr="00256FD2">
        <w:t>article 21. Si la plupart des plans d</w:t>
      </w:r>
      <w:r w:rsidR="007C21C3" w:rsidRPr="00256FD2">
        <w:t>’</w:t>
      </w:r>
      <w:r w:rsidRPr="00256FD2">
        <w:t>action nationaux présentés décrivent des mécanismes d</w:t>
      </w:r>
      <w:r w:rsidR="007C21C3" w:rsidRPr="00256FD2">
        <w:t>’</w:t>
      </w:r>
      <w:r w:rsidRPr="00256FD2">
        <w:t xml:space="preserve">évaluation qui permettent de suivre les progrès accomplis, beaucoup ne </w:t>
      </w:r>
      <w:r w:rsidR="002377E1" w:rsidRPr="00256FD2">
        <w:t>comprennent</w:t>
      </w:r>
      <w:r w:rsidRPr="00256FD2">
        <w:t xml:space="preserve"> pas </w:t>
      </w:r>
      <w:r w:rsidR="002377E1" w:rsidRPr="00256FD2">
        <w:t>de</w:t>
      </w:r>
      <w:r w:rsidRPr="00256FD2">
        <w:t xml:space="preserve"> procédure détaillée pour établir un compte rendu conformément à l</w:t>
      </w:r>
      <w:r w:rsidR="007C21C3" w:rsidRPr="00256FD2">
        <w:t>’</w:t>
      </w:r>
      <w:r w:rsidRPr="00256FD2">
        <w:t>alinéa</w:t>
      </w:r>
      <w:r w:rsidR="00640053" w:rsidRPr="00256FD2">
        <w:t> </w:t>
      </w:r>
      <w:r w:rsidRPr="00256FD2">
        <w:t>c) du</w:t>
      </w:r>
      <w:r w:rsidR="00884CA2" w:rsidRPr="00256FD2">
        <w:t> </w:t>
      </w:r>
      <w:r w:rsidRPr="00256FD2">
        <w:t>paragraphe</w:t>
      </w:r>
      <w:r w:rsidR="009A4936" w:rsidRPr="00256FD2">
        <w:t> </w:t>
      </w:r>
      <w:r w:rsidRPr="00256FD2">
        <w:t>3 de l</w:t>
      </w:r>
      <w:r w:rsidR="007C21C3" w:rsidRPr="00256FD2">
        <w:t>’</w:t>
      </w:r>
      <w:r w:rsidRPr="00256FD2">
        <w:t>article</w:t>
      </w:r>
      <w:r w:rsidR="009A4936" w:rsidRPr="00256FD2">
        <w:t> </w:t>
      </w:r>
      <w:r w:rsidRPr="00256FD2">
        <w:t xml:space="preserve">7. </w:t>
      </w:r>
    </w:p>
    <w:p w14:paraId="78E53F0A" w14:textId="5E014B0E" w:rsidR="001030F4" w:rsidRPr="00256FD2" w:rsidRDefault="001030F4" w:rsidP="00CE391A">
      <w:pPr>
        <w:pStyle w:val="Normalnumber"/>
      </w:pPr>
      <w:r w:rsidRPr="00256FD2">
        <w:t>Aucun compte rendu n</w:t>
      </w:r>
      <w:r w:rsidR="007C21C3" w:rsidRPr="00256FD2">
        <w:t>’</w:t>
      </w:r>
      <w:r w:rsidRPr="00256FD2">
        <w:t>était à fournir dans le cadre du cycle d</w:t>
      </w:r>
      <w:r w:rsidR="007C21C3" w:rsidRPr="00256FD2">
        <w:t>’</w:t>
      </w:r>
      <w:r w:rsidRPr="00256FD2">
        <w:t>établissement des premiers</w:t>
      </w:r>
      <w:r w:rsidR="00611C7A" w:rsidRPr="00256FD2">
        <w:t> </w:t>
      </w:r>
      <w:r w:rsidRPr="00256FD2">
        <w:t>rapports</w:t>
      </w:r>
      <w:r w:rsidR="00413EC2" w:rsidRPr="00256FD2">
        <w:t xml:space="preserve"> nationaux</w:t>
      </w:r>
      <w:r w:rsidRPr="00256FD2">
        <w:t xml:space="preserve"> abrégés (16 août 2017-31 décembre 2018). Au cours du cycle d</w:t>
      </w:r>
      <w:r w:rsidR="007C21C3" w:rsidRPr="00256FD2">
        <w:t>’</w:t>
      </w:r>
      <w:r w:rsidRPr="00256FD2">
        <w:t>établissement des premiers</w:t>
      </w:r>
      <w:r w:rsidR="00B9290D" w:rsidRPr="00256FD2">
        <w:t> </w:t>
      </w:r>
      <w:r w:rsidRPr="00256FD2">
        <w:t>rapports</w:t>
      </w:r>
      <w:r w:rsidR="00413EC2" w:rsidRPr="00256FD2">
        <w:t xml:space="preserve"> nationaux</w:t>
      </w:r>
      <w:r w:rsidRPr="00256FD2">
        <w:t xml:space="preserve"> complets (16 août 2017-31 décembre 2020), quatre</w:t>
      </w:r>
      <w:r w:rsidR="00611C7A" w:rsidRPr="00256FD2">
        <w:t> </w:t>
      </w:r>
      <w:r w:rsidRPr="00256FD2">
        <w:t>Parties avaient répondu à la question</w:t>
      </w:r>
      <w:r w:rsidR="00B9290D" w:rsidRPr="00256FD2">
        <w:t> </w:t>
      </w:r>
      <w:r w:rsidRPr="00256FD2">
        <w:t xml:space="preserve">7.4, dans laquelle il était demandé que les Parties joignent </w:t>
      </w:r>
      <w:r w:rsidRPr="00256FD2">
        <w:lastRenderedPageBreak/>
        <w:t>à leur rapport leur compte rendu le plus récent</w:t>
      </w:r>
      <w:r w:rsidRPr="00256FD2">
        <w:rPr>
          <w:rStyle w:val="FootnoteReference"/>
        </w:rPr>
        <w:footnoteReference w:id="6"/>
      </w:r>
      <w:r w:rsidRPr="00256FD2">
        <w:t>. Aucune soumission n</w:t>
      </w:r>
      <w:r w:rsidR="007C21C3" w:rsidRPr="00256FD2">
        <w:t>’</w:t>
      </w:r>
      <w:r w:rsidRPr="00256FD2">
        <w:t>avait été reçue au cours du cycle d</w:t>
      </w:r>
      <w:r w:rsidR="007C21C3" w:rsidRPr="00256FD2">
        <w:t>’</w:t>
      </w:r>
      <w:r w:rsidRPr="00256FD2">
        <w:t>établissement des deuxièmes</w:t>
      </w:r>
      <w:r w:rsidR="00E25263" w:rsidRPr="00256FD2">
        <w:t> </w:t>
      </w:r>
      <w:r w:rsidRPr="00256FD2">
        <w:t xml:space="preserve">rapports </w:t>
      </w:r>
      <w:r w:rsidR="00413EC2" w:rsidRPr="00256FD2">
        <w:t xml:space="preserve">nationaux </w:t>
      </w:r>
      <w:r w:rsidRPr="00256FD2">
        <w:t>abrégés (1</w:t>
      </w:r>
      <w:r w:rsidRPr="00256FD2">
        <w:rPr>
          <w:vertAlign w:val="superscript"/>
        </w:rPr>
        <w:t>er</w:t>
      </w:r>
      <w:r w:rsidRPr="00256FD2">
        <w:t> janvier 2021-31 décembre 2022). En réponse à</w:t>
      </w:r>
      <w:r w:rsidR="00884CA2" w:rsidRPr="00256FD2">
        <w:t> </w:t>
      </w:r>
      <w:r w:rsidRPr="00256FD2">
        <w:t>l</w:t>
      </w:r>
      <w:r w:rsidR="007C21C3" w:rsidRPr="00256FD2">
        <w:t>’</w:t>
      </w:r>
      <w:r w:rsidRPr="00256FD2">
        <w:t>invitation formulée au paragraphe</w:t>
      </w:r>
      <w:r w:rsidR="00160B46" w:rsidRPr="00256FD2">
        <w:t> </w:t>
      </w:r>
      <w:r w:rsidRPr="00256FD2">
        <w:t>3 de la décision</w:t>
      </w:r>
      <w:r w:rsidR="00160B46" w:rsidRPr="00256FD2">
        <w:t> </w:t>
      </w:r>
      <w:r w:rsidRPr="00256FD2">
        <w:t>MC-5/7, le Conseil du FEM a</w:t>
      </w:r>
      <w:r w:rsidR="00D74985" w:rsidRPr="00256FD2">
        <w:t>vait</w:t>
      </w:r>
      <w:r w:rsidRPr="00256FD2">
        <w:t xml:space="preserve"> approuvé, à</w:t>
      </w:r>
      <w:r w:rsidR="00884CA2" w:rsidRPr="00256FD2">
        <w:t> </w:t>
      </w:r>
      <w:r w:rsidRPr="00256FD2">
        <w:t>sa</w:t>
      </w:r>
      <w:r w:rsidR="00884CA2" w:rsidRPr="00256FD2">
        <w:t> </w:t>
      </w:r>
      <w:r w:rsidRPr="00256FD2">
        <w:t>soixante-septième réunion, l</w:t>
      </w:r>
      <w:r w:rsidR="007C21C3" w:rsidRPr="00256FD2">
        <w:t>’</w:t>
      </w:r>
      <w:r w:rsidRPr="00256FD2">
        <w:t>inclusion d</w:t>
      </w:r>
      <w:r w:rsidR="007C21C3" w:rsidRPr="00256FD2">
        <w:t>’</w:t>
      </w:r>
      <w:r w:rsidRPr="00256FD2">
        <w:t>une nouvelle activité habilitante au titre de la Convention de</w:t>
      </w:r>
      <w:r w:rsidR="00160B46" w:rsidRPr="00256FD2">
        <w:t> </w:t>
      </w:r>
      <w:r w:rsidRPr="00256FD2">
        <w:t>Minamata, afin d</w:t>
      </w:r>
      <w:r w:rsidR="007C21C3" w:rsidRPr="00256FD2">
        <w:t>’</w:t>
      </w:r>
      <w:r w:rsidRPr="00256FD2">
        <w:t xml:space="preserve">aider les Parties à établir leurs comptes rendus </w:t>
      </w:r>
      <w:r w:rsidR="001633B3" w:rsidRPr="00256FD2">
        <w:t>d</w:t>
      </w:r>
      <w:r w:rsidR="00323701" w:rsidRPr="00256FD2">
        <w:t>es progrès accomplis dans l</w:t>
      </w:r>
      <w:r w:rsidRPr="00256FD2">
        <w:t>a mise en œuvre de l</w:t>
      </w:r>
      <w:r w:rsidR="007C21C3" w:rsidRPr="00256FD2">
        <w:t>’</w:t>
      </w:r>
      <w:r w:rsidRPr="00256FD2">
        <w:t>article</w:t>
      </w:r>
      <w:r w:rsidR="00160B46" w:rsidRPr="00256FD2">
        <w:t> </w:t>
      </w:r>
      <w:r w:rsidRPr="00256FD2">
        <w:t>7.</w:t>
      </w:r>
      <w:r w:rsidR="007C21C3" w:rsidRPr="00256FD2">
        <w:t xml:space="preserve"> </w:t>
      </w:r>
    </w:p>
    <w:p w14:paraId="0DB05128" w14:textId="5ADB90A7" w:rsidR="001030F4" w:rsidRPr="00256FD2" w:rsidRDefault="001030F4" w:rsidP="00CE391A">
      <w:pPr>
        <w:pStyle w:val="Normalnumber"/>
      </w:pPr>
      <w:r w:rsidRPr="00256FD2">
        <w:t xml:space="preserve">Le secrétariat, en collaboration avec le Partenariat mondial sur le mercure, a élaboré des projets de sections relatifs aux comptes rendus </w:t>
      </w:r>
      <w:r w:rsidR="001633B3" w:rsidRPr="00256FD2">
        <w:t>d</w:t>
      </w:r>
      <w:r w:rsidR="0061237A" w:rsidRPr="00256FD2">
        <w:t>es progrès accomplis dans</w:t>
      </w:r>
      <w:r w:rsidRPr="00256FD2">
        <w:t xml:space="preserve"> la mise en œuvre de l</w:t>
      </w:r>
      <w:r w:rsidR="007C21C3" w:rsidRPr="00256FD2">
        <w:t>’</w:t>
      </w:r>
      <w:r w:rsidRPr="00256FD2">
        <w:t>article</w:t>
      </w:r>
      <w:r w:rsidR="007F267F" w:rsidRPr="00256FD2">
        <w:t> </w:t>
      </w:r>
      <w:r w:rsidRPr="00256FD2">
        <w:t>7 à</w:t>
      </w:r>
      <w:r w:rsidR="00685A13" w:rsidRPr="00256FD2">
        <w:t> </w:t>
      </w:r>
      <w:r w:rsidRPr="00256FD2">
        <w:t>inclure dans le Document d</w:t>
      </w:r>
      <w:r w:rsidR="007C21C3" w:rsidRPr="00256FD2">
        <w:t>’</w:t>
      </w:r>
      <w:r w:rsidRPr="00256FD2">
        <w:t>orientation existant sur l</w:t>
      </w:r>
      <w:r w:rsidR="007C21C3" w:rsidRPr="00256FD2">
        <w:t>’</w:t>
      </w:r>
      <w:r w:rsidRPr="00256FD2">
        <w:t>élaboration d</w:t>
      </w:r>
      <w:r w:rsidR="007C21C3" w:rsidRPr="00256FD2">
        <w:t>’</w:t>
      </w:r>
      <w:r w:rsidRPr="00256FD2">
        <w:t>un plan d</w:t>
      </w:r>
      <w:r w:rsidR="007C21C3" w:rsidRPr="00256FD2">
        <w:t>’</w:t>
      </w:r>
      <w:r w:rsidRPr="00256FD2">
        <w:t>action national pour</w:t>
      </w:r>
      <w:r w:rsidR="00685A13" w:rsidRPr="00256FD2">
        <w:t> </w:t>
      </w:r>
      <w:r w:rsidRPr="00256FD2">
        <w:t>réduire et, si possible, éliminer l</w:t>
      </w:r>
      <w:r w:rsidR="007C21C3" w:rsidRPr="00256FD2">
        <w:t>’</w:t>
      </w:r>
      <w:r w:rsidRPr="00256FD2">
        <w:t>utilisation de mercure pour l</w:t>
      </w:r>
      <w:r w:rsidR="007C21C3" w:rsidRPr="00256FD2">
        <w:t>’</w:t>
      </w:r>
      <w:r w:rsidRPr="00256FD2">
        <w:t>extraction artisanale et à petite échelle d</w:t>
      </w:r>
      <w:r w:rsidR="007C21C3" w:rsidRPr="00256FD2">
        <w:t>’</w:t>
      </w:r>
      <w:r w:rsidRPr="00256FD2">
        <w:t>or</w:t>
      </w:r>
      <w:r w:rsidRPr="00256FD2">
        <w:rPr>
          <w:rStyle w:val="FootnoteReference"/>
        </w:rPr>
        <w:footnoteReference w:id="7"/>
      </w:r>
      <w:r w:rsidRPr="00256FD2">
        <w:t>. L</w:t>
      </w:r>
      <w:r w:rsidR="007C21C3" w:rsidRPr="00256FD2">
        <w:t>’</w:t>
      </w:r>
      <w:r w:rsidRPr="00256FD2">
        <w:t xml:space="preserve">objectif de ces nouvelles sections </w:t>
      </w:r>
      <w:r w:rsidR="00B53E4F" w:rsidRPr="00256FD2">
        <w:t xml:space="preserve">est </w:t>
      </w:r>
      <w:r w:rsidRPr="00256FD2">
        <w:t>de faciliter l</w:t>
      </w:r>
      <w:r w:rsidR="007C21C3" w:rsidRPr="00256FD2">
        <w:t>’</w:t>
      </w:r>
      <w:r w:rsidRPr="00256FD2">
        <w:t>établissement des comptes rendus et d</w:t>
      </w:r>
      <w:r w:rsidR="007C21C3" w:rsidRPr="00256FD2">
        <w:t>’</w:t>
      </w:r>
      <w:r w:rsidRPr="00256FD2">
        <w:t xml:space="preserve">aider les correspondant(e)s nationaux(ales) à organiser les informations </w:t>
      </w:r>
      <w:r w:rsidR="00B53E4F" w:rsidRPr="00256FD2">
        <w:t>tirées des</w:t>
      </w:r>
      <w:r w:rsidRPr="00256FD2">
        <w:t xml:space="preserve"> conclusions de ces derniers, en vue de leur inclusion dans les rapports à soumettre en application de l</w:t>
      </w:r>
      <w:r w:rsidR="007C21C3" w:rsidRPr="00256FD2">
        <w:t>’</w:t>
      </w:r>
      <w:r w:rsidRPr="00256FD2">
        <w:t>article</w:t>
      </w:r>
      <w:r w:rsidR="00F65E6D" w:rsidRPr="00256FD2">
        <w:t> </w:t>
      </w:r>
      <w:r w:rsidRPr="00256FD2">
        <w:t>21. Les</w:t>
      </w:r>
      <w:r w:rsidR="00685A13" w:rsidRPr="00256FD2">
        <w:t> </w:t>
      </w:r>
      <w:r w:rsidRPr="00256FD2">
        <w:t>modifications proposées sont reproduites dans le document UNEP/MC/COP.6/7/Add.1 et comprennent des sections relatives à l</w:t>
      </w:r>
      <w:r w:rsidR="007C21C3" w:rsidRPr="00256FD2">
        <w:t>’</w:t>
      </w:r>
      <w:r w:rsidRPr="00256FD2">
        <w:t>association et</w:t>
      </w:r>
      <w:r w:rsidR="00B53E4F" w:rsidRPr="00256FD2">
        <w:t xml:space="preserve"> </w:t>
      </w:r>
      <w:r w:rsidRPr="00256FD2">
        <w:t>la participation efficaces des peuples autochtones, des communautés locales et des autres parties prenantes, comme demandé au paragraphe</w:t>
      </w:r>
      <w:r w:rsidR="008508F5" w:rsidRPr="00256FD2">
        <w:t> </w:t>
      </w:r>
      <w:r w:rsidRPr="00256FD2">
        <w:t>7 de la</w:t>
      </w:r>
      <w:r w:rsidR="00945C12" w:rsidRPr="00256FD2">
        <w:t> </w:t>
      </w:r>
      <w:r w:rsidRPr="00256FD2">
        <w:t>décision</w:t>
      </w:r>
      <w:r w:rsidR="00945C12" w:rsidRPr="00256FD2">
        <w:t> </w:t>
      </w:r>
      <w:r w:rsidRPr="00256FD2">
        <w:t>5/7.</w:t>
      </w:r>
    </w:p>
    <w:p w14:paraId="40261C03" w14:textId="3766D03E" w:rsidR="001030F4" w:rsidRPr="00256FD2" w:rsidRDefault="00C25A6E" w:rsidP="001030F4">
      <w:pPr>
        <w:pStyle w:val="CH2"/>
        <w:ind w:right="0"/>
      </w:pPr>
      <w:r w:rsidRPr="00256FD2">
        <w:rPr>
          <w:bCs/>
        </w:rPr>
        <w:tab/>
      </w:r>
      <w:r w:rsidR="001030F4" w:rsidRPr="00256FD2">
        <w:rPr>
          <w:bCs/>
        </w:rPr>
        <w:t>B.</w:t>
      </w:r>
      <w:r w:rsidR="001030F4" w:rsidRPr="00256FD2">
        <w:tab/>
      </w:r>
      <w:r w:rsidR="001030F4" w:rsidRPr="00256FD2">
        <w:rPr>
          <w:bCs/>
        </w:rPr>
        <w:t xml:space="preserve">Association et </w:t>
      </w:r>
      <w:proofErr w:type="gramStart"/>
      <w:r w:rsidR="001030F4" w:rsidRPr="00256FD2">
        <w:rPr>
          <w:bCs/>
        </w:rPr>
        <w:t>participation efficaces</w:t>
      </w:r>
      <w:proofErr w:type="gramEnd"/>
      <w:r w:rsidR="001030F4" w:rsidRPr="00256FD2">
        <w:rPr>
          <w:bCs/>
        </w:rPr>
        <w:t xml:space="preserve"> des peuples autochtones, des communautés locales et des autres parties prenantes</w:t>
      </w:r>
      <w:r w:rsidR="001030F4" w:rsidRPr="00256FD2">
        <w:t xml:space="preserve"> </w:t>
      </w:r>
    </w:p>
    <w:p w14:paraId="110D6693" w14:textId="38A2606A" w:rsidR="001030F4" w:rsidRPr="00256FD2" w:rsidRDefault="001030F4" w:rsidP="00CE391A">
      <w:pPr>
        <w:pStyle w:val="Normalnumber"/>
      </w:pPr>
      <w:r w:rsidRPr="00256FD2">
        <w:t>En réponse au paragraphe</w:t>
      </w:r>
      <w:r w:rsidR="00384E03" w:rsidRPr="00256FD2">
        <w:t> </w:t>
      </w:r>
      <w:r w:rsidRPr="00256FD2">
        <w:t>7 de la décision</w:t>
      </w:r>
      <w:r w:rsidR="00384E03" w:rsidRPr="00256FD2">
        <w:t> </w:t>
      </w:r>
      <w:r w:rsidRPr="00256FD2">
        <w:t>MC-5/7, le secrétariat, avec l</w:t>
      </w:r>
      <w:r w:rsidR="007C21C3" w:rsidRPr="00256FD2">
        <w:t>’</w:t>
      </w:r>
      <w:r w:rsidRPr="00256FD2">
        <w:t>appui financier de l</w:t>
      </w:r>
      <w:r w:rsidR="007C21C3" w:rsidRPr="00256FD2">
        <w:t>’</w:t>
      </w:r>
      <w:r w:rsidRPr="00256FD2">
        <w:t>Australie et de la Norvège, a élaboré un projet de guide provisoire sur l</w:t>
      </w:r>
      <w:r w:rsidR="007C21C3" w:rsidRPr="00256FD2">
        <w:t>’</w:t>
      </w:r>
      <w:r w:rsidRPr="00256FD2">
        <w:t>association et la participation efficaces des peuples autochtones et des communautés locales à l</w:t>
      </w:r>
      <w:r w:rsidR="007C21C3" w:rsidRPr="00256FD2">
        <w:t>’</w:t>
      </w:r>
      <w:r w:rsidRPr="00256FD2">
        <w:t>élaboration, la mise en œuvre et l</w:t>
      </w:r>
      <w:r w:rsidR="007C21C3" w:rsidRPr="00256FD2">
        <w:t>’</w:t>
      </w:r>
      <w:r w:rsidRPr="00256FD2">
        <w:t>examen des plans d</w:t>
      </w:r>
      <w:r w:rsidR="007C21C3" w:rsidRPr="00256FD2">
        <w:t>’</w:t>
      </w:r>
      <w:r w:rsidRPr="00256FD2">
        <w:t>action nationaux sur l</w:t>
      </w:r>
      <w:r w:rsidR="007C21C3" w:rsidRPr="00256FD2">
        <w:t>’</w:t>
      </w:r>
      <w:r w:rsidRPr="00256FD2">
        <w:t>extraction minière artisanale et à petite échelle d</w:t>
      </w:r>
      <w:r w:rsidR="007C21C3" w:rsidRPr="00256FD2">
        <w:t>’</w:t>
      </w:r>
      <w:r w:rsidRPr="00256FD2">
        <w:t>or. Le</w:t>
      </w:r>
      <w:r w:rsidR="00685A13" w:rsidRPr="00256FD2">
        <w:t> </w:t>
      </w:r>
      <w:r w:rsidRPr="00256FD2">
        <w:t>projet de guide a été publié sur le site Web de la Convention du 26 mars au 30 avril 2025, en vue de recueillir les contributions des Parties et d</w:t>
      </w:r>
      <w:r w:rsidR="007C21C3" w:rsidRPr="00256FD2">
        <w:t>’</w:t>
      </w:r>
      <w:r w:rsidRPr="00256FD2">
        <w:t>autres acteurs concernés</w:t>
      </w:r>
      <w:r w:rsidRPr="00256FD2">
        <w:rPr>
          <w:vertAlign w:val="superscript"/>
        </w:rPr>
        <w:footnoteReference w:id="8"/>
      </w:r>
      <w:r w:rsidRPr="00256FD2">
        <w:t>. Sa version mise à jour figure dans le document UNEP/MC/COP.6/INF/11. Le projet de guide provisoire est fondé sur une étude documentaire de protocoles d</w:t>
      </w:r>
      <w:r w:rsidR="007C21C3" w:rsidRPr="00256FD2">
        <w:t>’</w:t>
      </w:r>
      <w:r w:rsidRPr="00256FD2">
        <w:t>association similaires et vise à reprendre les meilleures pratiques existantes en matière d</w:t>
      </w:r>
      <w:r w:rsidR="007C21C3" w:rsidRPr="00256FD2">
        <w:t>’</w:t>
      </w:r>
      <w:r w:rsidRPr="00256FD2">
        <w:t>association des peuples autochtones et des communautés locales. Il est proposé que le guide soit considéré comme provisoire, car il pourrait être nécessaire de l</w:t>
      </w:r>
      <w:r w:rsidR="007C21C3" w:rsidRPr="00256FD2">
        <w:t>’</w:t>
      </w:r>
      <w:r w:rsidRPr="00256FD2">
        <w:t xml:space="preserve">étoffer davantage en fonction des réactions </w:t>
      </w:r>
      <w:r w:rsidR="006D5306" w:rsidRPr="00256FD2">
        <w:t>communiquées par les</w:t>
      </w:r>
      <w:r w:rsidRPr="00256FD2">
        <w:t xml:space="preserve"> Parties qui l</w:t>
      </w:r>
      <w:r w:rsidR="007C21C3" w:rsidRPr="00256FD2">
        <w:t>’</w:t>
      </w:r>
      <w:r w:rsidRPr="00256FD2">
        <w:t xml:space="preserve">utilisent, ainsi que </w:t>
      </w:r>
      <w:r w:rsidR="006D5306" w:rsidRPr="00256FD2">
        <w:t>par le</w:t>
      </w:r>
      <w:r w:rsidRPr="00256FD2">
        <w:t xml:space="preserve">s peuples autochtones et </w:t>
      </w:r>
      <w:r w:rsidR="006D5306" w:rsidRPr="00256FD2">
        <w:t>l</w:t>
      </w:r>
      <w:r w:rsidRPr="00256FD2">
        <w:t xml:space="preserve">es communautés locales. </w:t>
      </w:r>
    </w:p>
    <w:p w14:paraId="4A24D3D1" w14:textId="2279DFB5" w:rsidR="001030F4" w:rsidRPr="00256FD2" w:rsidRDefault="001030F4" w:rsidP="00CE391A">
      <w:pPr>
        <w:pStyle w:val="Normalnumber"/>
      </w:pPr>
      <w:r w:rsidRPr="00256FD2">
        <w:t>Conformément au paragraphe</w:t>
      </w:r>
      <w:r w:rsidR="007861AF" w:rsidRPr="00256FD2">
        <w:t> </w:t>
      </w:r>
      <w:r w:rsidRPr="00256FD2">
        <w:t>8 de la décision</w:t>
      </w:r>
      <w:r w:rsidR="007861AF" w:rsidRPr="00256FD2">
        <w:t> </w:t>
      </w:r>
      <w:r w:rsidRPr="00256FD2">
        <w:t xml:space="preserve">MC-5/7, le secrétariat a soutenu les activités des Parties </w:t>
      </w:r>
      <w:r w:rsidR="009F745E" w:rsidRPr="00256FD2">
        <w:t xml:space="preserve">qui </w:t>
      </w:r>
      <w:r w:rsidRPr="00256FD2">
        <w:t>vis</w:t>
      </w:r>
      <w:r w:rsidR="009F745E" w:rsidRPr="00256FD2">
        <w:t>en</w:t>
      </w:r>
      <w:r w:rsidRPr="00256FD2">
        <w:t xml:space="preserve">t à sensibiliser les </w:t>
      </w:r>
      <w:r w:rsidR="007C21C3" w:rsidRPr="00256FD2">
        <w:t>peuples autochtones</w:t>
      </w:r>
      <w:r w:rsidRPr="00256FD2">
        <w:t xml:space="preserve"> aux risques associés à l</w:t>
      </w:r>
      <w:r w:rsidR="007C21C3" w:rsidRPr="00256FD2">
        <w:t>’</w:t>
      </w:r>
      <w:r w:rsidRPr="00256FD2">
        <w:t>utilisation de mercure dans l</w:t>
      </w:r>
      <w:r w:rsidR="007C21C3" w:rsidRPr="00256FD2">
        <w:t>’</w:t>
      </w:r>
      <w:r w:rsidRPr="00256FD2">
        <w:t>extraction minière artisanale et à petite échelle d</w:t>
      </w:r>
      <w:r w:rsidR="007C21C3" w:rsidRPr="00256FD2">
        <w:t>’</w:t>
      </w:r>
      <w:r w:rsidRPr="00256FD2">
        <w:t>or, notamment par une formation en présentiel sur la Convention de Minamata et l</w:t>
      </w:r>
      <w:r w:rsidR="007C21C3" w:rsidRPr="00256FD2">
        <w:t>’</w:t>
      </w:r>
      <w:r w:rsidRPr="00256FD2">
        <w:t>extraction minière artisanale et à petite échelle d</w:t>
      </w:r>
      <w:r w:rsidR="007C21C3" w:rsidRPr="00256FD2">
        <w:t>’</w:t>
      </w:r>
      <w:r w:rsidRPr="00256FD2">
        <w:t>or, en</w:t>
      </w:r>
      <w:r w:rsidR="00685A13" w:rsidRPr="00256FD2">
        <w:t> </w:t>
      </w:r>
      <w:r w:rsidRPr="00256FD2">
        <w:t>coopération avec le Haut-Commissariat des Nations</w:t>
      </w:r>
      <w:r w:rsidR="000B2297" w:rsidRPr="00256FD2">
        <w:t> </w:t>
      </w:r>
      <w:r w:rsidRPr="00256FD2">
        <w:t>Unies aux droits de l</w:t>
      </w:r>
      <w:r w:rsidR="007C21C3" w:rsidRPr="00256FD2">
        <w:t>’</w:t>
      </w:r>
      <w:r w:rsidRPr="00256FD2">
        <w:t>homme, et a présenté les résultats de l</w:t>
      </w:r>
      <w:r w:rsidR="007C21C3" w:rsidRPr="00256FD2">
        <w:t>’</w:t>
      </w:r>
      <w:r w:rsidRPr="00256FD2">
        <w:t>enquête menée sur les besoins et les priorités des peuples autochtones en ce qui concerne les effets du mercure sur leur santé, leurs moyens de subsistance, leur culture et leurs connaissances. Dans le cadre de ces activités, le secrétariat a organisé deux manifestations, toutes deux tenues à</w:t>
      </w:r>
      <w:r w:rsidR="00884CA2" w:rsidRPr="00256FD2">
        <w:t> </w:t>
      </w:r>
      <w:r w:rsidRPr="00256FD2">
        <w:t>Genève</w:t>
      </w:r>
      <w:r w:rsidR="007C21C3" w:rsidRPr="00256FD2">
        <w:t> :</w:t>
      </w:r>
      <w:r w:rsidRPr="00256FD2">
        <w:t xml:space="preserve"> une session qui s</w:t>
      </w:r>
      <w:r w:rsidR="007C21C3" w:rsidRPr="00256FD2">
        <w:t>’</w:t>
      </w:r>
      <w:r w:rsidRPr="00256FD2">
        <w:t>est déroulée le 7 juillet 2025 dans le cadre de l</w:t>
      </w:r>
      <w:r w:rsidR="007C21C3" w:rsidRPr="00256FD2">
        <w:t>’</w:t>
      </w:r>
      <w:r w:rsidRPr="00256FD2">
        <w:t xml:space="preserve">Indigenous </w:t>
      </w:r>
      <w:proofErr w:type="spellStart"/>
      <w:r w:rsidRPr="00256FD2">
        <w:t>Fellows</w:t>
      </w:r>
      <w:proofErr w:type="spellEnd"/>
      <w:r w:rsidRPr="00256FD2">
        <w:t xml:space="preserve"> Programme et une manifestation intitulée « Dialogue on the </w:t>
      </w:r>
      <w:proofErr w:type="spellStart"/>
      <w:r w:rsidRPr="00256FD2">
        <w:t>needs</w:t>
      </w:r>
      <w:proofErr w:type="spellEnd"/>
      <w:r w:rsidRPr="00256FD2">
        <w:t xml:space="preserve"> and </w:t>
      </w:r>
      <w:proofErr w:type="spellStart"/>
      <w:r w:rsidRPr="00256FD2">
        <w:t>priorities</w:t>
      </w:r>
      <w:proofErr w:type="spellEnd"/>
      <w:r w:rsidRPr="00256FD2">
        <w:t xml:space="preserve"> of Indigenous Peoples in relation to the </w:t>
      </w:r>
      <w:proofErr w:type="spellStart"/>
      <w:r w:rsidRPr="00256FD2">
        <w:t>effects</w:t>
      </w:r>
      <w:proofErr w:type="spellEnd"/>
      <w:r w:rsidRPr="00256FD2">
        <w:t xml:space="preserve"> of </w:t>
      </w:r>
      <w:proofErr w:type="spellStart"/>
      <w:r w:rsidRPr="00256FD2">
        <w:t>mercury</w:t>
      </w:r>
      <w:proofErr w:type="spellEnd"/>
      <w:r w:rsidRPr="00256FD2">
        <w:t xml:space="preserve"> pollution » (Dialogue sur les besoins et les priorités des peuples autochtones en ce qui concerne les effets de la pollution par le mercure) qui s</w:t>
      </w:r>
      <w:r w:rsidR="007C21C3" w:rsidRPr="00256FD2">
        <w:t>’</w:t>
      </w:r>
      <w:r w:rsidRPr="00256FD2">
        <w:t>est déroulée le</w:t>
      </w:r>
      <w:r w:rsidR="00685A13" w:rsidRPr="00256FD2">
        <w:t> </w:t>
      </w:r>
      <w:r w:rsidRPr="00256FD2">
        <w:t>17 juillet</w:t>
      </w:r>
      <w:r w:rsidR="00685A13" w:rsidRPr="00256FD2">
        <w:t> </w:t>
      </w:r>
      <w:r w:rsidRPr="00256FD2">
        <w:t>2025</w:t>
      </w:r>
      <w:r w:rsidR="00930690" w:rsidRPr="00256FD2">
        <w:t>,</w:t>
      </w:r>
      <w:r w:rsidRPr="00256FD2">
        <w:t xml:space="preserve"> en marge de la dix-huitième session du Mécanisme d</w:t>
      </w:r>
      <w:r w:rsidR="007C21C3" w:rsidRPr="00256FD2">
        <w:t>’</w:t>
      </w:r>
      <w:r w:rsidRPr="00256FD2">
        <w:t>experts sur les droits des peuples autochtones.</w:t>
      </w:r>
    </w:p>
    <w:p w14:paraId="01DEDE88" w14:textId="0D6FF7D5" w:rsidR="001030F4" w:rsidRPr="00256FD2" w:rsidRDefault="001030F4" w:rsidP="00CE391A">
      <w:pPr>
        <w:pStyle w:val="Normalnumber"/>
      </w:pPr>
      <w:r w:rsidRPr="00256FD2">
        <w:t>Le document UNEP/MC/COP.6/INF/36 contient la liste de toutes les activités de sensibilisation menées par le secrétariat.</w:t>
      </w:r>
    </w:p>
    <w:p w14:paraId="5E0BC692" w14:textId="5815095B" w:rsidR="001030F4" w:rsidRPr="00256FD2" w:rsidRDefault="00C25A6E" w:rsidP="001030F4">
      <w:pPr>
        <w:pStyle w:val="CH2"/>
      </w:pPr>
      <w:r w:rsidRPr="00256FD2">
        <w:rPr>
          <w:bCs/>
        </w:rPr>
        <w:tab/>
      </w:r>
      <w:r w:rsidR="001030F4" w:rsidRPr="00256FD2">
        <w:rPr>
          <w:bCs/>
        </w:rPr>
        <w:t>C.</w:t>
      </w:r>
      <w:r w:rsidR="001030F4" w:rsidRPr="00256FD2">
        <w:tab/>
      </w:r>
      <w:r w:rsidR="001030F4" w:rsidRPr="00256FD2">
        <w:rPr>
          <w:bCs/>
        </w:rPr>
        <w:t>Efforts supplémentaires pour faire progresser la mise en œuvre de l</w:t>
      </w:r>
      <w:r w:rsidR="007C21C3" w:rsidRPr="00256FD2">
        <w:rPr>
          <w:bCs/>
        </w:rPr>
        <w:t>’</w:t>
      </w:r>
      <w:r w:rsidR="001030F4" w:rsidRPr="00256FD2">
        <w:rPr>
          <w:bCs/>
        </w:rPr>
        <w:t>article</w:t>
      </w:r>
      <w:r w:rsidR="00685A13" w:rsidRPr="00256FD2">
        <w:rPr>
          <w:bCs/>
        </w:rPr>
        <w:t> </w:t>
      </w:r>
      <w:r w:rsidR="001030F4" w:rsidRPr="00256FD2">
        <w:rPr>
          <w:bCs/>
        </w:rPr>
        <w:t>7</w:t>
      </w:r>
    </w:p>
    <w:p w14:paraId="04CDAD9B" w14:textId="3DE68047" w:rsidR="001030F4" w:rsidRPr="00256FD2" w:rsidRDefault="00500B90" w:rsidP="00CE391A">
      <w:pPr>
        <w:pStyle w:val="Normalnumber"/>
      </w:pPr>
      <w:r w:rsidRPr="00256FD2">
        <w:t>Au paragraphe</w:t>
      </w:r>
      <w:r w:rsidR="006D7AD9" w:rsidRPr="00256FD2">
        <w:t> </w:t>
      </w:r>
      <w:r w:rsidRPr="00256FD2">
        <w:t>4 de la décision</w:t>
      </w:r>
      <w:r w:rsidR="006D7AD9" w:rsidRPr="00256FD2">
        <w:t> </w:t>
      </w:r>
      <w:r w:rsidRPr="00256FD2">
        <w:t xml:space="preserve">MC-5/7, les Parties et le FEM ont été engagés à poursuivre leurs efforts </w:t>
      </w:r>
      <w:r w:rsidR="00663E73" w:rsidRPr="00256FD2">
        <w:t>de recherche des</w:t>
      </w:r>
      <w:r w:rsidRPr="00256FD2">
        <w:t xml:space="preserve"> possibilités pour faire </w:t>
      </w:r>
      <w:r w:rsidR="006E515E" w:rsidRPr="00256FD2">
        <w:t>progresser</w:t>
      </w:r>
      <w:r w:rsidRPr="00256FD2">
        <w:t xml:space="preserve"> l</w:t>
      </w:r>
      <w:r w:rsidR="007C21C3" w:rsidRPr="00256FD2">
        <w:t>’</w:t>
      </w:r>
      <w:r w:rsidRPr="00256FD2">
        <w:t>application de l</w:t>
      </w:r>
      <w:r w:rsidR="007C21C3" w:rsidRPr="00256FD2">
        <w:t>’</w:t>
      </w:r>
      <w:r w:rsidRPr="00256FD2">
        <w:t>article</w:t>
      </w:r>
      <w:r w:rsidR="006D7AD9" w:rsidRPr="00256FD2">
        <w:t> </w:t>
      </w:r>
      <w:r w:rsidRPr="00256FD2">
        <w:t xml:space="preserve">7 dans le cadre de projets sur la biodiversité, la dégradation des sols, les eaux internationales et le commerce, et à continuer de faire </w:t>
      </w:r>
      <w:r w:rsidR="006E515E" w:rsidRPr="00256FD2">
        <w:t>avancer</w:t>
      </w:r>
      <w:r w:rsidRPr="00256FD2">
        <w:t xml:space="preserve"> la mise en œuvre des plans d</w:t>
      </w:r>
      <w:r w:rsidR="007C21C3" w:rsidRPr="00256FD2">
        <w:t>’</w:t>
      </w:r>
      <w:r w:rsidRPr="00256FD2">
        <w:t>action nationaux par l</w:t>
      </w:r>
      <w:r w:rsidR="007C21C3" w:rsidRPr="00256FD2">
        <w:t>’intermédiaire de</w:t>
      </w:r>
      <w:r w:rsidRPr="00256FD2">
        <w:t xml:space="preserve"> projets et de programmes. Les principales évolutions dans ce domaine sont les suivantes</w:t>
      </w:r>
      <w:r w:rsidR="007C21C3" w:rsidRPr="00256FD2">
        <w:t> :</w:t>
      </w:r>
    </w:p>
    <w:p w14:paraId="6189C044" w14:textId="5BCCD616" w:rsidR="001030F4" w:rsidRPr="00256FD2" w:rsidRDefault="001030F4" w:rsidP="003C4AB7">
      <w:pPr>
        <w:pStyle w:val="Normalnumber"/>
        <w:numPr>
          <w:ilvl w:val="1"/>
          <w:numId w:val="20"/>
        </w:numPr>
        <w:tabs>
          <w:tab w:val="clear" w:pos="1247"/>
          <w:tab w:val="clear" w:pos="1814"/>
          <w:tab w:val="clear" w:pos="2381"/>
          <w:tab w:val="clear" w:pos="2495"/>
          <w:tab w:val="clear" w:pos="2948"/>
          <w:tab w:val="clear" w:pos="3515"/>
          <w:tab w:val="num" w:pos="2408"/>
        </w:tabs>
      </w:pPr>
      <w:r w:rsidRPr="00256FD2">
        <w:t xml:space="preserve">Le secrétariat a collaboré avec The Nature </w:t>
      </w:r>
      <w:proofErr w:type="spellStart"/>
      <w:r w:rsidRPr="00256FD2">
        <w:t>Conservancy</w:t>
      </w:r>
      <w:proofErr w:type="spellEnd"/>
      <w:r w:rsidRPr="00256FD2">
        <w:t xml:space="preserve"> pour élaborer un document technique intitulé « </w:t>
      </w:r>
      <w:proofErr w:type="spellStart"/>
      <w:r w:rsidRPr="00256FD2">
        <w:t>Integrating</w:t>
      </w:r>
      <w:proofErr w:type="spellEnd"/>
      <w:r w:rsidRPr="00256FD2">
        <w:t xml:space="preserve"> action to </w:t>
      </w:r>
      <w:proofErr w:type="spellStart"/>
      <w:r w:rsidRPr="00256FD2">
        <w:t>reduce</w:t>
      </w:r>
      <w:proofErr w:type="spellEnd"/>
      <w:r w:rsidRPr="00256FD2">
        <w:t xml:space="preserve"> </w:t>
      </w:r>
      <w:proofErr w:type="spellStart"/>
      <w:r w:rsidRPr="00256FD2">
        <w:t>mercury</w:t>
      </w:r>
      <w:proofErr w:type="spellEnd"/>
      <w:r w:rsidRPr="00256FD2">
        <w:t xml:space="preserve"> pollution </w:t>
      </w:r>
      <w:proofErr w:type="spellStart"/>
      <w:r w:rsidRPr="00256FD2">
        <w:t>from</w:t>
      </w:r>
      <w:proofErr w:type="spellEnd"/>
      <w:r w:rsidRPr="00256FD2">
        <w:t xml:space="preserve"> artisanal and </w:t>
      </w:r>
      <w:proofErr w:type="spellStart"/>
      <w:r w:rsidRPr="00256FD2">
        <w:t>small-scale</w:t>
      </w:r>
      <w:proofErr w:type="spellEnd"/>
      <w:r w:rsidRPr="00256FD2">
        <w:t xml:space="preserve"> gold </w:t>
      </w:r>
      <w:proofErr w:type="spellStart"/>
      <w:r w:rsidRPr="00256FD2">
        <w:t>mining</w:t>
      </w:r>
      <w:proofErr w:type="spellEnd"/>
      <w:r w:rsidRPr="00256FD2">
        <w:t xml:space="preserve"> </w:t>
      </w:r>
      <w:proofErr w:type="spellStart"/>
      <w:r w:rsidRPr="00256FD2">
        <w:t>into</w:t>
      </w:r>
      <w:proofErr w:type="spellEnd"/>
      <w:r w:rsidRPr="00256FD2">
        <w:t xml:space="preserve"> the Kunming-Montréal Global </w:t>
      </w:r>
      <w:proofErr w:type="spellStart"/>
      <w:r w:rsidRPr="00256FD2">
        <w:t>Biodiversity</w:t>
      </w:r>
      <w:proofErr w:type="spellEnd"/>
      <w:r w:rsidRPr="00256FD2">
        <w:t xml:space="preserve"> Framework national </w:t>
      </w:r>
      <w:proofErr w:type="spellStart"/>
      <w:r w:rsidRPr="00256FD2">
        <w:t>biodiversity</w:t>
      </w:r>
      <w:proofErr w:type="spellEnd"/>
      <w:r w:rsidRPr="00256FD2">
        <w:t xml:space="preserve"> </w:t>
      </w:r>
      <w:proofErr w:type="spellStart"/>
      <w:r w:rsidRPr="00256FD2">
        <w:t>strategies</w:t>
      </w:r>
      <w:proofErr w:type="spellEnd"/>
      <w:r w:rsidRPr="00256FD2">
        <w:t xml:space="preserve"> and action plans » (Intégrer des mesures de réduction de la pollution par le mercure provenant des activités d</w:t>
      </w:r>
      <w:r w:rsidR="007C21C3" w:rsidRPr="00256FD2">
        <w:t>’</w:t>
      </w:r>
      <w:r w:rsidRPr="00256FD2">
        <w:t>extraction minière artisanale et à petite échelle d</w:t>
      </w:r>
      <w:r w:rsidR="007C21C3" w:rsidRPr="00256FD2">
        <w:t>’</w:t>
      </w:r>
      <w:r w:rsidRPr="00256FD2">
        <w:t>or dans les stratégies et plans d</w:t>
      </w:r>
      <w:r w:rsidR="007C21C3" w:rsidRPr="00256FD2">
        <w:t>’</w:t>
      </w:r>
      <w:r w:rsidRPr="00256FD2">
        <w:t>action nationaux pour la biodiversité au titre du Cadre mondial de la biodiversité de Kunming-Montréal) (UNEP/MC/COP.6/INF/27). Ce document vise à faciliter les synergies et à aider les pays à intégrer leurs objectifs nationaux en matière de réduction et de réglementation du mercure dans leurs stratégies et plans d</w:t>
      </w:r>
      <w:r w:rsidR="007C21C3" w:rsidRPr="00256FD2">
        <w:t>’</w:t>
      </w:r>
      <w:r w:rsidRPr="00256FD2">
        <w:t xml:space="preserve">action nationaux pour la biodiversité, une fois ceux-ci révisés ou mis à jour pour </w:t>
      </w:r>
      <w:r w:rsidR="00230199" w:rsidRPr="00256FD2">
        <w:t>être conformes au</w:t>
      </w:r>
      <w:r w:rsidRPr="00256FD2">
        <w:t xml:space="preserve"> Cadre mondial de la biodiversité de Kunming-Montréal</w:t>
      </w:r>
      <w:r w:rsidR="006D0436" w:rsidRPr="00256FD2">
        <w:t> ;</w:t>
      </w:r>
    </w:p>
    <w:p w14:paraId="7CA1C9F0" w14:textId="44BC2209" w:rsidR="001030F4" w:rsidRPr="00256FD2" w:rsidRDefault="001030F4" w:rsidP="003C4AB7">
      <w:pPr>
        <w:pStyle w:val="Normalnumber"/>
        <w:numPr>
          <w:ilvl w:val="1"/>
          <w:numId w:val="20"/>
        </w:numPr>
        <w:tabs>
          <w:tab w:val="clear" w:pos="1247"/>
          <w:tab w:val="clear" w:pos="1814"/>
          <w:tab w:val="clear" w:pos="2381"/>
          <w:tab w:val="clear" w:pos="2495"/>
          <w:tab w:val="clear" w:pos="2948"/>
          <w:tab w:val="clear" w:pos="3515"/>
          <w:tab w:val="num" w:pos="2408"/>
        </w:tabs>
      </w:pPr>
      <w:r w:rsidRPr="00256FD2">
        <w:t>Deux</w:t>
      </w:r>
      <w:r w:rsidR="006D7AD9" w:rsidRPr="00256FD2">
        <w:t> </w:t>
      </w:r>
      <w:r w:rsidRPr="00256FD2">
        <w:t>projets qui visent à traiter les questions sanitaires et environnementales liées à</w:t>
      </w:r>
      <w:r w:rsidR="00685A13" w:rsidRPr="00256FD2">
        <w:t> </w:t>
      </w:r>
      <w:r w:rsidRPr="00256FD2">
        <w:t>l</w:t>
      </w:r>
      <w:r w:rsidR="007C21C3" w:rsidRPr="00256FD2">
        <w:t>’</w:t>
      </w:r>
      <w:r w:rsidRPr="00256FD2">
        <w:t>utilisation du mercure dans l</w:t>
      </w:r>
      <w:r w:rsidR="007C21C3" w:rsidRPr="00256FD2">
        <w:t>’</w:t>
      </w:r>
      <w:r w:rsidRPr="00256FD2">
        <w:t>extraction minière artisanale et à petite échelle d</w:t>
      </w:r>
      <w:r w:rsidR="007C21C3" w:rsidRPr="00256FD2">
        <w:t>’</w:t>
      </w:r>
      <w:r w:rsidRPr="00256FD2">
        <w:t>or ont été approuvés dans le cadre du Programme international spécifique visant à soutenir le renforcement des capacités et l</w:t>
      </w:r>
      <w:r w:rsidR="007C21C3" w:rsidRPr="00256FD2">
        <w:t>’</w:t>
      </w:r>
      <w:r w:rsidRPr="00256FD2">
        <w:t>assistance technique, l</w:t>
      </w:r>
      <w:r w:rsidR="007C21C3" w:rsidRPr="00256FD2">
        <w:t>’</w:t>
      </w:r>
      <w:r w:rsidRPr="00256FD2">
        <w:t>un au Brésil et l</w:t>
      </w:r>
      <w:r w:rsidR="007C21C3" w:rsidRPr="00256FD2">
        <w:t>’</w:t>
      </w:r>
      <w:r w:rsidRPr="00256FD2">
        <w:t>autre en Érythrée. Le projet brésilien est particulièrement pertinent au regard de l</w:t>
      </w:r>
      <w:r w:rsidR="007C21C3" w:rsidRPr="00256FD2">
        <w:t>’</w:t>
      </w:r>
      <w:r w:rsidRPr="00256FD2">
        <w:t>alinéa d) du paragraphe</w:t>
      </w:r>
      <w:r w:rsidR="007601E5" w:rsidRPr="00256FD2">
        <w:t> </w:t>
      </w:r>
      <w:r w:rsidRPr="00256FD2">
        <w:t>6 de la décision</w:t>
      </w:r>
      <w:r w:rsidR="007601E5" w:rsidRPr="00256FD2">
        <w:t> </w:t>
      </w:r>
      <w:r w:rsidRPr="00256FD2">
        <w:t>MC-5/7, car il cible l</w:t>
      </w:r>
      <w:r w:rsidR="007C21C3" w:rsidRPr="00256FD2">
        <w:t>’</w:t>
      </w:r>
      <w:r w:rsidRPr="00256FD2">
        <w:t>association des peuples autochtones et d</w:t>
      </w:r>
      <w:r w:rsidR="007C21C3" w:rsidRPr="00256FD2">
        <w:t>’</w:t>
      </w:r>
      <w:r w:rsidRPr="00256FD2">
        <w:t>autres groupes concernés et touchés par l</w:t>
      </w:r>
      <w:r w:rsidR="007C21C3" w:rsidRPr="00256FD2">
        <w:t>’</w:t>
      </w:r>
      <w:r w:rsidRPr="00256FD2">
        <w:t>extraction minière artisanale et à petite échelle d</w:t>
      </w:r>
      <w:r w:rsidR="007C21C3" w:rsidRPr="00256FD2">
        <w:t>’</w:t>
      </w:r>
      <w:r w:rsidRPr="00256FD2">
        <w:t>or en Amazonie et leur sensibilisation aux effets du mercure sur la santé, ainsi que la promotion de pratiques d</w:t>
      </w:r>
      <w:r w:rsidR="007C21C3" w:rsidRPr="00256FD2">
        <w:t>’</w:t>
      </w:r>
      <w:r w:rsidRPr="00256FD2">
        <w:t>extraction minière plus sûres et durables. Le projet érythréen appuiera la mise en œuvre du plan d</w:t>
      </w:r>
      <w:r w:rsidR="007C21C3" w:rsidRPr="00256FD2">
        <w:t>’</w:t>
      </w:r>
      <w:r w:rsidRPr="00256FD2">
        <w:t>action national en matière d</w:t>
      </w:r>
      <w:r w:rsidR="007C21C3" w:rsidRPr="00256FD2">
        <w:t>’</w:t>
      </w:r>
      <w:r w:rsidRPr="00256FD2">
        <w:t>extraction minière artisanale et à petite échelle d</w:t>
      </w:r>
      <w:r w:rsidR="007C21C3" w:rsidRPr="00256FD2">
        <w:t>’</w:t>
      </w:r>
      <w:r w:rsidRPr="00256FD2">
        <w:t>or au moyen de campagnes de sensibilisation des communautés minières</w:t>
      </w:r>
      <w:r w:rsidR="006D0436" w:rsidRPr="00256FD2">
        <w:t> ;</w:t>
      </w:r>
      <w:r w:rsidRPr="00256FD2">
        <w:t xml:space="preserve"> </w:t>
      </w:r>
    </w:p>
    <w:p w14:paraId="65CD0933" w14:textId="09166683" w:rsidR="001030F4" w:rsidRPr="00256FD2" w:rsidRDefault="001030F4" w:rsidP="003C4AB7">
      <w:pPr>
        <w:pStyle w:val="Normalnumber"/>
        <w:numPr>
          <w:ilvl w:val="1"/>
          <w:numId w:val="20"/>
        </w:numPr>
        <w:tabs>
          <w:tab w:val="clear" w:pos="1247"/>
          <w:tab w:val="clear" w:pos="1814"/>
          <w:tab w:val="clear" w:pos="2381"/>
          <w:tab w:val="clear" w:pos="2495"/>
          <w:tab w:val="clear" w:pos="2948"/>
          <w:tab w:val="clear" w:pos="3515"/>
          <w:tab w:val="num" w:pos="2408"/>
        </w:tabs>
      </w:pPr>
      <w:r w:rsidRPr="00256FD2">
        <w:t>Le FEM a fait progresser la mise en œuvre du paragraphe 4 dans plusieurs domaines, notamment par les moyens suivants</w:t>
      </w:r>
      <w:r w:rsidR="007C21C3" w:rsidRPr="00256FD2">
        <w:t> :</w:t>
      </w:r>
    </w:p>
    <w:p w14:paraId="05E6E40A" w14:textId="3CCC3963" w:rsidR="001030F4" w:rsidRPr="00256FD2" w:rsidRDefault="001030F4" w:rsidP="003C4AB7">
      <w:pPr>
        <w:pStyle w:val="Normalnumber"/>
        <w:numPr>
          <w:ilvl w:val="2"/>
          <w:numId w:val="18"/>
        </w:numPr>
        <w:tabs>
          <w:tab w:val="clear" w:pos="567"/>
          <w:tab w:val="clear" w:pos="1247"/>
          <w:tab w:val="clear" w:pos="1814"/>
          <w:tab w:val="clear" w:pos="2381"/>
          <w:tab w:val="clear" w:pos="2948"/>
          <w:tab w:val="clear" w:pos="3515"/>
        </w:tabs>
        <w:ind w:left="2926" w:hanging="518"/>
      </w:pPr>
      <w:r w:rsidRPr="00256FD2">
        <w:t>Approbation d</w:t>
      </w:r>
      <w:r w:rsidR="007C21C3" w:rsidRPr="00256FD2">
        <w:t>’</w:t>
      </w:r>
      <w:r w:rsidRPr="00256FD2">
        <w:t>un projet régional pour promouvoir une meilleure compréhension des tendances en matière de mercure et améliorer le contrôle des flux de mercure dans</w:t>
      </w:r>
      <w:r w:rsidR="00F34742" w:rsidRPr="00256FD2">
        <w:t> </w:t>
      </w:r>
      <w:r w:rsidRPr="00256FD2">
        <w:t>six pays d</w:t>
      </w:r>
      <w:r w:rsidR="007C21C3" w:rsidRPr="00256FD2">
        <w:t>’</w:t>
      </w:r>
      <w:r w:rsidRPr="00256FD2">
        <w:t>Amérique latine et des Caraïbes, mis en œuvre par le Programme des Nations</w:t>
      </w:r>
      <w:r w:rsidR="000B2297" w:rsidRPr="00256FD2">
        <w:t> </w:t>
      </w:r>
      <w:r w:rsidRPr="00256FD2">
        <w:t>Unies pour l</w:t>
      </w:r>
      <w:r w:rsidR="007C21C3" w:rsidRPr="00256FD2">
        <w:t>’</w:t>
      </w:r>
      <w:r w:rsidRPr="00256FD2">
        <w:t>environnement (PNUE). L</w:t>
      </w:r>
      <w:r w:rsidR="007C21C3" w:rsidRPr="00256FD2">
        <w:t>’</w:t>
      </w:r>
      <w:r w:rsidRPr="00256FD2">
        <w:t>initiative, qui vise à prévenir et à éviter directement l</w:t>
      </w:r>
      <w:r w:rsidR="007C21C3" w:rsidRPr="00256FD2">
        <w:t>’</w:t>
      </w:r>
      <w:r w:rsidRPr="00256FD2">
        <w:t>entrée sur le marché international d</w:t>
      </w:r>
      <w:r w:rsidR="007C21C3" w:rsidRPr="00256FD2">
        <w:t>’</w:t>
      </w:r>
      <w:r w:rsidRPr="00256FD2">
        <w:t>environ 176 tonnes de mercure par un meilleur contrôle du commerce dans la région de l</w:t>
      </w:r>
      <w:r w:rsidR="007C21C3" w:rsidRPr="00256FD2">
        <w:t>’</w:t>
      </w:r>
      <w:r w:rsidRPr="00256FD2">
        <w:t>Amérique</w:t>
      </w:r>
      <w:r w:rsidR="00A95F56" w:rsidRPr="00256FD2">
        <w:t> </w:t>
      </w:r>
      <w:r w:rsidRPr="00256FD2">
        <w:t>latine et des Caraïbes, a été lancée à Bogota en mars 2025</w:t>
      </w:r>
      <w:r w:rsidR="007C21C3" w:rsidRPr="00256FD2">
        <w:t> ;</w:t>
      </w:r>
    </w:p>
    <w:p w14:paraId="05C70670" w14:textId="7EF29A26" w:rsidR="001030F4" w:rsidRPr="00256FD2" w:rsidRDefault="001030F4" w:rsidP="00CE391A">
      <w:pPr>
        <w:pStyle w:val="Normalnumber"/>
        <w:numPr>
          <w:ilvl w:val="2"/>
          <w:numId w:val="18"/>
        </w:numPr>
        <w:tabs>
          <w:tab w:val="clear" w:pos="567"/>
          <w:tab w:val="clear" w:pos="1247"/>
          <w:tab w:val="clear" w:pos="1814"/>
          <w:tab w:val="clear" w:pos="2381"/>
          <w:tab w:val="clear" w:pos="2948"/>
          <w:tab w:val="clear" w:pos="3515"/>
        </w:tabs>
      </w:pPr>
      <w:r w:rsidRPr="00256FD2">
        <w:t xml:space="preserve">Augmentation à 27 du nombre de pays qui participent au programme </w:t>
      </w:r>
      <w:proofErr w:type="spellStart"/>
      <w:r w:rsidRPr="00256FD2">
        <w:t>planetGOLD</w:t>
      </w:r>
      <w:proofErr w:type="spellEnd"/>
      <w:r w:rsidRPr="00256FD2">
        <w:t>, ce qui élargit davantage la portée des interventions et appuie la mise en œuvre par les Parties de leur plan d</w:t>
      </w:r>
      <w:r w:rsidR="007C21C3" w:rsidRPr="00256FD2">
        <w:t>’</w:t>
      </w:r>
      <w:r w:rsidRPr="00256FD2">
        <w:t>action national. Au 30 juin 2024, les</w:t>
      </w:r>
      <w:r w:rsidR="00846369" w:rsidRPr="00256FD2">
        <w:t> </w:t>
      </w:r>
      <w:r w:rsidRPr="00256FD2">
        <w:t xml:space="preserve">interventions menées dans le cadre du programme </w:t>
      </w:r>
      <w:proofErr w:type="spellStart"/>
      <w:r w:rsidRPr="00256FD2">
        <w:t>planetGOLD</w:t>
      </w:r>
      <w:proofErr w:type="spellEnd"/>
      <w:r w:rsidRPr="00256FD2">
        <w:t xml:space="preserve"> avaient permis d</w:t>
      </w:r>
      <w:r w:rsidR="007C21C3" w:rsidRPr="00256FD2">
        <w:t>’</w:t>
      </w:r>
      <w:r w:rsidRPr="00256FD2">
        <w:t>éviter l</w:t>
      </w:r>
      <w:r w:rsidR="007C21C3" w:rsidRPr="00256FD2">
        <w:t>’</w:t>
      </w:r>
      <w:r w:rsidRPr="00256FD2">
        <w:t>émission de 33,8 tonnes de mercure dans l</w:t>
      </w:r>
      <w:r w:rsidR="007C21C3" w:rsidRPr="00256FD2">
        <w:t>’</w:t>
      </w:r>
      <w:r w:rsidRPr="00256FD2">
        <w:t>environnement et d</w:t>
      </w:r>
      <w:r w:rsidR="007C21C3" w:rsidRPr="00256FD2">
        <w:t>’</w:t>
      </w:r>
      <w:r w:rsidRPr="00256FD2">
        <w:t>aider environ 12 400 </w:t>
      </w:r>
      <w:proofErr w:type="gramStart"/>
      <w:r w:rsidRPr="00256FD2">
        <w:t>mineur</w:t>
      </w:r>
      <w:proofErr w:type="gramEnd"/>
      <w:r w:rsidRPr="00256FD2">
        <w:t>(se)s dans leur processus de formalisation</w:t>
      </w:r>
      <w:r w:rsidR="007C21C3" w:rsidRPr="00256FD2">
        <w:t> ;</w:t>
      </w:r>
    </w:p>
    <w:p w14:paraId="3F4EB002" w14:textId="4C1A0EBD" w:rsidR="001030F4" w:rsidRPr="00256FD2" w:rsidRDefault="001030F4" w:rsidP="00CE391A">
      <w:pPr>
        <w:pStyle w:val="Normalnumber"/>
        <w:numPr>
          <w:ilvl w:val="2"/>
          <w:numId w:val="18"/>
        </w:numPr>
        <w:tabs>
          <w:tab w:val="clear" w:pos="567"/>
          <w:tab w:val="clear" w:pos="1247"/>
          <w:tab w:val="clear" w:pos="1814"/>
          <w:tab w:val="clear" w:pos="2381"/>
          <w:tab w:val="clear" w:pos="2948"/>
          <w:tab w:val="clear" w:pos="3515"/>
        </w:tabs>
      </w:pPr>
      <w:r w:rsidRPr="00256FD2">
        <w:t>Allocation de 284,8 millions de dollars au programme intégré sur les biomes forestiers de l</w:t>
      </w:r>
      <w:r w:rsidR="007C21C3" w:rsidRPr="00256FD2">
        <w:t>’</w:t>
      </w:r>
      <w:r w:rsidRPr="00256FD2">
        <w:t>Amazonie et du Congo et les autres biomes forestiers essentiels dans le cadre de la huitième</w:t>
      </w:r>
      <w:r w:rsidR="003A35FB" w:rsidRPr="00256FD2">
        <w:t> </w:t>
      </w:r>
      <w:r w:rsidRPr="00256FD2">
        <w:t>reconstitution des ressources de la Caisse du FEM, y</w:t>
      </w:r>
      <w:r w:rsidR="00846369" w:rsidRPr="00256FD2">
        <w:t> </w:t>
      </w:r>
      <w:r w:rsidRPr="00256FD2">
        <w:t>compris cinq</w:t>
      </w:r>
      <w:r w:rsidR="003A35FB" w:rsidRPr="00256FD2">
        <w:t> </w:t>
      </w:r>
      <w:r w:rsidRPr="00256FD2">
        <w:t>documents-cadres de programmes relatifs aux biomes d</w:t>
      </w:r>
      <w:r w:rsidR="007C21C3" w:rsidRPr="00256FD2">
        <w:t>’</w:t>
      </w:r>
      <w:r w:rsidRPr="00256FD2">
        <w:t xml:space="preserve">importance mondiale des régions amazonienne, congolaise et </w:t>
      </w:r>
      <w:proofErr w:type="spellStart"/>
      <w:r w:rsidRPr="00256FD2">
        <w:t>indomalaise</w:t>
      </w:r>
      <w:proofErr w:type="spellEnd"/>
      <w:r w:rsidRPr="00256FD2">
        <w:t>, des forêts guinéennes d</w:t>
      </w:r>
      <w:r w:rsidR="007C21C3" w:rsidRPr="00256FD2">
        <w:t>’</w:t>
      </w:r>
      <w:r w:rsidRPr="00256FD2">
        <w:t>Afrique de l</w:t>
      </w:r>
      <w:r w:rsidR="007C21C3" w:rsidRPr="00256FD2">
        <w:t>’</w:t>
      </w:r>
      <w:r w:rsidRPr="00256FD2">
        <w:t>Ouest et de la Méso-Amérique. Le programme appuiera 25</w:t>
      </w:r>
      <w:r w:rsidR="003A35FB" w:rsidRPr="00256FD2">
        <w:t> </w:t>
      </w:r>
      <w:r w:rsidRPr="00256FD2">
        <w:t>pays par divers moyens, y</w:t>
      </w:r>
      <w:r w:rsidR="00292E2E" w:rsidRPr="00256FD2">
        <w:t> </w:t>
      </w:r>
      <w:r w:rsidRPr="00256FD2">
        <w:t>compris une aide à la mise en œuvre d</w:t>
      </w:r>
      <w:r w:rsidR="007C21C3" w:rsidRPr="00256FD2">
        <w:t>’</w:t>
      </w:r>
      <w:r w:rsidRPr="00256FD2">
        <w:t>accords multilatéraux sur l</w:t>
      </w:r>
      <w:r w:rsidR="007C21C3" w:rsidRPr="00256FD2">
        <w:t>’</w:t>
      </w:r>
      <w:r w:rsidRPr="00256FD2">
        <w:t>environnement, tels que le Cadre mondial de la biodiversité de Kunming-Montréal qui relève de la Convention sur la diversité biologique, conformes aux objectifs de la Convention de</w:t>
      </w:r>
      <w:r w:rsidR="003A35FB" w:rsidRPr="00256FD2">
        <w:t> </w:t>
      </w:r>
      <w:r w:rsidRPr="00256FD2">
        <w:t>Minamata, notamment dans les domaines de l</w:t>
      </w:r>
      <w:r w:rsidR="007C21C3" w:rsidRPr="00256FD2">
        <w:t>’</w:t>
      </w:r>
      <w:r w:rsidRPr="00256FD2">
        <w:t>extraction minière artisanale et à petite échelle d</w:t>
      </w:r>
      <w:r w:rsidR="007C21C3" w:rsidRPr="00256FD2">
        <w:t>’</w:t>
      </w:r>
      <w:r w:rsidRPr="00256FD2">
        <w:t>or, de la réduction de l</w:t>
      </w:r>
      <w:r w:rsidR="007C21C3" w:rsidRPr="00256FD2">
        <w:t>’</w:t>
      </w:r>
      <w:r w:rsidRPr="00256FD2">
        <w:t>utilisation du mercure et de la remise en état d</w:t>
      </w:r>
      <w:r w:rsidR="007C21C3" w:rsidRPr="00256FD2">
        <w:t>’</w:t>
      </w:r>
      <w:r w:rsidRPr="00256FD2">
        <w:t>anciens sites miniers.</w:t>
      </w:r>
    </w:p>
    <w:p w14:paraId="48C314D8" w14:textId="278C3DC8" w:rsidR="001030F4" w:rsidRPr="00256FD2" w:rsidRDefault="001030F4" w:rsidP="00846369">
      <w:pPr>
        <w:pStyle w:val="Normalnumber"/>
        <w:keepNext/>
        <w:keepLines/>
      </w:pPr>
      <w:r w:rsidRPr="00256FD2">
        <w:t>La version finale du document technique sur la surveillance in situ du mercure et des composés du mercure dans les sites d</w:t>
      </w:r>
      <w:r w:rsidR="007C21C3" w:rsidRPr="00256FD2">
        <w:t>’</w:t>
      </w:r>
      <w:r w:rsidRPr="00256FD2">
        <w:t>extraction minière artisanale et à petite échelle d</w:t>
      </w:r>
      <w:r w:rsidR="007C21C3" w:rsidRPr="00256FD2">
        <w:t>’</w:t>
      </w:r>
      <w:r w:rsidRPr="00256FD2">
        <w:t>or et alentour (UNEP/MC/COP.5/INF/9) a été publiée sur le site Web de la Convention en janvier 2025</w:t>
      </w:r>
      <w:r w:rsidRPr="00256FD2">
        <w:rPr>
          <w:rStyle w:val="FootnoteReference"/>
        </w:rPr>
        <w:footnoteReference w:id="9"/>
      </w:r>
      <w:r w:rsidRPr="00256FD2">
        <w:t>. Ce</w:t>
      </w:r>
      <w:r w:rsidR="00CC6E36" w:rsidRPr="00256FD2">
        <w:t> </w:t>
      </w:r>
      <w:r w:rsidRPr="00256FD2">
        <w:t>document donne des indications sur la manière de dialoguer efficacement avec les peuples autochtones et les communautés locales, d</w:t>
      </w:r>
      <w:r w:rsidR="007C21C3" w:rsidRPr="00256FD2">
        <w:t>’</w:t>
      </w:r>
      <w:r w:rsidRPr="00256FD2">
        <w:t>informer les décideur(se)s pour contribuer à la protection de la santé humaine et de l</w:t>
      </w:r>
      <w:r w:rsidR="007C21C3" w:rsidRPr="00256FD2">
        <w:t>’</w:t>
      </w:r>
      <w:r w:rsidRPr="00256FD2">
        <w:t>environnement, de réduire les dégâts causés à l</w:t>
      </w:r>
      <w:r w:rsidR="007C21C3" w:rsidRPr="00256FD2">
        <w:t>’</w:t>
      </w:r>
      <w:r w:rsidRPr="00256FD2">
        <w:t>environnement et les impacts sur la santé humaine et de renforcer la protection de l</w:t>
      </w:r>
      <w:r w:rsidR="007C21C3" w:rsidRPr="00256FD2">
        <w:t>’</w:t>
      </w:r>
      <w:r w:rsidRPr="00256FD2">
        <w:t>environnement et la conservation de la biodiversité dans les zones où les activités d</w:t>
      </w:r>
      <w:r w:rsidR="007C21C3" w:rsidRPr="00256FD2">
        <w:t>’</w:t>
      </w:r>
      <w:r w:rsidRPr="00256FD2">
        <w:t>extraction minière artisanale et à petite échelle d</w:t>
      </w:r>
      <w:r w:rsidR="007C21C3" w:rsidRPr="00256FD2">
        <w:t>’</w:t>
      </w:r>
      <w:r w:rsidRPr="00256FD2">
        <w:t>or sont prédominantes.</w:t>
      </w:r>
    </w:p>
    <w:p w14:paraId="7F036D52" w14:textId="122102C9" w:rsidR="001030F4" w:rsidRPr="00256FD2" w:rsidRDefault="001030F4" w:rsidP="00CE391A">
      <w:pPr>
        <w:pStyle w:val="Normalnumber"/>
      </w:pPr>
      <w:r w:rsidRPr="00256FD2">
        <w:t>En réponse à l</w:t>
      </w:r>
      <w:r w:rsidR="007C21C3" w:rsidRPr="00256FD2">
        <w:t>’</w:t>
      </w:r>
      <w:r w:rsidRPr="00256FD2">
        <w:t>alinéa c) du paragraphe</w:t>
      </w:r>
      <w:r w:rsidR="00887D81" w:rsidRPr="00256FD2">
        <w:t> </w:t>
      </w:r>
      <w:r w:rsidRPr="00256FD2">
        <w:t>6 de la décision</w:t>
      </w:r>
      <w:r w:rsidR="00887D81" w:rsidRPr="00256FD2">
        <w:t> </w:t>
      </w:r>
      <w:r w:rsidRPr="00256FD2">
        <w:t>MC-5/7, dans lequel les Parties et autres parties prenantes ont été encouragées à améliorer les efforts de coopération multilatérale visant à faire appliquer les lois nationales relatives au commerce international de mercure, le secrétariat a organisé un atelier intitulé « </w:t>
      </w:r>
      <w:proofErr w:type="spellStart"/>
      <w:r w:rsidRPr="00256FD2">
        <w:t>Managing</w:t>
      </w:r>
      <w:proofErr w:type="spellEnd"/>
      <w:r w:rsidRPr="00256FD2">
        <w:t xml:space="preserve"> Mercury Trade</w:t>
      </w:r>
      <w:r w:rsidR="00B26410" w:rsidRPr="00256FD2">
        <w:t> </w:t>
      </w:r>
      <w:r w:rsidR="007C21C3" w:rsidRPr="00256FD2">
        <w:t>:</w:t>
      </w:r>
      <w:r w:rsidRPr="00256FD2">
        <w:t xml:space="preserve"> </w:t>
      </w:r>
      <w:proofErr w:type="spellStart"/>
      <w:r w:rsidRPr="00256FD2">
        <w:t>Experience</w:t>
      </w:r>
      <w:proofErr w:type="spellEnd"/>
      <w:r w:rsidRPr="00256FD2">
        <w:t xml:space="preserve"> </w:t>
      </w:r>
      <w:proofErr w:type="spellStart"/>
      <w:r w:rsidRPr="00256FD2">
        <w:t>from</w:t>
      </w:r>
      <w:proofErr w:type="spellEnd"/>
      <w:r w:rsidRPr="00256FD2">
        <w:t xml:space="preserve"> Parties </w:t>
      </w:r>
      <w:proofErr w:type="spellStart"/>
      <w:r w:rsidRPr="00256FD2">
        <w:t>with</w:t>
      </w:r>
      <w:proofErr w:type="spellEnd"/>
      <w:r w:rsidRPr="00256FD2">
        <w:t xml:space="preserve"> an artisanal and </w:t>
      </w:r>
      <w:proofErr w:type="spellStart"/>
      <w:r w:rsidRPr="00256FD2">
        <w:t>small-scale</w:t>
      </w:r>
      <w:proofErr w:type="spellEnd"/>
      <w:r w:rsidRPr="00256FD2">
        <w:t xml:space="preserve"> gold </w:t>
      </w:r>
      <w:proofErr w:type="spellStart"/>
      <w:r w:rsidRPr="00256FD2">
        <w:t>mining</w:t>
      </w:r>
      <w:proofErr w:type="spellEnd"/>
      <w:r w:rsidRPr="00256FD2">
        <w:t xml:space="preserve"> </w:t>
      </w:r>
      <w:proofErr w:type="spellStart"/>
      <w:r w:rsidRPr="00256FD2">
        <w:t>sector</w:t>
      </w:r>
      <w:proofErr w:type="spellEnd"/>
      <w:r w:rsidRPr="00256FD2">
        <w:t> » (Gestion du commerce du mercure</w:t>
      </w:r>
      <w:r w:rsidR="007C21C3" w:rsidRPr="00256FD2">
        <w:t> :</w:t>
      </w:r>
      <w:r w:rsidRPr="00256FD2">
        <w:t xml:space="preserve"> expériences des Parties dotées d</w:t>
      </w:r>
      <w:r w:rsidR="007C21C3" w:rsidRPr="00256FD2">
        <w:t>’</w:t>
      </w:r>
      <w:r w:rsidRPr="00256FD2">
        <w:t>un secteur de l</w:t>
      </w:r>
      <w:r w:rsidR="007C21C3" w:rsidRPr="00256FD2">
        <w:t>’</w:t>
      </w:r>
      <w:r w:rsidRPr="00256FD2">
        <w:t>extraction minière artisanale et à petite échelle d</w:t>
      </w:r>
      <w:r w:rsidR="007C21C3" w:rsidRPr="00256FD2">
        <w:t>’</w:t>
      </w:r>
      <w:r w:rsidRPr="00256FD2">
        <w:t>or), tenu le 6 juin 2024, afin d</w:t>
      </w:r>
      <w:r w:rsidR="007C21C3" w:rsidRPr="00256FD2">
        <w:t>’</w:t>
      </w:r>
      <w:r w:rsidRPr="00256FD2">
        <w:t>échanger des informations sur les difficultés liées au commerce du mercure auxquelles sont confrontées les</w:t>
      </w:r>
      <w:r w:rsidR="003428F2" w:rsidRPr="00256FD2">
        <w:t> </w:t>
      </w:r>
      <w:r w:rsidRPr="00256FD2">
        <w:t>Parties dotées d</w:t>
      </w:r>
      <w:r w:rsidR="007C21C3" w:rsidRPr="00256FD2">
        <w:t>’</w:t>
      </w:r>
      <w:r w:rsidRPr="00256FD2">
        <w:t>un secteur de l</w:t>
      </w:r>
      <w:r w:rsidR="007C21C3" w:rsidRPr="00256FD2">
        <w:t>’</w:t>
      </w:r>
      <w:r w:rsidRPr="00256FD2">
        <w:t>extraction minière artisanale et à petite échelle d</w:t>
      </w:r>
      <w:r w:rsidR="007C21C3" w:rsidRPr="00256FD2">
        <w:t>’</w:t>
      </w:r>
      <w:r w:rsidRPr="00256FD2">
        <w:t>or, ainsi que sur</w:t>
      </w:r>
      <w:r w:rsidR="003428F2" w:rsidRPr="00256FD2">
        <w:t> </w:t>
      </w:r>
      <w:r w:rsidRPr="00256FD2">
        <w:t xml:space="preserve">les solutions </w:t>
      </w:r>
      <w:r w:rsidR="003A2CD2" w:rsidRPr="00256FD2">
        <w:t xml:space="preserve">qu’il était </w:t>
      </w:r>
      <w:r w:rsidRPr="00256FD2">
        <w:t>possible</w:t>
      </w:r>
      <w:r w:rsidR="003A2CD2" w:rsidRPr="00256FD2">
        <w:t xml:space="preserve"> d’y apporter</w:t>
      </w:r>
      <w:r w:rsidRPr="00256FD2">
        <w:t>. La manifestation a reçu l</w:t>
      </w:r>
      <w:r w:rsidR="007C21C3" w:rsidRPr="00256FD2">
        <w:t>’</w:t>
      </w:r>
      <w:r w:rsidRPr="00256FD2">
        <w:t>appui financier de l</w:t>
      </w:r>
      <w:r w:rsidR="007C21C3" w:rsidRPr="00256FD2">
        <w:t>’</w:t>
      </w:r>
      <w:r w:rsidRPr="00256FD2">
        <w:t>Union</w:t>
      </w:r>
      <w:r w:rsidR="003428F2" w:rsidRPr="00256FD2">
        <w:t> </w:t>
      </w:r>
      <w:r w:rsidRPr="00256FD2">
        <w:t>européenne et a été organisé par le Département philippin de l</w:t>
      </w:r>
      <w:r w:rsidR="007C21C3" w:rsidRPr="00256FD2">
        <w:t>’</w:t>
      </w:r>
      <w:r w:rsidRPr="00256FD2">
        <w:t>environnement et des ressources naturelles, l</w:t>
      </w:r>
      <w:r w:rsidR="007C21C3" w:rsidRPr="00256FD2">
        <w:t>’</w:t>
      </w:r>
      <w:r w:rsidRPr="00256FD2">
        <w:t>Organisation des Nations</w:t>
      </w:r>
      <w:r w:rsidR="000B2297" w:rsidRPr="00256FD2">
        <w:t> </w:t>
      </w:r>
      <w:r w:rsidRPr="00256FD2">
        <w:t>Unies pour le développement industriel (ONUDI) et</w:t>
      </w:r>
      <w:r w:rsidR="00AB027F" w:rsidRPr="00256FD2">
        <w:t> </w:t>
      </w:r>
      <w:r w:rsidRPr="00256FD2">
        <w:t xml:space="preserve">BAN </w:t>
      </w:r>
      <w:proofErr w:type="spellStart"/>
      <w:r w:rsidRPr="00256FD2">
        <w:t>Toxics</w:t>
      </w:r>
      <w:proofErr w:type="spellEnd"/>
      <w:r w:rsidRPr="00256FD2">
        <w:t>. Les représentant(e)s de 27</w:t>
      </w:r>
      <w:r w:rsidR="00887D81" w:rsidRPr="00256FD2">
        <w:t> </w:t>
      </w:r>
      <w:r w:rsidRPr="00256FD2">
        <w:t>Parties sur le territoire desquelles se déroulent des activités d</w:t>
      </w:r>
      <w:r w:rsidR="007C21C3" w:rsidRPr="00256FD2">
        <w:t>’</w:t>
      </w:r>
      <w:r w:rsidRPr="00256FD2">
        <w:t>extraction minière artisanale et à petite échelle d</w:t>
      </w:r>
      <w:r w:rsidR="007C21C3" w:rsidRPr="00256FD2">
        <w:t>’</w:t>
      </w:r>
      <w:r w:rsidRPr="00256FD2">
        <w:t>or sur leur territoire y ont participé, dont huit</w:t>
      </w:r>
      <w:r w:rsidR="00AB027F" w:rsidRPr="00256FD2">
        <w:t> </w:t>
      </w:r>
      <w:r w:rsidRPr="00256FD2">
        <w:t xml:space="preserve">correspondant(e)s nationaux(ales). La manifestation a bénéficié de la présence des participant(e)s au forum mondial du programme </w:t>
      </w:r>
      <w:proofErr w:type="spellStart"/>
      <w:r w:rsidRPr="00256FD2">
        <w:t>planetGOLD</w:t>
      </w:r>
      <w:proofErr w:type="spellEnd"/>
      <w:r w:rsidRPr="00256FD2">
        <w:t xml:space="preserve"> sur l</w:t>
      </w:r>
      <w:r w:rsidR="007C21C3" w:rsidRPr="00256FD2">
        <w:t>’</w:t>
      </w:r>
      <w:r w:rsidRPr="00256FD2">
        <w:t>extraction minière artisanale et à petite échelle d</w:t>
      </w:r>
      <w:r w:rsidR="007C21C3" w:rsidRPr="00256FD2">
        <w:t>’</w:t>
      </w:r>
      <w:r w:rsidRPr="00256FD2">
        <w:t>or, qui ont rendu compte de l</w:t>
      </w:r>
      <w:r w:rsidR="007C21C3" w:rsidRPr="00256FD2">
        <w:t>’</w:t>
      </w:r>
      <w:r w:rsidRPr="00256FD2">
        <w:t>expérience de leur pays en matière de commerce du mercure, y</w:t>
      </w:r>
      <w:r w:rsidR="00FE7282" w:rsidRPr="00256FD2">
        <w:t> </w:t>
      </w:r>
      <w:r w:rsidRPr="00256FD2">
        <w:t>compris le commerce du mercure provenant d</w:t>
      </w:r>
      <w:r w:rsidR="007C21C3" w:rsidRPr="00256FD2">
        <w:t>’</w:t>
      </w:r>
      <w:r w:rsidRPr="00256FD2">
        <w:t>activités d</w:t>
      </w:r>
      <w:r w:rsidR="007C21C3" w:rsidRPr="00256FD2">
        <w:t>’</w:t>
      </w:r>
      <w:r w:rsidRPr="00256FD2">
        <w:t>extraction minière primaire</w:t>
      </w:r>
      <w:r w:rsidRPr="00256FD2">
        <w:rPr>
          <w:rStyle w:val="FootnoteReference"/>
        </w:rPr>
        <w:footnoteReference w:id="10"/>
      </w:r>
      <w:r w:rsidRPr="00256FD2">
        <w:t xml:space="preserve">.  </w:t>
      </w:r>
    </w:p>
    <w:p w14:paraId="4185CE3D" w14:textId="164397DF" w:rsidR="001030F4" w:rsidRPr="00256FD2" w:rsidRDefault="001078C4" w:rsidP="001030F4">
      <w:pPr>
        <w:pStyle w:val="CH1"/>
      </w:pPr>
      <w:r w:rsidRPr="00256FD2">
        <w:rPr>
          <w:bCs/>
        </w:rPr>
        <w:tab/>
      </w:r>
      <w:r w:rsidR="001030F4" w:rsidRPr="00256FD2">
        <w:rPr>
          <w:bCs/>
        </w:rPr>
        <w:t>III.</w:t>
      </w:r>
      <w:r w:rsidR="001030F4" w:rsidRPr="00256FD2">
        <w:tab/>
      </w:r>
      <w:r w:rsidR="001030F4" w:rsidRPr="00256FD2">
        <w:rPr>
          <w:bCs/>
        </w:rPr>
        <w:t>Difficultés recensées dans les rapports nationaux</w:t>
      </w:r>
    </w:p>
    <w:p w14:paraId="4545BFEB" w14:textId="329E706E" w:rsidR="001030F4" w:rsidRPr="00256FD2" w:rsidRDefault="0061391A" w:rsidP="003C4AB7">
      <w:pPr>
        <w:pStyle w:val="Normalnumber"/>
        <w:tabs>
          <w:tab w:val="clear" w:pos="2495"/>
          <w:tab w:val="clear" w:pos="2948"/>
          <w:tab w:val="clear" w:pos="3119"/>
          <w:tab w:val="clear" w:pos="3515"/>
          <w:tab w:val="clear" w:pos="3742"/>
          <w:tab w:val="clear" w:pos="4366"/>
        </w:tabs>
      </w:pPr>
      <w:r w:rsidRPr="00256FD2">
        <w:t>L</w:t>
      </w:r>
      <w:r w:rsidR="007C21C3" w:rsidRPr="00256FD2">
        <w:t>’</w:t>
      </w:r>
      <w:r w:rsidRPr="00256FD2">
        <w:t>article</w:t>
      </w:r>
      <w:r w:rsidR="0012365F" w:rsidRPr="00256FD2">
        <w:t> </w:t>
      </w:r>
      <w:r w:rsidRPr="00256FD2">
        <w:t>21 de la Convention prévoit que chaque Partie fait rapport à la Conférence des Parties sur les mesures qu</w:t>
      </w:r>
      <w:r w:rsidR="007C21C3" w:rsidRPr="00256FD2">
        <w:t>’</w:t>
      </w:r>
      <w:r w:rsidRPr="00256FD2">
        <w:t>elle a prises pour mettre en œuvre les dispositions de la Convention et l</w:t>
      </w:r>
      <w:r w:rsidR="007C21C3" w:rsidRPr="00256FD2">
        <w:t>’</w:t>
      </w:r>
      <w:r w:rsidRPr="00256FD2">
        <w:t>efficacité de ces mesures, ainsi que sur les éventuelles difficultés qu</w:t>
      </w:r>
      <w:r w:rsidR="007C21C3" w:rsidRPr="00256FD2">
        <w:t>’</w:t>
      </w:r>
      <w:r w:rsidRPr="00256FD2">
        <w:t>elle a rencontrées dans la réalisation des objectifs de la Convention. Les derniers rapports nationaux disponibles sont ceux soumis par les Parties dans le cadre du cycle d</w:t>
      </w:r>
      <w:r w:rsidR="007C21C3" w:rsidRPr="00256FD2">
        <w:t>’</w:t>
      </w:r>
      <w:r w:rsidRPr="00256FD2">
        <w:t>établissement des deuxièmes rapports nationaux abrégés, qui couvraient la période allant du 1</w:t>
      </w:r>
      <w:r w:rsidRPr="00256FD2">
        <w:rPr>
          <w:vertAlign w:val="superscript"/>
        </w:rPr>
        <w:t>er</w:t>
      </w:r>
      <w:r w:rsidRPr="00256FD2">
        <w:t xml:space="preserve"> janvier 2021 au 31 décembre 2022. </w:t>
      </w:r>
    </w:p>
    <w:p w14:paraId="1FE07855" w14:textId="1EE250A5" w:rsidR="001030F4" w:rsidRPr="00256FD2" w:rsidRDefault="00033AB6" w:rsidP="00CE391A">
      <w:pPr>
        <w:pStyle w:val="Normalnumber"/>
        <w:rPr>
          <w:rStyle w:val="normaltextrun"/>
          <w:color w:val="000000"/>
        </w:rPr>
      </w:pPr>
      <w:r w:rsidRPr="00256FD2">
        <w:t>Au cours du cycle d</w:t>
      </w:r>
      <w:r w:rsidR="007C21C3" w:rsidRPr="00256FD2">
        <w:t>’</w:t>
      </w:r>
      <w:r w:rsidRPr="00256FD2">
        <w:t>établissement des deuxièmes</w:t>
      </w:r>
      <w:r w:rsidR="00175949" w:rsidRPr="00256FD2">
        <w:t> </w:t>
      </w:r>
      <w:r w:rsidRPr="00256FD2">
        <w:t>rapports nationaux abrégés, 14 (27 %) des</w:t>
      </w:r>
      <w:r w:rsidR="00CC6E36" w:rsidRPr="00256FD2">
        <w:t> </w:t>
      </w:r>
      <w:r w:rsidRPr="00256FD2">
        <w:t>51</w:t>
      </w:r>
      <w:r w:rsidR="00CC6E36" w:rsidRPr="00256FD2">
        <w:t> </w:t>
      </w:r>
      <w:r w:rsidRPr="00256FD2">
        <w:t>Parties qui ont inscrit des observations dans la partie</w:t>
      </w:r>
      <w:r w:rsidR="00175949" w:rsidRPr="00256FD2">
        <w:t> </w:t>
      </w:r>
      <w:r w:rsidRPr="00256FD2">
        <w:t>C du formulaire d</w:t>
      </w:r>
      <w:r w:rsidR="007C21C3" w:rsidRPr="00256FD2">
        <w:t>’</w:t>
      </w:r>
      <w:r w:rsidRPr="00256FD2">
        <w:t xml:space="preserve">établissement des rapports, relative aux difficultés éventuelles rencontrées dans la réalisation des objectifs de la Convention, ont fait état de difficultés liées au commerce du mercure </w:t>
      </w:r>
      <w:r w:rsidR="00B22E6D" w:rsidRPr="00256FD2">
        <w:t>qui avaient</w:t>
      </w:r>
      <w:r w:rsidRPr="00256FD2">
        <w:t xml:space="preserve"> un lien potentiel avec des activités d</w:t>
      </w:r>
      <w:r w:rsidR="007C21C3" w:rsidRPr="00256FD2">
        <w:t>’</w:t>
      </w:r>
      <w:r w:rsidRPr="00256FD2">
        <w:t>extraction minière artisanale et à petite échelle d</w:t>
      </w:r>
      <w:r w:rsidR="007C21C3" w:rsidRPr="00256FD2">
        <w:t>’</w:t>
      </w:r>
      <w:r w:rsidRPr="00256FD2">
        <w:t>or, notamment les suivantes</w:t>
      </w:r>
      <w:r w:rsidR="007C21C3" w:rsidRPr="00256FD2">
        <w:t> :</w:t>
      </w:r>
      <w:r w:rsidRPr="00256FD2">
        <w:t xml:space="preserve"> </w:t>
      </w:r>
    </w:p>
    <w:p w14:paraId="0175262E" w14:textId="0B81C59F" w:rsidR="001030F4" w:rsidRPr="00256FD2" w:rsidRDefault="003C4AB7" w:rsidP="00232F5F">
      <w:pPr>
        <w:pStyle w:val="Normalnumber"/>
        <w:numPr>
          <w:ilvl w:val="0"/>
          <w:numId w:val="0"/>
        </w:numPr>
        <w:tabs>
          <w:tab w:val="clear" w:pos="1247"/>
          <w:tab w:val="clear" w:pos="1814"/>
          <w:tab w:val="clear" w:pos="2381"/>
          <w:tab w:val="clear" w:pos="2948"/>
          <w:tab w:val="clear" w:pos="3515"/>
          <w:tab w:val="num" w:pos="2495"/>
        </w:tabs>
        <w:ind w:left="1871" w:hanging="37"/>
      </w:pPr>
      <w:r w:rsidRPr="00256FD2">
        <w:t>a)</w:t>
      </w:r>
      <w:r w:rsidRPr="00256FD2">
        <w:tab/>
      </w:r>
      <w:r w:rsidR="00AD07C5" w:rsidRPr="00256FD2">
        <w:t>Trafic de mercure</w:t>
      </w:r>
      <w:r w:rsidR="007C21C3" w:rsidRPr="00256FD2">
        <w:t> ;</w:t>
      </w:r>
      <w:r w:rsidR="00AD07C5" w:rsidRPr="00256FD2">
        <w:t xml:space="preserve"> </w:t>
      </w:r>
    </w:p>
    <w:p w14:paraId="06466943" w14:textId="1C27496D" w:rsidR="001030F4" w:rsidRPr="00256FD2" w:rsidRDefault="008D3BB5" w:rsidP="00232F5F">
      <w:pPr>
        <w:pStyle w:val="Normalnumber"/>
        <w:numPr>
          <w:ilvl w:val="0"/>
          <w:numId w:val="0"/>
        </w:numPr>
        <w:tabs>
          <w:tab w:val="clear" w:pos="1247"/>
          <w:tab w:val="clear" w:pos="1814"/>
          <w:tab w:val="clear" w:pos="2381"/>
          <w:tab w:val="clear" w:pos="2948"/>
          <w:tab w:val="clear" w:pos="3515"/>
          <w:tab w:val="num" w:pos="624"/>
          <w:tab w:val="num" w:pos="2495"/>
        </w:tabs>
        <w:ind w:left="1274" w:firstLine="560"/>
      </w:pPr>
      <w:r w:rsidRPr="00256FD2">
        <w:t>b)</w:t>
      </w:r>
      <w:r w:rsidRPr="00256FD2">
        <w:tab/>
      </w:r>
      <w:r w:rsidR="00AD07C5" w:rsidRPr="00256FD2">
        <w:t>Contrebande de mercure destiné à l</w:t>
      </w:r>
      <w:r w:rsidR="007C21C3" w:rsidRPr="00256FD2">
        <w:t>’</w:t>
      </w:r>
      <w:r w:rsidR="00AD07C5" w:rsidRPr="00256FD2">
        <w:t>extraction minière artisanale et à petite échelle d</w:t>
      </w:r>
      <w:r w:rsidR="007C21C3" w:rsidRPr="00256FD2">
        <w:t>’</w:t>
      </w:r>
      <w:r w:rsidR="00AD07C5" w:rsidRPr="00256FD2">
        <w:t>or</w:t>
      </w:r>
      <w:r w:rsidR="007C21C3" w:rsidRPr="00256FD2">
        <w:t> ;</w:t>
      </w:r>
      <w:r w:rsidR="00AD07C5" w:rsidRPr="00256FD2">
        <w:t xml:space="preserve"> </w:t>
      </w:r>
    </w:p>
    <w:p w14:paraId="5640EBCF" w14:textId="3A5661DB" w:rsidR="001030F4" w:rsidRPr="00256FD2" w:rsidRDefault="008D3BB5" w:rsidP="00232F5F">
      <w:pPr>
        <w:pStyle w:val="Normalnumber"/>
        <w:numPr>
          <w:ilvl w:val="0"/>
          <w:numId w:val="0"/>
        </w:numPr>
        <w:tabs>
          <w:tab w:val="clear" w:pos="1247"/>
          <w:tab w:val="clear" w:pos="1814"/>
          <w:tab w:val="clear" w:pos="2381"/>
          <w:tab w:val="clear" w:pos="2948"/>
          <w:tab w:val="clear" w:pos="3515"/>
          <w:tab w:val="num" w:pos="624"/>
          <w:tab w:val="num" w:pos="2495"/>
        </w:tabs>
        <w:ind w:left="1834"/>
        <w:rPr>
          <w:rStyle w:val="normaltextrun"/>
        </w:rPr>
      </w:pPr>
      <w:r w:rsidRPr="00256FD2">
        <w:t>c)</w:t>
      </w:r>
      <w:r w:rsidRPr="00256FD2">
        <w:tab/>
        <w:t>C</w:t>
      </w:r>
      <w:r w:rsidR="00AD07C5" w:rsidRPr="00256FD2">
        <w:t xml:space="preserve">ommerce de produits interdits contenant du mercure ajouté. </w:t>
      </w:r>
    </w:p>
    <w:p w14:paraId="13A33994" w14:textId="799A686D" w:rsidR="001030F4" w:rsidRPr="00256FD2" w:rsidRDefault="001030F4" w:rsidP="00895F3F">
      <w:pPr>
        <w:pStyle w:val="Normalnumber"/>
        <w:keepNext/>
        <w:keepLines/>
      </w:pPr>
      <w:r w:rsidRPr="00256FD2">
        <w:t>En outre, une Partie a fait part de deux</w:t>
      </w:r>
      <w:r w:rsidR="00175949" w:rsidRPr="00256FD2">
        <w:t> </w:t>
      </w:r>
      <w:r w:rsidRPr="00256FD2">
        <w:t>préoccupations spécifiques, l</w:t>
      </w:r>
      <w:r w:rsidR="007C21C3" w:rsidRPr="00256FD2">
        <w:t>’</w:t>
      </w:r>
      <w:r w:rsidRPr="00256FD2">
        <w:t>une liée à une facilitation du commerce du mercure par les transactions commerciales électroniques ou les plateformes commerciales en ligne, l</w:t>
      </w:r>
      <w:r w:rsidR="007C21C3" w:rsidRPr="00256FD2">
        <w:t>’</w:t>
      </w:r>
      <w:r w:rsidRPr="00256FD2">
        <w:t>autre au problème que continuait de poser le mercure vendu par les cabinets dentaires, qui était illégalement détourné pour une utilisation dans des activités d</w:t>
      </w:r>
      <w:r w:rsidR="007C21C3" w:rsidRPr="00256FD2">
        <w:t>’</w:t>
      </w:r>
      <w:r w:rsidRPr="00256FD2">
        <w:t>extraction minière artisanale et à petite échelle d</w:t>
      </w:r>
      <w:r w:rsidR="007C21C3" w:rsidRPr="00256FD2">
        <w:t>’</w:t>
      </w:r>
      <w:r w:rsidRPr="00256FD2">
        <w:t>or. On trouvera dans le document UNEP/MC/COP.6/INF/20 des précisions supplémentaires sur les réponses fournies dans la partie C des deuxièmes rapports nationaux abrégés.</w:t>
      </w:r>
    </w:p>
    <w:p w14:paraId="77E4A107" w14:textId="19CFB53D" w:rsidR="001030F4" w:rsidRPr="00256FD2" w:rsidRDefault="001078C4" w:rsidP="001030F4">
      <w:pPr>
        <w:pStyle w:val="CH1"/>
      </w:pPr>
      <w:r w:rsidRPr="00256FD2">
        <w:rPr>
          <w:bCs/>
        </w:rPr>
        <w:tab/>
      </w:r>
      <w:r w:rsidR="001030F4" w:rsidRPr="00256FD2">
        <w:rPr>
          <w:bCs/>
        </w:rPr>
        <w:t>IV.</w:t>
      </w:r>
      <w:r w:rsidR="001030F4" w:rsidRPr="00256FD2">
        <w:tab/>
      </w:r>
      <w:r w:rsidR="001030F4" w:rsidRPr="00256FD2">
        <w:rPr>
          <w:bCs/>
        </w:rPr>
        <w:t>Mesure que pourrait prendre la Conférence des Parties</w:t>
      </w:r>
    </w:p>
    <w:p w14:paraId="1117D9F6" w14:textId="11F0DE8F" w:rsidR="001030F4" w:rsidRPr="00256FD2" w:rsidRDefault="001030F4" w:rsidP="00CE391A">
      <w:pPr>
        <w:pStyle w:val="Normalnumber"/>
      </w:pPr>
      <w:r w:rsidRPr="00256FD2">
        <w:t>La Conférence des Parties souhaitera peut-être envisager d</w:t>
      </w:r>
      <w:r w:rsidR="007C21C3" w:rsidRPr="00256FD2">
        <w:t>’</w:t>
      </w:r>
      <w:r w:rsidRPr="00256FD2">
        <w:t>adopter une décision s</w:t>
      </w:r>
      <w:r w:rsidR="007C21C3" w:rsidRPr="00256FD2">
        <w:t>’</w:t>
      </w:r>
      <w:r w:rsidRPr="00256FD2">
        <w:t>inspirant du texte reproduit dans l</w:t>
      </w:r>
      <w:r w:rsidR="007C21C3" w:rsidRPr="00256FD2">
        <w:t>’</w:t>
      </w:r>
      <w:r w:rsidRPr="00256FD2">
        <w:t>annexe I de la présente note.</w:t>
      </w:r>
    </w:p>
    <w:p w14:paraId="0EFBB06F" w14:textId="77777777" w:rsidR="00232F5F" w:rsidRPr="00256FD2" w:rsidRDefault="00232F5F">
      <w:pPr>
        <w:tabs>
          <w:tab w:val="clear" w:pos="1247"/>
          <w:tab w:val="clear" w:pos="1814"/>
          <w:tab w:val="clear" w:pos="2381"/>
          <w:tab w:val="clear" w:pos="2948"/>
          <w:tab w:val="clear" w:pos="3515"/>
        </w:tabs>
        <w:rPr>
          <w:rFonts w:eastAsia="SimSun"/>
          <w:b/>
          <w:bCs/>
          <w:sz w:val="28"/>
          <w:szCs w:val="22"/>
          <w:lang w:eastAsia="zh-CN"/>
        </w:rPr>
      </w:pPr>
      <w:bookmarkStart w:id="8" w:name="_Hlk201300676"/>
      <w:r w:rsidRPr="00256FD2">
        <w:br w:type="page"/>
      </w:r>
    </w:p>
    <w:p w14:paraId="5B1177C0" w14:textId="4A393038" w:rsidR="001030F4" w:rsidRPr="00256FD2" w:rsidRDefault="001030F4" w:rsidP="001030F4">
      <w:pPr>
        <w:pStyle w:val="ZZAnxheader"/>
      </w:pPr>
      <w:r w:rsidRPr="00256FD2">
        <w:t>Annexe</w:t>
      </w:r>
      <w:r w:rsidR="007D0D36" w:rsidRPr="00256FD2">
        <w:t> </w:t>
      </w:r>
      <w:r w:rsidRPr="00256FD2">
        <w:t>I</w:t>
      </w:r>
    </w:p>
    <w:p w14:paraId="482BE23B" w14:textId="3E0A82BC" w:rsidR="001030F4" w:rsidRPr="00256FD2" w:rsidRDefault="001030F4" w:rsidP="00895F3F">
      <w:pPr>
        <w:pStyle w:val="ZZAnxtitle"/>
        <w:spacing w:before="240"/>
      </w:pPr>
      <w:r w:rsidRPr="00256FD2">
        <w:t>Projet de décision MC-6</w:t>
      </w:r>
      <w:proofErr w:type="gramStart"/>
      <w:r w:rsidRPr="00256FD2">
        <w:t>/[</w:t>
      </w:r>
      <w:proofErr w:type="gramEnd"/>
      <w:r w:rsidRPr="00256FD2">
        <w:t>--]</w:t>
      </w:r>
      <w:r w:rsidR="007C21C3" w:rsidRPr="00256FD2">
        <w:t> :</w:t>
      </w:r>
      <w:r w:rsidRPr="00256FD2">
        <w:t xml:space="preserve"> Extraction minière artisanale et</w:t>
      </w:r>
      <w:r w:rsidR="003B4225" w:rsidRPr="00256FD2">
        <w:t> </w:t>
      </w:r>
      <w:r w:rsidRPr="00256FD2">
        <w:t>à</w:t>
      </w:r>
      <w:r w:rsidR="00F85ECB" w:rsidRPr="00256FD2">
        <w:t> </w:t>
      </w:r>
      <w:r w:rsidRPr="00256FD2">
        <w:t>petite échelle d</w:t>
      </w:r>
      <w:r w:rsidR="007C21C3" w:rsidRPr="00256FD2">
        <w:t>’</w:t>
      </w:r>
      <w:r w:rsidRPr="00256FD2">
        <w:t>or</w:t>
      </w:r>
      <w:r w:rsidR="007C21C3" w:rsidRPr="00256FD2">
        <w:t> :</w:t>
      </w:r>
      <w:r w:rsidRPr="00256FD2">
        <w:t xml:space="preserve"> </w:t>
      </w:r>
      <w:r w:rsidR="006965BC" w:rsidRPr="00256FD2">
        <w:t>compte rendu des progrès accomplis dans</w:t>
      </w:r>
      <w:r w:rsidR="00F85ECB" w:rsidRPr="00256FD2">
        <w:t> </w:t>
      </w:r>
      <w:r w:rsidRPr="00256FD2">
        <w:t>la</w:t>
      </w:r>
      <w:r w:rsidR="00F85ECB" w:rsidRPr="00256FD2">
        <w:t> </w:t>
      </w:r>
      <w:r w:rsidRPr="00256FD2">
        <w:t>mise en œuvre de l</w:t>
      </w:r>
      <w:r w:rsidR="007C21C3" w:rsidRPr="00256FD2">
        <w:t>’</w:t>
      </w:r>
      <w:r w:rsidRPr="00256FD2">
        <w:t>article</w:t>
      </w:r>
      <w:r w:rsidR="00232F5F" w:rsidRPr="00256FD2">
        <w:t> </w:t>
      </w:r>
      <w:r w:rsidRPr="00256FD2">
        <w:t xml:space="preserve">7 </w:t>
      </w:r>
    </w:p>
    <w:bookmarkEnd w:id="8"/>
    <w:p w14:paraId="5692D756" w14:textId="77777777" w:rsidR="001030F4" w:rsidRPr="00256FD2" w:rsidRDefault="001030F4" w:rsidP="001030F4">
      <w:pPr>
        <w:pStyle w:val="Normal-pool"/>
        <w:tabs>
          <w:tab w:val="clear" w:pos="1247"/>
          <w:tab w:val="clear" w:pos="1871"/>
          <w:tab w:val="clear" w:pos="2495"/>
          <w:tab w:val="clear" w:pos="3119"/>
          <w:tab w:val="clear" w:pos="3742"/>
          <w:tab w:val="clear" w:pos="4366"/>
        </w:tabs>
        <w:spacing w:after="120"/>
        <w:ind w:left="1247" w:firstLine="624"/>
        <w:rPr>
          <w:i/>
          <w:iCs/>
        </w:rPr>
      </w:pPr>
      <w:r w:rsidRPr="00256FD2">
        <w:rPr>
          <w:i/>
          <w:iCs/>
        </w:rPr>
        <w:t>La Conférence des Parties</w:t>
      </w:r>
      <w:r w:rsidRPr="00256FD2">
        <w:t>,</w:t>
      </w:r>
    </w:p>
    <w:p w14:paraId="5A5BD947" w14:textId="28F1C30C" w:rsidR="001030F4" w:rsidRPr="00256FD2" w:rsidRDefault="001030F4" w:rsidP="001030F4">
      <w:pPr>
        <w:pStyle w:val="Normal-pool"/>
        <w:tabs>
          <w:tab w:val="clear" w:pos="1247"/>
          <w:tab w:val="clear" w:pos="1871"/>
          <w:tab w:val="clear" w:pos="2495"/>
          <w:tab w:val="clear" w:pos="3119"/>
          <w:tab w:val="clear" w:pos="3742"/>
          <w:tab w:val="clear" w:pos="4366"/>
        </w:tabs>
        <w:spacing w:after="120"/>
        <w:ind w:left="1247" w:firstLine="624"/>
      </w:pPr>
      <w:r w:rsidRPr="00256FD2">
        <w:rPr>
          <w:i/>
          <w:iCs/>
        </w:rPr>
        <w:t>Constatant</w:t>
      </w:r>
      <w:r w:rsidRPr="00256FD2">
        <w:t xml:space="preserve"> que la pollution provenant des activités d</w:t>
      </w:r>
      <w:r w:rsidR="007C21C3" w:rsidRPr="00256FD2">
        <w:t>’</w:t>
      </w:r>
      <w:r w:rsidRPr="00256FD2">
        <w:t>extraction minière artisanale et à petite échelle d</w:t>
      </w:r>
      <w:r w:rsidR="007C21C3" w:rsidRPr="00256FD2">
        <w:t>’</w:t>
      </w:r>
      <w:r w:rsidRPr="00256FD2">
        <w:t>or demeure la plus grande source d</w:t>
      </w:r>
      <w:r w:rsidR="007C21C3" w:rsidRPr="00256FD2">
        <w:t>’</w:t>
      </w:r>
      <w:r w:rsidRPr="00256FD2">
        <w:t>émissions anthropiques de mercure à l</w:t>
      </w:r>
      <w:r w:rsidR="007C21C3" w:rsidRPr="00256FD2">
        <w:t>’</w:t>
      </w:r>
      <w:r w:rsidRPr="00256FD2">
        <w:t>échelle mondiale,</w:t>
      </w:r>
    </w:p>
    <w:p w14:paraId="10AB6D3C" w14:textId="5D3601A7" w:rsidR="001030F4" w:rsidRPr="00256FD2" w:rsidRDefault="001030F4" w:rsidP="001030F4">
      <w:pPr>
        <w:pStyle w:val="Normal-pool"/>
        <w:tabs>
          <w:tab w:val="clear" w:pos="1247"/>
          <w:tab w:val="clear" w:pos="1871"/>
          <w:tab w:val="clear" w:pos="2495"/>
          <w:tab w:val="clear" w:pos="3119"/>
          <w:tab w:val="clear" w:pos="3742"/>
          <w:tab w:val="clear" w:pos="4366"/>
        </w:tabs>
        <w:spacing w:after="120"/>
        <w:ind w:left="1247" w:firstLine="624"/>
      </w:pPr>
      <w:r w:rsidRPr="00256FD2">
        <w:rPr>
          <w:i/>
          <w:iCs/>
        </w:rPr>
        <w:t xml:space="preserve">Consciente </w:t>
      </w:r>
      <w:r w:rsidRPr="00256FD2">
        <w:t>des efforts déployés par les Parties concernées pour élaborer, présenter et mettre en œuvre leur plan d</w:t>
      </w:r>
      <w:r w:rsidR="007C21C3" w:rsidRPr="00256FD2">
        <w:t>’</w:t>
      </w:r>
      <w:r w:rsidRPr="00256FD2">
        <w:t>action national en application des alinéas a) et b) du paragraphe</w:t>
      </w:r>
      <w:r w:rsidR="00A76583" w:rsidRPr="00256FD2">
        <w:t> </w:t>
      </w:r>
      <w:r w:rsidR="00EA0E82" w:rsidRPr="00256FD2">
        <w:t xml:space="preserve">3 </w:t>
      </w:r>
      <w:r w:rsidRPr="00256FD2">
        <w:t>de l</w:t>
      </w:r>
      <w:r w:rsidR="007C21C3" w:rsidRPr="00256FD2">
        <w:t>’</w:t>
      </w:r>
      <w:r w:rsidRPr="00256FD2">
        <w:t>article</w:t>
      </w:r>
      <w:r w:rsidR="00A76583" w:rsidRPr="00256FD2">
        <w:t> </w:t>
      </w:r>
      <w:r w:rsidRPr="00256FD2">
        <w:t>7,</w:t>
      </w:r>
    </w:p>
    <w:p w14:paraId="1B8A549E" w14:textId="7039DB81" w:rsidR="001030F4" w:rsidRPr="00256FD2" w:rsidRDefault="001030F4" w:rsidP="001030F4">
      <w:pPr>
        <w:pStyle w:val="NormalNonumber"/>
        <w:tabs>
          <w:tab w:val="clear" w:pos="1247"/>
          <w:tab w:val="clear" w:pos="1871"/>
          <w:tab w:val="clear" w:pos="2495"/>
          <w:tab w:val="clear" w:pos="3119"/>
          <w:tab w:val="clear" w:pos="3742"/>
          <w:tab w:val="clear" w:pos="4366"/>
        </w:tabs>
        <w:ind w:firstLine="624"/>
        <w:rPr>
          <w:rFonts w:eastAsia="Calibri"/>
        </w:rPr>
      </w:pPr>
      <w:r w:rsidRPr="00256FD2">
        <w:rPr>
          <w:i/>
          <w:iCs/>
        </w:rPr>
        <w:t xml:space="preserve">Rappelant </w:t>
      </w:r>
      <w:r w:rsidRPr="00256FD2">
        <w:t>que l</w:t>
      </w:r>
      <w:r w:rsidR="007C21C3" w:rsidRPr="00256FD2">
        <w:t>’</w:t>
      </w:r>
      <w:r w:rsidRPr="00256FD2">
        <w:t>alinéa c) du paragraphe</w:t>
      </w:r>
      <w:r w:rsidR="005C18BD" w:rsidRPr="00256FD2">
        <w:t> </w:t>
      </w:r>
      <w:r w:rsidRPr="00256FD2">
        <w:t>3 de l</w:t>
      </w:r>
      <w:r w:rsidR="007C21C3" w:rsidRPr="00256FD2">
        <w:t>’</w:t>
      </w:r>
      <w:r w:rsidRPr="00256FD2">
        <w:t>article</w:t>
      </w:r>
      <w:r w:rsidR="005C18BD" w:rsidRPr="00256FD2">
        <w:t> </w:t>
      </w:r>
      <w:r w:rsidRPr="00256FD2">
        <w:t>7, qui prévoit que toutes les Parties qui ont constaté que les activités d</w:t>
      </w:r>
      <w:r w:rsidR="007C21C3" w:rsidRPr="00256FD2">
        <w:t>’</w:t>
      </w:r>
      <w:r w:rsidRPr="00256FD2">
        <w:t>extraction minière et de transformation artisanales et à petite échelle d</w:t>
      </w:r>
      <w:r w:rsidR="007C21C3" w:rsidRPr="00256FD2">
        <w:t>’</w:t>
      </w:r>
      <w:r w:rsidRPr="00256FD2">
        <w:t>or menées sur son territoire sont non négligeables, ayant notifié ce constat au secrétariat et élaboré et soumis un plan d</w:t>
      </w:r>
      <w:r w:rsidR="007C21C3" w:rsidRPr="00256FD2">
        <w:t>’</w:t>
      </w:r>
      <w:r w:rsidRPr="00256FD2">
        <w:t>action national, sont tenues de fournir un compte rendu des progrès qu</w:t>
      </w:r>
      <w:r w:rsidR="007C21C3" w:rsidRPr="00256FD2">
        <w:t>’</w:t>
      </w:r>
      <w:r w:rsidRPr="00256FD2">
        <w:t>elles ont accomplis dans le respect de leurs obligations au titre de l</w:t>
      </w:r>
      <w:r w:rsidR="007C21C3" w:rsidRPr="00256FD2">
        <w:t>’</w:t>
      </w:r>
      <w:r w:rsidRPr="00256FD2">
        <w:t>article</w:t>
      </w:r>
      <w:r w:rsidR="005C18BD" w:rsidRPr="00256FD2">
        <w:t> </w:t>
      </w:r>
      <w:r w:rsidRPr="00256FD2">
        <w:t>7 et de faire figurer ces comptes rendus dans leurs rapports soumis en application de l</w:t>
      </w:r>
      <w:r w:rsidR="007C21C3" w:rsidRPr="00256FD2">
        <w:t>’</w:t>
      </w:r>
      <w:r w:rsidRPr="00256FD2">
        <w:t>article 21</w:t>
      </w:r>
      <w:r w:rsidR="00723880" w:rsidRPr="00256FD2">
        <w:t>,</w:t>
      </w:r>
    </w:p>
    <w:p w14:paraId="24DCDF42" w14:textId="642FF775" w:rsidR="001030F4" w:rsidRPr="00256FD2" w:rsidRDefault="001030F4" w:rsidP="001030F4">
      <w:pPr>
        <w:pStyle w:val="Normal-pool"/>
        <w:tabs>
          <w:tab w:val="clear" w:pos="1247"/>
          <w:tab w:val="clear" w:pos="1871"/>
          <w:tab w:val="clear" w:pos="2495"/>
          <w:tab w:val="clear" w:pos="3119"/>
          <w:tab w:val="clear" w:pos="3742"/>
          <w:tab w:val="clear" w:pos="4366"/>
        </w:tabs>
        <w:spacing w:after="120"/>
        <w:ind w:left="1247" w:firstLine="624"/>
      </w:pPr>
      <w:r w:rsidRPr="00256FD2">
        <w:rPr>
          <w:i/>
          <w:iCs/>
        </w:rPr>
        <w:t>Rappelant également</w:t>
      </w:r>
      <w:r w:rsidRPr="00256FD2">
        <w:t xml:space="preserve"> sa décision</w:t>
      </w:r>
      <w:r w:rsidR="005C18BD" w:rsidRPr="00256FD2">
        <w:t> </w:t>
      </w:r>
      <w:r w:rsidRPr="00256FD2">
        <w:t>MC-4/4, dans laquelle elle a invité les Parties à faire participer les peuples autochtones, les communautés locales et les autres parties prenantes à l</w:t>
      </w:r>
      <w:r w:rsidR="007C21C3" w:rsidRPr="00256FD2">
        <w:t>’</w:t>
      </w:r>
      <w:r w:rsidRPr="00256FD2">
        <w:t>élaboration et à la mise en œuvre de leur plan d</w:t>
      </w:r>
      <w:r w:rsidR="007C21C3" w:rsidRPr="00256FD2">
        <w:t>’</w:t>
      </w:r>
      <w:r w:rsidRPr="00256FD2">
        <w:t>action national sur l</w:t>
      </w:r>
      <w:r w:rsidR="007C21C3" w:rsidRPr="00256FD2">
        <w:t>’</w:t>
      </w:r>
      <w:r w:rsidRPr="00256FD2">
        <w:t>extraction minière artisanale et à</w:t>
      </w:r>
      <w:r w:rsidR="00F85ECB" w:rsidRPr="00256FD2">
        <w:t> </w:t>
      </w:r>
      <w:r w:rsidRPr="00256FD2">
        <w:t>petite échelle d</w:t>
      </w:r>
      <w:r w:rsidR="007C21C3" w:rsidRPr="00256FD2">
        <w:t>’</w:t>
      </w:r>
      <w:r w:rsidRPr="00256FD2">
        <w:t>or,</w:t>
      </w:r>
    </w:p>
    <w:p w14:paraId="486DA0BF" w14:textId="60D31C15" w:rsidR="001030F4" w:rsidRPr="00256FD2" w:rsidRDefault="001030F4" w:rsidP="001030F4">
      <w:pPr>
        <w:pStyle w:val="Normal-pool"/>
        <w:numPr>
          <w:ilvl w:val="0"/>
          <w:numId w:val="16"/>
        </w:numPr>
        <w:tabs>
          <w:tab w:val="clear" w:pos="1247"/>
          <w:tab w:val="clear" w:pos="1871"/>
          <w:tab w:val="clear" w:pos="2495"/>
          <w:tab w:val="clear" w:pos="3119"/>
          <w:tab w:val="clear" w:pos="3742"/>
          <w:tab w:val="clear" w:pos="4366"/>
        </w:tabs>
        <w:spacing w:after="120"/>
        <w:ind w:left="1247" w:firstLine="624"/>
      </w:pPr>
      <w:r w:rsidRPr="00256FD2">
        <w:rPr>
          <w:i/>
          <w:iCs/>
        </w:rPr>
        <w:t xml:space="preserve">Invite </w:t>
      </w:r>
      <w:r w:rsidRPr="00256FD2">
        <w:t>les Parties qui doivent présenter leur plan d</w:t>
      </w:r>
      <w:r w:rsidR="007C21C3" w:rsidRPr="00256FD2">
        <w:t>’</w:t>
      </w:r>
      <w:r w:rsidRPr="00256FD2">
        <w:t>action national sur l</w:t>
      </w:r>
      <w:r w:rsidR="007C21C3" w:rsidRPr="00256FD2">
        <w:t>’</w:t>
      </w:r>
      <w:r w:rsidRPr="00256FD2">
        <w:t>extraction minière artisanale et à petite échelle d</w:t>
      </w:r>
      <w:r w:rsidR="007C21C3" w:rsidRPr="00256FD2">
        <w:t>’</w:t>
      </w:r>
      <w:r w:rsidRPr="00256FD2">
        <w:t>or en application de l</w:t>
      </w:r>
      <w:r w:rsidR="007C21C3" w:rsidRPr="00256FD2">
        <w:t>’</w:t>
      </w:r>
      <w:r w:rsidRPr="00256FD2">
        <w:t>alinéa b) du paragraphe</w:t>
      </w:r>
      <w:r w:rsidR="00CE3B92" w:rsidRPr="00256FD2">
        <w:t> </w:t>
      </w:r>
      <w:r w:rsidRPr="00256FD2">
        <w:t>3 de l</w:t>
      </w:r>
      <w:r w:rsidR="007C21C3" w:rsidRPr="00256FD2">
        <w:t>’</w:t>
      </w:r>
      <w:r w:rsidRPr="00256FD2">
        <w:t>article</w:t>
      </w:r>
      <w:r w:rsidR="00F85ECB" w:rsidRPr="00256FD2">
        <w:t> </w:t>
      </w:r>
      <w:r w:rsidRPr="00256FD2">
        <w:t>7 à</w:t>
      </w:r>
      <w:r w:rsidR="00F85ECB" w:rsidRPr="00256FD2">
        <w:t> </w:t>
      </w:r>
      <w:r w:rsidRPr="00256FD2">
        <w:t>soumettre leurs plans définitifs au secrétariat dans les meilleurs délais</w:t>
      </w:r>
      <w:r w:rsidR="007C21C3" w:rsidRPr="00256FD2">
        <w:t> ;</w:t>
      </w:r>
      <w:r w:rsidRPr="00256FD2">
        <w:t xml:space="preserve"> </w:t>
      </w:r>
    </w:p>
    <w:p w14:paraId="30BC9AF3" w14:textId="2996A86E" w:rsidR="001030F4" w:rsidRPr="00256FD2" w:rsidRDefault="001030F4" w:rsidP="7F25646C">
      <w:pPr>
        <w:pStyle w:val="Normal-pool"/>
        <w:numPr>
          <w:ilvl w:val="0"/>
          <w:numId w:val="16"/>
        </w:numPr>
        <w:tabs>
          <w:tab w:val="clear" w:pos="1247"/>
          <w:tab w:val="clear" w:pos="1871"/>
          <w:tab w:val="clear" w:pos="2495"/>
          <w:tab w:val="clear" w:pos="3119"/>
          <w:tab w:val="clear" w:pos="3742"/>
          <w:tab w:val="clear" w:pos="4366"/>
        </w:tabs>
        <w:spacing w:after="120"/>
        <w:ind w:left="1247" w:firstLine="624"/>
        <w:rPr>
          <w:i/>
          <w:iCs/>
        </w:rPr>
      </w:pPr>
      <w:r w:rsidRPr="00256FD2">
        <w:rPr>
          <w:i/>
          <w:iCs/>
        </w:rPr>
        <w:t>Adopte</w:t>
      </w:r>
      <w:r w:rsidRPr="00256FD2">
        <w:t xml:space="preserve"> les sections relatives aux comptes rendus </w:t>
      </w:r>
      <w:r w:rsidR="001633B3" w:rsidRPr="00256FD2">
        <w:t>d</w:t>
      </w:r>
      <w:r w:rsidR="006965BC" w:rsidRPr="00256FD2">
        <w:t xml:space="preserve">es progrès accomplis dans </w:t>
      </w:r>
      <w:r w:rsidRPr="00256FD2">
        <w:t>la mise en œuvre de l</w:t>
      </w:r>
      <w:r w:rsidR="007C21C3" w:rsidRPr="00256FD2">
        <w:t>’</w:t>
      </w:r>
      <w:r w:rsidRPr="00256FD2">
        <w:t>article</w:t>
      </w:r>
      <w:r w:rsidR="00CE3B92" w:rsidRPr="00256FD2">
        <w:t> </w:t>
      </w:r>
      <w:r w:rsidRPr="00256FD2">
        <w:t>7, telles que présentées dans le document UNEP/MC/COP.6/7/Add.1, en vue de leur inclusion dans le Document d</w:t>
      </w:r>
      <w:r w:rsidR="007C21C3" w:rsidRPr="00256FD2">
        <w:t>’</w:t>
      </w:r>
      <w:r w:rsidRPr="00256FD2">
        <w:t>orientation sur l</w:t>
      </w:r>
      <w:r w:rsidR="007C21C3" w:rsidRPr="00256FD2">
        <w:t>’</w:t>
      </w:r>
      <w:r w:rsidRPr="00256FD2">
        <w:t>élaboration d</w:t>
      </w:r>
      <w:r w:rsidR="007C21C3" w:rsidRPr="00256FD2">
        <w:t>’</w:t>
      </w:r>
      <w:r w:rsidRPr="00256FD2">
        <w:t>un plan d</w:t>
      </w:r>
      <w:r w:rsidR="007C21C3" w:rsidRPr="00256FD2">
        <w:t>’</w:t>
      </w:r>
      <w:r w:rsidRPr="00256FD2">
        <w:t>action national pour réduire et, si possible, éliminer l</w:t>
      </w:r>
      <w:r w:rsidR="007C21C3" w:rsidRPr="00256FD2">
        <w:t>’</w:t>
      </w:r>
      <w:r w:rsidRPr="00256FD2">
        <w:t>utilisation de mercure pour l</w:t>
      </w:r>
      <w:r w:rsidR="007C21C3" w:rsidRPr="00256FD2">
        <w:t>’</w:t>
      </w:r>
      <w:r w:rsidRPr="00256FD2">
        <w:t>extraction artisanale et à petite échelle d</w:t>
      </w:r>
      <w:r w:rsidR="007C21C3" w:rsidRPr="00256FD2">
        <w:t>’</w:t>
      </w:r>
      <w:r w:rsidRPr="00256FD2">
        <w:t>or</w:t>
      </w:r>
      <w:r w:rsidR="007C21C3" w:rsidRPr="00256FD2">
        <w:t> ;</w:t>
      </w:r>
    </w:p>
    <w:p w14:paraId="4E9134C4" w14:textId="4E99E2A1" w:rsidR="001030F4" w:rsidRPr="00256FD2" w:rsidRDefault="001030F4" w:rsidP="001030F4">
      <w:pPr>
        <w:pStyle w:val="Normal-pool"/>
        <w:numPr>
          <w:ilvl w:val="0"/>
          <w:numId w:val="16"/>
        </w:numPr>
        <w:tabs>
          <w:tab w:val="clear" w:pos="1247"/>
          <w:tab w:val="clear" w:pos="1871"/>
          <w:tab w:val="clear" w:pos="2495"/>
          <w:tab w:val="clear" w:pos="3119"/>
          <w:tab w:val="clear" w:pos="3742"/>
          <w:tab w:val="clear" w:pos="4366"/>
        </w:tabs>
        <w:spacing w:after="120"/>
        <w:ind w:left="1247" w:firstLine="624"/>
        <w:rPr>
          <w:iCs/>
        </w:rPr>
      </w:pPr>
      <w:r w:rsidRPr="00256FD2">
        <w:rPr>
          <w:i/>
          <w:iCs/>
        </w:rPr>
        <w:t xml:space="preserve">Prie </w:t>
      </w:r>
      <w:r w:rsidRPr="00256FD2">
        <w:t>le secrétariat d</w:t>
      </w:r>
      <w:r w:rsidR="007C21C3" w:rsidRPr="00256FD2">
        <w:t>’</w:t>
      </w:r>
      <w:r w:rsidRPr="00256FD2">
        <w:t>intégrer les modifications adoptées dans le Document d</w:t>
      </w:r>
      <w:r w:rsidR="007C21C3" w:rsidRPr="00256FD2">
        <w:t>’</w:t>
      </w:r>
      <w:r w:rsidRPr="00256FD2">
        <w:t>orientation et de coopérer avec le Partenariat mondial sur le mercure pour diffuser le Document d</w:t>
      </w:r>
      <w:r w:rsidR="007C21C3" w:rsidRPr="00256FD2">
        <w:t>’</w:t>
      </w:r>
      <w:r w:rsidRPr="00256FD2">
        <w:t>orientation actualisé</w:t>
      </w:r>
      <w:r w:rsidR="007C21C3" w:rsidRPr="00256FD2">
        <w:t> ;</w:t>
      </w:r>
    </w:p>
    <w:p w14:paraId="33A230E6" w14:textId="6457CD49" w:rsidR="001030F4" w:rsidRPr="00256FD2" w:rsidRDefault="001030F4" w:rsidP="001030F4">
      <w:pPr>
        <w:pStyle w:val="Normal-pool"/>
        <w:numPr>
          <w:ilvl w:val="0"/>
          <w:numId w:val="16"/>
        </w:numPr>
        <w:tabs>
          <w:tab w:val="clear" w:pos="1247"/>
          <w:tab w:val="clear" w:pos="1871"/>
          <w:tab w:val="clear" w:pos="2495"/>
          <w:tab w:val="clear" w:pos="3119"/>
          <w:tab w:val="clear" w:pos="3742"/>
          <w:tab w:val="clear" w:pos="4366"/>
        </w:tabs>
        <w:spacing w:after="120"/>
        <w:ind w:left="1247" w:firstLine="624"/>
      </w:pPr>
      <w:r w:rsidRPr="00256FD2">
        <w:rPr>
          <w:i/>
          <w:iCs/>
        </w:rPr>
        <w:t xml:space="preserve">Invite </w:t>
      </w:r>
      <w:r w:rsidRPr="00256FD2">
        <w:t>toutes les Parties qui ont soumis leur plan d</w:t>
      </w:r>
      <w:r w:rsidR="007C21C3" w:rsidRPr="00256FD2">
        <w:t>’</w:t>
      </w:r>
      <w:r w:rsidRPr="00256FD2">
        <w:t>action national à fournir un compte rendu des progrès accompli</w:t>
      </w:r>
      <w:r w:rsidR="001633B3" w:rsidRPr="00256FD2">
        <w:t>s</w:t>
      </w:r>
      <w:r w:rsidRPr="00256FD2">
        <w:t xml:space="preserve"> dans le respect de leurs obligations au titre de l</w:t>
      </w:r>
      <w:r w:rsidR="007C21C3" w:rsidRPr="00256FD2">
        <w:t>’</w:t>
      </w:r>
      <w:r w:rsidRPr="00256FD2">
        <w:t>article 7 et à faire figurer ce compte rendu dans le rapport qu</w:t>
      </w:r>
      <w:r w:rsidR="007C21C3" w:rsidRPr="00256FD2">
        <w:t>’</w:t>
      </w:r>
      <w:r w:rsidRPr="00256FD2">
        <w:t>elles doivent présenter en application de l</w:t>
      </w:r>
      <w:r w:rsidR="007C21C3" w:rsidRPr="00256FD2">
        <w:t>’</w:t>
      </w:r>
      <w:r w:rsidRPr="00256FD2">
        <w:t>article 21, au moyen du formulaire figurant dans l</w:t>
      </w:r>
      <w:r w:rsidR="007C21C3" w:rsidRPr="00256FD2">
        <w:t>’</w:t>
      </w:r>
      <w:r w:rsidRPr="00256FD2">
        <w:t>annexe 7 du Document d</w:t>
      </w:r>
      <w:r w:rsidR="007C21C3" w:rsidRPr="00256FD2">
        <w:t>’</w:t>
      </w:r>
      <w:r w:rsidRPr="00256FD2">
        <w:t>orientation actualisé</w:t>
      </w:r>
      <w:r w:rsidR="007C21C3" w:rsidRPr="00256FD2">
        <w:t> ;</w:t>
      </w:r>
    </w:p>
    <w:p w14:paraId="703ABE65" w14:textId="0A0EF609" w:rsidR="001030F4" w:rsidRPr="00256FD2" w:rsidRDefault="001030F4" w:rsidP="001030F4">
      <w:pPr>
        <w:pStyle w:val="Normal-pool"/>
        <w:numPr>
          <w:ilvl w:val="0"/>
          <w:numId w:val="16"/>
        </w:numPr>
        <w:tabs>
          <w:tab w:val="clear" w:pos="1247"/>
          <w:tab w:val="clear" w:pos="1871"/>
          <w:tab w:val="clear" w:pos="2495"/>
          <w:tab w:val="clear" w:pos="3119"/>
          <w:tab w:val="clear" w:pos="3742"/>
          <w:tab w:val="clear" w:pos="4366"/>
        </w:tabs>
        <w:spacing w:after="120"/>
        <w:ind w:left="1247" w:firstLine="624"/>
        <w:rPr>
          <w:i/>
        </w:rPr>
      </w:pPr>
      <w:r w:rsidRPr="00256FD2">
        <w:rPr>
          <w:i/>
          <w:iCs/>
        </w:rPr>
        <w:t>Invite</w:t>
      </w:r>
      <w:r w:rsidRPr="00256FD2">
        <w:t xml:space="preserve"> les Parties qui ont notifié le secrétariat conformément au paragraphe</w:t>
      </w:r>
      <w:r w:rsidR="00A62944" w:rsidRPr="00256FD2">
        <w:t> </w:t>
      </w:r>
      <w:r w:rsidRPr="00256FD2">
        <w:t>3 de l</w:t>
      </w:r>
      <w:r w:rsidR="007C21C3" w:rsidRPr="00256FD2">
        <w:t>’</w:t>
      </w:r>
      <w:r w:rsidRPr="00256FD2">
        <w:t>article</w:t>
      </w:r>
      <w:r w:rsidR="00A62944" w:rsidRPr="00256FD2">
        <w:t> </w:t>
      </w:r>
      <w:r w:rsidRPr="00256FD2">
        <w:t>7 à utiliser le guide provisoire sur l</w:t>
      </w:r>
      <w:r w:rsidR="007C21C3" w:rsidRPr="00256FD2">
        <w:t>’</w:t>
      </w:r>
      <w:r w:rsidRPr="00256FD2">
        <w:t>association efficace des peuples autochtones et des communautés locales (UNEP/MC/COP.6/INF/11) dans le cadre de l</w:t>
      </w:r>
      <w:r w:rsidR="007C21C3" w:rsidRPr="00256FD2">
        <w:t>’</w:t>
      </w:r>
      <w:r w:rsidRPr="00256FD2">
        <w:t>élaboration et de la mise en œuvre de leur plan d</w:t>
      </w:r>
      <w:r w:rsidR="007C21C3" w:rsidRPr="00256FD2">
        <w:t>’</w:t>
      </w:r>
      <w:r w:rsidRPr="00256FD2">
        <w:t xml:space="preserve">action national, ainsi que </w:t>
      </w:r>
      <w:r w:rsidR="0036077A" w:rsidRPr="00256FD2">
        <w:t>d</w:t>
      </w:r>
      <w:r w:rsidR="00C674BE" w:rsidRPr="00256FD2">
        <w:t>es</w:t>
      </w:r>
      <w:r w:rsidRPr="00256FD2">
        <w:t xml:space="preserve"> compte</w:t>
      </w:r>
      <w:r w:rsidR="00C674BE" w:rsidRPr="00256FD2">
        <w:t>s</w:t>
      </w:r>
      <w:r w:rsidRPr="00256FD2">
        <w:t xml:space="preserve"> rendu</w:t>
      </w:r>
      <w:r w:rsidR="00C674BE" w:rsidRPr="00256FD2">
        <w:t>s</w:t>
      </w:r>
      <w:r w:rsidRPr="00256FD2">
        <w:t xml:space="preserve"> des progrès </w:t>
      </w:r>
      <w:r w:rsidR="0036077A" w:rsidRPr="00256FD2">
        <w:t xml:space="preserve">qu’elles ont </w:t>
      </w:r>
      <w:r w:rsidRPr="00256FD2">
        <w:t>accompli</w:t>
      </w:r>
      <w:r w:rsidR="0036077A" w:rsidRPr="00256FD2">
        <w:t>s</w:t>
      </w:r>
      <w:r w:rsidRPr="00256FD2">
        <w:t>, conformément à l</w:t>
      </w:r>
      <w:r w:rsidR="007C21C3" w:rsidRPr="00256FD2">
        <w:t>’</w:t>
      </w:r>
      <w:r w:rsidRPr="00256FD2">
        <w:t>alinéa c) du paragraphe</w:t>
      </w:r>
      <w:r w:rsidR="00A62944" w:rsidRPr="00256FD2">
        <w:t> </w:t>
      </w:r>
      <w:r w:rsidRPr="00256FD2">
        <w:t>3 de l</w:t>
      </w:r>
      <w:r w:rsidR="007C21C3" w:rsidRPr="00256FD2">
        <w:t>’</w:t>
      </w:r>
      <w:r w:rsidRPr="00256FD2">
        <w:t>article</w:t>
      </w:r>
      <w:r w:rsidR="00A62944" w:rsidRPr="00256FD2">
        <w:t> </w:t>
      </w:r>
      <w:r w:rsidRPr="00256FD2">
        <w:t>7, et prie le secrétariat de solliciter auprès des Parties des observations sur leur utilisation du guide provisoire</w:t>
      </w:r>
      <w:r w:rsidR="007C21C3" w:rsidRPr="00256FD2">
        <w:t> ;</w:t>
      </w:r>
    </w:p>
    <w:p w14:paraId="18A7168A" w14:textId="0A374021" w:rsidR="001030F4" w:rsidRPr="00256FD2" w:rsidRDefault="00BB7836" w:rsidP="001030F4">
      <w:pPr>
        <w:pStyle w:val="Normal-pool"/>
        <w:numPr>
          <w:ilvl w:val="0"/>
          <w:numId w:val="16"/>
        </w:numPr>
        <w:tabs>
          <w:tab w:val="clear" w:pos="1247"/>
          <w:tab w:val="clear" w:pos="1871"/>
          <w:tab w:val="clear" w:pos="2495"/>
          <w:tab w:val="clear" w:pos="3119"/>
          <w:tab w:val="clear" w:pos="3742"/>
          <w:tab w:val="clear" w:pos="4366"/>
        </w:tabs>
        <w:spacing w:after="120"/>
        <w:ind w:left="1247" w:firstLine="624"/>
        <w:rPr>
          <w:i/>
        </w:rPr>
      </w:pPr>
      <w:r w:rsidRPr="00256FD2">
        <w:rPr>
          <w:i/>
          <w:iCs/>
        </w:rPr>
        <w:t xml:space="preserve">Prie </w:t>
      </w:r>
      <w:r w:rsidRPr="00256FD2">
        <w:t>le secrétariat, en collaboration avec le Partenariat mondial sur le mercure et sur la base des informations fournies dans les plans d</w:t>
      </w:r>
      <w:r w:rsidR="007C21C3" w:rsidRPr="00256FD2">
        <w:t>’</w:t>
      </w:r>
      <w:r w:rsidRPr="00256FD2">
        <w:t>action nationaux et les comptes rendus des progrès accomplis dans la mise en œuvre de l</w:t>
      </w:r>
      <w:r w:rsidR="007C21C3" w:rsidRPr="00256FD2">
        <w:t>’</w:t>
      </w:r>
      <w:r w:rsidRPr="00256FD2">
        <w:t>article</w:t>
      </w:r>
      <w:r w:rsidR="00A62944" w:rsidRPr="00256FD2">
        <w:t> </w:t>
      </w:r>
      <w:r w:rsidRPr="00256FD2">
        <w:t>7, de faire le point et de lui faire rapport sur</w:t>
      </w:r>
      <w:r w:rsidR="007C21C3" w:rsidRPr="00256FD2">
        <w:t> :</w:t>
      </w:r>
    </w:p>
    <w:p w14:paraId="5D186AB2" w14:textId="59964F88" w:rsidR="001030F4" w:rsidRPr="00256FD2" w:rsidRDefault="001030F4" w:rsidP="00232F5F">
      <w:pPr>
        <w:pStyle w:val="Normalnumber"/>
        <w:numPr>
          <w:ilvl w:val="0"/>
          <w:numId w:val="17"/>
        </w:numPr>
        <w:tabs>
          <w:tab w:val="clear" w:pos="1247"/>
          <w:tab w:val="clear" w:pos="1814"/>
          <w:tab w:val="clear" w:pos="2381"/>
          <w:tab w:val="clear" w:pos="2948"/>
          <w:tab w:val="clear" w:pos="3515"/>
          <w:tab w:val="left" w:pos="624"/>
        </w:tabs>
        <w:ind w:left="1247" w:firstLine="624"/>
        <w:rPr>
          <w:i/>
        </w:rPr>
      </w:pPr>
      <w:r w:rsidRPr="00256FD2">
        <w:t>Les mesures prises pour mettre en œuvre les plans d</w:t>
      </w:r>
      <w:r w:rsidR="007C21C3" w:rsidRPr="00256FD2">
        <w:t>’</w:t>
      </w:r>
      <w:r w:rsidRPr="00256FD2">
        <w:t>action nationaux</w:t>
      </w:r>
      <w:r w:rsidR="007C21C3" w:rsidRPr="00256FD2">
        <w:t> ;</w:t>
      </w:r>
      <w:r w:rsidRPr="00256FD2">
        <w:t xml:space="preserve"> </w:t>
      </w:r>
    </w:p>
    <w:p w14:paraId="0CC22235" w14:textId="5BD8C5B1" w:rsidR="001030F4" w:rsidRPr="00256FD2" w:rsidRDefault="001030F4" w:rsidP="00CB4C03">
      <w:pPr>
        <w:pStyle w:val="Normalnumber"/>
        <w:numPr>
          <w:ilvl w:val="0"/>
          <w:numId w:val="17"/>
        </w:numPr>
        <w:tabs>
          <w:tab w:val="clear" w:pos="1247"/>
          <w:tab w:val="clear" w:pos="1814"/>
          <w:tab w:val="clear" w:pos="2381"/>
          <w:tab w:val="clear" w:pos="2948"/>
          <w:tab w:val="clear" w:pos="3515"/>
          <w:tab w:val="left" w:pos="624"/>
        </w:tabs>
        <w:ind w:left="1247" w:firstLine="624"/>
        <w:rPr>
          <w:i/>
          <w:iCs/>
        </w:rPr>
      </w:pPr>
      <w:r w:rsidRPr="00256FD2">
        <w:t>Les stratégies et activités ayant fait leurs preuves, les progrès accomplis en matière de mise en œuvre et les difficultés et obstacles rencontrés dans la réduction et l</w:t>
      </w:r>
      <w:r w:rsidR="007C21C3" w:rsidRPr="00256FD2">
        <w:t>’</w:t>
      </w:r>
      <w:r w:rsidRPr="00256FD2">
        <w:t>élimination de l</w:t>
      </w:r>
      <w:r w:rsidR="007C21C3" w:rsidRPr="00256FD2">
        <w:t>’</w:t>
      </w:r>
      <w:r w:rsidRPr="00256FD2">
        <w:t>utilisation, des émissions et des rejets de mercure dans le cadre de l</w:t>
      </w:r>
      <w:r w:rsidR="007C21C3" w:rsidRPr="00256FD2">
        <w:t>’</w:t>
      </w:r>
      <w:r w:rsidRPr="00256FD2">
        <w:t>extraction minière artisanale et à</w:t>
      </w:r>
      <w:r w:rsidR="00F85ECB" w:rsidRPr="00256FD2">
        <w:t> </w:t>
      </w:r>
      <w:r w:rsidRPr="00256FD2">
        <w:t>petite échelle d</w:t>
      </w:r>
      <w:r w:rsidR="007C21C3" w:rsidRPr="00256FD2">
        <w:t>’</w:t>
      </w:r>
      <w:r w:rsidRPr="00256FD2">
        <w:t>or, y</w:t>
      </w:r>
      <w:r w:rsidR="00292E2E" w:rsidRPr="00256FD2">
        <w:t> </w:t>
      </w:r>
      <w:r w:rsidRPr="00256FD2">
        <w:t>compris des informations sur la formalisation ou la réglementation des activités d</w:t>
      </w:r>
      <w:r w:rsidR="007C21C3" w:rsidRPr="00256FD2">
        <w:t>’</w:t>
      </w:r>
      <w:r w:rsidRPr="00256FD2">
        <w:t>extraction minière artisanale et à petite échelle d</w:t>
      </w:r>
      <w:r w:rsidR="007C21C3" w:rsidRPr="00256FD2">
        <w:t>’</w:t>
      </w:r>
      <w:r w:rsidRPr="00256FD2">
        <w:t>or, ainsi que sur la gestion du commerce et la prévention du détournement du mercure en vue de son utilisation dans des activités d</w:t>
      </w:r>
      <w:r w:rsidR="007C21C3" w:rsidRPr="00256FD2">
        <w:t>’</w:t>
      </w:r>
      <w:r w:rsidRPr="00256FD2">
        <w:t>extraction minière artisanale et à petite échelle d</w:t>
      </w:r>
      <w:r w:rsidR="007C21C3" w:rsidRPr="00256FD2">
        <w:t>’</w:t>
      </w:r>
      <w:r w:rsidRPr="00256FD2">
        <w:t>or</w:t>
      </w:r>
      <w:r w:rsidR="007C21C3" w:rsidRPr="00256FD2">
        <w:t> ;</w:t>
      </w:r>
      <w:r w:rsidRPr="00256FD2">
        <w:t xml:space="preserve"> </w:t>
      </w:r>
    </w:p>
    <w:p w14:paraId="0EA7022E" w14:textId="5B7F51BF" w:rsidR="001030F4" w:rsidRPr="00256FD2" w:rsidRDefault="002632A6" w:rsidP="001030F4">
      <w:pPr>
        <w:pStyle w:val="Normal-pool"/>
        <w:numPr>
          <w:ilvl w:val="0"/>
          <w:numId w:val="16"/>
        </w:numPr>
        <w:tabs>
          <w:tab w:val="clear" w:pos="1247"/>
          <w:tab w:val="clear" w:pos="1871"/>
          <w:tab w:val="clear" w:pos="2495"/>
          <w:tab w:val="clear" w:pos="3119"/>
          <w:tab w:val="clear" w:pos="3742"/>
          <w:tab w:val="clear" w:pos="4366"/>
        </w:tabs>
        <w:spacing w:after="120"/>
        <w:ind w:left="1247" w:firstLine="624"/>
        <w:rPr>
          <w:i/>
        </w:rPr>
      </w:pPr>
      <w:r w:rsidRPr="00256FD2">
        <w:rPr>
          <w:i/>
          <w:iCs/>
        </w:rPr>
        <w:t>Prie également</w:t>
      </w:r>
      <w:r w:rsidRPr="00256FD2">
        <w:t xml:space="preserve"> le </w:t>
      </w:r>
      <w:r w:rsidR="00200A95" w:rsidRPr="00256FD2">
        <w:t>s</w:t>
      </w:r>
      <w:r w:rsidRPr="00256FD2">
        <w:t>ecrétariat de lui faire rapport sur l</w:t>
      </w:r>
      <w:r w:rsidR="007C21C3" w:rsidRPr="00256FD2">
        <w:t>’</w:t>
      </w:r>
      <w:r w:rsidRPr="00256FD2">
        <w:t>application de la présente décision à sa septième</w:t>
      </w:r>
      <w:r w:rsidR="00A62944" w:rsidRPr="00256FD2">
        <w:t> </w:t>
      </w:r>
      <w:r w:rsidRPr="00256FD2">
        <w:t>réunion.</w:t>
      </w:r>
    </w:p>
    <w:p w14:paraId="262EA3AC" w14:textId="19D2CB6D" w:rsidR="001030F4" w:rsidRPr="00256FD2" w:rsidRDefault="001030F4" w:rsidP="00895F3F">
      <w:pPr>
        <w:pStyle w:val="ZZAnxheader"/>
      </w:pPr>
      <w:r w:rsidRPr="00256FD2">
        <w:br w:type="page"/>
        <w:t>Annexe</w:t>
      </w:r>
      <w:r w:rsidR="00232F5F" w:rsidRPr="00256FD2">
        <w:t> </w:t>
      </w:r>
      <w:r w:rsidRPr="00256FD2">
        <w:t>II</w:t>
      </w:r>
    </w:p>
    <w:p w14:paraId="6649B694" w14:textId="5080ECA0" w:rsidR="001030F4" w:rsidRPr="00256FD2" w:rsidRDefault="00BF4D37" w:rsidP="001030F4">
      <w:pPr>
        <w:pStyle w:val="ZZAnxtitle"/>
      </w:pPr>
      <w:r w:rsidRPr="00256FD2">
        <w:t>État des notifications, soumissions et réponses en matière d</w:t>
      </w:r>
      <w:r w:rsidR="007C21C3" w:rsidRPr="00256FD2">
        <w:t>’</w:t>
      </w:r>
      <w:r w:rsidRPr="00256FD2">
        <w:t>extraction minière artisanale et à petite échelle d</w:t>
      </w:r>
      <w:r w:rsidR="007C21C3" w:rsidRPr="00256FD2">
        <w:t>’</w:t>
      </w:r>
      <w:r w:rsidRPr="00256FD2">
        <w:t>or, conformément à la question</w:t>
      </w:r>
      <w:r w:rsidR="00A62944" w:rsidRPr="00256FD2">
        <w:t> </w:t>
      </w:r>
      <w:r w:rsidRPr="00256FD2">
        <w:t>7.4 dans le rapport national complet</w:t>
      </w:r>
    </w:p>
    <w:p w14:paraId="34EE3557" w14:textId="739F9E00" w:rsidR="001030F4" w:rsidRPr="00256FD2" w:rsidRDefault="001030F4" w:rsidP="001030F4">
      <w:pPr>
        <w:pStyle w:val="NormalNonumber"/>
      </w:pPr>
      <w:r w:rsidRPr="00256FD2">
        <w:t>Le tableau</w:t>
      </w:r>
      <w:r w:rsidR="00A62944" w:rsidRPr="00256FD2">
        <w:t> </w:t>
      </w:r>
      <w:r w:rsidRPr="00256FD2">
        <w:t>1 énumère toutes les Parties qui ont notifié au secrétariat que les activités d</w:t>
      </w:r>
      <w:r w:rsidR="007C21C3" w:rsidRPr="00256FD2">
        <w:t>’</w:t>
      </w:r>
      <w:r w:rsidRPr="00256FD2">
        <w:t>extraction minière et de transformation artisanales et à petite échelle d</w:t>
      </w:r>
      <w:r w:rsidR="007C21C3" w:rsidRPr="00256FD2">
        <w:t>’</w:t>
      </w:r>
      <w:r w:rsidRPr="00256FD2">
        <w:t>or utilisant l</w:t>
      </w:r>
      <w:r w:rsidR="007C21C3" w:rsidRPr="00256FD2">
        <w:t>’</w:t>
      </w:r>
      <w:r w:rsidRPr="00256FD2">
        <w:t>amalgamation au mercure menées sur leur territoire étaient non négligeables, conformément au paragraphe</w:t>
      </w:r>
      <w:r w:rsidR="00A62944" w:rsidRPr="00256FD2">
        <w:t> </w:t>
      </w:r>
      <w:r w:rsidRPr="00256FD2">
        <w:t>3 de l</w:t>
      </w:r>
      <w:r w:rsidR="007C21C3" w:rsidRPr="00256FD2">
        <w:t>’</w:t>
      </w:r>
      <w:r w:rsidRPr="00256FD2">
        <w:t>article</w:t>
      </w:r>
      <w:r w:rsidR="00F85ECB" w:rsidRPr="00256FD2">
        <w:t> </w:t>
      </w:r>
      <w:r w:rsidRPr="00256FD2">
        <w:t>7, et indique l</w:t>
      </w:r>
      <w:r w:rsidR="007C21C3" w:rsidRPr="00256FD2">
        <w:t>’</w:t>
      </w:r>
      <w:r w:rsidRPr="00256FD2">
        <w:t>état d</w:t>
      </w:r>
      <w:r w:rsidR="007C21C3" w:rsidRPr="00256FD2">
        <w:t>’</w:t>
      </w:r>
      <w:r w:rsidRPr="00256FD2">
        <w:t>avancement de leur plan d</w:t>
      </w:r>
      <w:r w:rsidR="007C21C3" w:rsidRPr="00256FD2">
        <w:t>’</w:t>
      </w:r>
      <w:r w:rsidRPr="00256FD2">
        <w:t>action national et l</w:t>
      </w:r>
      <w:r w:rsidR="007C21C3" w:rsidRPr="00256FD2">
        <w:t>’</w:t>
      </w:r>
      <w:r w:rsidRPr="00256FD2">
        <w:t>état de leur réponse à la</w:t>
      </w:r>
      <w:r w:rsidR="00227756" w:rsidRPr="00256FD2">
        <w:t> </w:t>
      </w:r>
      <w:r w:rsidRPr="00256FD2">
        <w:t>question</w:t>
      </w:r>
      <w:r w:rsidR="007C45C6" w:rsidRPr="00256FD2">
        <w:t> </w:t>
      </w:r>
      <w:r w:rsidRPr="00256FD2">
        <w:t>7.4 dans leur premier</w:t>
      </w:r>
      <w:r w:rsidR="00A62944" w:rsidRPr="00256FD2">
        <w:t> </w:t>
      </w:r>
      <w:r w:rsidRPr="00256FD2">
        <w:t>rapport national complet, qui traite du compte rendu des progrès accomplis par les Parties</w:t>
      </w:r>
      <w:r w:rsidRPr="00256FD2">
        <w:rPr>
          <w:rStyle w:val="FootnoteReference"/>
          <w:rFonts w:eastAsia="SimSun" w:cstheme="majorBidi"/>
        </w:rPr>
        <w:footnoteReference w:id="11"/>
      </w:r>
      <w:r w:rsidRPr="00256FD2">
        <w:t xml:space="preserve"> en application de l</w:t>
      </w:r>
      <w:r w:rsidR="007C21C3" w:rsidRPr="00256FD2">
        <w:t>’</w:t>
      </w:r>
      <w:r w:rsidRPr="00256FD2">
        <w:t>alinéa c) du paragraphe</w:t>
      </w:r>
      <w:r w:rsidR="00A62944" w:rsidRPr="00256FD2">
        <w:t> </w:t>
      </w:r>
      <w:r w:rsidRPr="00256FD2">
        <w:t>3 de l</w:t>
      </w:r>
      <w:r w:rsidR="007C21C3" w:rsidRPr="00256FD2">
        <w:t>’</w:t>
      </w:r>
      <w:r w:rsidRPr="00256FD2">
        <w:t>article</w:t>
      </w:r>
      <w:r w:rsidR="00A62944" w:rsidRPr="00256FD2">
        <w:t> </w:t>
      </w:r>
      <w:r w:rsidRPr="00256FD2">
        <w:t>7 de la Convention. Le tableau</w:t>
      </w:r>
      <w:r w:rsidR="00441AA8" w:rsidRPr="00256FD2">
        <w:t> </w:t>
      </w:r>
      <w:r w:rsidRPr="00256FD2">
        <w:t>2 énumère les États non parties qui ont notifié au secrétariat que les activités d</w:t>
      </w:r>
      <w:r w:rsidR="007C21C3" w:rsidRPr="00256FD2">
        <w:t>’</w:t>
      </w:r>
      <w:r w:rsidRPr="00256FD2">
        <w:t>extraction minière et de transformation artisanales et à petite échelle d</w:t>
      </w:r>
      <w:r w:rsidR="007C21C3" w:rsidRPr="00256FD2">
        <w:t>’</w:t>
      </w:r>
      <w:r w:rsidRPr="00256FD2">
        <w:t>or utilisant l</w:t>
      </w:r>
      <w:r w:rsidR="007C21C3" w:rsidRPr="00256FD2">
        <w:t>’</w:t>
      </w:r>
      <w:r w:rsidRPr="00256FD2">
        <w:t xml:space="preserve">amalgamation au mercure menées sur leur territoire étaient non négligeables. </w:t>
      </w:r>
    </w:p>
    <w:p w14:paraId="318121D3" w14:textId="124A6E06" w:rsidR="001030F4" w:rsidRPr="00256FD2" w:rsidRDefault="001030F4" w:rsidP="001030F4">
      <w:pPr>
        <w:pStyle w:val="Titletable"/>
      </w:pPr>
      <w:r w:rsidRPr="00256FD2">
        <w:rPr>
          <w:b w:val="0"/>
          <w:bCs w:val="0"/>
        </w:rPr>
        <w:t>Tableau 1</w:t>
      </w:r>
      <w:r w:rsidR="007C21C3" w:rsidRPr="00256FD2">
        <w:br/>
      </w:r>
      <w:r w:rsidRPr="00256FD2">
        <w:t>Parties ayant notifié le secrétariat en application du paragraphe</w:t>
      </w:r>
      <w:r w:rsidR="00A62944" w:rsidRPr="00256FD2">
        <w:t> </w:t>
      </w:r>
      <w:r w:rsidRPr="00256FD2">
        <w:t>3 de l</w:t>
      </w:r>
      <w:r w:rsidR="007C21C3" w:rsidRPr="00256FD2">
        <w:t>’</w:t>
      </w:r>
      <w:r w:rsidRPr="00256FD2">
        <w:t>article</w:t>
      </w:r>
      <w:r w:rsidR="00A62944" w:rsidRPr="00256FD2">
        <w:t> </w:t>
      </w:r>
      <w:r w:rsidRPr="00256FD2">
        <w:t>7, état</w:t>
      </w:r>
      <w:r w:rsidR="0045659F" w:rsidRPr="00256FD2">
        <w:t> </w:t>
      </w:r>
      <w:r w:rsidRPr="00256FD2">
        <w:t>d</w:t>
      </w:r>
      <w:r w:rsidR="007C21C3" w:rsidRPr="00256FD2">
        <w:t>’</w:t>
      </w:r>
      <w:r w:rsidRPr="00256FD2">
        <w:t xml:space="preserve">avancement </w:t>
      </w:r>
      <w:r w:rsidR="002B2181" w:rsidRPr="00256FD2">
        <w:t xml:space="preserve">de leur plan d’action national </w:t>
      </w:r>
      <w:r w:rsidRPr="00256FD2">
        <w:t>et état de leur réponse à la question</w:t>
      </w:r>
      <w:r w:rsidR="00A62944" w:rsidRPr="00256FD2">
        <w:t> </w:t>
      </w:r>
      <w:r w:rsidRPr="00256FD2">
        <w:t>7.4 dans</w:t>
      </w:r>
      <w:r w:rsidR="0045659F" w:rsidRPr="00256FD2">
        <w:t> </w:t>
      </w:r>
      <w:r w:rsidRPr="00256FD2">
        <w:t>leur premier</w:t>
      </w:r>
      <w:r w:rsidR="00A62944" w:rsidRPr="00256FD2">
        <w:t> </w:t>
      </w:r>
      <w:r w:rsidRPr="00256FD2">
        <w:t xml:space="preserve">rapport national complet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1798"/>
        <w:gridCol w:w="1799"/>
        <w:gridCol w:w="1943"/>
      </w:tblGrid>
      <w:tr w:rsidR="001030F4" w:rsidRPr="00256FD2" w14:paraId="5A2F44D1" w14:textId="77777777" w:rsidTr="00B25BC6">
        <w:trPr>
          <w:tblHeader/>
          <w:jc w:val="right"/>
        </w:trPr>
        <w:tc>
          <w:tcPr>
            <w:tcW w:w="2835" w:type="dxa"/>
            <w:tcBorders>
              <w:top w:val="single" w:sz="4" w:space="0" w:color="auto"/>
              <w:bottom w:val="single" w:sz="12" w:space="0" w:color="auto"/>
            </w:tcBorders>
            <w:vAlign w:val="bottom"/>
          </w:tcPr>
          <w:p w14:paraId="41FB5F9D" w14:textId="1B8EED90" w:rsidR="001030F4" w:rsidRPr="00256FD2" w:rsidRDefault="00891208" w:rsidP="00B25BC6">
            <w:pPr>
              <w:pStyle w:val="Normal-pool-Table"/>
              <w:rPr>
                <w:i/>
                <w:iCs/>
                <w:szCs w:val="18"/>
              </w:rPr>
            </w:pPr>
            <w:bookmarkStart w:id="9" w:name="_Hlk201300851"/>
            <w:r w:rsidRPr="00256FD2">
              <w:rPr>
                <w:i/>
                <w:iCs/>
                <w:color w:val="000000"/>
              </w:rPr>
              <w:t>Partie</w:t>
            </w:r>
          </w:p>
        </w:tc>
        <w:tc>
          <w:tcPr>
            <w:tcW w:w="1840" w:type="dxa"/>
            <w:tcBorders>
              <w:top w:val="single" w:sz="4" w:space="0" w:color="auto"/>
              <w:bottom w:val="single" w:sz="12" w:space="0" w:color="auto"/>
            </w:tcBorders>
            <w:vAlign w:val="bottom"/>
          </w:tcPr>
          <w:p w14:paraId="638FDA35" w14:textId="77777777" w:rsidR="001030F4" w:rsidRPr="00256FD2" w:rsidRDefault="001030F4" w:rsidP="00B25BC6">
            <w:pPr>
              <w:pStyle w:val="Normal-pool-Table"/>
              <w:rPr>
                <w:i/>
                <w:iCs/>
                <w:szCs w:val="18"/>
              </w:rPr>
            </w:pPr>
            <w:r w:rsidRPr="00256FD2">
              <w:rPr>
                <w:i/>
                <w:iCs/>
                <w:color w:val="000000"/>
              </w:rPr>
              <w:t>Date de notification</w:t>
            </w:r>
          </w:p>
        </w:tc>
        <w:tc>
          <w:tcPr>
            <w:tcW w:w="1841" w:type="dxa"/>
            <w:tcBorders>
              <w:top w:val="single" w:sz="4" w:space="0" w:color="auto"/>
              <w:bottom w:val="single" w:sz="12" w:space="0" w:color="auto"/>
            </w:tcBorders>
            <w:vAlign w:val="bottom"/>
          </w:tcPr>
          <w:p w14:paraId="20B30ABB" w14:textId="0EC5A3B5" w:rsidR="001030F4" w:rsidRPr="00256FD2" w:rsidRDefault="001030F4" w:rsidP="00B25BC6">
            <w:pPr>
              <w:pStyle w:val="Normal-pool-Table"/>
              <w:rPr>
                <w:i/>
                <w:iCs/>
                <w:szCs w:val="18"/>
              </w:rPr>
            </w:pPr>
            <w:r w:rsidRPr="00256FD2">
              <w:rPr>
                <w:i/>
                <w:iCs/>
                <w:color w:val="000000"/>
              </w:rPr>
              <w:t>État d</w:t>
            </w:r>
            <w:r w:rsidR="007C21C3" w:rsidRPr="00256FD2">
              <w:rPr>
                <w:i/>
                <w:iCs/>
                <w:color w:val="000000"/>
              </w:rPr>
              <w:t>’</w:t>
            </w:r>
            <w:r w:rsidRPr="00256FD2">
              <w:rPr>
                <w:i/>
                <w:iCs/>
                <w:color w:val="000000"/>
              </w:rPr>
              <w:t>avancement du</w:t>
            </w:r>
            <w:r w:rsidR="00F85ECB" w:rsidRPr="00256FD2">
              <w:rPr>
                <w:i/>
                <w:iCs/>
                <w:color w:val="000000"/>
              </w:rPr>
              <w:t> </w:t>
            </w:r>
            <w:r w:rsidRPr="00256FD2">
              <w:rPr>
                <w:i/>
                <w:iCs/>
                <w:color w:val="000000"/>
              </w:rPr>
              <w:t>plan d</w:t>
            </w:r>
            <w:r w:rsidR="007C21C3" w:rsidRPr="00256FD2">
              <w:rPr>
                <w:i/>
                <w:iCs/>
                <w:color w:val="000000"/>
              </w:rPr>
              <w:t>’</w:t>
            </w:r>
            <w:r w:rsidRPr="00256FD2">
              <w:rPr>
                <w:i/>
                <w:iCs/>
                <w:color w:val="000000"/>
              </w:rPr>
              <w:t>action national de la Partie</w:t>
            </w:r>
          </w:p>
        </w:tc>
        <w:tc>
          <w:tcPr>
            <w:tcW w:w="1989" w:type="dxa"/>
            <w:tcBorders>
              <w:top w:val="single" w:sz="4" w:space="0" w:color="auto"/>
              <w:bottom w:val="single" w:sz="12" w:space="0" w:color="auto"/>
            </w:tcBorders>
            <w:vAlign w:val="bottom"/>
          </w:tcPr>
          <w:p w14:paraId="0FAF7BDB" w14:textId="2EF01F54" w:rsidR="001030F4" w:rsidRPr="00256FD2" w:rsidRDefault="006F406B" w:rsidP="00B25BC6">
            <w:pPr>
              <w:pStyle w:val="Normal-pool-Table"/>
              <w:rPr>
                <w:i/>
                <w:iCs/>
                <w:szCs w:val="18"/>
              </w:rPr>
            </w:pPr>
            <w:r w:rsidRPr="00256FD2">
              <w:rPr>
                <w:i/>
                <w:iCs/>
                <w:color w:val="000000"/>
              </w:rPr>
              <w:t>État de la réponse de</w:t>
            </w:r>
            <w:r w:rsidR="00F85ECB" w:rsidRPr="00256FD2">
              <w:rPr>
                <w:i/>
                <w:iCs/>
                <w:color w:val="000000"/>
              </w:rPr>
              <w:t> </w:t>
            </w:r>
            <w:r w:rsidRPr="00256FD2">
              <w:rPr>
                <w:i/>
                <w:iCs/>
                <w:color w:val="000000"/>
              </w:rPr>
              <w:t>la</w:t>
            </w:r>
            <w:r w:rsidR="00F85ECB" w:rsidRPr="00256FD2">
              <w:rPr>
                <w:i/>
                <w:iCs/>
                <w:color w:val="000000"/>
              </w:rPr>
              <w:t> </w:t>
            </w:r>
            <w:r w:rsidRPr="00256FD2">
              <w:rPr>
                <w:i/>
                <w:iCs/>
                <w:color w:val="000000"/>
              </w:rPr>
              <w:t>Partie à la question</w:t>
            </w:r>
            <w:r w:rsidR="00F85ECB" w:rsidRPr="00256FD2">
              <w:rPr>
                <w:i/>
                <w:iCs/>
                <w:color w:val="000000"/>
              </w:rPr>
              <w:t> </w:t>
            </w:r>
            <w:r w:rsidRPr="00256FD2">
              <w:rPr>
                <w:i/>
                <w:iCs/>
                <w:color w:val="000000"/>
              </w:rPr>
              <w:t>7.4 dans son</w:t>
            </w:r>
            <w:r w:rsidR="00F85ECB" w:rsidRPr="00256FD2">
              <w:rPr>
                <w:i/>
                <w:iCs/>
                <w:color w:val="000000"/>
              </w:rPr>
              <w:t> </w:t>
            </w:r>
            <w:r w:rsidRPr="00256FD2">
              <w:rPr>
                <w:i/>
                <w:iCs/>
                <w:color w:val="000000"/>
              </w:rPr>
              <w:t xml:space="preserve">premier rapport national </w:t>
            </w:r>
            <w:proofErr w:type="spellStart"/>
            <w:r w:rsidRPr="00256FD2">
              <w:rPr>
                <w:i/>
                <w:iCs/>
                <w:color w:val="000000"/>
              </w:rPr>
              <w:t>complet</w:t>
            </w:r>
            <w:r w:rsidRPr="00256FD2">
              <w:rPr>
                <w:i/>
                <w:iCs/>
                <w:color w:val="000000"/>
                <w:vertAlign w:val="superscript"/>
              </w:rPr>
              <w:t>a</w:t>
            </w:r>
            <w:proofErr w:type="spellEnd"/>
            <w:r w:rsidRPr="00256FD2">
              <w:rPr>
                <w:color w:val="000000"/>
              </w:rPr>
              <w:t xml:space="preserve"> </w:t>
            </w:r>
          </w:p>
        </w:tc>
      </w:tr>
      <w:bookmarkEnd w:id="9"/>
      <w:tr w:rsidR="00F26EBE" w:rsidRPr="00256FD2" w14:paraId="19E5A4E2" w14:textId="77777777" w:rsidTr="00B25BC6">
        <w:trPr>
          <w:jc w:val="right"/>
        </w:trPr>
        <w:tc>
          <w:tcPr>
            <w:tcW w:w="2835" w:type="dxa"/>
            <w:tcBorders>
              <w:top w:val="single" w:sz="12" w:space="0" w:color="auto"/>
            </w:tcBorders>
            <w:vAlign w:val="bottom"/>
          </w:tcPr>
          <w:p w14:paraId="1FCBBF10" w14:textId="77777777" w:rsidR="00F26EBE" w:rsidRPr="00256FD2" w:rsidRDefault="00F26EBE" w:rsidP="00B25BC6">
            <w:pPr>
              <w:pStyle w:val="Normal-pool-Table"/>
              <w:rPr>
                <w:rFonts w:eastAsiaTheme="minorEastAsia"/>
              </w:rPr>
            </w:pPr>
            <w:r w:rsidRPr="00256FD2">
              <w:rPr>
                <w:color w:val="000000"/>
              </w:rPr>
              <w:t>Afghanistan</w:t>
            </w:r>
          </w:p>
        </w:tc>
        <w:tc>
          <w:tcPr>
            <w:tcW w:w="1840" w:type="dxa"/>
            <w:tcBorders>
              <w:top w:val="single" w:sz="12" w:space="0" w:color="auto"/>
            </w:tcBorders>
          </w:tcPr>
          <w:p w14:paraId="666D984F" w14:textId="77777777" w:rsidR="00F26EBE" w:rsidRPr="00256FD2" w:rsidRDefault="00F26EBE" w:rsidP="00B25BC6">
            <w:pPr>
              <w:pStyle w:val="Normal-pool-Table"/>
              <w:rPr>
                <w:rFonts w:eastAsiaTheme="minorEastAsia"/>
              </w:rPr>
            </w:pPr>
            <w:r w:rsidRPr="00256FD2">
              <w:rPr>
                <w:color w:val="000000"/>
              </w:rPr>
              <w:t>06/07/2020</w:t>
            </w:r>
          </w:p>
        </w:tc>
        <w:tc>
          <w:tcPr>
            <w:tcW w:w="1841" w:type="dxa"/>
            <w:tcBorders>
              <w:top w:val="single" w:sz="12" w:space="0" w:color="auto"/>
            </w:tcBorders>
          </w:tcPr>
          <w:p w14:paraId="15790431" w14:textId="77777777" w:rsidR="00F26EBE" w:rsidRPr="00256FD2" w:rsidRDefault="00F26EBE" w:rsidP="00B25BC6">
            <w:pPr>
              <w:pStyle w:val="Normal-pool-Table"/>
              <w:rPr>
                <w:rFonts w:eastAsiaTheme="minorEastAsia"/>
              </w:rPr>
            </w:pPr>
            <w:r w:rsidRPr="00256FD2">
              <w:rPr>
                <w:color w:val="000000"/>
              </w:rPr>
              <w:t>Non soumis</w:t>
            </w:r>
          </w:p>
        </w:tc>
        <w:tc>
          <w:tcPr>
            <w:tcW w:w="1989" w:type="dxa"/>
            <w:tcBorders>
              <w:top w:val="single" w:sz="12" w:space="0" w:color="auto"/>
            </w:tcBorders>
          </w:tcPr>
          <w:p w14:paraId="5EA27815" w14:textId="77777777" w:rsidR="00F26EBE" w:rsidRPr="00256FD2" w:rsidRDefault="00F26EBE" w:rsidP="00B25BC6">
            <w:pPr>
              <w:pStyle w:val="Normal-pool-Table"/>
              <w:rPr>
                <w:rFonts w:eastAsiaTheme="minorEastAsia"/>
              </w:rPr>
            </w:pPr>
            <w:r w:rsidRPr="00256FD2">
              <w:rPr>
                <w:color w:val="000000"/>
              </w:rPr>
              <w:t>Sans réponse</w:t>
            </w:r>
          </w:p>
        </w:tc>
      </w:tr>
      <w:tr w:rsidR="00F26EBE" w:rsidRPr="00256FD2" w14:paraId="7D36177F" w14:textId="77777777" w:rsidTr="00B25BC6">
        <w:trPr>
          <w:jc w:val="right"/>
        </w:trPr>
        <w:tc>
          <w:tcPr>
            <w:tcW w:w="2835" w:type="dxa"/>
            <w:vAlign w:val="bottom"/>
          </w:tcPr>
          <w:p w14:paraId="19F3311E" w14:textId="77777777" w:rsidR="00F26EBE" w:rsidRPr="00256FD2" w:rsidRDefault="00F26EBE" w:rsidP="00B25BC6">
            <w:pPr>
              <w:pStyle w:val="Normal-pool-Table"/>
            </w:pPr>
            <w:r w:rsidRPr="00256FD2">
              <w:rPr>
                <w:color w:val="000000"/>
              </w:rPr>
              <w:t>Afrique du Sud</w:t>
            </w:r>
          </w:p>
        </w:tc>
        <w:tc>
          <w:tcPr>
            <w:tcW w:w="1840" w:type="dxa"/>
          </w:tcPr>
          <w:p w14:paraId="21B01C86" w14:textId="77777777" w:rsidR="00F26EBE" w:rsidRPr="00256FD2" w:rsidRDefault="00F26EBE" w:rsidP="00B25BC6">
            <w:pPr>
              <w:pStyle w:val="Normal-pool-Table"/>
              <w:rPr>
                <w:color w:val="000000"/>
              </w:rPr>
            </w:pPr>
            <w:r w:rsidRPr="00256FD2">
              <w:rPr>
                <w:color w:val="000000"/>
              </w:rPr>
              <w:t>17/08/2023</w:t>
            </w:r>
          </w:p>
        </w:tc>
        <w:tc>
          <w:tcPr>
            <w:tcW w:w="1841" w:type="dxa"/>
          </w:tcPr>
          <w:p w14:paraId="7C43053C" w14:textId="77777777" w:rsidR="00F26EBE" w:rsidRPr="00256FD2" w:rsidRDefault="00F26EBE" w:rsidP="00B25BC6">
            <w:pPr>
              <w:pStyle w:val="Normal-pool-Table"/>
            </w:pPr>
            <w:r w:rsidRPr="00256FD2">
              <w:rPr>
                <w:color w:val="000000"/>
              </w:rPr>
              <w:t>Non soumis</w:t>
            </w:r>
          </w:p>
        </w:tc>
        <w:tc>
          <w:tcPr>
            <w:tcW w:w="1989" w:type="dxa"/>
          </w:tcPr>
          <w:p w14:paraId="322CD6B8" w14:textId="77777777" w:rsidR="00F26EBE" w:rsidRPr="00256FD2" w:rsidRDefault="00F26EBE" w:rsidP="00B25BC6">
            <w:pPr>
              <w:pStyle w:val="Normal-pool-Table"/>
            </w:pPr>
            <w:r w:rsidRPr="00256FD2">
              <w:rPr>
                <w:color w:val="000000"/>
              </w:rPr>
              <w:t>Sans réponse</w:t>
            </w:r>
          </w:p>
        </w:tc>
      </w:tr>
      <w:tr w:rsidR="00F26EBE" w:rsidRPr="00256FD2" w14:paraId="2221B560" w14:textId="77777777" w:rsidTr="00B25BC6">
        <w:trPr>
          <w:jc w:val="right"/>
        </w:trPr>
        <w:tc>
          <w:tcPr>
            <w:tcW w:w="2835" w:type="dxa"/>
            <w:vAlign w:val="bottom"/>
          </w:tcPr>
          <w:p w14:paraId="1F306E5B" w14:textId="77777777" w:rsidR="00F26EBE" w:rsidRPr="00256FD2" w:rsidRDefault="00F26EBE" w:rsidP="00B25BC6">
            <w:pPr>
              <w:pStyle w:val="Normal-pool-Table"/>
              <w:rPr>
                <w:rFonts w:eastAsiaTheme="minorEastAsia"/>
              </w:rPr>
            </w:pPr>
            <w:r w:rsidRPr="00256FD2">
              <w:rPr>
                <w:color w:val="000000"/>
              </w:rPr>
              <w:t>Bolivie (État plurinational de)</w:t>
            </w:r>
          </w:p>
        </w:tc>
        <w:tc>
          <w:tcPr>
            <w:tcW w:w="1840" w:type="dxa"/>
          </w:tcPr>
          <w:p w14:paraId="20065F6B" w14:textId="77777777" w:rsidR="00F26EBE" w:rsidRPr="00256FD2" w:rsidRDefault="00F26EBE" w:rsidP="00B25BC6">
            <w:pPr>
              <w:pStyle w:val="Normal-pool-Table"/>
              <w:rPr>
                <w:rFonts w:eastAsiaTheme="minorEastAsia"/>
              </w:rPr>
            </w:pPr>
            <w:r w:rsidRPr="00256FD2">
              <w:rPr>
                <w:color w:val="000000"/>
              </w:rPr>
              <w:t>30/05/2019</w:t>
            </w:r>
          </w:p>
        </w:tc>
        <w:tc>
          <w:tcPr>
            <w:tcW w:w="1841" w:type="dxa"/>
          </w:tcPr>
          <w:p w14:paraId="2F8754DA" w14:textId="77777777" w:rsidR="00F26EBE" w:rsidRPr="00256FD2" w:rsidRDefault="00F26EBE" w:rsidP="00B25BC6">
            <w:pPr>
              <w:pStyle w:val="Normal-pool-Table"/>
              <w:rPr>
                <w:rFonts w:eastAsiaTheme="minorEastAsia"/>
              </w:rPr>
            </w:pPr>
            <w:r w:rsidRPr="00256FD2">
              <w:rPr>
                <w:color w:val="000000"/>
              </w:rPr>
              <w:t>Non soumis</w:t>
            </w:r>
          </w:p>
        </w:tc>
        <w:tc>
          <w:tcPr>
            <w:tcW w:w="1989" w:type="dxa"/>
          </w:tcPr>
          <w:p w14:paraId="75CF05E2" w14:textId="77777777" w:rsidR="00F26EBE" w:rsidRPr="00256FD2" w:rsidRDefault="00F26EBE" w:rsidP="00B25BC6">
            <w:pPr>
              <w:pStyle w:val="Normal-pool-Table"/>
              <w:rPr>
                <w:rFonts w:eastAsiaTheme="minorEastAsia"/>
              </w:rPr>
            </w:pPr>
            <w:r w:rsidRPr="00256FD2">
              <w:rPr>
                <w:color w:val="000000"/>
              </w:rPr>
              <w:t>Sans réponse</w:t>
            </w:r>
          </w:p>
        </w:tc>
      </w:tr>
      <w:tr w:rsidR="00F26EBE" w:rsidRPr="00256FD2" w14:paraId="141A2BF1" w14:textId="77777777" w:rsidTr="00B25BC6">
        <w:trPr>
          <w:jc w:val="right"/>
        </w:trPr>
        <w:tc>
          <w:tcPr>
            <w:tcW w:w="2835" w:type="dxa"/>
            <w:vAlign w:val="bottom"/>
          </w:tcPr>
          <w:p w14:paraId="0237EA89" w14:textId="77777777" w:rsidR="00F26EBE" w:rsidRPr="00256FD2" w:rsidRDefault="00F26EBE" w:rsidP="00B25BC6">
            <w:pPr>
              <w:pStyle w:val="Normal-pool-Table"/>
            </w:pPr>
            <w:r w:rsidRPr="00256FD2">
              <w:rPr>
                <w:color w:val="000000"/>
              </w:rPr>
              <w:t>Botswana</w:t>
            </w:r>
          </w:p>
        </w:tc>
        <w:tc>
          <w:tcPr>
            <w:tcW w:w="1840" w:type="dxa"/>
          </w:tcPr>
          <w:p w14:paraId="362D4843" w14:textId="77777777" w:rsidR="00F26EBE" w:rsidRPr="00256FD2" w:rsidRDefault="00F26EBE" w:rsidP="00B25BC6">
            <w:pPr>
              <w:pStyle w:val="Normal-pool-Table"/>
            </w:pPr>
            <w:r w:rsidRPr="00256FD2">
              <w:rPr>
                <w:color w:val="000000"/>
              </w:rPr>
              <w:t>06/01/2025</w:t>
            </w:r>
          </w:p>
        </w:tc>
        <w:tc>
          <w:tcPr>
            <w:tcW w:w="1841" w:type="dxa"/>
          </w:tcPr>
          <w:p w14:paraId="0239F88E" w14:textId="77777777" w:rsidR="00F26EBE" w:rsidRPr="00256FD2" w:rsidRDefault="00F26EBE" w:rsidP="00B25BC6">
            <w:pPr>
              <w:pStyle w:val="Normal-pool-Table"/>
            </w:pPr>
            <w:r w:rsidRPr="00256FD2">
              <w:rPr>
                <w:color w:val="000000"/>
              </w:rPr>
              <w:t>Non soumis</w:t>
            </w:r>
          </w:p>
        </w:tc>
        <w:tc>
          <w:tcPr>
            <w:tcW w:w="1989" w:type="dxa"/>
          </w:tcPr>
          <w:p w14:paraId="05010B46" w14:textId="77777777" w:rsidR="00F26EBE" w:rsidRPr="00256FD2" w:rsidRDefault="00F26EBE" w:rsidP="00B25BC6">
            <w:pPr>
              <w:pStyle w:val="Normal-pool-Table"/>
            </w:pPr>
            <w:r w:rsidRPr="00256FD2">
              <w:rPr>
                <w:color w:val="000000"/>
              </w:rPr>
              <w:t>Sans réponse</w:t>
            </w:r>
          </w:p>
        </w:tc>
      </w:tr>
      <w:tr w:rsidR="00F26EBE" w:rsidRPr="00256FD2" w14:paraId="5AA1552F" w14:textId="77777777" w:rsidTr="00B25BC6">
        <w:trPr>
          <w:jc w:val="right"/>
        </w:trPr>
        <w:tc>
          <w:tcPr>
            <w:tcW w:w="2835" w:type="dxa"/>
            <w:vAlign w:val="bottom"/>
          </w:tcPr>
          <w:p w14:paraId="4B1466CD" w14:textId="77777777" w:rsidR="00F26EBE" w:rsidRPr="00256FD2" w:rsidRDefault="00F26EBE" w:rsidP="00B25BC6">
            <w:pPr>
              <w:pStyle w:val="Normal-pool-Table"/>
            </w:pPr>
            <w:r w:rsidRPr="00256FD2">
              <w:rPr>
                <w:color w:val="000000"/>
              </w:rPr>
              <w:t>Brésil</w:t>
            </w:r>
          </w:p>
        </w:tc>
        <w:tc>
          <w:tcPr>
            <w:tcW w:w="1840" w:type="dxa"/>
          </w:tcPr>
          <w:p w14:paraId="68B8A225" w14:textId="77777777" w:rsidR="00F26EBE" w:rsidRPr="00256FD2" w:rsidRDefault="00F26EBE" w:rsidP="00B25BC6">
            <w:pPr>
              <w:pStyle w:val="Normal-pool-Table"/>
            </w:pPr>
            <w:r w:rsidRPr="00256FD2">
              <w:rPr>
                <w:color w:val="000000"/>
              </w:rPr>
              <w:t>20/11/2019</w:t>
            </w:r>
          </w:p>
        </w:tc>
        <w:tc>
          <w:tcPr>
            <w:tcW w:w="1841" w:type="dxa"/>
          </w:tcPr>
          <w:p w14:paraId="0E315B88" w14:textId="77777777" w:rsidR="00F26EBE" w:rsidRPr="00256FD2" w:rsidRDefault="00F26EBE" w:rsidP="00B25BC6">
            <w:pPr>
              <w:pStyle w:val="Normal-pool-Table"/>
            </w:pPr>
            <w:r w:rsidRPr="00256FD2">
              <w:rPr>
                <w:color w:val="000000"/>
              </w:rPr>
              <w:t>Non soumis</w:t>
            </w:r>
          </w:p>
        </w:tc>
        <w:tc>
          <w:tcPr>
            <w:tcW w:w="1989" w:type="dxa"/>
          </w:tcPr>
          <w:p w14:paraId="16912E13" w14:textId="77777777" w:rsidR="00F26EBE" w:rsidRPr="00256FD2" w:rsidRDefault="00F26EBE" w:rsidP="00B25BC6">
            <w:pPr>
              <w:pStyle w:val="Normal-pool-Table"/>
            </w:pPr>
            <w:r w:rsidRPr="00256FD2">
              <w:rPr>
                <w:color w:val="000000"/>
              </w:rPr>
              <w:t>Sans réponse</w:t>
            </w:r>
          </w:p>
        </w:tc>
      </w:tr>
      <w:tr w:rsidR="00F26EBE" w:rsidRPr="00256FD2" w14:paraId="6C973E52" w14:textId="77777777" w:rsidTr="00B25BC6">
        <w:trPr>
          <w:jc w:val="right"/>
        </w:trPr>
        <w:tc>
          <w:tcPr>
            <w:tcW w:w="2835" w:type="dxa"/>
            <w:vAlign w:val="bottom"/>
          </w:tcPr>
          <w:p w14:paraId="7A4DD472" w14:textId="77777777" w:rsidR="00F26EBE" w:rsidRPr="00256FD2" w:rsidRDefault="00F26EBE" w:rsidP="00B25BC6">
            <w:pPr>
              <w:pStyle w:val="Normal-pool-Table"/>
            </w:pPr>
            <w:r w:rsidRPr="00256FD2">
              <w:rPr>
                <w:color w:val="000000"/>
              </w:rPr>
              <w:t>Burkina Faso</w:t>
            </w:r>
          </w:p>
        </w:tc>
        <w:tc>
          <w:tcPr>
            <w:tcW w:w="1840" w:type="dxa"/>
          </w:tcPr>
          <w:p w14:paraId="16DC1A98" w14:textId="77777777" w:rsidR="00F26EBE" w:rsidRPr="00256FD2" w:rsidRDefault="00F26EBE" w:rsidP="00B25BC6">
            <w:pPr>
              <w:pStyle w:val="Normal-pool-Table"/>
            </w:pPr>
            <w:r w:rsidRPr="00256FD2">
              <w:rPr>
                <w:color w:val="000000"/>
              </w:rPr>
              <w:t>15/06/2016</w:t>
            </w:r>
          </w:p>
        </w:tc>
        <w:tc>
          <w:tcPr>
            <w:tcW w:w="1841" w:type="dxa"/>
          </w:tcPr>
          <w:p w14:paraId="14F4F264" w14:textId="77777777" w:rsidR="00F26EBE" w:rsidRPr="00256FD2" w:rsidRDefault="00F26EBE" w:rsidP="00B25BC6">
            <w:pPr>
              <w:pStyle w:val="Normal-pool-Table"/>
            </w:pPr>
            <w:r w:rsidRPr="00256FD2">
              <w:rPr>
                <w:color w:val="000000"/>
              </w:rPr>
              <w:t>06/05/2020</w:t>
            </w:r>
          </w:p>
        </w:tc>
        <w:tc>
          <w:tcPr>
            <w:tcW w:w="1989" w:type="dxa"/>
          </w:tcPr>
          <w:p w14:paraId="1403B083" w14:textId="77777777" w:rsidR="00F26EBE" w:rsidRPr="00256FD2" w:rsidRDefault="00F26EBE" w:rsidP="00B25BC6">
            <w:pPr>
              <w:pStyle w:val="Normal-pool-Table"/>
            </w:pPr>
            <w:r w:rsidRPr="00256FD2">
              <w:rPr>
                <w:color w:val="000000"/>
              </w:rPr>
              <w:t>Sans réponse</w:t>
            </w:r>
          </w:p>
        </w:tc>
      </w:tr>
      <w:tr w:rsidR="00F26EBE" w:rsidRPr="00256FD2" w14:paraId="4C71A860" w14:textId="77777777" w:rsidTr="00B25BC6">
        <w:trPr>
          <w:jc w:val="right"/>
        </w:trPr>
        <w:tc>
          <w:tcPr>
            <w:tcW w:w="2835" w:type="dxa"/>
            <w:vAlign w:val="bottom"/>
          </w:tcPr>
          <w:p w14:paraId="013EBA7E" w14:textId="77777777" w:rsidR="00F26EBE" w:rsidRPr="00256FD2" w:rsidRDefault="00F26EBE" w:rsidP="00B25BC6">
            <w:pPr>
              <w:pStyle w:val="Normal-pool-Table"/>
            </w:pPr>
            <w:r w:rsidRPr="00256FD2">
              <w:rPr>
                <w:color w:val="000000"/>
              </w:rPr>
              <w:t>Burundi</w:t>
            </w:r>
          </w:p>
        </w:tc>
        <w:tc>
          <w:tcPr>
            <w:tcW w:w="1840" w:type="dxa"/>
          </w:tcPr>
          <w:p w14:paraId="5E851A0F" w14:textId="77777777" w:rsidR="00F26EBE" w:rsidRPr="00256FD2" w:rsidRDefault="00F26EBE" w:rsidP="00B25BC6">
            <w:pPr>
              <w:pStyle w:val="Normal-pool-Table"/>
            </w:pPr>
            <w:r w:rsidRPr="00256FD2">
              <w:rPr>
                <w:color w:val="000000"/>
              </w:rPr>
              <w:t>21/03/2016</w:t>
            </w:r>
          </w:p>
        </w:tc>
        <w:tc>
          <w:tcPr>
            <w:tcW w:w="1841" w:type="dxa"/>
          </w:tcPr>
          <w:p w14:paraId="3345AAAF" w14:textId="77777777" w:rsidR="00F26EBE" w:rsidRPr="00256FD2" w:rsidRDefault="00F26EBE" w:rsidP="00B25BC6">
            <w:pPr>
              <w:pStyle w:val="Normal-pool-Table"/>
            </w:pPr>
            <w:r w:rsidRPr="00256FD2">
              <w:rPr>
                <w:color w:val="000000"/>
              </w:rPr>
              <w:t>23/04/2020</w:t>
            </w:r>
          </w:p>
        </w:tc>
        <w:tc>
          <w:tcPr>
            <w:tcW w:w="1989" w:type="dxa"/>
          </w:tcPr>
          <w:p w14:paraId="12B1DCD6" w14:textId="77777777" w:rsidR="00F26EBE" w:rsidRPr="00256FD2" w:rsidRDefault="00F26EBE" w:rsidP="00B25BC6">
            <w:pPr>
              <w:pStyle w:val="Normal-pool-Table"/>
            </w:pPr>
            <w:r w:rsidRPr="00256FD2">
              <w:rPr>
                <w:color w:val="000000"/>
              </w:rPr>
              <w:t>Sans réponse</w:t>
            </w:r>
          </w:p>
        </w:tc>
      </w:tr>
      <w:tr w:rsidR="00F26EBE" w:rsidRPr="00256FD2" w14:paraId="6DAF4EE3" w14:textId="77777777" w:rsidTr="00B25BC6">
        <w:trPr>
          <w:jc w:val="right"/>
        </w:trPr>
        <w:tc>
          <w:tcPr>
            <w:tcW w:w="2835" w:type="dxa"/>
            <w:vAlign w:val="bottom"/>
          </w:tcPr>
          <w:p w14:paraId="3F555247" w14:textId="77777777" w:rsidR="00F26EBE" w:rsidRPr="00256FD2" w:rsidRDefault="00F26EBE" w:rsidP="00B25BC6">
            <w:pPr>
              <w:pStyle w:val="Normal-pool-Table"/>
            </w:pPr>
            <w:r w:rsidRPr="00256FD2">
              <w:rPr>
                <w:color w:val="000000"/>
              </w:rPr>
              <w:t>Cambodge</w:t>
            </w:r>
          </w:p>
        </w:tc>
        <w:tc>
          <w:tcPr>
            <w:tcW w:w="1840" w:type="dxa"/>
          </w:tcPr>
          <w:p w14:paraId="47423ABF" w14:textId="77777777" w:rsidR="00F26EBE" w:rsidRPr="00256FD2" w:rsidRDefault="00F26EBE" w:rsidP="00B25BC6">
            <w:pPr>
              <w:pStyle w:val="Normal-pool-Table"/>
            </w:pPr>
            <w:r w:rsidRPr="00256FD2">
              <w:rPr>
                <w:color w:val="000000"/>
              </w:rPr>
              <w:t>01/10/2021</w:t>
            </w:r>
          </w:p>
        </w:tc>
        <w:tc>
          <w:tcPr>
            <w:tcW w:w="1841" w:type="dxa"/>
          </w:tcPr>
          <w:p w14:paraId="52D479C4" w14:textId="77777777" w:rsidR="00F26EBE" w:rsidRPr="00256FD2" w:rsidRDefault="00F26EBE" w:rsidP="00B25BC6">
            <w:pPr>
              <w:pStyle w:val="Normal-pool-Table"/>
            </w:pPr>
            <w:r w:rsidRPr="00256FD2">
              <w:rPr>
                <w:color w:val="000000"/>
              </w:rPr>
              <w:t>Non soumis</w:t>
            </w:r>
          </w:p>
        </w:tc>
        <w:tc>
          <w:tcPr>
            <w:tcW w:w="1989" w:type="dxa"/>
          </w:tcPr>
          <w:p w14:paraId="3C503FE0" w14:textId="77777777" w:rsidR="00F26EBE" w:rsidRPr="00256FD2" w:rsidRDefault="00F26EBE" w:rsidP="00B25BC6">
            <w:pPr>
              <w:pStyle w:val="Normal-pool-Table"/>
            </w:pPr>
            <w:r w:rsidRPr="00256FD2">
              <w:rPr>
                <w:color w:val="000000"/>
              </w:rPr>
              <w:t>Sans réponse</w:t>
            </w:r>
          </w:p>
        </w:tc>
      </w:tr>
      <w:tr w:rsidR="00F26EBE" w:rsidRPr="00256FD2" w14:paraId="43A4D62D" w14:textId="77777777" w:rsidTr="00B25BC6">
        <w:trPr>
          <w:jc w:val="right"/>
        </w:trPr>
        <w:tc>
          <w:tcPr>
            <w:tcW w:w="2835" w:type="dxa"/>
            <w:vAlign w:val="bottom"/>
          </w:tcPr>
          <w:p w14:paraId="7972447C" w14:textId="77777777" w:rsidR="00F26EBE" w:rsidRPr="00256FD2" w:rsidRDefault="00F26EBE" w:rsidP="00B25BC6">
            <w:pPr>
              <w:pStyle w:val="Normal-pool-Table"/>
            </w:pPr>
            <w:r w:rsidRPr="00256FD2">
              <w:rPr>
                <w:color w:val="000000"/>
              </w:rPr>
              <w:t>Cameroun</w:t>
            </w:r>
          </w:p>
        </w:tc>
        <w:tc>
          <w:tcPr>
            <w:tcW w:w="1840" w:type="dxa"/>
          </w:tcPr>
          <w:p w14:paraId="2FBA4A26" w14:textId="77777777" w:rsidR="00F26EBE" w:rsidRPr="00256FD2" w:rsidRDefault="00F26EBE" w:rsidP="00B25BC6">
            <w:pPr>
              <w:pStyle w:val="Normal-pool-Table"/>
            </w:pPr>
            <w:r w:rsidRPr="00256FD2">
              <w:rPr>
                <w:color w:val="000000"/>
              </w:rPr>
              <w:t>16/07/2015</w:t>
            </w:r>
          </w:p>
        </w:tc>
        <w:tc>
          <w:tcPr>
            <w:tcW w:w="1841" w:type="dxa"/>
          </w:tcPr>
          <w:p w14:paraId="18BB6C73" w14:textId="77777777" w:rsidR="00F26EBE" w:rsidRPr="00256FD2" w:rsidRDefault="00F26EBE" w:rsidP="00B25BC6">
            <w:pPr>
              <w:pStyle w:val="Normal-pool-Table"/>
            </w:pPr>
            <w:r w:rsidRPr="00256FD2">
              <w:rPr>
                <w:color w:val="000000"/>
              </w:rPr>
              <w:t>28/06/2024</w:t>
            </w:r>
          </w:p>
        </w:tc>
        <w:tc>
          <w:tcPr>
            <w:tcW w:w="1989" w:type="dxa"/>
          </w:tcPr>
          <w:p w14:paraId="693C26AE" w14:textId="77777777" w:rsidR="00F26EBE" w:rsidRPr="00256FD2" w:rsidRDefault="00F26EBE" w:rsidP="00B25BC6">
            <w:pPr>
              <w:pStyle w:val="Normal-pool-Table"/>
            </w:pPr>
            <w:r w:rsidRPr="00256FD2">
              <w:rPr>
                <w:color w:val="000000"/>
              </w:rPr>
              <w:t>Sans réponse</w:t>
            </w:r>
          </w:p>
        </w:tc>
      </w:tr>
      <w:tr w:rsidR="00F26EBE" w:rsidRPr="00256FD2" w14:paraId="46AB482C" w14:textId="77777777" w:rsidTr="00B25BC6">
        <w:trPr>
          <w:jc w:val="right"/>
        </w:trPr>
        <w:tc>
          <w:tcPr>
            <w:tcW w:w="2835" w:type="dxa"/>
            <w:vAlign w:val="bottom"/>
          </w:tcPr>
          <w:p w14:paraId="25B94495" w14:textId="77777777" w:rsidR="00F26EBE" w:rsidRPr="00256FD2" w:rsidRDefault="00F26EBE" w:rsidP="00B25BC6">
            <w:pPr>
              <w:pStyle w:val="Normal-pool-Table"/>
            </w:pPr>
            <w:r w:rsidRPr="00256FD2">
              <w:rPr>
                <w:color w:val="000000"/>
              </w:rPr>
              <w:t>Colombie</w:t>
            </w:r>
          </w:p>
        </w:tc>
        <w:tc>
          <w:tcPr>
            <w:tcW w:w="1840" w:type="dxa"/>
          </w:tcPr>
          <w:p w14:paraId="4F88BF80" w14:textId="77777777" w:rsidR="00F26EBE" w:rsidRPr="00256FD2" w:rsidRDefault="00F26EBE" w:rsidP="00B25BC6">
            <w:pPr>
              <w:pStyle w:val="Normal-pool-Table"/>
            </w:pPr>
            <w:r w:rsidRPr="00256FD2">
              <w:rPr>
                <w:color w:val="000000"/>
              </w:rPr>
              <w:t>23/06/2016</w:t>
            </w:r>
          </w:p>
        </w:tc>
        <w:tc>
          <w:tcPr>
            <w:tcW w:w="1841" w:type="dxa"/>
          </w:tcPr>
          <w:p w14:paraId="4C277441" w14:textId="77777777" w:rsidR="00F26EBE" w:rsidRPr="00256FD2" w:rsidRDefault="00F26EBE" w:rsidP="00B25BC6">
            <w:pPr>
              <w:pStyle w:val="Normal-pool-Table"/>
            </w:pPr>
            <w:r w:rsidRPr="00256FD2">
              <w:rPr>
                <w:color w:val="000000"/>
              </w:rPr>
              <w:t>15/01/2024</w:t>
            </w:r>
          </w:p>
        </w:tc>
        <w:tc>
          <w:tcPr>
            <w:tcW w:w="1989" w:type="dxa"/>
          </w:tcPr>
          <w:p w14:paraId="20A3CAE4" w14:textId="77777777" w:rsidR="00F26EBE" w:rsidRPr="00256FD2" w:rsidRDefault="00F26EBE" w:rsidP="00B25BC6">
            <w:pPr>
              <w:pStyle w:val="Normal-pool-Table"/>
            </w:pPr>
            <w:r w:rsidRPr="00256FD2">
              <w:rPr>
                <w:color w:val="000000"/>
              </w:rPr>
              <w:t>Sans réponse</w:t>
            </w:r>
          </w:p>
        </w:tc>
      </w:tr>
      <w:tr w:rsidR="00F26EBE" w:rsidRPr="00256FD2" w14:paraId="42181643" w14:textId="77777777" w:rsidTr="00B25BC6">
        <w:trPr>
          <w:jc w:val="right"/>
        </w:trPr>
        <w:tc>
          <w:tcPr>
            <w:tcW w:w="2835" w:type="dxa"/>
            <w:vAlign w:val="bottom"/>
          </w:tcPr>
          <w:p w14:paraId="33FC946E" w14:textId="77777777" w:rsidR="00F26EBE" w:rsidRPr="00256FD2" w:rsidRDefault="00F26EBE" w:rsidP="00B25BC6">
            <w:pPr>
              <w:pStyle w:val="Normal-pool-Table"/>
            </w:pPr>
            <w:r w:rsidRPr="00256FD2">
              <w:rPr>
                <w:color w:val="000000"/>
              </w:rPr>
              <w:t>Costa Rica</w:t>
            </w:r>
          </w:p>
        </w:tc>
        <w:tc>
          <w:tcPr>
            <w:tcW w:w="1840" w:type="dxa"/>
          </w:tcPr>
          <w:p w14:paraId="7BD70EA2" w14:textId="77777777" w:rsidR="00F26EBE" w:rsidRPr="00256FD2" w:rsidRDefault="00F26EBE" w:rsidP="00B25BC6">
            <w:pPr>
              <w:pStyle w:val="Normal-pool-Table"/>
            </w:pPr>
            <w:r w:rsidRPr="00256FD2">
              <w:rPr>
                <w:color w:val="000000"/>
              </w:rPr>
              <w:t>19/07/2019</w:t>
            </w:r>
          </w:p>
        </w:tc>
        <w:tc>
          <w:tcPr>
            <w:tcW w:w="1841" w:type="dxa"/>
          </w:tcPr>
          <w:p w14:paraId="0459526B" w14:textId="77777777" w:rsidR="00F26EBE" w:rsidRPr="00256FD2" w:rsidRDefault="00F26EBE" w:rsidP="00B25BC6">
            <w:pPr>
              <w:pStyle w:val="Normal-pool-Table"/>
            </w:pPr>
            <w:r w:rsidRPr="00256FD2">
              <w:rPr>
                <w:color w:val="000000"/>
              </w:rPr>
              <w:t>15/12/2023</w:t>
            </w:r>
          </w:p>
        </w:tc>
        <w:tc>
          <w:tcPr>
            <w:tcW w:w="1989" w:type="dxa"/>
          </w:tcPr>
          <w:p w14:paraId="71BB8632" w14:textId="77777777" w:rsidR="00F26EBE" w:rsidRPr="00256FD2" w:rsidRDefault="00F26EBE" w:rsidP="00B25BC6">
            <w:pPr>
              <w:pStyle w:val="Normal-pool-Table"/>
            </w:pPr>
            <w:r w:rsidRPr="00256FD2">
              <w:rPr>
                <w:color w:val="000000"/>
              </w:rPr>
              <w:t>Sans réponse</w:t>
            </w:r>
          </w:p>
        </w:tc>
      </w:tr>
      <w:tr w:rsidR="00F26EBE" w:rsidRPr="00256FD2" w14:paraId="6661D67F" w14:textId="77777777" w:rsidTr="00B25BC6">
        <w:trPr>
          <w:jc w:val="right"/>
        </w:trPr>
        <w:tc>
          <w:tcPr>
            <w:tcW w:w="2835" w:type="dxa"/>
            <w:vAlign w:val="bottom"/>
          </w:tcPr>
          <w:p w14:paraId="311AE9F9" w14:textId="77777777" w:rsidR="00F26EBE" w:rsidRPr="00256FD2" w:rsidRDefault="00F26EBE" w:rsidP="00B25BC6">
            <w:pPr>
              <w:pStyle w:val="Normal-pool-Table"/>
            </w:pPr>
            <w:r w:rsidRPr="00256FD2">
              <w:rPr>
                <w:color w:val="000000"/>
              </w:rPr>
              <w:t>Côte d’Ivoire</w:t>
            </w:r>
          </w:p>
        </w:tc>
        <w:tc>
          <w:tcPr>
            <w:tcW w:w="1840" w:type="dxa"/>
          </w:tcPr>
          <w:p w14:paraId="708EC2EE" w14:textId="77777777" w:rsidR="00F26EBE" w:rsidRPr="00256FD2" w:rsidRDefault="00F26EBE" w:rsidP="00B25BC6">
            <w:pPr>
              <w:pStyle w:val="Normal-pool-Table"/>
            </w:pPr>
            <w:r w:rsidRPr="00256FD2">
              <w:rPr>
                <w:color w:val="000000"/>
              </w:rPr>
              <w:t>07/01/2019</w:t>
            </w:r>
          </w:p>
        </w:tc>
        <w:tc>
          <w:tcPr>
            <w:tcW w:w="1841" w:type="dxa"/>
          </w:tcPr>
          <w:p w14:paraId="2FD91D9F" w14:textId="77777777" w:rsidR="00F26EBE" w:rsidRPr="00256FD2" w:rsidRDefault="00F26EBE" w:rsidP="00B25BC6">
            <w:pPr>
              <w:pStyle w:val="Normal-pool-Table"/>
            </w:pPr>
            <w:r w:rsidRPr="00256FD2">
              <w:rPr>
                <w:color w:val="000000"/>
              </w:rPr>
              <w:t>30/06/2023</w:t>
            </w:r>
          </w:p>
        </w:tc>
        <w:tc>
          <w:tcPr>
            <w:tcW w:w="1989" w:type="dxa"/>
          </w:tcPr>
          <w:p w14:paraId="37522BA9" w14:textId="77777777" w:rsidR="00F26EBE" w:rsidRPr="00256FD2" w:rsidRDefault="00F26EBE" w:rsidP="00B25BC6">
            <w:pPr>
              <w:pStyle w:val="Normal-pool-Table"/>
            </w:pPr>
            <w:r w:rsidRPr="00256FD2">
              <w:rPr>
                <w:color w:val="000000"/>
              </w:rPr>
              <w:t>Sans réponse</w:t>
            </w:r>
          </w:p>
        </w:tc>
      </w:tr>
      <w:tr w:rsidR="00F26EBE" w:rsidRPr="00256FD2" w14:paraId="4366C69B" w14:textId="77777777" w:rsidTr="00B25BC6">
        <w:trPr>
          <w:jc w:val="right"/>
        </w:trPr>
        <w:tc>
          <w:tcPr>
            <w:tcW w:w="2835" w:type="dxa"/>
            <w:vAlign w:val="bottom"/>
          </w:tcPr>
          <w:p w14:paraId="526EB9C0" w14:textId="77777777" w:rsidR="00F26EBE" w:rsidRPr="00256FD2" w:rsidRDefault="00F26EBE" w:rsidP="00B25BC6">
            <w:pPr>
              <w:pStyle w:val="Normal-pool-Table"/>
            </w:pPr>
            <w:r w:rsidRPr="00256FD2">
              <w:rPr>
                <w:color w:val="000000"/>
              </w:rPr>
              <w:t>Équateur</w:t>
            </w:r>
          </w:p>
        </w:tc>
        <w:tc>
          <w:tcPr>
            <w:tcW w:w="1840" w:type="dxa"/>
          </w:tcPr>
          <w:p w14:paraId="7CD8DF00" w14:textId="77777777" w:rsidR="00F26EBE" w:rsidRPr="00256FD2" w:rsidRDefault="00F26EBE" w:rsidP="00B25BC6">
            <w:pPr>
              <w:pStyle w:val="Normal-pool-Table"/>
            </w:pPr>
            <w:r w:rsidRPr="00256FD2">
              <w:rPr>
                <w:color w:val="000000"/>
              </w:rPr>
              <w:t>21/08/2015</w:t>
            </w:r>
          </w:p>
        </w:tc>
        <w:tc>
          <w:tcPr>
            <w:tcW w:w="1841" w:type="dxa"/>
          </w:tcPr>
          <w:p w14:paraId="26F0048E" w14:textId="77777777" w:rsidR="00F26EBE" w:rsidRPr="00256FD2" w:rsidRDefault="00F26EBE" w:rsidP="00B25BC6">
            <w:pPr>
              <w:pStyle w:val="Normal-pool-Table"/>
            </w:pPr>
            <w:r w:rsidRPr="00256FD2">
              <w:rPr>
                <w:color w:val="000000"/>
              </w:rPr>
              <w:t>13/10/2020</w:t>
            </w:r>
          </w:p>
        </w:tc>
        <w:tc>
          <w:tcPr>
            <w:tcW w:w="1989" w:type="dxa"/>
          </w:tcPr>
          <w:p w14:paraId="60EB714F" w14:textId="77777777" w:rsidR="00F26EBE" w:rsidRPr="00256FD2" w:rsidRDefault="00F26EBE" w:rsidP="00B25BC6">
            <w:pPr>
              <w:pStyle w:val="Normal-pool-Table"/>
            </w:pPr>
            <w:r w:rsidRPr="00256FD2">
              <w:rPr>
                <w:color w:val="000000"/>
              </w:rPr>
              <w:t>Sans réponse</w:t>
            </w:r>
          </w:p>
        </w:tc>
      </w:tr>
      <w:tr w:rsidR="00F26EBE" w:rsidRPr="00256FD2" w14:paraId="4CCC6571" w14:textId="77777777" w:rsidTr="00B25BC6">
        <w:trPr>
          <w:jc w:val="right"/>
        </w:trPr>
        <w:tc>
          <w:tcPr>
            <w:tcW w:w="2835" w:type="dxa"/>
            <w:vAlign w:val="bottom"/>
          </w:tcPr>
          <w:p w14:paraId="58DDF928" w14:textId="77777777" w:rsidR="00F26EBE" w:rsidRPr="00256FD2" w:rsidRDefault="00F26EBE" w:rsidP="00B25BC6">
            <w:pPr>
              <w:pStyle w:val="Normal-pool-Table"/>
            </w:pPr>
            <w:r w:rsidRPr="00256FD2">
              <w:rPr>
                <w:color w:val="000000"/>
              </w:rPr>
              <w:t>Érythrée</w:t>
            </w:r>
          </w:p>
        </w:tc>
        <w:tc>
          <w:tcPr>
            <w:tcW w:w="1840" w:type="dxa"/>
          </w:tcPr>
          <w:p w14:paraId="56AC4CFF" w14:textId="77777777" w:rsidR="00F26EBE" w:rsidRPr="00256FD2" w:rsidRDefault="00F26EBE" w:rsidP="00B25BC6">
            <w:pPr>
              <w:pStyle w:val="Normal-pool-Table"/>
            </w:pPr>
            <w:r w:rsidRPr="00256FD2">
              <w:rPr>
                <w:color w:val="000000"/>
              </w:rPr>
              <w:t>04/07/2016</w:t>
            </w:r>
          </w:p>
        </w:tc>
        <w:tc>
          <w:tcPr>
            <w:tcW w:w="1841" w:type="dxa"/>
          </w:tcPr>
          <w:p w14:paraId="2B12A7D5" w14:textId="77777777" w:rsidR="00F26EBE" w:rsidRPr="00256FD2" w:rsidRDefault="00F26EBE" w:rsidP="00B25BC6">
            <w:pPr>
              <w:pStyle w:val="Normal-pool-Table"/>
            </w:pPr>
            <w:r w:rsidRPr="00256FD2">
              <w:rPr>
                <w:color w:val="000000"/>
              </w:rPr>
              <w:t>07/07/2023</w:t>
            </w:r>
          </w:p>
        </w:tc>
        <w:tc>
          <w:tcPr>
            <w:tcW w:w="1989" w:type="dxa"/>
          </w:tcPr>
          <w:p w14:paraId="05BD5E04" w14:textId="77777777" w:rsidR="00F26EBE" w:rsidRPr="00256FD2" w:rsidRDefault="00F26EBE" w:rsidP="00B25BC6">
            <w:pPr>
              <w:pStyle w:val="Normal-pool-Table"/>
            </w:pPr>
            <w:r w:rsidRPr="00256FD2">
              <w:rPr>
                <w:color w:val="000000"/>
              </w:rPr>
              <w:t>Sans réponse</w:t>
            </w:r>
          </w:p>
        </w:tc>
      </w:tr>
      <w:tr w:rsidR="00F26EBE" w:rsidRPr="00256FD2" w14:paraId="3EE6182E" w14:textId="77777777" w:rsidTr="00B25BC6">
        <w:trPr>
          <w:jc w:val="right"/>
        </w:trPr>
        <w:tc>
          <w:tcPr>
            <w:tcW w:w="2835" w:type="dxa"/>
            <w:vAlign w:val="bottom"/>
          </w:tcPr>
          <w:p w14:paraId="585C7D69" w14:textId="77777777" w:rsidR="00F26EBE" w:rsidRPr="00256FD2" w:rsidRDefault="00F26EBE" w:rsidP="00B25BC6">
            <w:pPr>
              <w:pStyle w:val="Normal-pool-Table"/>
            </w:pPr>
            <w:r w:rsidRPr="00256FD2">
              <w:rPr>
                <w:color w:val="000000"/>
              </w:rPr>
              <w:t>Eswatini</w:t>
            </w:r>
          </w:p>
        </w:tc>
        <w:tc>
          <w:tcPr>
            <w:tcW w:w="1840" w:type="dxa"/>
          </w:tcPr>
          <w:p w14:paraId="6F440B6B" w14:textId="77777777" w:rsidR="00F26EBE" w:rsidRPr="00256FD2" w:rsidRDefault="00F26EBE" w:rsidP="00B25BC6">
            <w:pPr>
              <w:pStyle w:val="Normal-pool-Table"/>
            </w:pPr>
            <w:r w:rsidRPr="00256FD2">
              <w:rPr>
                <w:color w:val="000000"/>
              </w:rPr>
              <w:t>14/07/2015</w:t>
            </w:r>
          </w:p>
        </w:tc>
        <w:tc>
          <w:tcPr>
            <w:tcW w:w="1841" w:type="dxa"/>
          </w:tcPr>
          <w:p w14:paraId="207705C1" w14:textId="77777777" w:rsidR="00F26EBE" w:rsidRPr="00256FD2" w:rsidRDefault="00F26EBE" w:rsidP="00B25BC6">
            <w:pPr>
              <w:pStyle w:val="Normal-pool-Table"/>
            </w:pPr>
            <w:r w:rsidRPr="00256FD2">
              <w:rPr>
                <w:color w:val="000000"/>
              </w:rPr>
              <w:t>15/09/2022</w:t>
            </w:r>
          </w:p>
        </w:tc>
        <w:tc>
          <w:tcPr>
            <w:tcW w:w="1989" w:type="dxa"/>
          </w:tcPr>
          <w:p w14:paraId="11247696" w14:textId="77777777" w:rsidR="00F26EBE" w:rsidRPr="00256FD2" w:rsidRDefault="00F26EBE" w:rsidP="00B25BC6">
            <w:pPr>
              <w:pStyle w:val="Normal-pool-Table"/>
            </w:pPr>
            <w:r w:rsidRPr="00256FD2">
              <w:rPr>
                <w:color w:val="000000"/>
              </w:rPr>
              <w:t>Réponse fournie</w:t>
            </w:r>
          </w:p>
        </w:tc>
      </w:tr>
      <w:tr w:rsidR="00F26EBE" w:rsidRPr="00256FD2" w14:paraId="3CCBC359" w14:textId="77777777" w:rsidTr="00B25BC6">
        <w:trPr>
          <w:jc w:val="right"/>
        </w:trPr>
        <w:tc>
          <w:tcPr>
            <w:tcW w:w="2835" w:type="dxa"/>
            <w:vAlign w:val="bottom"/>
          </w:tcPr>
          <w:p w14:paraId="1C3A85B0" w14:textId="77777777" w:rsidR="00F26EBE" w:rsidRPr="00256FD2" w:rsidRDefault="00F26EBE" w:rsidP="00B25BC6">
            <w:pPr>
              <w:pStyle w:val="Normal-pool-Table"/>
            </w:pPr>
            <w:r w:rsidRPr="00256FD2">
              <w:rPr>
                <w:color w:val="000000"/>
              </w:rPr>
              <w:t>Éthiopie</w:t>
            </w:r>
          </w:p>
        </w:tc>
        <w:tc>
          <w:tcPr>
            <w:tcW w:w="1840" w:type="dxa"/>
          </w:tcPr>
          <w:p w14:paraId="0C2776C6" w14:textId="77777777" w:rsidR="00F26EBE" w:rsidRPr="00256FD2" w:rsidRDefault="00F26EBE" w:rsidP="00B25BC6">
            <w:pPr>
              <w:pStyle w:val="Normal-pool-Table"/>
            </w:pPr>
            <w:r w:rsidRPr="00256FD2">
              <w:rPr>
                <w:color w:val="000000"/>
              </w:rPr>
              <w:t>14/03/2025</w:t>
            </w:r>
          </w:p>
        </w:tc>
        <w:tc>
          <w:tcPr>
            <w:tcW w:w="1841" w:type="dxa"/>
          </w:tcPr>
          <w:p w14:paraId="6104487E" w14:textId="77777777" w:rsidR="00F26EBE" w:rsidRPr="00256FD2" w:rsidRDefault="00F26EBE" w:rsidP="00B25BC6">
            <w:pPr>
              <w:pStyle w:val="Normal-pool-Table"/>
            </w:pPr>
            <w:r w:rsidRPr="00256FD2">
              <w:rPr>
                <w:color w:val="000000"/>
              </w:rPr>
              <w:t>Non soumis</w:t>
            </w:r>
          </w:p>
        </w:tc>
        <w:tc>
          <w:tcPr>
            <w:tcW w:w="1989" w:type="dxa"/>
          </w:tcPr>
          <w:p w14:paraId="7C5DFD4F" w14:textId="77777777" w:rsidR="00F26EBE" w:rsidRPr="00256FD2" w:rsidRDefault="00F26EBE" w:rsidP="00B25BC6">
            <w:pPr>
              <w:pStyle w:val="Normal-pool-Table"/>
            </w:pPr>
            <w:r w:rsidRPr="00256FD2">
              <w:rPr>
                <w:color w:val="000000"/>
              </w:rPr>
              <w:t>Sans réponse</w:t>
            </w:r>
          </w:p>
        </w:tc>
      </w:tr>
      <w:tr w:rsidR="00F26EBE" w:rsidRPr="00256FD2" w14:paraId="65EFFECB" w14:textId="77777777" w:rsidTr="00B25BC6">
        <w:trPr>
          <w:jc w:val="right"/>
        </w:trPr>
        <w:tc>
          <w:tcPr>
            <w:tcW w:w="2835" w:type="dxa"/>
            <w:vAlign w:val="bottom"/>
          </w:tcPr>
          <w:p w14:paraId="70120CB7" w14:textId="77777777" w:rsidR="00F26EBE" w:rsidRPr="00256FD2" w:rsidRDefault="00F26EBE" w:rsidP="00B25BC6">
            <w:pPr>
              <w:pStyle w:val="Normal-pool-Table"/>
            </w:pPr>
            <w:r w:rsidRPr="00256FD2">
              <w:rPr>
                <w:color w:val="000000"/>
              </w:rPr>
              <w:t>Gabon</w:t>
            </w:r>
          </w:p>
        </w:tc>
        <w:tc>
          <w:tcPr>
            <w:tcW w:w="1840" w:type="dxa"/>
          </w:tcPr>
          <w:p w14:paraId="7F7EAB15" w14:textId="77777777" w:rsidR="00F26EBE" w:rsidRPr="00256FD2" w:rsidRDefault="00F26EBE" w:rsidP="00B25BC6">
            <w:pPr>
              <w:pStyle w:val="Normal-pool-Table"/>
            </w:pPr>
            <w:r w:rsidRPr="00256FD2">
              <w:rPr>
                <w:color w:val="000000"/>
              </w:rPr>
              <w:t>11/03/2020</w:t>
            </w:r>
          </w:p>
        </w:tc>
        <w:tc>
          <w:tcPr>
            <w:tcW w:w="1841" w:type="dxa"/>
          </w:tcPr>
          <w:p w14:paraId="39764655" w14:textId="77777777" w:rsidR="00F26EBE" w:rsidRPr="00256FD2" w:rsidRDefault="00F26EBE" w:rsidP="00B25BC6">
            <w:pPr>
              <w:pStyle w:val="Normal-pool-Table"/>
            </w:pPr>
            <w:r w:rsidRPr="00256FD2">
              <w:rPr>
                <w:color w:val="000000"/>
              </w:rPr>
              <w:t>22/03/2024</w:t>
            </w:r>
          </w:p>
        </w:tc>
        <w:tc>
          <w:tcPr>
            <w:tcW w:w="1989" w:type="dxa"/>
          </w:tcPr>
          <w:p w14:paraId="0974EE8B" w14:textId="77777777" w:rsidR="00F26EBE" w:rsidRPr="00256FD2" w:rsidRDefault="00F26EBE" w:rsidP="00B25BC6">
            <w:pPr>
              <w:pStyle w:val="Normal-pool-Table"/>
            </w:pPr>
            <w:r w:rsidRPr="00256FD2">
              <w:rPr>
                <w:color w:val="000000"/>
              </w:rPr>
              <w:t>Sans réponse</w:t>
            </w:r>
          </w:p>
        </w:tc>
      </w:tr>
      <w:tr w:rsidR="00F26EBE" w:rsidRPr="00256FD2" w14:paraId="6FAFD0A4" w14:textId="77777777" w:rsidTr="00B25BC6">
        <w:trPr>
          <w:jc w:val="right"/>
        </w:trPr>
        <w:tc>
          <w:tcPr>
            <w:tcW w:w="2835" w:type="dxa"/>
            <w:vAlign w:val="bottom"/>
          </w:tcPr>
          <w:p w14:paraId="430EA9B5" w14:textId="77777777" w:rsidR="00F26EBE" w:rsidRPr="00256FD2" w:rsidRDefault="00F26EBE" w:rsidP="00B25BC6">
            <w:pPr>
              <w:pStyle w:val="Normal-pool-Table"/>
            </w:pPr>
            <w:r w:rsidRPr="00256FD2">
              <w:rPr>
                <w:color w:val="000000"/>
              </w:rPr>
              <w:t>Ghana</w:t>
            </w:r>
          </w:p>
        </w:tc>
        <w:tc>
          <w:tcPr>
            <w:tcW w:w="1840" w:type="dxa"/>
          </w:tcPr>
          <w:p w14:paraId="2491572D" w14:textId="77777777" w:rsidR="00F26EBE" w:rsidRPr="00256FD2" w:rsidRDefault="00F26EBE" w:rsidP="00B25BC6">
            <w:pPr>
              <w:pStyle w:val="Normal-pool-Table"/>
            </w:pPr>
            <w:r w:rsidRPr="00256FD2">
              <w:rPr>
                <w:color w:val="000000"/>
              </w:rPr>
              <w:t>10/07/2015</w:t>
            </w:r>
          </w:p>
        </w:tc>
        <w:tc>
          <w:tcPr>
            <w:tcW w:w="1841" w:type="dxa"/>
          </w:tcPr>
          <w:p w14:paraId="76CA2BB1" w14:textId="77777777" w:rsidR="00F26EBE" w:rsidRPr="00256FD2" w:rsidRDefault="00F26EBE" w:rsidP="00B25BC6">
            <w:pPr>
              <w:pStyle w:val="Normal-pool-Table"/>
            </w:pPr>
            <w:r w:rsidRPr="00256FD2">
              <w:rPr>
                <w:color w:val="000000"/>
              </w:rPr>
              <w:t>21/04/2022</w:t>
            </w:r>
          </w:p>
        </w:tc>
        <w:tc>
          <w:tcPr>
            <w:tcW w:w="1989" w:type="dxa"/>
          </w:tcPr>
          <w:p w14:paraId="44FB170B" w14:textId="77777777" w:rsidR="00F26EBE" w:rsidRPr="00256FD2" w:rsidRDefault="00F26EBE" w:rsidP="00B25BC6">
            <w:pPr>
              <w:pStyle w:val="Normal-pool-Table"/>
            </w:pPr>
            <w:r w:rsidRPr="00256FD2">
              <w:rPr>
                <w:color w:val="000000"/>
              </w:rPr>
              <w:t>Sans réponse</w:t>
            </w:r>
          </w:p>
        </w:tc>
      </w:tr>
      <w:tr w:rsidR="00F26EBE" w:rsidRPr="00256FD2" w14:paraId="0B97CA41" w14:textId="77777777" w:rsidTr="00B25BC6">
        <w:trPr>
          <w:jc w:val="right"/>
        </w:trPr>
        <w:tc>
          <w:tcPr>
            <w:tcW w:w="2835" w:type="dxa"/>
            <w:vAlign w:val="bottom"/>
          </w:tcPr>
          <w:p w14:paraId="46E42701" w14:textId="77777777" w:rsidR="00F26EBE" w:rsidRPr="00256FD2" w:rsidRDefault="00F26EBE" w:rsidP="00B25BC6">
            <w:pPr>
              <w:pStyle w:val="Normal-pool-Table"/>
            </w:pPr>
            <w:r w:rsidRPr="00256FD2">
              <w:rPr>
                <w:color w:val="000000"/>
              </w:rPr>
              <w:t>Guinée</w:t>
            </w:r>
          </w:p>
        </w:tc>
        <w:tc>
          <w:tcPr>
            <w:tcW w:w="1840" w:type="dxa"/>
          </w:tcPr>
          <w:p w14:paraId="39B91BEB" w14:textId="77777777" w:rsidR="00F26EBE" w:rsidRPr="00256FD2" w:rsidRDefault="00F26EBE" w:rsidP="00B25BC6">
            <w:pPr>
              <w:pStyle w:val="Normal-pool-Table"/>
            </w:pPr>
            <w:r w:rsidRPr="00256FD2">
              <w:rPr>
                <w:color w:val="000000"/>
              </w:rPr>
              <w:t>Non datée</w:t>
            </w:r>
          </w:p>
        </w:tc>
        <w:tc>
          <w:tcPr>
            <w:tcW w:w="1841" w:type="dxa"/>
          </w:tcPr>
          <w:p w14:paraId="0D70D5F3" w14:textId="77777777" w:rsidR="00F26EBE" w:rsidRPr="00256FD2" w:rsidRDefault="00F26EBE" w:rsidP="00B25BC6">
            <w:pPr>
              <w:pStyle w:val="Normal-pool-Table"/>
            </w:pPr>
            <w:r w:rsidRPr="00256FD2">
              <w:rPr>
                <w:color w:val="000000"/>
              </w:rPr>
              <w:t>19/04/2021</w:t>
            </w:r>
          </w:p>
        </w:tc>
        <w:tc>
          <w:tcPr>
            <w:tcW w:w="1989" w:type="dxa"/>
          </w:tcPr>
          <w:p w14:paraId="3CCC7B02" w14:textId="77777777" w:rsidR="00F26EBE" w:rsidRPr="00256FD2" w:rsidRDefault="00F26EBE" w:rsidP="00B25BC6">
            <w:pPr>
              <w:pStyle w:val="Normal-pool-Table"/>
            </w:pPr>
            <w:r w:rsidRPr="00256FD2">
              <w:rPr>
                <w:color w:val="000000"/>
              </w:rPr>
              <w:t>Sans réponse</w:t>
            </w:r>
          </w:p>
        </w:tc>
      </w:tr>
      <w:tr w:rsidR="00F26EBE" w:rsidRPr="00256FD2" w14:paraId="5EFFB15E" w14:textId="77777777" w:rsidTr="00B25BC6">
        <w:trPr>
          <w:jc w:val="right"/>
        </w:trPr>
        <w:tc>
          <w:tcPr>
            <w:tcW w:w="2835" w:type="dxa"/>
            <w:vAlign w:val="bottom"/>
          </w:tcPr>
          <w:p w14:paraId="5936E0E0" w14:textId="77777777" w:rsidR="00F26EBE" w:rsidRPr="00256FD2" w:rsidRDefault="00F26EBE" w:rsidP="00B25BC6">
            <w:pPr>
              <w:pStyle w:val="Normal-pool-Table"/>
            </w:pPr>
            <w:r w:rsidRPr="00256FD2">
              <w:rPr>
                <w:color w:val="000000"/>
              </w:rPr>
              <w:t>Guinée équatoriale</w:t>
            </w:r>
          </w:p>
        </w:tc>
        <w:tc>
          <w:tcPr>
            <w:tcW w:w="1840" w:type="dxa"/>
          </w:tcPr>
          <w:p w14:paraId="295DD33C" w14:textId="77777777" w:rsidR="00F26EBE" w:rsidRPr="00256FD2" w:rsidRDefault="00F26EBE" w:rsidP="00B25BC6">
            <w:pPr>
              <w:pStyle w:val="Normal-pool-Table"/>
            </w:pPr>
            <w:r w:rsidRPr="00256FD2">
              <w:rPr>
                <w:color w:val="000000"/>
              </w:rPr>
              <w:t>19/08/2024</w:t>
            </w:r>
          </w:p>
        </w:tc>
        <w:tc>
          <w:tcPr>
            <w:tcW w:w="1841" w:type="dxa"/>
          </w:tcPr>
          <w:p w14:paraId="0F7D60D1" w14:textId="77777777" w:rsidR="00F26EBE" w:rsidRPr="00256FD2" w:rsidRDefault="00F26EBE" w:rsidP="00B25BC6">
            <w:pPr>
              <w:pStyle w:val="Normal-pool-Table"/>
            </w:pPr>
            <w:r w:rsidRPr="00256FD2">
              <w:rPr>
                <w:color w:val="000000"/>
              </w:rPr>
              <w:t>Non soumis</w:t>
            </w:r>
          </w:p>
        </w:tc>
        <w:tc>
          <w:tcPr>
            <w:tcW w:w="1989" w:type="dxa"/>
          </w:tcPr>
          <w:p w14:paraId="57F7F85B" w14:textId="77777777" w:rsidR="00F26EBE" w:rsidRPr="00256FD2" w:rsidRDefault="00F26EBE" w:rsidP="00B25BC6">
            <w:pPr>
              <w:pStyle w:val="Normal-pool-Table"/>
            </w:pPr>
            <w:r w:rsidRPr="00256FD2">
              <w:rPr>
                <w:color w:val="000000"/>
              </w:rPr>
              <w:t>Sans réponse</w:t>
            </w:r>
          </w:p>
        </w:tc>
      </w:tr>
      <w:tr w:rsidR="00F26EBE" w:rsidRPr="00256FD2" w14:paraId="13710663" w14:textId="77777777" w:rsidTr="00B25BC6">
        <w:trPr>
          <w:jc w:val="right"/>
        </w:trPr>
        <w:tc>
          <w:tcPr>
            <w:tcW w:w="2835" w:type="dxa"/>
            <w:vAlign w:val="bottom"/>
          </w:tcPr>
          <w:p w14:paraId="12445C16" w14:textId="77777777" w:rsidR="00F26EBE" w:rsidRPr="00256FD2" w:rsidRDefault="00F26EBE" w:rsidP="00B25BC6">
            <w:pPr>
              <w:pStyle w:val="Normal-pool-Table"/>
            </w:pPr>
            <w:r w:rsidRPr="00256FD2">
              <w:rPr>
                <w:color w:val="000000"/>
              </w:rPr>
              <w:t>Guyana</w:t>
            </w:r>
          </w:p>
        </w:tc>
        <w:tc>
          <w:tcPr>
            <w:tcW w:w="1840" w:type="dxa"/>
          </w:tcPr>
          <w:p w14:paraId="638D71E9" w14:textId="77777777" w:rsidR="00F26EBE" w:rsidRPr="00256FD2" w:rsidRDefault="00F26EBE" w:rsidP="00B25BC6">
            <w:pPr>
              <w:pStyle w:val="Normal-pool-Table"/>
            </w:pPr>
            <w:r w:rsidRPr="00256FD2">
              <w:rPr>
                <w:color w:val="000000"/>
              </w:rPr>
              <w:t>29/07/2016</w:t>
            </w:r>
          </w:p>
        </w:tc>
        <w:tc>
          <w:tcPr>
            <w:tcW w:w="1841" w:type="dxa"/>
          </w:tcPr>
          <w:p w14:paraId="4457E125" w14:textId="77777777" w:rsidR="00F26EBE" w:rsidRPr="00256FD2" w:rsidRDefault="00F26EBE" w:rsidP="00B25BC6">
            <w:pPr>
              <w:pStyle w:val="Normal-pool-Table"/>
            </w:pPr>
            <w:r w:rsidRPr="00256FD2">
              <w:rPr>
                <w:color w:val="000000"/>
              </w:rPr>
              <w:t>19/10/2022</w:t>
            </w:r>
          </w:p>
        </w:tc>
        <w:tc>
          <w:tcPr>
            <w:tcW w:w="1989" w:type="dxa"/>
          </w:tcPr>
          <w:p w14:paraId="7A6518B0" w14:textId="77777777" w:rsidR="00F26EBE" w:rsidRPr="00256FD2" w:rsidRDefault="00F26EBE" w:rsidP="00B25BC6">
            <w:pPr>
              <w:pStyle w:val="Normal-pool-Table"/>
            </w:pPr>
            <w:r w:rsidRPr="00256FD2">
              <w:rPr>
                <w:color w:val="000000"/>
              </w:rPr>
              <w:t>Sans réponse</w:t>
            </w:r>
          </w:p>
        </w:tc>
      </w:tr>
      <w:tr w:rsidR="00F26EBE" w:rsidRPr="00256FD2" w14:paraId="5A64502D" w14:textId="77777777" w:rsidTr="00B25BC6">
        <w:trPr>
          <w:jc w:val="right"/>
        </w:trPr>
        <w:tc>
          <w:tcPr>
            <w:tcW w:w="2835" w:type="dxa"/>
            <w:vAlign w:val="bottom"/>
          </w:tcPr>
          <w:p w14:paraId="720EAD8C" w14:textId="77777777" w:rsidR="00F26EBE" w:rsidRPr="00256FD2" w:rsidRDefault="00F26EBE" w:rsidP="00B25BC6">
            <w:pPr>
              <w:pStyle w:val="Normal-pool-Table"/>
            </w:pPr>
            <w:r w:rsidRPr="00256FD2">
              <w:rPr>
                <w:color w:val="000000"/>
              </w:rPr>
              <w:t>Honduras</w:t>
            </w:r>
          </w:p>
        </w:tc>
        <w:tc>
          <w:tcPr>
            <w:tcW w:w="1840" w:type="dxa"/>
          </w:tcPr>
          <w:p w14:paraId="3824CCCB" w14:textId="77777777" w:rsidR="00F26EBE" w:rsidRPr="00256FD2" w:rsidRDefault="00F26EBE" w:rsidP="00B25BC6">
            <w:pPr>
              <w:pStyle w:val="Normal-pool-Table"/>
            </w:pPr>
            <w:r w:rsidRPr="00256FD2">
              <w:rPr>
                <w:color w:val="000000"/>
              </w:rPr>
              <w:t>08/05/2015</w:t>
            </w:r>
          </w:p>
        </w:tc>
        <w:tc>
          <w:tcPr>
            <w:tcW w:w="1841" w:type="dxa"/>
          </w:tcPr>
          <w:p w14:paraId="76D1682D" w14:textId="77777777" w:rsidR="00F26EBE" w:rsidRPr="00256FD2" w:rsidRDefault="00F26EBE" w:rsidP="00B25BC6">
            <w:pPr>
              <w:pStyle w:val="Normal-pool-Table"/>
            </w:pPr>
            <w:r w:rsidRPr="00256FD2">
              <w:rPr>
                <w:color w:val="000000"/>
              </w:rPr>
              <w:t>Non soumis</w:t>
            </w:r>
          </w:p>
        </w:tc>
        <w:tc>
          <w:tcPr>
            <w:tcW w:w="1989" w:type="dxa"/>
          </w:tcPr>
          <w:p w14:paraId="5A967DC8" w14:textId="77777777" w:rsidR="00F26EBE" w:rsidRPr="00256FD2" w:rsidRDefault="00F26EBE" w:rsidP="00B25BC6">
            <w:pPr>
              <w:pStyle w:val="Normal-pool-Table"/>
            </w:pPr>
            <w:r w:rsidRPr="00256FD2">
              <w:rPr>
                <w:color w:val="000000"/>
              </w:rPr>
              <w:t>Sans réponse</w:t>
            </w:r>
          </w:p>
        </w:tc>
      </w:tr>
      <w:tr w:rsidR="00F26EBE" w:rsidRPr="00256FD2" w14:paraId="656A6FD4" w14:textId="77777777" w:rsidTr="00B25BC6">
        <w:trPr>
          <w:jc w:val="right"/>
        </w:trPr>
        <w:tc>
          <w:tcPr>
            <w:tcW w:w="2835" w:type="dxa"/>
            <w:vAlign w:val="bottom"/>
          </w:tcPr>
          <w:p w14:paraId="5564A51D" w14:textId="77777777" w:rsidR="00F26EBE" w:rsidRPr="00256FD2" w:rsidRDefault="00F26EBE" w:rsidP="00B25BC6">
            <w:pPr>
              <w:pStyle w:val="Normal-pool-Table"/>
            </w:pPr>
            <w:r w:rsidRPr="00256FD2">
              <w:rPr>
                <w:color w:val="000000"/>
              </w:rPr>
              <w:t>Indonésie</w:t>
            </w:r>
          </w:p>
        </w:tc>
        <w:tc>
          <w:tcPr>
            <w:tcW w:w="1840" w:type="dxa"/>
          </w:tcPr>
          <w:p w14:paraId="111F306A" w14:textId="77777777" w:rsidR="00F26EBE" w:rsidRPr="00256FD2" w:rsidRDefault="00F26EBE" w:rsidP="00B25BC6">
            <w:pPr>
              <w:pStyle w:val="Normal-pool-Table"/>
            </w:pPr>
            <w:r w:rsidRPr="00256FD2">
              <w:rPr>
                <w:color w:val="000000"/>
              </w:rPr>
              <w:t>08/05/2016</w:t>
            </w:r>
          </w:p>
        </w:tc>
        <w:tc>
          <w:tcPr>
            <w:tcW w:w="1841" w:type="dxa"/>
          </w:tcPr>
          <w:p w14:paraId="7491150B" w14:textId="77777777" w:rsidR="00F26EBE" w:rsidRPr="00256FD2" w:rsidRDefault="00F26EBE" w:rsidP="00B25BC6">
            <w:pPr>
              <w:pStyle w:val="Normal-pool-Table"/>
            </w:pPr>
            <w:r w:rsidRPr="00256FD2">
              <w:rPr>
                <w:color w:val="000000"/>
              </w:rPr>
              <w:t>04/05/2023</w:t>
            </w:r>
          </w:p>
        </w:tc>
        <w:tc>
          <w:tcPr>
            <w:tcW w:w="1989" w:type="dxa"/>
          </w:tcPr>
          <w:p w14:paraId="7CE12C39" w14:textId="77777777" w:rsidR="00F26EBE" w:rsidRPr="00256FD2" w:rsidRDefault="00F26EBE" w:rsidP="00B25BC6">
            <w:pPr>
              <w:pStyle w:val="Normal-pool-Table"/>
            </w:pPr>
            <w:r w:rsidRPr="00256FD2">
              <w:rPr>
                <w:color w:val="000000"/>
              </w:rPr>
              <w:t>Sans réponse</w:t>
            </w:r>
          </w:p>
        </w:tc>
      </w:tr>
      <w:tr w:rsidR="00F26EBE" w:rsidRPr="00256FD2" w14:paraId="43044EE6" w14:textId="77777777" w:rsidTr="00B25BC6">
        <w:trPr>
          <w:jc w:val="right"/>
        </w:trPr>
        <w:tc>
          <w:tcPr>
            <w:tcW w:w="2835" w:type="dxa"/>
            <w:vAlign w:val="bottom"/>
          </w:tcPr>
          <w:p w14:paraId="3F511239" w14:textId="77777777" w:rsidR="00F26EBE" w:rsidRPr="00256FD2" w:rsidRDefault="00F26EBE" w:rsidP="00B25BC6">
            <w:pPr>
              <w:pStyle w:val="Normal-pool-Table"/>
            </w:pPr>
            <w:r w:rsidRPr="00256FD2">
              <w:rPr>
                <w:color w:val="000000"/>
              </w:rPr>
              <w:t>Kenya</w:t>
            </w:r>
          </w:p>
        </w:tc>
        <w:tc>
          <w:tcPr>
            <w:tcW w:w="1840" w:type="dxa"/>
          </w:tcPr>
          <w:p w14:paraId="2434F85D" w14:textId="77777777" w:rsidR="00F26EBE" w:rsidRPr="00256FD2" w:rsidRDefault="00F26EBE" w:rsidP="00B25BC6">
            <w:pPr>
              <w:pStyle w:val="Normal-pool-Table"/>
            </w:pPr>
            <w:r w:rsidRPr="00256FD2">
              <w:rPr>
                <w:color w:val="000000"/>
              </w:rPr>
              <w:t>06/08/2015</w:t>
            </w:r>
          </w:p>
        </w:tc>
        <w:tc>
          <w:tcPr>
            <w:tcW w:w="1841" w:type="dxa"/>
          </w:tcPr>
          <w:p w14:paraId="1F28D198" w14:textId="77777777" w:rsidR="00F26EBE" w:rsidRPr="00256FD2" w:rsidRDefault="00F26EBE" w:rsidP="00B25BC6">
            <w:pPr>
              <w:pStyle w:val="Normal-pool-Table"/>
            </w:pPr>
            <w:r w:rsidRPr="00256FD2">
              <w:rPr>
                <w:color w:val="000000"/>
              </w:rPr>
              <w:t>02/09/2022</w:t>
            </w:r>
          </w:p>
        </w:tc>
        <w:tc>
          <w:tcPr>
            <w:tcW w:w="1989" w:type="dxa"/>
          </w:tcPr>
          <w:p w14:paraId="7BFD6478" w14:textId="77777777" w:rsidR="00F26EBE" w:rsidRPr="00256FD2" w:rsidRDefault="00F26EBE" w:rsidP="00B25BC6">
            <w:pPr>
              <w:pStyle w:val="Normal-pool-Table"/>
            </w:pPr>
            <w:r w:rsidRPr="00256FD2">
              <w:rPr>
                <w:color w:val="000000"/>
              </w:rPr>
              <w:t>Sans réponse</w:t>
            </w:r>
          </w:p>
        </w:tc>
      </w:tr>
      <w:tr w:rsidR="00F26EBE" w:rsidRPr="00256FD2" w14:paraId="3D74393A" w14:textId="77777777" w:rsidTr="00B25BC6">
        <w:trPr>
          <w:jc w:val="right"/>
        </w:trPr>
        <w:tc>
          <w:tcPr>
            <w:tcW w:w="2835" w:type="dxa"/>
            <w:vAlign w:val="bottom"/>
          </w:tcPr>
          <w:p w14:paraId="17539869" w14:textId="77777777" w:rsidR="00F26EBE" w:rsidRPr="00256FD2" w:rsidRDefault="00F26EBE" w:rsidP="00B25BC6">
            <w:pPr>
              <w:pStyle w:val="Normal-pool-Table"/>
            </w:pPr>
            <w:r w:rsidRPr="00256FD2">
              <w:rPr>
                <w:color w:val="000000"/>
              </w:rPr>
              <w:t>Libéria</w:t>
            </w:r>
          </w:p>
        </w:tc>
        <w:tc>
          <w:tcPr>
            <w:tcW w:w="1840" w:type="dxa"/>
          </w:tcPr>
          <w:p w14:paraId="7D0AB93A" w14:textId="77777777" w:rsidR="00F26EBE" w:rsidRPr="00256FD2" w:rsidRDefault="00F26EBE" w:rsidP="00B25BC6">
            <w:pPr>
              <w:pStyle w:val="Normal-pool-Table"/>
            </w:pPr>
            <w:r w:rsidRPr="00256FD2">
              <w:rPr>
                <w:color w:val="000000"/>
              </w:rPr>
              <w:t>08/06/2022</w:t>
            </w:r>
          </w:p>
        </w:tc>
        <w:tc>
          <w:tcPr>
            <w:tcW w:w="1841" w:type="dxa"/>
          </w:tcPr>
          <w:p w14:paraId="1F70D20B" w14:textId="77777777" w:rsidR="00F26EBE" w:rsidRPr="00256FD2" w:rsidRDefault="00F26EBE" w:rsidP="00B25BC6">
            <w:pPr>
              <w:pStyle w:val="Normal-pool-Table"/>
            </w:pPr>
            <w:r w:rsidRPr="00256FD2">
              <w:rPr>
                <w:color w:val="000000"/>
              </w:rPr>
              <w:t>Non soumis</w:t>
            </w:r>
          </w:p>
        </w:tc>
        <w:tc>
          <w:tcPr>
            <w:tcW w:w="1989" w:type="dxa"/>
          </w:tcPr>
          <w:p w14:paraId="4636C018" w14:textId="77777777" w:rsidR="00F26EBE" w:rsidRPr="00256FD2" w:rsidRDefault="00F26EBE" w:rsidP="00B25BC6">
            <w:pPr>
              <w:pStyle w:val="Normal-pool-Table"/>
            </w:pPr>
            <w:r w:rsidRPr="00256FD2">
              <w:rPr>
                <w:color w:val="000000"/>
              </w:rPr>
              <w:t>Sans réponse</w:t>
            </w:r>
          </w:p>
        </w:tc>
      </w:tr>
      <w:tr w:rsidR="00F26EBE" w:rsidRPr="00256FD2" w14:paraId="6ECF0A10" w14:textId="77777777" w:rsidTr="00B25BC6">
        <w:trPr>
          <w:jc w:val="right"/>
        </w:trPr>
        <w:tc>
          <w:tcPr>
            <w:tcW w:w="2835" w:type="dxa"/>
            <w:vAlign w:val="bottom"/>
          </w:tcPr>
          <w:p w14:paraId="2EC43E1D" w14:textId="77777777" w:rsidR="00F26EBE" w:rsidRPr="00256FD2" w:rsidRDefault="00F26EBE" w:rsidP="00B25BC6">
            <w:pPr>
              <w:pStyle w:val="Normal-pool-Table"/>
            </w:pPr>
            <w:r w:rsidRPr="00256FD2">
              <w:rPr>
                <w:color w:val="000000"/>
              </w:rPr>
              <w:t>Madagascar</w:t>
            </w:r>
          </w:p>
        </w:tc>
        <w:tc>
          <w:tcPr>
            <w:tcW w:w="1840" w:type="dxa"/>
          </w:tcPr>
          <w:p w14:paraId="398FA26C" w14:textId="77777777" w:rsidR="00F26EBE" w:rsidRPr="00256FD2" w:rsidRDefault="00F26EBE" w:rsidP="00B25BC6">
            <w:pPr>
              <w:pStyle w:val="Normal-pool-Table"/>
            </w:pPr>
            <w:r w:rsidRPr="00256FD2">
              <w:rPr>
                <w:color w:val="000000"/>
              </w:rPr>
              <w:t>13/01/2016</w:t>
            </w:r>
          </w:p>
        </w:tc>
        <w:tc>
          <w:tcPr>
            <w:tcW w:w="1841" w:type="dxa"/>
          </w:tcPr>
          <w:p w14:paraId="5656D270" w14:textId="77777777" w:rsidR="00F26EBE" w:rsidRPr="00256FD2" w:rsidRDefault="00F26EBE" w:rsidP="00B25BC6">
            <w:pPr>
              <w:pStyle w:val="Normal-pool-Table"/>
            </w:pPr>
            <w:r w:rsidRPr="00256FD2">
              <w:rPr>
                <w:color w:val="000000"/>
              </w:rPr>
              <w:t>05/03/2019</w:t>
            </w:r>
          </w:p>
        </w:tc>
        <w:tc>
          <w:tcPr>
            <w:tcW w:w="1989" w:type="dxa"/>
          </w:tcPr>
          <w:p w14:paraId="5BD3FE48" w14:textId="77777777" w:rsidR="00F26EBE" w:rsidRPr="00256FD2" w:rsidRDefault="00F26EBE" w:rsidP="00B25BC6">
            <w:pPr>
              <w:pStyle w:val="Normal-pool-Table"/>
            </w:pPr>
            <w:r w:rsidRPr="00256FD2">
              <w:rPr>
                <w:color w:val="000000"/>
              </w:rPr>
              <w:t>Sans réponse</w:t>
            </w:r>
          </w:p>
        </w:tc>
      </w:tr>
      <w:tr w:rsidR="00F26EBE" w:rsidRPr="00256FD2" w14:paraId="42A45684" w14:textId="77777777" w:rsidTr="00B25BC6">
        <w:trPr>
          <w:jc w:val="right"/>
        </w:trPr>
        <w:tc>
          <w:tcPr>
            <w:tcW w:w="2835" w:type="dxa"/>
            <w:vAlign w:val="bottom"/>
          </w:tcPr>
          <w:p w14:paraId="17C1F5F6" w14:textId="77777777" w:rsidR="00F26EBE" w:rsidRPr="00256FD2" w:rsidRDefault="00F26EBE" w:rsidP="00B25BC6">
            <w:pPr>
              <w:pStyle w:val="Normal-pool-Table"/>
            </w:pPr>
            <w:r w:rsidRPr="00256FD2">
              <w:rPr>
                <w:color w:val="000000"/>
              </w:rPr>
              <w:t>Mali</w:t>
            </w:r>
          </w:p>
        </w:tc>
        <w:tc>
          <w:tcPr>
            <w:tcW w:w="1840" w:type="dxa"/>
          </w:tcPr>
          <w:p w14:paraId="07059272" w14:textId="77777777" w:rsidR="00F26EBE" w:rsidRPr="00256FD2" w:rsidRDefault="00F26EBE" w:rsidP="00B25BC6">
            <w:pPr>
              <w:pStyle w:val="Normal-pool-Table"/>
            </w:pPr>
            <w:r w:rsidRPr="00256FD2">
              <w:rPr>
                <w:color w:val="000000"/>
              </w:rPr>
              <w:t>01/03/2016</w:t>
            </w:r>
          </w:p>
        </w:tc>
        <w:tc>
          <w:tcPr>
            <w:tcW w:w="1841" w:type="dxa"/>
          </w:tcPr>
          <w:p w14:paraId="7BCFDC1A" w14:textId="77777777" w:rsidR="00F26EBE" w:rsidRPr="00256FD2" w:rsidRDefault="00F26EBE" w:rsidP="00B25BC6">
            <w:pPr>
              <w:pStyle w:val="Normal-pool-Table"/>
            </w:pPr>
            <w:r w:rsidRPr="00256FD2">
              <w:rPr>
                <w:color w:val="000000"/>
              </w:rPr>
              <w:t>01/06/2020</w:t>
            </w:r>
          </w:p>
        </w:tc>
        <w:tc>
          <w:tcPr>
            <w:tcW w:w="1989" w:type="dxa"/>
          </w:tcPr>
          <w:p w14:paraId="703BD697" w14:textId="77777777" w:rsidR="00F26EBE" w:rsidRPr="00256FD2" w:rsidRDefault="00F26EBE" w:rsidP="00B25BC6">
            <w:pPr>
              <w:pStyle w:val="Normal-pool-Table"/>
            </w:pPr>
            <w:r w:rsidRPr="00256FD2">
              <w:rPr>
                <w:color w:val="000000"/>
              </w:rPr>
              <w:t>Sans réponse</w:t>
            </w:r>
          </w:p>
        </w:tc>
      </w:tr>
      <w:tr w:rsidR="00F26EBE" w:rsidRPr="00256FD2" w14:paraId="79A005EC" w14:textId="77777777" w:rsidTr="00B25BC6">
        <w:trPr>
          <w:jc w:val="right"/>
        </w:trPr>
        <w:tc>
          <w:tcPr>
            <w:tcW w:w="2835" w:type="dxa"/>
            <w:vAlign w:val="bottom"/>
          </w:tcPr>
          <w:p w14:paraId="3597E2F1" w14:textId="77777777" w:rsidR="00F26EBE" w:rsidRPr="00256FD2" w:rsidRDefault="00F26EBE" w:rsidP="00B25BC6">
            <w:pPr>
              <w:pStyle w:val="Normal-pool-Table"/>
            </w:pPr>
            <w:r w:rsidRPr="00256FD2">
              <w:rPr>
                <w:color w:val="000000"/>
              </w:rPr>
              <w:t>Mauritanie</w:t>
            </w:r>
          </w:p>
        </w:tc>
        <w:tc>
          <w:tcPr>
            <w:tcW w:w="1840" w:type="dxa"/>
          </w:tcPr>
          <w:p w14:paraId="1EE9FAFD" w14:textId="77777777" w:rsidR="00F26EBE" w:rsidRPr="00256FD2" w:rsidRDefault="00F26EBE" w:rsidP="00B25BC6">
            <w:pPr>
              <w:pStyle w:val="Normal-pool-Table"/>
            </w:pPr>
            <w:r w:rsidRPr="00256FD2">
              <w:rPr>
                <w:color w:val="000000"/>
              </w:rPr>
              <w:t>02/04/2024</w:t>
            </w:r>
          </w:p>
        </w:tc>
        <w:tc>
          <w:tcPr>
            <w:tcW w:w="1841" w:type="dxa"/>
          </w:tcPr>
          <w:p w14:paraId="114E81AC" w14:textId="77777777" w:rsidR="00F26EBE" w:rsidRPr="00256FD2" w:rsidRDefault="00F26EBE" w:rsidP="00B25BC6">
            <w:pPr>
              <w:pStyle w:val="Normal-pool-Table"/>
            </w:pPr>
            <w:r w:rsidRPr="00256FD2">
              <w:rPr>
                <w:color w:val="000000"/>
              </w:rPr>
              <w:t>Non soumis</w:t>
            </w:r>
          </w:p>
        </w:tc>
        <w:tc>
          <w:tcPr>
            <w:tcW w:w="1989" w:type="dxa"/>
          </w:tcPr>
          <w:p w14:paraId="0BD15B16" w14:textId="77777777" w:rsidR="00F26EBE" w:rsidRPr="00256FD2" w:rsidRDefault="00F26EBE" w:rsidP="00B25BC6">
            <w:pPr>
              <w:pStyle w:val="Normal-pool-Table"/>
            </w:pPr>
            <w:r w:rsidRPr="00256FD2">
              <w:rPr>
                <w:color w:val="000000"/>
              </w:rPr>
              <w:t>Sans réponse</w:t>
            </w:r>
          </w:p>
        </w:tc>
      </w:tr>
      <w:tr w:rsidR="00F26EBE" w:rsidRPr="00256FD2" w14:paraId="112FAEC4" w14:textId="77777777" w:rsidTr="00B25BC6">
        <w:trPr>
          <w:jc w:val="right"/>
        </w:trPr>
        <w:tc>
          <w:tcPr>
            <w:tcW w:w="2835" w:type="dxa"/>
            <w:vAlign w:val="bottom"/>
          </w:tcPr>
          <w:p w14:paraId="0B103203" w14:textId="77777777" w:rsidR="00F26EBE" w:rsidRPr="00256FD2" w:rsidRDefault="00F26EBE" w:rsidP="00B25BC6">
            <w:pPr>
              <w:pStyle w:val="Normal-pool-Table"/>
            </w:pPr>
            <w:r w:rsidRPr="00256FD2">
              <w:rPr>
                <w:color w:val="000000"/>
              </w:rPr>
              <w:t>Mexique</w:t>
            </w:r>
          </w:p>
        </w:tc>
        <w:tc>
          <w:tcPr>
            <w:tcW w:w="1840" w:type="dxa"/>
          </w:tcPr>
          <w:p w14:paraId="075B5990" w14:textId="77777777" w:rsidR="00F26EBE" w:rsidRPr="00256FD2" w:rsidRDefault="00F26EBE" w:rsidP="00B25BC6">
            <w:pPr>
              <w:pStyle w:val="Normal-pool-Table"/>
            </w:pPr>
            <w:r w:rsidRPr="00256FD2">
              <w:rPr>
                <w:color w:val="000000"/>
              </w:rPr>
              <w:t>25/09/2017</w:t>
            </w:r>
          </w:p>
        </w:tc>
        <w:tc>
          <w:tcPr>
            <w:tcW w:w="1841" w:type="dxa"/>
          </w:tcPr>
          <w:p w14:paraId="56878CD4" w14:textId="77777777" w:rsidR="00F26EBE" w:rsidRPr="00256FD2" w:rsidRDefault="00F26EBE" w:rsidP="00B25BC6">
            <w:pPr>
              <w:pStyle w:val="Normal-pool-Table"/>
            </w:pPr>
            <w:r w:rsidRPr="00256FD2">
              <w:rPr>
                <w:color w:val="000000"/>
              </w:rPr>
              <w:t>Non soumis</w:t>
            </w:r>
          </w:p>
        </w:tc>
        <w:tc>
          <w:tcPr>
            <w:tcW w:w="1989" w:type="dxa"/>
          </w:tcPr>
          <w:p w14:paraId="29327E9A" w14:textId="77777777" w:rsidR="00F26EBE" w:rsidRPr="00256FD2" w:rsidRDefault="00F26EBE" w:rsidP="00B25BC6">
            <w:pPr>
              <w:pStyle w:val="Normal-pool-Table"/>
            </w:pPr>
            <w:r w:rsidRPr="00256FD2">
              <w:rPr>
                <w:color w:val="000000"/>
              </w:rPr>
              <w:t>Sans réponse</w:t>
            </w:r>
          </w:p>
        </w:tc>
      </w:tr>
      <w:tr w:rsidR="00F26EBE" w:rsidRPr="00256FD2" w14:paraId="73F45322" w14:textId="77777777" w:rsidTr="00B25BC6">
        <w:trPr>
          <w:jc w:val="right"/>
        </w:trPr>
        <w:tc>
          <w:tcPr>
            <w:tcW w:w="2835" w:type="dxa"/>
            <w:vAlign w:val="bottom"/>
          </w:tcPr>
          <w:p w14:paraId="6D50605B" w14:textId="77777777" w:rsidR="00F26EBE" w:rsidRPr="00256FD2" w:rsidRDefault="00F26EBE" w:rsidP="00B25BC6">
            <w:pPr>
              <w:pStyle w:val="Normal-pool-Table"/>
            </w:pPr>
            <w:r w:rsidRPr="00256FD2">
              <w:rPr>
                <w:color w:val="000000"/>
              </w:rPr>
              <w:t>Mongolie</w:t>
            </w:r>
          </w:p>
        </w:tc>
        <w:tc>
          <w:tcPr>
            <w:tcW w:w="1840" w:type="dxa"/>
          </w:tcPr>
          <w:p w14:paraId="3F8D6404" w14:textId="77777777" w:rsidR="00F26EBE" w:rsidRPr="00256FD2" w:rsidRDefault="00F26EBE" w:rsidP="00B25BC6">
            <w:pPr>
              <w:pStyle w:val="Normal-pool-Table"/>
            </w:pPr>
            <w:r w:rsidRPr="00256FD2">
              <w:rPr>
                <w:color w:val="000000"/>
              </w:rPr>
              <w:t>03/07/2016</w:t>
            </w:r>
          </w:p>
        </w:tc>
        <w:tc>
          <w:tcPr>
            <w:tcW w:w="1841" w:type="dxa"/>
          </w:tcPr>
          <w:p w14:paraId="2E42C918" w14:textId="77777777" w:rsidR="00F26EBE" w:rsidRPr="00256FD2" w:rsidRDefault="00F26EBE" w:rsidP="00B25BC6">
            <w:pPr>
              <w:pStyle w:val="Normal-pool-Table"/>
            </w:pPr>
            <w:r w:rsidRPr="00256FD2">
              <w:rPr>
                <w:color w:val="000000"/>
              </w:rPr>
              <w:t>09/06/2020</w:t>
            </w:r>
          </w:p>
        </w:tc>
        <w:tc>
          <w:tcPr>
            <w:tcW w:w="1989" w:type="dxa"/>
          </w:tcPr>
          <w:p w14:paraId="532956D0" w14:textId="77777777" w:rsidR="00F26EBE" w:rsidRPr="00256FD2" w:rsidRDefault="00F26EBE" w:rsidP="00B25BC6">
            <w:pPr>
              <w:pStyle w:val="Normal-pool-Table"/>
            </w:pPr>
            <w:r w:rsidRPr="00256FD2">
              <w:rPr>
                <w:color w:val="000000"/>
              </w:rPr>
              <w:t>Sans réponse</w:t>
            </w:r>
          </w:p>
        </w:tc>
      </w:tr>
      <w:tr w:rsidR="00F26EBE" w:rsidRPr="00256FD2" w14:paraId="612C2B79" w14:textId="77777777" w:rsidTr="00B25BC6">
        <w:trPr>
          <w:jc w:val="right"/>
        </w:trPr>
        <w:tc>
          <w:tcPr>
            <w:tcW w:w="2835" w:type="dxa"/>
            <w:vAlign w:val="bottom"/>
          </w:tcPr>
          <w:p w14:paraId="7F263CEE" w14:textId="77777777" w:rsidR="00F26EBE" w:rsidRPr="00256FD2" w:rsidRDefault="00F26EBE" w:rsidP="00B25BC6">
            <w:pPr>
              <w:pStyle w:val="Normal-pool-Table"/>
            </w:pPr>
            <w:r w:rsidRPr="00256FD2">
              <w:rPr>
                <w:color w:val="000000"/>
              </w:rPr>
              <w:t>Mozambique</w:t>
            </w:r>
          </w:p>
        </w:tc>
        <w:tc>
          <w:tcPr>
            <w:tcW w:w="1840" w:type="dxa"/>
          </w:tcPr>
          <w:p w14:paraId="78FC60C8" w14:textId="77777777" w:rsidR="00F26EBE" w:rsidRPr="00256FD2" w:rsidRDefault="00F26EBE" w:rsidP="00B25BC6">
            <w:pPr>
              <w:pStyle w:val="Normal-pool-Table"/>
            </w:pPr>
            <w:r w:rsidRPr="00256FD2">
              <w:rPr>
                <w:color w:val="000000"/>
              </w:rPr>
              <w:t>12/12/2014</w:t>
            </w:r>
          </w:p>
        </w:tc>
        <w:tc>
          <w:tcPr>
            <w:tcW w:w="1841" w:type="dxa"/>
          </w:tcPr>
          <w:p w14:paraId="0519CF46" w14:textId="77777777" w:rsidR="00F26EBE" w:rsidRPr="00256FD2" w:rsidRDefault="00F26EBE" w:rsidP="00B25BC6">
            <w:pPr>
              <w:pStyle w:val="Normal-pool-Table"/>
            </w:pPr>
            <w:r w:rsidRPr="00256FD2">
              <w:rPr>
                <w:color w:val="000000"/>
              </w:rPr>
              <w:t>14/03/2024</w:t>
            </w:r>
          </w:p>
        </w:tc>
        <w:tc>
          <w:tcPr>
            <w:tcW w:w="1989" w:type="dxa"/>
          </w:tcPr>
          <w:p w14:paraId="4A315239" w14:textId="77777777" w:rsidR="00F26EBE" w:rsidRPr="00256FD2" w:rsidRDefault="00F26EBE" w:rsidP="00B25BC6">
            <w:pPr>
              <w:pStyle w:val="Normal-pool-Table"/>
            </w:pPr>
            <w:r w:rsidRPr="00256FD2">
              <w:rPr>
                <w:color w:val="000000"/>
              </w:rPr>
              <w:t>Sans réponse</w:t>
            </w:r>
          </w:p>
        </w:tc>
      </w:tr>
      <w:tr w:rsidR="00F26EBE" w:rsidRPr="00256FD2" w14:paraId="5C392573" w14:textId="77777777" w:rsidTr="00B25BC6">
        <w:trPr>
          <w:jc w:val="right"/>
        </w:trPr>
        <w:tc>
          <w:tcPr>
            <w:tcW w:w="2835" w:type="dxa"/>
            <w:vAlign w:val="bottom"/>
          </w:tcPr>
          <w:p w14:paraId="768CA7D5" w14:textId="77777777" w:rsidR="00F26EBE" w:rsidRPr="00256FD2" w:rsidRDefault="00F26EBE" w:rsidP="00B25BC6">
            <w:pPr>
              <w:pStyle w:val="Normal-pool-Table"/>
            </w:pPr>
            <w:r w:rsidRPr="00256FD2">
              <w:rPr>
                <w:color w:val="000000"/>
              </w:rPr>
              <w:t>Nicaragua</w:t>
            </w:r>
          </w:p>
        </w:tc>
        <w:tc>
          <w:tcPr>
            <w:tcW w:w="1840" w:type="dxa"/>
          </w:tcPr>
          <w:p w14:paraId="0D0F7F48" w14:textId="77777777" w:rsidR="00F26EBE" w:rsidRPr="00256FD2" w:rsidRDefault="00F26EBE" w:rsidP="00B25BC6">
            <w:pPr>
              <w:pStyle w:val="Normal-pool-Table"/>
            </w:pPr>
            <w:r w:rsidRPr="00256FD2">
              <w:rPr>
                <w:color w:val="000000"/>
              </w:rPr>
              <w:t>30/01/2019</w:t>
            </w:r>
          </w:p>
        </w:tc>
        <w:tc>
          <w:tcPr>
            <w:tcW w:w="1841" w:type="dxa"/>
          </w:tcPr>
          <w:p w14:paraId="2692AC06" w14:textId="77777777" w:rsidR="00F26EBE" w:rsidRPr="00256FD2" w:rsidRDefault="00F26EBE" w:rsidP="00B25BC6">
            <w:pPr>
              <w:pStyle w:val="Normal-pool-Table"/>
            </w:pPr>
            <w:r w:rsidRPr="00256FD2">
              <w:rPr>
                <w:color w:val="000000"/>
              </w:rPr>
              <w:t>Non soumis</w:t>
            </w:r>
          </w:p>
        </w:tc>
        <w:tc>
          <w:tcPr>
            <w:tcW w:w="1989" w:type="dxa"/>
          </w:tcPr>
          <w:p w14:paraId="63DE24DD" w14:textId="77777777" w:rsidR="00F26EBE" w:rsidRPr="00256FD2" w:rsidRDefault="00F26EBE" w:rsidP="00B25BC6">
            <w:pPr>
              <w:pStyle w:val="Normal-pool-Table"/>
            </w:pPr>
            <w:r w:rsidRPr="00256FD2">
              <w:rPr>
                <w:color w:val="000000"/>
              </w:rPr>
              <w:t>Sans réponse</w:t>
            </w:r>
          </w:p>
        </w:tc>
      </w:tr>
      <w:tr w:rsidR="00F26EBE" w:rsidRPr="00256FD2" w14:paraId="17D80502" w14:textId="77777777" w:rsidTr="00B25BC6">
        <w:trPr>
          <w:jc w:val="right"/>
        </w:trPr>
        <w:tc>
          <w:tcPr>
            <w:tcW w:w="2835" w:type="dxa"/>
            <w:vAlign w:val="bottom"/>
          </w:tcPr>
          <w:p w14:paraId="175E8D96" w14:textId="77777777" w:rsidR="00F26EBE" w:rsidRPr="00256FD2" w:rsidRDefault="00F26EBE" w:rsidP="00B25BC6">
            <w:pPr>
              <w:pStyle w:val="Normal-pool-Table"/>
            </w:pPr>
            <w:r w:rsidRPr="00256FD2">
              <w:rPr>
                <w:color w:val="000000"/>
              </w:rPr>
              <w:t>Niger</w:t>
            </w:r>
          </w:p>
        </w:tc>
        <w:tc>
          <w:tcPr>
            <w:tcW w:w="1840" w:type="dxa"/>
          </w:tcPr>
          <w:p w14:paraId="216A810C" w14:textId="77777777" w:rsidR="00F26EBE" w:rsidRPr="00256FD2" w:rsidRDefault="00F26EBE" w:rsidP="00B25BC6">
            <w:pPr>
              <w:pStyle w:val="Normal-pool-Table"/>
            </w:pPr>
            <w:r w:rsidRPr="00256FD2">
              <w:rPr>
                <w:color w:val="000000"/>
              </w:rPr>
              <w:t>10/06/2016</w:t>
            </w:r>
          </w:p>
        </w:tc>
        <w:tc>
          <w:tcPr>
            <w:tcW w:w="1841" w:type="dxa"/>
          </w:tcPr>
          <w:p w14:paraId="0DE55CC3" w14:textId="77777777" w:rsidR="00F26EBE" w:rsidRPr="00256FD2" w:rsidRDefault="00F26EBE" w:rsidP="00B25BC6">
            <w:pPr>
              <w:pStyle w:val="Normal-pool-Table"/>
            </w:pPr>
            <w:r w:rsidRPr="00256FD2">
              <w:rPr>
                <w:color w:val="000000"/>
              </w:rPr>
              <w:t>14/07/2022</w:t>
            </w:r>
          </w:p>
        </w:tc>
        <w:tc>
          <w:tcPr>
            <w:tcW w:w="1989" w:type="dxa"/>
          </w:tcPr>
          <w:p w14:paraId="33246F8B" w14:textId="77777777" w:rsidR="00F26EBE" w:rsidRPr="00256FD2" w:rsidRDefault="00F26EBE" w:rsidP="00B25BC6">
            <w:pPr>
              <w:pStyle w:val="Normal-pool-Table"/>
            </w:pPr>
            <w:r w:rsidRPr="00256FD2">
              <w:rPr>
                <w:color w:val="000000"/>
              </w:rPr>
              <w:t>Sans réponse</w:t>
            </w:r>
          </w:p>
        </w:tc>
      </w:tr>
      <w:tr w:rsidR="00F26EBE" w:rsidRPr="00256FD2" w14:paraId="2B57280A" w14:textId="77777777" w:rsidTr="00B25BC6">
        <w:trPr>
          <w:jc w:val="right"/>
        </w:trPr>
        <w:tc>
          <w:tcPr>
            <w:tcW w:w="2835" w:type="dxa"/>
            <w:vAlign w:val="bottom"/>
          </w:tcPr>
          <w:p w14:paraId="5544EB93" w14:textId="77777777" w:rsidR="00F26EBE" w:rsidRPr="00256FD2" w:rsidRDefault="00F26EBE" w:rsidP="00B25BC6">
            <w:pPr>
              <w:pStyle w:val="Normal-pool-Table"/>
            </w:pPr>
            <w:r w:rsidRPr="00256FD2">
              <w:rPr>
                <w:color w:val="000000"/>
              </w:rPr>
              <w:t>Nigéria</w:t>
            </w:r>
          </w:p>
        </w:tc>
        <w:tc>
          <w:tcPr>
            <w:tcW w:w="1840" w:type="dxa"/>
          </w:tcPr>
          <w:p w14:paraId="500E5C0A" w14:textId="77777777" w:rsidR="00F26EBE" w:rsidRPr="00256FD2" w:rsidRDefault="00F26EBE" w:rsidP="00B25BC6">
            <w:pPr>
              <w:pStyle w:val="Normal-pool-Table"/>
            </w:pPr>
            <w:r w:rsidRPr="00256FD2">
              <w:rPr>
                <w:color w:val="000000"/>
              </w:rPr>
              <w:t>18/06/2015</w:t>
            </w:r>
          </w:p>
        </w:tc>
        <w:tc>
          <w:tcPr>
            <w:tcW w:w="1841" w:type="dxa"/>
          </w:tcPr>
          <w:p w14:paraId="51EDCC37" w14:textId="77777777" w:rsidR="00F26EBE" w:rsidRPr="00256FD2" w:rsidRDefault="00F26EBE" w:rsidP="00B25BC6">
            <w:pPr>
              <w:pStyle w:val="Normal-pool-Table"/>
            </w:pPr>
            <w:r w:rsidRPr="00256FD2">
              <w:rPr>
                <w:color w:val="000000"/>
              </w:rPr>
              <w:t>08/06/2021</w:t>
            </w:r>
          </w:p>
        </w:tc>
        <w:tc>
          <w:tcPr>
            <w:tcW w:w="1989" w:type="dxa"/>
          </w:tcPr>
          <w:p w14:paraId="2AC038FE" w14:textId="77777777" w:rsidR="00F26EBE" w:rsidRPr="00256FD2" w:rsidRDefault="00F26EBE" w:rsidP="00B25BC6">
            <w:pPr>
              <w:pStyle w:val="Normal-pool-Table"/>
            </w:pPr>
            <w:r w:rsidRPr="00256FD2">
              <w:rPr>
                <w:color w:val="000000"/>
              </w:rPr>
              <w:t>Sans réponse</w:t>
            </w:r>
          </w:p>
        </w:tc>
      </w:tr>
      <w:tr w:rsidR="00F26EBE" w:rsidRPr="00256FD2" w14:paraId="73648268" w14:textId="77777777" w:rsidTr="00B25BC6">
        <w:trPr>
          <w:jc w:val="right"/>
        </w:trPr>
        <w:tc>
          <w:tcPr>
            <w:tcW w:w="2835" w:type="dxa"/>
            <w:vAlign w:val="bottom"/>
          </w:tcPr>
          <w:p w14:paraId="49A7D136" w14:textId="77777777" w:rsidR="00F26EBE" w:rsidRPr="00256FD2" w:rsidRDefault="00F26EBE" w:rsidP="00B25BC6">
            <w:pPr>
              <w:pStyle w:val="Normal-pool-Table"/>
            </w:pPr>
            <w:r w:rsidRPr="00256FD2">
              <w:rPr>
                <w:color w:val="000000"/>
              </w:rPr>
              <w:t>Ouganda</w:t>
            </w:r>
          </w:p>
        </w:tc>
        <w:tc>
          <w:tcPr>
            <w:tcW w:w="1840" w:type="dxa"/>
          </w:tcPr>
          <w:p w14:paraId="4611ECB1" w14:textId="77777777" w:rsidR="00F26EBE" w:rsidRPr="00256FD2" w:rsidRDefault="00F26EBE" w:rsidP="00B25BC6">
            <w:pPr>
              <w:pStyle w:val="Normal-pool-Table"/>
              <w:rPr>
                <w:color w:val="000000"/>
              </w:rPr>
            </w:pPr>
            <w:r w:rsidRPr="00256FD2">
              <w:rPr>
                <w:color w:val="000000"/>
              </w:rPr>
              <w:t>07/06/2014</w:t>
            </w:r>
          </w:p>
        </w:tc>
        <w:tc>
          <w:tcPr>
            <w:tcW w:w="1841" w:type="dxa"/>
          </w:tcPr>
          <w:p w14:paraId="38B2279B" w14:textId="77777777" w:rsidR="00F26EBE" w:rsidRPr="00256FD2" w:rsidRDefault="00F26EBE" w:rsidP="00B25BC6">
            <w:pPr>
              <w:pStyle w:val="Normal-pool-Table"/>
            </w:pPr>
            <w:r w:rsidRPr="00256FD2">
              <w:rPr>
                <w:color w:val="000000"/>
              </w:rPr>
              <w:t>05/03/2021</w:t>
            </w:r>
          </w:p>
        </w:tc>
        <w:tc>
          <w:tcPr>
            <w:tcW w:w="1989" w:type="dxa"/>
          </w:tcPr>
          <w:p w14:paraId="25A62EF7" w14:textId="77777777" w:rsidR="00F26EBE" w:rsidRPr="00256FD2" w:rsidRDefault="00F26EBE" w:rsidP="00B25BC6">
            <w:pPr>
              <w:pStyle w:val="Normal-pool-Table"/>
            </w:pPr>
            <w:r w:rsidRPr="00256FD2">
              <w:rPr>
                <w:color w:val="000000"/>
              </w:rPr>
              <w:t>Sans réponse</w:t>
            </w:r>
          </w:p>
        </w:tc>
      </w:tr>
      <w:tr w:rsidR="00F26EBE" w:rsidRPr="00256FD2" w14:paraId="1B2F8B8F" w14:textId="77777777" w:rsidTr="00B25BC6">
        <w:trPr>
          <w:jc w:val="right"/>
        </w:trPr>
        <w:tc>
          <w:tcPr>
            <w:tcW w:w="2835" w:type="dxa"/>
            <w:vAlign w:val="bottom"/>
          </w:tcPr>
          <w:p w14:paraId="71EBD753" w14:textId="77777777" w:rsidR="00F26EBE" w:rsidRPr="00256FD2" w:rsidRDefault="00F26EBE" w:rsidP="00B25BC6">
            <w:pPr>
              <w:pStyle w:val="Normal-pool-Table"/>
            </w:pPr>
            <w:r w:rsidRPr="00256FD2">
              <w:rPr>
                <w:color w:val="000000"/>
              </w:rPr>
              <w:t>Pakistan</w:t>
            </w:r>
          </w:p>
        </w:tc>
        <w:tc>
          <w:tcPr>
            <w:tcW w:w="1840" w:type="dxa"/>
          </w:tcPr>
          <w:p w14:paraId="7FB07B9E" w14:textId="77777777" w:rsidR="00F26EBE" w:rsidRPr="00256FD2" w:rsidRDefault="00F26EBE" w:rsidP="00B25BC6">
            <w:pPr>
              <w:pStyle w:val="Normal-pool-Table"/>
            </w:pPr>
            <w:r w:rsidRPr="00256FD2">
              <w:rPr>
                <w:color w:val="000000"/>
              </w:rPr>
              <w:t>06/10/2021</w:t>
            </w:r>
          </w:p>
        </w:tc>
        <w:tc>
          <w:tcPr>
            <w:tcW w:w="1841" w:type="dxa"/>
          </w:tcPr>
          <w:p w14:paraId="30834EF7" w14:textId="77777777" w:rsidR="00F26EBE" w:rsidRPr="00256FD2" w:rsidRDefault="00F26EBE" w:rsidP="00B25BC6">
            <w:pPr>
              <w:pStyle w:val="Normal-pool-Table"/>
            </w:pPr>
            <w:r w:rsidRPr="00256FD2">
              <w:rPr>
                <w:color w:val="000000"/>
              </w:rPr>
              <w:t>Non soumis</w:t>
            </w:r>
          </w:p>
        </w:tc>
        <w:tc>
          <w:tcPr>
            <w:tcW w:w="1989" w:type="dxa"/>
          </w:tcPr>
          <w:p w14:paraId="3879293B" w14:textId="77777777" w:rsidR="00F26EBE" w:rsidRPr="00256FD2" w:rsidRDefault="00F26EBE" w:rsidP="00B25BC6">
            <w:pPr>
              <w:pStyle w:val="Normal-pool-Table"/>
            </w:pPr>
            <w:r w:rsidRPr="00256FD2">
              <w:rPr>
                <w:color w:val="000000"/>
              </w:rPr>
              <w:t>Sans réponse</w:t>
            </w:r>
          </w:p>
        </w:tc>
      </w:tr>
      <w:tr w:rsidR="00F26EBE" w:rsidRPr="00256FD2" w14:paraId="733A1C2F" w14:textId="77777777" w:rsidTr="00B25BC6">
        <w:trPr>
          <w:jc w:val="right"/>
        </w:trPr>
        <w:tc>
          <w:tcPr>
            <w:tcW w:w="2835" w:type="dxa"/>
            <w:vAlign w:val="bottom"/>
          </w:tcPr>
          <w:p w14:paraId="0A09BF99" w14:textId="77777777" w:rsidR="00F26EBE" w:rsidRPr="00256FD2" w:rsidRDefault="00F26EBE" w:rsidP="00B25BC6">
            <w:pPr>
              <w:pStyle w:val="Normal-pool-Table"/>
            </w:pPr>
            <w:r w:rsidRPr="00256FD2">
              <w:rPr>
                <w:color w:val="000000"/>
              </w:rPr>
              <w:t>Paraguay</w:t>
            </w:r>
          </w:p>
        </w:tc>
        <w:tc>
          <w:tcPr>
            <w:tcW w:w="1840" w:type="dxa"/>
          </w:tcPr>
          <w:p w14:paraId="33081179" w14:textId="77777777" w:rsidR="00F26EBE" w:rsidRPr="00256FD2" w:rsidRDefault="00F26EBE" w:rsidP="00B25BC6">
            <w:pPr>
              <w:pStyle w:val="Normal-pool-Table"/>
            </w:pPr>
            <w:r w:rsidRPr="00256FD2">
              <w:rPr>
                <w:color w:val="000000"/>
              </w:rPr>
              <w:t>29/07/2015</w:t>
            </w:r>
          </w:p>
        </w:tc>
        <w:tc>
          <w:tcPr>
            <w:tcW w:w="1841" w:type="dxa"/>
          </w:tcPr>
          <w:p w14:paraId="57930DF8" w14:textId="77777777" w:rsidR="00F26EBE" w:rsidRPr="00256FD2" w:rsidRDefault="00F26EBE" w:rsidP="00B25BC6">
            <w:pPr>
              <w:pStyle w:val="Normal-pool-Table"/>
            </w:pPr>
            <w:r w:rsidRPr="00256FD2">
              <w:rPr>
                <w:color w:val="000000"/>
              </w:rPr>
              <w:t>29/12/2021</w:t>
            </w:r>
          </w:p>
        </w:tc>
        <w:tc>
          <w:tcPr>
            <w:tcW w:w="1989" w:type="dxa"/>
          </w:tcPr>
          <w:p w14:paraId="3F8BDA15" w14:textId="77777777" w:rsidR="00F26EBE" w:rsidRPr="00256FD2" w:rsidRDefault="00F26EBE" w:rsidP="00B25BC6">
            <w:pPr>
              <w:pStyle w:val="Normal-pool-Table"/>
            </w:pPr>
            <w:r w:rsidRPr="00256FD2">
              <w:rPr>
                <w:color w:val="000000"/>
              </w:rPr>
              <w:t>Réponse fournie</w:t>
            </w:r>
          </w:p>
        </w:tc>
      </w:tr>
      <w:tr w:rsidR="00F26EBE" w:rsidRPr="00256FD2" w14:paraId="13464814" w14:textId="77777777" w:rsidTr="00B25BC6">
        <w:trPr>
          <w:jc w:val="right"/>
        </w:trPr>
        <w:tc>
          <w:tcPr>
            <w:tcW w:w="2835" w:type="dxa"/>
            <w:vAlign w:val="bottom"/>
          </w:tcPr>
          <w:p w14:paraId="17583EFF" w14:textId="77777777" w:rsidR="00F26EBE" w:rsidRPr="00256FD2" w:rsidRDefault="00F26EBE" w:rsidP="00B25BC6">
            <w:pPr>
              <w:pStyle w:val="Normal-pool-Table"/>
            </w:pPr>
            <w:r w:rsidRPr="00256FD2">
              <w:rPr>
                <w:color w:val="000000"/>
              </w:rPr>
              <w:t>Pérou</w:t>
            </w:r>
          </w:p>
        </w:tc>
        <w:tc>
          <w:tcPr>
            <w:tcW w:w="1840" w:type="dxa"/>
          </w:tcPr>
          <w:p w14:paraId="2F75834C" w14:textId="77777777" w:rsidR="00F26EBE" w:rsidRPr="00256FD2" w:rsidRDefault="00F26EBE" w:rsidP="00B25BC6">
            <w:pPr>
              <w:pStyle w:val="Normal-pool-Table"/>
            </w:pPr>
            <w:r w:rsidRPr="00256FD2">
              <w:rPr>
                <w:color w:val="000000"/>
              </w:rPr>
              <w:t>08/05/2015</w:t>
            </w:r>
          </w:p>
        </w:tc>
        <w:tc>
          <w:tcPr>
            <w:tcW w:w="1841" w:type="dxa"/>
          </w:tcPr>
          <w:p w14:paraId="4A3AB919" w14:textId="77777777" w:rsidR="00F26EBE" w:rsidRPr="00256FD2" w:rsidRDefault="00F26EBE" w:rsidP="00B25BC6">
            <w:pPr>
              <w:pStyle w:val="Normal-pool-Table"/>
            </w:pPr>
            <w:r w:rsidRPr="00256FD2">
              <w:rPr>
                <w:color w:val="000000"/>
              </w:rPr>
              <w:t>Non soumis</w:t>
            </w:r>
          </w:p>
        </w:tc>
        <w:tc>
          <w:tcPr>
            <w:tcW w:w="1989" w:type="dxa"/>
          </w:tcPr>
          <w:p w14:paraId="49DBE0A7" w14:textId="77777777" w:rsidR="00F26EBE" w:rsidRPr="00256FD2" w:rsidRDefault="00F26EBE" w:rsidP="00B25BC6">
            <w:pPr>
              <w:pStyle w:val="Normal-pool-Table"/>
            </w:pPr>
            <w:r w:rsidRPr="00256FD2">
              <w:rPr>
                <w:color w:val="000000"/>
              </w:rPr>
              <w:t>Réponse fournie</w:t>
            </w:r>
          </w:p>
        </w:tc>
      </w:tr>
      <w:tr w:rsidR="00F26EBE" w:rsidRPr="00256FD2" w14:paraId="3779A1E9" w14:textId="77777777" w:rsidTr="00B25BC6">
        <w:trPr>
          <w:jc w:val="right"/>
        </w:trPr>
        <w:tc>
          <w:tcPr>
            <w:tcW w:w="2835" w:type="dxa"/>
            <w:vAlign w:val="bottom"/>
          </w:tcPr>
          <w:p w14:paraId="0A47DFD7" w14:textId="77777777" w:rsidR="00F26EBE" w:rsidRPr="00256FD2" w:rsidRDefault="00F26EBE" w:rsidP="00B25BC6">
            <w:pPr>
              <w:pStyle w:val="Normal-pool-Table"/>
            </w:pPr>
            <w:r w:rsidRPr="00256FD2">
              <w:rPr>
                <w:color w:val="000000"/>
              </w:rPr>
              <w:t>Philippines</w:t>
            </w:r>
          </w:p>
        </w:tc>
        <w:tc>
          <w:tcPr>
            <w:tcW w:w="1840" w:type="dxa"/>
          </w:tcPr>
          <w:p w14:paraId="0262F3E8" w14:textId="77777777" w:rsidR="00F26EBE" w:rsidRPr="00256FD2" w:rsidRDefault="00F26EBE" w:rsidP="00B25BC6">
            <w:pPr>
              <w:pStyle w:val="Normal-pool-Table"/>
            </w:pPr>
            <w:r w:rsidRPr="00256FD2">
              <w:rPr>
                <w:color w:val="000000"/>
              </w:rPr>
              <w:t>06/09/2016</w:t>
            </w:r>
          </w:p>
        </w:tc>
        <w:tc>
          <w:tcPr>
            <w:tcW w:w="1841" w:type="dxa"/>
          </w:tcPr>
          <w:p w14:paraId="2933B29F" w14:textId="77777777" w:rsidR="00F26EBE" w:rsidRPr="00256FD2" w:rsidRDefault="00F26EBE" w:rsidP="00B25BC6">
            <w:pPr>
              <w:pStyle w:val="Normal-pool-Table"/>
            </w:pPr>
            <w:r w:rsidRPr="00256FD2">
              <w:rPr>
                <w:color w:val="000000"/>
              </w:rPr>
              <w:t>Non soumis</w:t>
            </w:r>
          </w:p>
        </w:tc>
        <w:tc>
          <w:tcPr>
            <w:tcW w:w="1989" w:type="dxa"/>
          </w:tcPr>
          <w:p w14:paraId="3F583F1A" w14:textId="77777777" w:rsidR="00F26EBE" w:rsidRPr="00256FD2" w:rsidRDefault="00F26EBE" w:rsidP="00B25BC6">
            <w:pPr>
              <w:pStyle w:val="Normal-pool-Table"/>
            </w:pPr>
            <w:r w:rsidRPr="00256FD2">
              <w:rPr>
                <w:color w:val="000000"/>
              </w:rPr>
              <w:t>Sans réponse</w:t>
            </w:r>
          </w:p>
        </w:tc>
      </w:tr>
      <w:tr w:rsidR="00F26EBE" w:rsidRPr="00256FD2" w14:paraId="78C3800D" w14:textId="77777777" w:rsidTr="00B25BC6">
        <w:trPr>
          <w:jc w:val="right"/>
        </w:trPr>
        <w:tc>
          <w:tcPr>
            <w:tcW w:w="2835" w:type="dxa"/>
            <w:vAlign w:val="bottom"/>
          </w:tcPr>
          <w:p w14:paraId="50453CD6" w14:textId="77777777" w:rsidR="00F26EBE" w:rsidRPr="00256FD2" w:rsidRDefault="00F26EBE" w:rsidP="00B25BC6">
            <w:pPr>
              <w:pStyle w:val="Normal-pool-Table"/>
            </w:pPr>
            <w:r w:rsidRPr="00256FD2">
              <w:rPr>
                <w:color w:val="000000"/>
              </w:rPr>
              <w:t>République centrafricaine</w:t>
            </w:r>
          </w:p>
        </w:tc>
        <w:tc>
          <w:tcPr>
            <w:tcW w:w="1840" w:type="dxa"/>
          </w:tcPr>
          <w:p w14:paraId="0B3BCBBE" w14:textId="77777777" w:rsidR="00F26EBE" w:rsidRPr="00256FD2" w:rsidRDefault="00F26EBE" w:rsidP="00B25BC6">
            <w:pPr>
              <w:pStyle w:val="Normal-pool-Table"/>
            </w:pPr>
            <w:r w:rsidRPr="00256FD2">
              <w:rPr>
                <w:color w:val="000000"/>
              </w:rPr>
              <w:t>06/05/2015</w:t>
            </w:r>
          </w:p>
        </w:tc>
        <w:tc>
          <w:tcPr>
            <w:tcW w:w="1841" w:type="dxa"/>
          </w:tcPr>
          <w:p w14:paraId="1003DE04" w14:textId="77777777" w:rsidR="00F26EBE" w:rsidRPr="00256FD2" w:rsidRDefault="00F26EBE" w:rsidP="00B25BC6">
            <w:pPr>
              <w:pStyle w:val="Normal-pool-Table"/>
            </w:pPr>
            <w:r w:rsidRPr="00256FD2">
              <w:rPr>
                <w:color w:val="000000"/>
              </w:rPr>
              <w:t>18/01/2021</w:t>
            </w:r>
          </w:p>
        </w:tc>
        <w:tc>
          <w:tcPr>
            <w:tcW w:w="1989" w:type="dxa"/>
          </w:tcPr>
          <w:p w14:paraId="7F68F672" w14:textId="77777777" w:rsidR="00F26EBE" w:rsidRPr="00256FD2" w:rsidRDefault="00F26EBE" w:rsidP="00B25BC6">
            <w:pPr>
              <w:pStyle w:val="Normal-pool-Table"/>
            </w:pPr>
            <w:r w:rsidRPr="00256FD2">
              <w:rPr>
                <w:color w:val="000000"/>
              </w:rPr>
              <w:t>Sans réponse</w:t>
            </w:r>
          </w:p>
        </w:tc>
      </w:tr>
      <w:tr w:rsidR="00F26EBE" w:rsidRPr="00256FD2" w14:paraId="511CFA35" w14:textId="77777777" w:rsidTr="00B25BC6">
        <w:trPr>
          <w:jc w:val="right"/>
        </w:trPr>
        <w:tc>
          <w:tcPr>
            <w:tcW w:w="2835" w:type="dxa"/>
            <w:vAlign w:val="bottom"/>
          </w:tcPr>
          <w:p w14:paraId="7F1470AC" w14:textId="77777777" w:rsidR="00F26EBE" w:rsidRPr="00256FD2" w:rsidRDefault="00F26EBE" w:rsidP="00B25BC6">
            <w:pPr>
              <w:pStyle w:val="Normal-pool-Table"/>
            </w:pPr>
            <w:r w:rsidRPr="00256FD2">
              <w:rPr>
                <w:color w:val="000000"/>
              </w:rPr>
              <w:t>République démocratique populaire lao</w:t>
            </w:r>
          </w:p>
        </w:tc>
        <w:tc>
          <w:tcPr>
            <w:tcW w:w="1840" w:type="dxa"/>
          </w:tcPr>
          <w:p w14:paraId="4E3383B9" w14:textId="77777777" w:rsidR="00F26EBE" w:rsidRPr="00256FD2" w:rsidRDefault="00F26EBE" w:rsidP="00B25BC6">
            <w:pPr>
              <w:pStyle w:val="Normal-pool-Table"/>
            </w:pPr>
            <w:r w:rsidRPr="00256FD2">
              <w:rPr>
                <w:color w:val="000000"/>
              </w:rPr>
              <w:t>09/05/2016</w:t>
            </w:r>
          </w:p>
        </w:tc>
        <w:tc>
          <w:tcPr>
            <w:tcW w:w="1841" w:type="dxa"/>
          </w:tcPr>
          <w:p w14:paraId="2951392F" w14:textId="77777777" w:rsidR="00F26EBE" w:rsidRPr="00256FD2" w:rsidRDefault="00F26EBE" w:rsidP="00B25BC6">
            <w:pPr>
              <w:pStyle w:val="Normal-pool-Table"/>
            </w:pPr>
            <w:r w:rsidRPr="00256FD2">
              <w:rPr>
                <w:color w:val="000000"/>
              </w:rPr>
              <w:t>29/07/2021</w:t>
            </w:r>
          </w:p>
        </w:tc>
        <w:tc>
          <w:tcPr>
            <w:tcW w:w="1989" w:type="dxa"/>
          </w:tcPr>
          <w:p w14:paraId="2C0B85E9" w14:textId="77777777" w:rsidR="00F26EBE" w:rsidRPr="00256FD2" w:rsidRDefault="00F26EBE" w:rsidP="00B25BC6">
            <w:pPr>
              <w:pStyle w:val="Normal-pool-Table"/>
            </w:pPr>
            <w:r w:rsidRPr="00256FD2">
              <w:rPr>
                <w:color w:val="000000"/>
              </w:rPr>
              <w:t>Sans réponse</w:t>
            </w:r>
          </w:p>
        </w:tc>
      </w:tr>
      <w:tr w:rsidR="00F26EBE" w:rsidRPr="00256FD2" w14:paraId="75F0C6EE" w14:textId="77777777" w:rsidTr="00B25BC6">
        <w:trPr>
          <w:jc w:val="right"/>
        </w:trPr>
        <w:tc>
          <w:tcPr>
            <w:tcW w:w="2835" w:type="dxa"/>
            <w:vAlign w:val="bottom"/>
          </w:tcPr>
          <w:p w14:paraId="5FB7B6CB" w14:textId="77777777" w:rsidR="00F26EBE" w:rsidRPr="00256FD2" w:rsidRDefault="00F26EBE" w:rsidP="00B25BC6">
            <w:pPr>
              <w:pStyle w:val="Normal-pool-Table"/>
            </w:pPr>
            <w:r w:rsidRPr="00256FD2">
              <w:rPr>
                <w:color w:val="000000"/>
              </w:rPr>
              <w:t>République du Congo</w:t>
            </w:r>
          </w:p>
        </w:tc>
        <w:tc>
          <w:tcPr>
            <w:tcW w:w="1840" w:type="dxa"/>
          </w:tcPr>
          <w:p w14:paraId="25EC6709" w14:textId="77777777" w:rsidR="00F26EBE" w:rsidRPr="00256FD2" w:rsidRDefault="00F26EBE" w:rsidP="00B25BC6">
            <w:pPr>
              <w:pStyle w:val="Normal-pool-Table"/>
            </w:pPr>
            <w:r w:rsidRPr="00256FD2">
              <w:rPr>
                <w:color w:val="000000"/>
              </w:rPr>
              <w:t>05/12/2015</w:t>
            </w:r>
          </w:p>
        </w:tc>
        <w:tc>
          <w:tcPr>
            <w:tcW w:w="1841" w:type="dxa"/>
          </w:tcPr>
          <w:p w14:paraId="79397D36" w14:textId="77777777" w:rsidR="00F26EBE" w:rsidRPr="00256FD2" w:rsidRDefault="00F26EBE" w:rsidP="00B25BC6">
            <w:pPr>
              <w:pStyle w:val="Normal-pool-Table"/>
            </w:pPr>
            <w:r w:rsidRPr="00256FD2">
              <w:rPr>
                <w:color w:val="000000"/>
              </w:rPr>
              <w:t>18/08/2021</w:t>
            </w:r>
          </w:p>
        </w:tc>
        <w:tc>
          <w:tcPr>
            <w:tcW w:w="1989" w:type="dxa"/>
          </w:tcPr>
          <w:p w14:paraId="2D85829F" w14:textId="77777777" w:rsidR="00F26EBE" w:rsidRPr="00256FD2" w:rsidRDefault="00F26EBE" w:rsidP="00B25BC6">
            <w:pPr>
              <w:pStyle w:val="Normal-pool-Table"/>
            </w:pPr>
            <w:r w:rsidRPr="00256FD2">
              <w:rPr>
                <w:color w:val="000000"/>
              </w:rPr>
              <w:t>Sans réponse</w:t>
            </w:r>
          </w:p>
        </w:tc>
      </w:tr>
      <w:tr w:rsidR="00F26EBE" w:rsidRPr="00256FD2" w14:paraId="349223C6" w14:textId="77777777" w:rsidTr="00B25BC6">
        <w:trPr>
          <w:jc w:val="right"/>
        </w:trPr>
        <w:tc>
          <w:tcPr>
            <w:tcW w:w="2835" w:type="dxa"/>
            <w:vAlign w:val="bottom"/>
          </w:tcPr>
          <w:p w14:paraId="310C8901" w14:textId="77777777" w:rsidR="00F26EBE" w:rsidRPr="00256FD2" w:rsidRDefault="00F26EBE" w:rsidP="00B25BC6">
            <w:pPr>
              <w:pStyle w:val="Normal-pool-Table"/>
            </w:pPr>
            <w:r w:rsidRPr="00256FD2">
              <w:rPr>
                <w:color w:val="000000"/>
              </w:rPr>
              <w:t>République-Unie de Tanzanie</w:t>
            </w:r>
          </w:p>
        </w:tc>
        <w:tc>
          <w:tcPr>
            <w:tcW w:w="1840" w:type="dxa"/>
          </w:tcPr>
          <w:p w14:paraId="48F0BE9C" w14:textId="77777777" w:rsidR="00F26EBE" w:rsidRPr="00256FD2" w:rsidRDefault="00F26EBE" w:rsidP="00B25BC6">
            <w:pPr>
              <w:pStyle w:val="Normal-pool-Table"/>
              <w:rPr>
                <w:color w:val="000000"/>
              </w:rPr>
            </w:pPr>
            <w:r w:rsidRPr="00256FD2">
              <w:rPr>
                <w:color w:val="000000"/>
              </w:rPr>
              <w:t>20/07/2015</w:t>
            </w:r>
          </w:p>
        </w:tc>
        <w:tc>
          <w:tcPr>
            <w:tcW w:w="1841" w:type="dxa"/>
          </w:tcPr>
          <w:p w14:paraId="56CD38F1" w14:textId="77777777" w:rsidR="00F26EBE" w:rsidRPr="00256FD2" w:rsidRDefault="00F26EBE" w:rsidP="00B25BC6">
            <w:pPr>
              <w:pStyle w:val="Normal-pool-Table"/>
            </w:pPr>
            <w:r w:rsidRPr="00256FD2">
              <w:rPr>
                <w:color w:val="000000"/>
              </w:rPr>
              <w:t>25/02/2022</w:t>
            </w:r>
          </w:p>
        </w:tc>
        <w:tc>
          <w:tcPr>
            <w:tcW w:w="1989" w:type="dxa"/>
          </w:tcPr>
          <w:p w14:paraId="1A0E6054" w14:textId="77777777" w:rsidR="00F26EBE" w:rsidRPr="00256FD2" w:rsidRDefault="00F26EBE" w:rsidP="00B25BC6">
            <w:pPr>
              <w:pStyle w:val="Normal-pool-Table"/>
            </w:pPr>
            <w:r w:rsidRPr="00256FD2">
              <w:rPr>
                <w:color w:val="000000"/>
              </w:rPr>
              <w:t>Sans réponse</w:t>
            </w:r>
          </w:p>
        </w:tc>
      </w:tr>
      <w:tr w:rsidR="00F26EBE" w:rsidRPr="00256FD2" w14:paraId="6EFFABEB" w14:textId="77777777" w:rsidTr="00B25BC6">
        <w:trPr>
          <w:jc w:val="right"/>
        </w:trPr>
        <w:tc>
          <w:tcPr>
            <w:tcW w:w="2835" w:type="dxa"/>
            <w:vAlign w:val="bottom"/>
          </w:tcPr>
          <w:p w14:paraId="657331AD" w14:textId="77777777" w:rsidR="00F26EBE" w:rsidRPr="00256FD2" w:rsidRDefault="00F26EBE" w:rsidP="00B25BC6">
            <w:pPr>
              <w:pStyle w:val="Normal-pool-Table"/>
            </w:pPr>
            <w:r w:rsidRPr="00256FD2">
              <w:rPr>
                <w:color w:val="000000"/>
              </w:rPr>
              <w:t>Rwanda</w:t>
            </w:r>
          </w:p>
        </w:tc>
        <w:tc>
          <w:tcPr>
            <w:tcW w:w="1840" w:type="dxa"/>
          </w:tcPr>
          <w:p w14:paraId="0F45B662" w14:textId="77777777" w:rsidR="00F26EBE" w:rsidRPr="00256FD2" w:rsidRDefault="00F26EBE" w:rsidP="00B25BC6">
            <w:pPr>
              <w:pStyle w:val="Normal-pool-Table"/>
              <w:rPr>
                <w:color w:val="000000"/>
              </w:rPr>
            </w:pPr>
            <w:r w:rsidRPr="00256FD2">
              <w:rPr>
                <w:color w:val="000000"/>
              </w:rPr>
              <w:t>24/06/2016</w:t>
            </w:r>
          </w:p>
        </w:tc>
        <w:tc>
          <w:tcPr>
            <w:tcW w:w="1841" w:type="dxa"/>
          </w:tcPr>
          <w:p w14:paraId="00727CBC" w14:textId="77777777" w:rsidR="00F26EBE" w:rsidRPr="00256FD2" w:rsidRDefault="00F26EBE" w:rsidP="00B25BC6">
            <w:pPr>
              <w:pStyle w:val="Normal-pool-Table"/>
            </w:pPr>
            <w:r w:rsidRPr="00256FD2">
              <w:rPr>
                <w:color w:val="000000"/>
              </w:rPr>
              <w:t>14/12/2023</w:t>
            </w:r>
          </w:p>
        </w:tc>
        <w:tc>
          <w:tcPr>
            <w:tcW w:w="1989" w:type="dxa"/>
          </w:tcPr>
          <w:p w14:paraId="4327F570" w14:textId="77777777" w:rsidR="00F26EBE" w:rsidRPr="00256FD2" w:rsidRDefault="00F26EBE" w:rsidP="00B25BC6">
            <w:pPr>
              <w:pStyle w:val="Normal-pool-Table"/>
            </w:pPr>
            <w:r w:rsidRPr="00256FD2">
              <w:rPr>
                <w:color w:val="000000"/>
              </w:rPr>
              <w:t>Sans réponse</w:t>
            </w:r>
          </w:p>
        </w:tc>
      </w:tr>
      <w:tr w:rsidR="00F26EBE" w:rsidRPr="00256FD2" w14:paraId="6F09CA2A" w14:textId="77777777" w:rsidTr="00B25BC6">
        <w:trPr>
          <w:jc w:val="right"/>
        </w:trPr>
        <w:tc>
          <w:tcPr>
            <w:tcW w:w="2835" w:type="dxa"/>
            <w:vAlign w:val="bottom"/>
          </w:tcPr>
          <w:p w14:paraId="617340B1" w14:textId="77777777" w:rsidR="00F26EBE" w:rsidRPr="00256FD2" w:rsidRDefault="00F26EBE" w:rsidP="00B25BC6">
            <w:pPr>
              <w:pStyle w:val="Normal-pool-Table"/>
            </w:pPr>
            <w:r w:rsidRPr="00256FD2">
              <w:rPr>
                <w:color w:val="000000"/>
              </w:rPr>
              <w:t>Sénégal</w:t>
            </w:r>
          </w:p>
        </w:tc>
        <w:tc>
          <w:tcPr>
            <w:tcW w:w="1840" w:type="dxa"/>
          </w:tcPr>
          <w:p w14:paraId="1D85BCEA" w14:textId="77777777" w:rsidR="00F26EBE" w:rsidRPr="00256FD2" w:rsidRDefault="00F26EBE" w:rsidP="00B25BC6">
            <w:pPr>
              <w:pStyle w:val="Normal-pool-Table"/>
              <w:rPr>
                <w:color w:val="000000"/>
              </w:rPr>
            </w:pPr>
            <w:r w:rsidRPr="00256FD2">
              <w:rPr>
                <w:color w:val="000000"/>
              </w:rPr>
              <w:t>31/12/2016</w:t>
            </w:r>
          </w:p>
        </w:tc>
        <w:tc>
          <w:tcPr>
            <w:tcW w:w="1841" w:type="dxa"/>
          </w:tcPr>
          <w:p w14:paraId="2EAD2517" w14:textId="77777777" w:rsidR="00F26EBE" w:rsidRPr="00256FD2" w:rsidRDefault="00F26EBE" w:rsidP="00B25BC6">
            <w:pPr>
              <w:pStyle w:val="Normal-pool-Table"/>
            </w:pPr>
            <w:r w:rsidRPr="00256FD2">
              <w:rPr>
                <w:color w:val="000000"/>
              </w:rPr>
              <w:t>11/12/2019</w:t>
            </w:r>
          </w:p>
        </w:tc>
        <w:tc>
          <w:tcPr>
            <w:tcW w:w="1989" w:type="dxa"/>
          </w:tcPr>
          <w:p w14:paraId="4374B327" w14:textId="77777777" w:rsidR="00F26EBE" w:rsidRPr="00256FD2" w:rsidRDefault="00F26EBE" w:rsidP="00B25BC6">
            <w:pPr>
              <w:pStyle w:val="Normal-pool-Table"/>
            </w:pPr>
            <w:r w:rsidRPr="00256FD2">
              <w:rPr>
                <w:color w:val="000000"/>
              </w:rPr>
              <w:t>Sans réponse</w:t>
            </w:r>
          </w:p>
        </w:tc>
      </w:tr>
      <w:tr w:rsidR="00F26EBE" w:rsidRPr="00256FD2" w14:paraId="555BDDA2" w14:textId="77777777" w:rsidTr="00B25BC6">
        <w:trPr>
          <w:jc w:val="right"/>
        </w:trPr>
        <w:tc>
          <w:tcPr>
            <w:tcW w:w="2835" w:type="dxa"/>
            <w:vAlign w:val="bottom"/>
          </w:tcPr>
          <w:p w14:paraId="659D95C8" w14:textId="77777777" w:rsidR="00F26EBE" w:rsidRPr="00256FD2" w:rsidRDefault="00F26EBE" w:rsidP="00B25BC6">
            <w:pPr>
              <w:pStyle w:val="Normal-pool-Table"/>
            </w:pPr>
            <w:r w:rsidRPr="00256FD2">
              <w:rPr>
                <w:color w:val="000000"/>
              </w:rPr>
              <w:t>Sierra Leone</w:t>
            </w:r>
          </w:p>
        </w:tc>
        <w:tc>
          <w:tcPr>
            <w:tcW w:w="1840" w:type="dxa"/>
          </w:tcPr>
          <w:p w14:paraId="6988027B" w14:textId="77777777" w:rsidR="00F26EBE" w:rsidRPr="00256FD2" w:rsidRDefault="00F26EBE" w:rsidP="00B25BC6">
            <w:pPr>
              <w:pStyle w:val="Normal-pool-Table"/>
              <w:rPr>
                <w:color w:val="000000"/>
              </w:rPr>
            </w:pPr>
            <w:r w:rsidRPr="00256FD2">
              <w:rPr>
                <w:color w:val="000000"/>
              </w:rPr>
              <w:t>17/11/2015</w:t>
            </w:r>
          </w:p>
        </w:tc>
        <w:tc>
          <w:tcPr>
            <w:tcW w:w="1841" w:type="dxa"/>
          </w:tcPr>
          <w:p w14:paraId="21D406F2" w14:textId="77777777" w:rsidR="00F26EBE" w:rsidRPr="00256FD2" w:rsidRDefault="00F26EBE" w:rsidP="00B25BC6">
            <w:pPr>
              <w:pStyle w:val="Normal-pool-Table"/>
            </w:pPr>
            <w:r w:rsidRPr="00256FD2">
              <w:rPr>
                <w:color w:val="000000"/>
              </w:rPr>
              <w:t>19/08/2020</w:t>
            </w:r>
          </w:p>
        </w:tc>
        <w:tc>
          <w:tcPr>
            <w:tcW w:w="1989" w:type="dxa"/>
          </w:tcPr>
          <w:p w14:paraId="5E1B38B8" w14:textId="77777777" w:rsidR="00F26EBE" w:rsidRPr="00256FD2" w:rsidRDefault="00F26EBE" w:rsidP="00B25BC6">
            <w:pPr>
              <w:pStyle w:val="Normal-pool-Table"/>
            </w:pPr>
            <w:r w:rsidRPr="00256FD2">
              <w:rPr>
                <w:color w:val="000000"/>
              </w:rPr>
              <w:t>Sans réponse</w:t>
            </w:r>
          </w:p>
        </w:tc>
      </w:tr>
      <w:tr w:rsidR="00F26EBE" w:rsidRPr="00256FD2" w14:paraId="12B896DD" w14:textId="77777777" w:rsidTr="00B25BC6">
        <w:trPr>
          <w:jc w:val="right"/>
        </w:trPr>
        <w:tc>
          <w:tcPr>
            <w:tcW w:w="2835" w:type="dxa"/>
            <w:vAlign w:val="bottom"/>
          </w:tcPr>
          <w:p w14:paraId="4052742E" w14:textId="77777777" w:rsidR="00F26EBE" w:rsidRPr="00256FD2" w:rsidRDefault="00F26EBE" w:rsidP="00B25BC6">
            <w:pPr>
              <w:pStyle w:val="Normal-pool-Table"/>
            </w:pPr>
            <w:r w:rsidRPr="00256FD2">
              <w:rPr>
                <w:color w:val="000000"/>
              </w:rPr>
              <w:t>Suriname</w:t>
            </w:r>
          </w:p>
        </w:tc>
        <w:tc>
          <w:tcPr>
            <w:tcW w:w="1840" w:type="dxa"/>
          </w:tcPr>
          <w:p w14:paraId="363FEADE" w14:textId="77777777" w:rsidR="00F26EBE" w:rsidRPr="00256FD2" w:rsidRDefault="00F26EBE" w:rsidP="00B25BC6">
            <w:pPr>
              <w:pStyle w:val="Normal-pool-Table"/>
              <w:rPr>
                <w:color w:val="000000"/>
              </w:rPr>
            </w:pPr>
            <w:r w:rsidRPr="00256FD2">
              <w:rPr>
                <w:color w:val="000000"/>
              </w:rPr>
              <w:t>Non datée</w:t>
            </w:r>
          </w:p>
        </w:tc>
        <w:tc>
          <w:tcPr>
            <w:tcW w:w="1841" w:type="dxa"/>
          </w:tcPr>
          <w:p w14:paraId="4D221E8A" w14:textId="77777777" w:rsidR="00F26EBE" w:rsidRPr="00256FD2" w:rsidRDefault="00F26EBE" w:rsidP="00B25BC6">
            <w:pPr>
              <w:pStyle w:val="Normal-pool-Table"/>
            </w:pPr>
            <w:r w:rsidRPr="00256FD2">
              <w:rPr>
                <w:color w:val="000000"/>
              </w:rPr>
              <w:t>19/03/2024</w:t>
            </w:r>
          </w:p>
        </w:tc>
        <w:tc>
          <w:tcPr>
            <w:tcW w:w="1989" w:type="dxa"/>
          </w:tcPr>
          <w:p w14:paraId="30FA7072" w14:textId="77777777" w:rsidR="00F26EBE" w:rsidRPr="00256FD2" w:rsidRDefault="00F26EBE" w:rsidP="00B25BC6">
            <w:pPr>
              <w:pStyle w:val="Normal-pool-Table"/>
            </w:pPr>
            <w:r w:rsidRPr="00256FD2">
              <w:rPr>
                <w:color w:val="000000"/>
              </w:rPr>
              <w:t>Sans réponse</w:t>
            </w:r>
          </w:p>
        </w:tc>
      </w:tr>
      <w:tr w:rsidR="00F26EBE" w:rsidRPr="00256FD2" w14:paraId="59ABDAA8" w14:textId="77777777" w:rsidTr="00B25BC6">
        <w:trPr>
          <w:jc w:val="right"/>
        </w:trPr>
        <w:tc>
          <w:tcPr>
            <w:tcW w:w="2835" w:type="dxa"/>
            <w:vAlign w:val="bottom"/>
          </w:tcPr>
          <w:p w14:paraId="4E8060C5" w14:textId="77777777" w:rsidR="00F26EBE" w:rsidRPr="00256FD2" w:rsidRDefault="00F26EBE" w:rsidP="00B25BC6">
            <w:pPr>
              <w:pStyle w:val="Normal-pool-Table"/>
            </w:pPr>
            <w:r w:rsidRPr="00256FD2">
              <w:rPr>
                <w:color w:val="000000"/>
              </w:rPr>
              <w:t>Tchad</w:t>
            </w:r>
          </w:p>
        </w:tc>
        <w:tc>
          <w:tcPr>
            <w:tcW w:w="1840" w:type="dxa"/>
          </w:tcPr>
          <w:p w14:paraId="2E0D4028" w14:textId="77777777" w:rsidR="00F26EBE" w:rsidRPr="00256FD2" w:rsidRDefault="00F26EBE" w:rsidP="00B25BC6">
            <w:pPr>
              <w:pStyle w:val="Normal-pool-Table"/>
            </w:pPr>
            <w:r w:rsidRPr="00256FD2">
              <w:rPr>
                <w:color w:val="000000"/>
              </w:rPr>
              <w:t>29/07/2019</w:t>
            </w:r>
          </w:p>
        </w:tc>
        <w:tc>
          <w:tcPr>
            <w:tcW w:w="1841" w:type="dxa"/>
          </w:tcPr>
          <w:p w14:paraId="4D630929" w14:textId="77777777" w:rsidR="00F26EBE" w:rsidRPr="00256FD2" w:rsidRDefault="00F26EBE" w:rsidP="00B25BC6">
            <w:pPr>
              <w:pStyle w:val="Normal-pool-Table"/>
            </w:pPr>
            <w:r w:rsidRPr="00256FD2">
              <w:rPr>
                <w:color w:val="000000"/>
              </w:rPr>
              <w:t>19/09/2022</w:t>
            </w:r>
          </w:p>
        </w:tc>
        <w:tc>
          <w:tcPr>
            <w:tcW w:w="1989" w:type="dxa"/>
          </w:tcPr>
          <w:p w14:paraId="6B63406F" w14:textId="77777777" w:rsidR="00F26EBE" w:rsidRPr="00256FD2" w:rsidRDefault="00F26EBE" w:rsidP="00B25BC6">
            <w:pPr>
              <w:pStyle w:val="Normal-pool-Table"/>
            </w:pPr>
            <w:r w:rsidRPr="00256FD2">
              <w:rPr>
                <w:color w:val="000000"/>
              </w:rPr>
              <w:t>Réponse fournie</w:t>
            </w:r>
          </w:p>
        </w:tc>
      </w:tr>
      <w:tr w:rsidR="00F26EBE" w:rsidRPr="00256FD2" w14:paraId="35EA0D8C" w14:textId="77777777" w:rsidTr="00B25BC6">
        <w:trPr>
          <w:jc w:val="right"/>
        </w:trPr>
        <w:tc>
          <w:tcPr>
            <w:tcW w:w="2835" w:type="dxa"/>
            <w:vAlign w:val="bottom"/>
          </w:tcPr>
          <w:p w14:paraId="30F05472" w14:textId="77777777" w:rsidR="00F26EBE" w:rsidRPr="00256FD2" w:rsidRDefault="00F26EBE" w:rsidP="00B25BC6">
            <w:pPr>
              <w:pStyle w:val="Normal-pool-Table"/>
            </w:pPr>
            <w:r w:rsidRPr="00256FD2">
              <w:rPr>
                <w:color w:val="000000"/>
              </w:rPr>
              <w:t>Togo</w:t>
            </w:r>
          </w:p>
        </w:tc>
        <w:tc>
          <w:tcPr>
            <w:tcW w:w="1840" w:type="dxa"/>
          </w:tcPr>
          <w:p w14:paraId="0EE46518" w14:textId="77777777" w:rsidR="00F26EBE" w:rsidRPr="00256FD2" w:rsidRDefault="00F26EBE" w:rsidP="00B25BC6">
            <w:pPr>
              <w:pStyle w:val="Normal-pool-Table"/>
              <w:rPr>
                <w:color w:val="000000"/>
              </w:rPr>
            </w:pPr>
            <w:r w:rsidRPr="00256FD2">
              <w:rPr>
                <w:color w:val="000000"/>
              </w:rPr>
              <w:t>12/03/2020</w:t>
            </w:r>
          </w:p>
        </w:tc>
        <w:tc>
          <w:tcPr>
            <w:tcW w:w="1841" w:type="dxa"/>
          </w:tcPr>
          <w:p w14:paraId="6B070EBA" w14:textId="77777777" w:rsidR="00F26EBE" w:rsidRPr="00256FD2" w:rsidRDefault="00F26EBE" w:rsidP="00B25BC6">
            <w:pPr>
              <w:pStyle w:val="Normal-pool-Table"/>
            </w:pPr>
            <w:r w:rsidRPr="00256FD2">
              <w:rPr>
                <w:color w:val="000000"/>
              </w:rPr>
              <w:t>20/07/2023</w:t>
            </w:r>
          </w:p>
        </w:tc>
        <w:tc>
          <w:tcPr>
            <w:tcW w:w="1989" w:type="dxa"/>
          </w:tcPr>
          <w:p w14:paraId="08CCDA94" w14:textId="77777777" w:rsidR="00F26EBE" w:rsidRPr="00256FD2" w:rsidRDefault="00F26EBE" w:rsidP="00B25BC6">
            <w:pPr>
              <w:pStyle w:val="Normal-pool-Table"/>
            </w:pPr>
            <w:r w:rsidRPr="00256FD2">
              <w:rPr>
                <w:color w:val="000000"/>
              </w:rPr>
              <w:t>Sans réponse</w:t>
            </w:r>
          </w:p>
        </w:tc>
      </w:tr>
      <w:tr w:rsidR="00F26EBE" w:rsidRPr="00256FD2" w14:paraId="6F3FDA67" w14:textId="77777777" w:rsidTr="00B25BC6">
        <w:trPr>
          <w:jc w:val="right"/>
        </w:trPr>
        <w:tc>
          <w:tcPr>
            <w:tcW w:w="2835" w:type="dxa"/>
            <w:vAlign w:val="bottom"/>
          </w:tcPr>
          <w:p w14:paraId="6F168D06" w14:textId="77777777" w:rsidR="00F26EBE" w:rsidRPr="00256FD2" w:rsidRDefault="00F26EBE" w:rsidP="00B25BC6">
            <w:pPr>
              <w:pStyle w:val="Normal-pool-Table"/>
            </w:pPr>
            <w:r w:rsidRPr="00256FD2">
              <w:rPr>
                <w:color w:val="000000"/>
              </w:rPr>
              <w:t>Zambie</w:t>
            </w:r>
          </w:p>
        </w:tc>
        <w:tc>
          <w:tcPr>
            <w:tcW w:w="1840" w:type="dxa"/>
          </w:tcPr>
          <w:p w14:paraId="4F2CFEDD" w14:textId="77777777" w:rsidR="00F26EBE" w:rsidRPr="00256FD2" w:rsidRDefault="00F26EBE" w:rsidP="00B25BC6">
            <w:pPr>
              <w:pStyle w:val="Normal-pool-Table"/>
              <w:rPr>
                <w:color w:val="000000"/>
              </w:rPr>
            </w:pPr>
            <w:r w:rsidRPr="00256FD2">
              <w:rPr>
                <w:color w:val="000000"/>
              </w:rPr>
              <w:t>29/07/2015</w:t>
            </w:r>
          </w:p>
        </w:tc>
        <w:tc>
          <w:tcPr>
            <w:tcW w:w="1841" w:type="dxa"/>
          </w:tcPr>
          <w:p w14:paraId="0C3A3C7B" w14:textId="77777777" w:rsidR="00F26EBE" w:rsidRPr="00256FD2" w:rsidRDefault="00F26EBE" w:rsidP="00B25BC6">
            <w:pPr>
              <w:pStyle w:val="Normal-pool-Table"/>
            </w:pPr>
            <w:r w:rsidRPr="00256FD2">
              <w:rPr>
                <w:color w:val="000000"/>
              </w:rPr>
              <w:t>08/03/2023</w:t>
            </w:r>
          </w:p>
        </w:tc>
        <w:tc>
          <w:tcPr>
            <w:tcW w:w="1989" w:type="dxa"/>
          </w:tcPr>
          <w:p w14:paraId="312EE625" w14:textId="77777777" w:rsidR="00F26EBE" w:rsidRPr="00256FD2" w:rsidRDefault="00F26EBE" w:rsidP="00B25BC6">
            <w:pPr>
              <w:pStyle w:val="Normal-pool-Table"/>
            </w:pPr>
            <w:r w:rsidRPr="00256FD2">
              <w:rPr>
                <w:color w:val="000000"/>
              </w:rPr>
              <w:t>Sans réponse</w:t>
            </w:r>
          </w:p>
        </w:tc>
      </w:tr>
      <w:tr w:rsidR="00F26EBE" w:rsidRPr="00256FD2" w14:paraId="05695406" w14:textId="77777777" w:rsidTr="00B25BC6">
        <w:trPr>
          <w:jc w:val="right"/>
        </w:trPr>
        <w:tc>
          <w:tcPr>
            <w:tcW w:w="2835" w:type="dxa"/>
            <w:tcBorders>
              <w:bottom w:val="single" w:sz="12" w:space="0" w:color="auto"/>
            </w:tcBorders>
            <w:vAlign w:val="bottom"/>
          </w:tcPr>
          <w:p w14:paraId="7FAA8DC3" w14:textId="77777777" w:rsidR="00F26EBE" w:rsidRPr="00256FD2" w:rsidRDefault="00F26EBE" w:rsidP="00B25BC6">
            <w:pPr>
              <w:pStyle w:val="Normal-pool-Table"/>
            </w:pPr>
            <w:r w:rsidRPr="00256FD2">
              <w:rPr>
                <w:color w:val="000000"/>
              </w:rPr>
              <w:t>Zimbabwe</w:t>
            </w:r>
          </w:p>
        </w:tc>
        <w:tc>
          <w:tcPr>
            <w:tcW w:w="1840" w:type="dxa"/>
            <w:tcBorders>
              <w:bottom w:val="single" w:sz="12" w:space="0" w:color="auto"/>
            </w:tcBorders>
          </w:tcPr>
          <w:p w14:paraId="4D0D64DB" w14:textId="77777777" w:rsidR="00F26EBE" w:rsidRPr="00256FD2" w:rsidRDefault="00F26EBE" w:rsidP="00B25BC6">
            <w:pPr>
              <w:pStyle w:val="Normal-pool-Table"/>
              <w:rPr>
                <w:color w:val="000000"/>
              </w:rPr>
            </w:pPr>
            <w:r w:rsidRPr="00256FD2">
              <w:rPr>
                <w:color w:val="000000"/>
              </w:rPr>
              <w:t>19/06/2015</w:t>
            </w:r>
          </w:p>
        </w:tc>
        <w:tc>
          <w:tcPr>
            <w:tcW w:w="1841" w:type="dxa"/>
            <w:tcBorders>
              <w:bottom w:val="single" w:sz="12" w:space="0" w:color="auto"/>
            </w:tcBorders>
          </w:tcPr>
          <w:p w14:paraId="15E2F882" w14:textId="77777777" w:rsidR="00F26EBE" w:rsidRPr="00256FD2" w:rsidRDefault="00F26EBE" w:rsidP="00B25BC6">
            <w:pPr>
              <w:pStyle w:val="Normal-pool-Table"/>
            </w:pPr>
            <w:r w:rsidRPr="00256FD2">
              <w:rPr>
                <w:color w:val="000000"/>
              </w:rPr>
              <w:t>16/03/2021</w:t>
            </w:r>
          </w:p>
        </w:tc>
        <w:tc>
          <w:tcPr>
            <w:tcW w:w="1989" w:type="dxa"/>
            <w:tcBorders>
              <w:bottom w:val="single" w:sz="12" w:space="0" w:color="auto"/>
            </w:tcBorders>
          </w:tcPr>
          <w:p w14:paraId="3F6449A0" w14:textId="77777777" w:rsidR="00F26EBE" w:rsidRPr="00256FD2" w:rsidRDefault="00F26EBE" w:rsidP="00B25BC6">
            <w:pPr>
              <w:pStyle w:val="Normal-pool-Table"/>
            </w:pPr>
            <w:r w:rsidRPr="00256FD2">
              <w:rPr>
                <w:color w:val="000000"/>
              </w:rPr>
              <w:t>Sans réponse</w:t>
            </w:r>
          </w:p>
        </w:tc>
      </w:tr>
    </w:tbl>
    <w:p w14:paraId="7AC7E1BE" w14:textId="74635BF8" w:rsidR="001030F4" w:rsidRPr="00256FD2" w:rsidRDefault="00A23493" w:rsidP="00C57483">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ind w:left="1247"/>
        <w:rPr>
          <w:sz w:val="16"/>
          <w:szCs w:val="16"/>
        </w:rPr>
      </w:pPr>
      <w:r w:rsidRPr="00256FD2">
        <w:rPr>
          <w:sz w:val="16"/>
          <w:szCs w:val="16"/>
        </w:rPr>
        <w:tab/>
      </w:r>
      <w:proofErr w:type="gramStart"/>
      <w:r w:rsidRPr="00256FD2">
        <w:rPr>
          <w:i/>
          <w:iCs/>
          <w:sz w:val="16"/>
          <w:szCs w:val="16"/>
          <w:vertAlign w:val="superscript"/>
        </w:rPr>
        <w:t>a</w:t>
      </w:r>
      <w:proofErr w:type="gramEnd"/>
      <w:r w:rsidRPr="00256FD2">
        <w:rPr>
          <w:sz w:val="16"/>
          <w:szCs w:val="16"/>
        </w:rPr>
        <w:t xml:space="preserve"> La question 7.4 du </w:t>
      </w:r>
      <w:r w:rsidR="00BC66CE" w:rsidRPr="00256FD2">
        <w:rPr>
          <w:sz w:val="16"/>
          <w:szCs w:val="16"/>
        </w:rPr>
        <w:t xml:space="preserve">formulaire d’établissement des </w:t>
      </w:r>
      <w:r w:rsidRPr="00256FD2">
        <w:rPr>
          <w:sz w:val="16"/>
          <w:szCs w:val="16"/>
        </w:rPr>
        <w:t>rapport</w:t>
      </w:r>
      <w:r w:rsidR="00BC66CE" w:rsidRPr="00256FD2">
        <w:rPr>
          <w:sz w:val="16"/>
          <w:szCs w:val="16"/>
        </w:rPr>
        <w:t>s</w:t>
      </w:r>
      <w:r w:rsidRPr="00256FD2">
        <w:rPr>
          <w:sz w:val="16"/>
          <w:szCs w:val="16"/>
        </w:rPr>
        <w:t xml:space="preserve"> nationa</w:t>
      </w:r>
      <w:r w:rsidR="00BC66CE" w:rsidRPr="00256FD2">
        <w:rPr>
          <w:sz w:val="16"/>
          <w:szCs w:val="16"/>
        </w:rPr>
        <w:t>ux</w:t>
      </w:r>
      <w:r w:rsidRPr="00256FD2">
        <w:rPr>
          <w:sz w:val="16"/>
          <w:szCs w:val="16"/>
        </w:rPr>
        <w:t xml:space="preserve"> demande à la Partie concernée de joindre à son rapport national le compte rendu le plus récent qu</w:t>
      </w:r>
      <w:r w:rsidR="007C21C3" w:rsidRPr="00256FD2">
        <w:rPr>
          <w:sz w:val="16"/>
          <w:szCs w:val="16"/>
        </w:rPr>
        <w:t>’</w:t>
      </w:r>
      <w:r w:rsidRPr="00256FD2">
        <w:rPr>
          <w:sz w:val="16"/>
          <w:szCs w:val="16"/>
        </w:rPr>
        <w:t>elle a établi en application de l</w:t>
      </w:r>
      <w:r w:rsidR="007C21C3" w:rsidRPr="00256FD2">
        <w:rPr>
          <w:sz w:val="16"/>
          <w:szCs w:val="16"/>
        </w:rPr>
        <w:t>’</w:t>
      </w:r>
      <w:r w:rsidRPr="00256FD2">
        <w:rPr>
          <w:sz w:val="16"/>
          <w:szCs w:val="16"/>
        </w:rPr>
        <w:t>alinéa c) du paragraphe 3 de l</w:t>
      </w:r>
      <w:r w:rsidR="007C21C3" w:rsidRPr="00256FD2">
        <w:rPr>
          <w:sz w:val="16"/>
          <w:szCs w:val="16"/>
        </w:rPr>
        <w:t>’</w:t>
      </w:r>
      <w:r w:rsidRPr="00256FD2">
        <w:rPr>
          <w:sz w:val="16"/>
          <w:szCs w:val="16"/>
        </w:rPr>
        <w:t xml:space="preserve">article 7, </w:t>
      </w:r>
      <w:r w:rsidR="00F07077" w:rsidRPr="00256FD2">
        <w:rPr>
          <w:sz w:val="16"/>
          <w:szCs w:val="16"/>
        </w:rPr>
        <w:t>lequel</w:t>
      </w:r>
      <w:r w:rsidR="00F85ECB" w:rsidRPr="00256FD2">
        <w:rPr>
          <w:sz w:val="16"/>
          <w:szCs w:val="16"/>
        </w:rPr>
        <w:t> </w:t>
      </w:r>
      <w:r w:rsidRPr="00256FD2">
        <w:rPr>
          <w:sz w:val="16"/>
          <w:szCs w:val="16"/>
        </w:rPr>
        <w:t>traite du compte rendu des progrès accomplis par les Parties pour s</w:t>
      </w:r>
      <w:r w:rsidR="007C21C3" w:rsidRPr="00256FD2">
        <w:rPr>
          <w:sz w:val="16"/>
          <w:szCs w:val="16"/>
        </w:rPr>
        <w:t>’</w:t>
      </w:r>
      <w:r w:rsidRPr="00256FD2">
        <w:rPr>
          <w:sz w:val="16"/>
          <w:szCs w:val="16"/>
        </w:rPr>
        <w:t>acquitter de leurs obligations au titre de l</w:t>
      </w:r>
      <w:r w:rsidR="007C21C3" w:rsidRPr="00256FD2">
        <w:rPr>
          <w:sz w:val="16"/>
          <w:szCs w:val="16"/>
        </w:rPr>
        <w:t>’</w:t>
      </w:r>
      <w:r w:rsidRPr="00256FD2">
        <w:rPr>
          <w:sz w:val="16"/>
          <w:szCs w:val="16"/>
        </w:rPr>
        <w:t>article 7.</w:t>
      </w:r>
    </w:p>
    <w:p w14:paraId="491CE271" w14:textId="77777777" w:rsidR="006F406B" w:rsidRPr="00256FD2" w:rsidRDefault="006F406B" w:rsidP="001030F4">
      <w:pPr>
        <w:pStyle w:val="Normal-pool"/>
      </w:pPr>
    </w:p>
    <w:p w14:paraId="612C2298" w14:textId="6C3AB595" w:rsidR="001030F4" w:rsidRPr="00256FD2" w:rsidRDefault="001030F4" w:rsidP="006F406B">
      <w:pPr>
        <w:pStyle w:val="Titletable"/>
        <w:ind w:left="1253"/>
      </w:pPr>
      <w:r w:rsidRPr="00256FD2">
        <w:rPr>
          <w:b w:val="0"/>
          <w:bCs w:val="0"/>
        </w:rPr>
        <w:t>Tableau 2</w:t>
      </w:r>
      <w:r w:rsidR="007C21C3" w:rsidRPr="00256FD2">
        <w:br/>
      </w:r>
      <w:r w:rsidRPr="00256FD2">
        <w:t xml:space="preserve">États </w:t>
      </w:r>
      <w:proofErr w:type="gramStart"/>
      <w:r w:rsidRPr="00256FD2">
        <w:t>non parties</w:t>
      </w:r>
      <w:proofErr w:type="gramEnd"/>
      <w:r w:rsidRPr="00256FD2">
        <w:t xml:space="preserve"> ayant notifié au secrétariat que les activités d</w:t>
      </w:r>
      <w:r w:rsidR="007C21C3" w:rsidRPr="00256FD2">
        <w:t>’</w:t>
      </w:r>
      <w:r w:rsidRPr="00256FD2">
        <w:t>extraction minière et de transformation artisanales et à petite échelle d</w:t>
      </w:r>
      <w:r w:rsidR="007C21C3" w:rsidRPr="00256FD2">
        <w:t>’</w:t>
      </w:r>
      <w:r w:rsidRPr="00256FD2">
        <w:t>or utilisant l</w:t>
      </w:r>
      <w:r w:rsidR="007C21C3" w:rsidRPr="00256FD2">
        <w:t>’</w:t>
      </w:r>
      <w:r w:rsidRPr="00256FD2">
        <w:t>amalgamation au mercure menées sur leur territoire étaient non négligeables et état d</w:t>
      </w:r>
      <w:r w:rsidR="007C21C3" w:rsidRPr="00256FD2">
        <w:t>’</w:t>
      </w:r>
      <w:r w:rsidRPr="00256FD2">
        <w:t>avancement de</w:t>
      </w:r>
      <w:r w:rsidR="00BC66CE" w:rsidRPr="00256FD2">
        <w:t xml:space="preserve"> </w:t>
      </w:r>
      <w:r w:rsidRPr="00256FD2">
        <w:t>leur plan d</w:t>
      </w:r>
      <w:r w:rsidR="007C21C3" w:rsidRPr="00256FD2">
        <w:t>’</w:t>
      </w:r>
      <w:r w:rsidRPr="00256FD2">
        <w:t>action national</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3"/>
        <w:gridCol w:w="2448"/>
        <w:gridCol w:w="2596"/>
      </w:tblGrid>
      <w:tr w:rsidR="001030F4" w:rsidRPr="00256FD2" w14:paraId="4E2DCF93" w14:textId="77777777" w:rsidTr="00576A85">
        <w:trPr>
          <w:tblHeader/>
          <w:jc w:val="right"/>
        </w:trPr>
        <w:tc>
          <w:tcPr>
            <w:tcW w:w="3263" w:type="dxa"/>
            <w:tcBorders>
              <w:top w:val="single" w:sz="4" w:space="0" w:color="auto"/>
              <w:bottom w:val="single" w:sz="12" w:space="0" w:color="auto"/>
            </w:tcBorders>
            <w:vAlign w:val="bottom"/>
          </w:tcPr>
          <w:p w14:paraId="753802B3" w14:textId="603D61AF" w:rsidR="001030F4" w:rsidRPr="00256FD2" w:rsidRDefault="001030F4" w:rsidP="00B25BC6">
            <w:pPr>
              <w:pStyle w:val="Normal-pool-Table"/>
              <w:rPr>
                <w:i/>
                <w:iCs/>
              </w:rPr>
            </w:pPr>
            <w:r w:rsidRPr="00256FD2">
              <w:rPr>
                <w:i/>
                <w:iCs/>
                <w:color w:val="000000"/>
              </w:rPr>
              <w:t xml:space="preserve">État </w:t>
            </w:r>
            <w:proofErr w:type="gramStart"/>
            <w:r w:rsidRPr="00256FD2">
              <w:rPr>
                <w:i/>
                <w:iCs/>
                <w:color w:val="000000"/>
              </w:rPr>
              <w:t>non partie</w:t>
            </w:r>
            <w:proofErr w:type="gramEnd"/>
          </w:p>
        </w:tc>
        <w:tc>
          <w:tcPr>
            <w:tcW w:w="2448" w:type="dxa"/>
            <w:tcBorders>
              <w:top w:val="single" w:sz="4" w:space="0" w:color="auto"/>
              <w:bottom w:val="single" w:sz="12" w:space="0" w:color="auto"/>
            </w:tcBorders>
            <w:vAlign w:val="bottom"/>
          </w:tcPr>
          <w:p w14:paraId="00CC72EF" w14:textId="77777777" w:rsidR="001030F4" w:rsidRPr="00256FD2" w:rsidRDefault="001030F4" w:rsidP="00B25BC6">
            <w:pPr>
              <w:pStyle w:val="Normal-pool-Table"/>
              <w:rPr>
                <w:i/>
                <w:iCs/>
              </w:rPr>
            </w:pPr>
            <w:r w:rsidRPr="00256FD2">
              <w:rPr>
                <w:i/>
                <w:iCs/>
                <w:color w:val="000000"/>
              </w:rPr>
              <w:t>Date de notification</w:t>
            </w:r>
          </w:p>
        </w:tc>
        <w:tc>
          <w:tcPr>
            <w:tcW w:w="2596" w:type="dxa"/>
            <w:tcBorders>
              <w:top w:val="single" w:sz="4" w:space="0" w:color="auto"/>
              <w:bottom w:val="single" w:sz="12" w:space="0" w:color="auto"/>
            </w:tcBorders>
            <w:vAlign w:val="bottom"/>
          </w:tcPr>
          <w:p w14:paraId="3E61EF80" w14:textId="2BE701CC" w:rsidR="001030F4" w:rsidRPr="00256FD2" w:rsidRDefault="002C3162" w:rsidP="00B25BC6">
            <w:pPr>
              <w:pStyle w:val="Normal-pool-Table"/>
              <w:rPr>
                <w:i/>
                <w:iCs/>
              </w:rPr>
            </w:pPr>
            <w:r w:rsidRPr="00256FD2">
              <w:rPr>
                <w:i/>
                <w:iCs/>
                <w:color w:val="000000"/>
              </w:rPr>
              <w:t>État d</w:t>
            </w:r>
            <w:r w:rsidR="007C21C3" w:rsidRPr="00256FD2">
              <w:rPr>
                <w:i/>
                <w:iCs/>
                <w:color w:val="000000"/>
              </w:rPr>
              <w:t>’</w:t>
            </w:r>
            <w:r w:rsidRPr="00256FD2">
              <w:rPr>
                <w:i/>
                <w:iCs/>
                <w:color w:val="000000"/>
              </w:rPr>
              <w:t>avancement du plan d</w:t>
            </w:r>
            <w:r w:rsidR="007C21C3" w:rsidRPr="00256FD2">
              <w:rPr>
                <w:i/>
                <w:iCs/>
                <w:color w:val="000000"/>
              </w:rPr>
              <w:t>’</w:t>
            </w:r>
            <w:r w:rsidRPr="00256FD2">
              <w:rPr>
                <w:i/>
                <w:iCs/>
                <w:color w:val="000000"/>
              </w:rPr>
              <w:t>action national de l</w:t>
            </w:r>
            <w:r w:rsidR="007C21C3" w:rsidRPr="00256FD2">
              <w:rPr>
                <w:i/>
                <w:iCs/>
                <w:color w:val="000000"/>
              </w:rPr>
              <w:t>’</w:t>
            </w:r>
            <w:r w:rsidRPr="00256FD2">
              <w:rPr>
                <w:i/>
                <w:iCs/>
                <w:color w:val="000000"/>
              </w:rPr>
              <w:t xml:space="preserve">État </w:t>
            </w:r>
            <w:proofErr w:type="gramStart"/>
            <w:r w:rsidRPr="00256FD2">
              <w:rPr>
                <w:i/>
                <w:iCs/>
                <w:color w:val="000000"/>
              </w:rPr>
              <w:t>non</w:t>
            </w:r>
            <w:r w:rsidR="00FA3DC6" w:rsidRPr="00256FD2">
              <w:rPr>
                <w:i/>
                <w:iCs/>
                <w:color w:val="000000"/>
              </w:rPr>
              <w:t> </w:t>
            </w:r>
            <w:r w:rsidRPr="00256FD2">
              <w:rPr>
                <w:i/>
                <w:iCs/>
                <w:color w:val="000000"/>
              </w:rPr>
              <w:t>partie</w:t>
            </w:r>
            <w:proofErr w:type="gramEnd"/>
          </w:p>
        </w:tc>
      </w:tr>
      <w:tr w:rsidR="00576A85" w:rsidRPr="00256FD2" w14:paraId="3FA1CE3A" w14:textId="77777777" w:rsidTr="00576A85">
        <w:trPr>
          <w:jc w:val="right"/>
        </w:trPr>
        <w:tc>
          <w:tcPr>
            <w:tcW w:w="3263" w:type="dxa"/>
            <w:tcBorders>
              <w:top w:val="single" w:sz="12" w:space="0" w:color="auto"/>
            </w:tcBorders>
          </w:tcPr>
          <w:p w14:paraId="49B80FFD" w14:textId="77777777" w:rsidR="00576A85" w:rsidRPr="00256FD2" w:rsidRDefault="00576A85" w:rsidP="00B25BC6">
            <w:pPr>
              <w:pStyle w:val="Normal-pool-Table"/>
            </w:pPr>
            <w:r w:rsidRPr="00256FD2">
              <w:rPr>
                <w:color w:val="000000"/>
              </w:rPr>
              <w:t>Angola</w:t>
            </w:r>
          </w:p>
        </w:tc>
        <w:tc>
          <w:tcPr>
            <w:tcW w:w="2448" w:type="dxa"/>
            <w:tcBorders>
              <w:top w:val="single" w:sz="12" w:space="0" w:color="auto"/>
            </w:tcBorders>
          </w:tcPr>
          <w:p w14:paraId="354A46C9" w14:textId="77777777" w:rsidR="00576A85" w:rsidRPr="00256FD2" w:rsidRDefault="00576A85" w:rsidP="00B25BC6">
            <w:pPr>
              <w:pStyle w:val="Normal-pool-Table"/>
            </w:pPr>
            <w:r w:rsidRPr="00256FD2">
              <w:rPr>
                <w:color w:val="000000"/>
              </w:rPr>
              <w:t>28/08/2018</w:t>
            </w:r>
          </w:p>
        </w:tc>
        <w:tc>
          <w:tcPr>
            <w:tcW w:w="2596" w:type="dxa"/>
            <w:tcBorders>
              <w:top w:val="single" w:sz="12" w:space="0" w:color="auto"/>
            </w:tcBorders>
          </w:tcPr>
          <w:p w14:paraId="7D8A59BE" w14:textId="77777777" w:rsidR="00576A85" w:rsidRPr="00256FD2" w:rsidRDefault="00576A85" w:rsidP="00B25BC6">
            <w:pPr>
              <w:pStyle w:val="Normal-pool-Table"/>
            </w:pPr>
            <w:r w:rsidRPr="00256FD2">
              <w:rPr>
                <w:color w:val="000000"/>
              </w:rPr>
              <w:t>Non soumis</w:t>
            </w:r>
          </w:p>
        </w:tc>
      </w:tr>
      <w:tr w:rsidR="00576A85" w:rsidRPr="00256FD2" w14:paraId="04F35242" w14:textId="77777777" w:rsidTr="00576A85">
        <w:trPr>
          <w:jc w:val="right"/>
        </w:trPr>
        <w:tc>
          <w:tcPr>
            <w:tcW w:w="3263" w:type="dxa"/>
          </w:tcPr>
          <w:p w14:paraId="3D7158D1" w14:textId="77777777" w:rsidR="00576A85" w:rsidRPr="00256FD2" w:rsidRDefault="00576A85" w:rsidP="00B25BC6">
            <w:pPr>
              <w:pStyle w:val="Normal-pool-Table"/>
            </w:pPr>
            <w:r w:rsidRPr="00256FD2">
              <w:rPr>
                <w:color w:val="000000"/>
              </w:rPr>
              <w:t>Kirghizistan</w:t>
            </w:r>
          </w:p>
        </w:tc>
        <w:tc>
          <w:tcPr>
            <w:tcW w:w="2448" w:type="dxa"/>
          </w:tcPr>
          <w:p w14:paraId="40692A49" w14:textId="77777777" w:rsidR="00576A85" w:rsidRPr="00256FD2" w:rsidRDefault="00576A85" w:rsidP="00B25BC6">
            <w:pPr>
              <w:pStyle w:val="Normal-pool-Table"/>
            </w:pPr>
            <w:r w:rsidRPr="00256FD2">
              <w:rPr>
                <w:color w:val="000000"/>
              </w:rPr>
              <w:t>24/06/2016</w:t>
            </w:r>
          </w:p>
        </w:tc>
        <w:tc>
          <w:tcPr>
            <w:tcW w:w="2596" w:type="dxa"/>
          </w:tcPr>
          <w:p w14:paraId="1D87FCA0" w14:textId="77777777" w:rsidR="00576A85" w:rsidRPr="00256FD2" w:rsidRDefault="00576A85" w:rsidP="00B25BC6">
            <w:pPr>
              <w:pStyle w:val="Normal-pool-Table"/>
            </w:pPr>
            <w:r w:rsidRPr="00256FD2">
              <w:rPr>
                <w:color w:val="000000"/>
              </w:rPr>
              <w:t>Soumis le 13/09/2022</w:t>
            </w:r>
          </w:p>
        </w:tc>
      </w:tr>
      <w:tr w:rsidR="00576A85" w:rsidRPr="00256FD2" w14:paraId="09367876" w14:textId="77777777" w:rsidTr="00576A85">
        <w:trPr>
          <w:jc w:val="right"/>
        </w:trPr>
        <w:tc>
          <w:tcPr>
            <w:tcW w:w="3263" w:type="dxa"/>
          </w:tcPr>
          <w:p w14:paraId="2124EAC7" w14:textId="53DE84E9" w:rsidR="00576A85" w:rsidRPr="00256FD2" w:rsidRDefault="00576A85" w:rsidP="00576A85">
            <w:pPr>
              <w:pStyle w:val="Normal-pool-Table"/>
              <w:rPr>
                <w:color w:val="000000"/>
              </w:rPr>
            </w:pPr>
            <w:r w:rsidRPr="00256FD2">
              <w:rPr>
                <w:color w:val="000000"/>
              </w:rPr>
              <w:t>Myanmar</w:t>
            </w:r>
          </w:p>
        </w:tc>
        <w:tc>
          <w:tcPr>
            <w:tcW w:w="2448" w:type="dxa"/>
          </w:tcPr>
          <w:p w14:paraId="204FAAFD" w14:textId="1A9DC932" w:rsidR="00576A85" w:rsidRPr="00256FD2" w:rsidRDefault="00576A85" w:rsidP="00576A85">
            <w:pPr>
              <w:pStyle w:val="Normal-pool-Table"/>
              <w:rPr>
                <w:color w:val="000000"/>
              </w:rPr>
            </w:pPr>
            <w:r w:rsidRPr="00256FD2">
              <w:rPr>
                <w:color w:val="000000"/>
              </w:rPr>
              <w:t>18/10/2016</w:t>
            </w:r>
          </w:p>
        </w:tc>
        <w:tc>
          <w:tcPr>
            <w:tcW w:w="2596" w:type="dxa"/>
          </w:tcPr>
          <w:p w14:paraId="2B5F7C76" w14:textId="323C41E1" w:rsidR="00576A85" w:rsidRPr="00256FD2" w:rsidRDefault="00576A85" w:rsidP="00576A85">
            <w:pPr>
              <w:pStyle w:val="Normal-pool-Table"/>
              <w:rPr>
                <w:color w:val="000000"/>
              </w:rPr>
            </w:pPr>
            <w:r w:rsidRPr="00256FD2">
              <w:rPr>
                <w:color w:val="000000"/>
              </w:rPr>
              <w:t>Non soumis</w:t>
            </w:r>
          </w:p>
        </w:tc>
      </w:tr>
      <w:tr w:rsidR="00576A85" w:rsidRPr="00256FD2" w14:paraId="7C0813E5" w14:textId="77777777" w:rsidTr="00576A85">
        <w:trPr>
          <w:jc w:val="right"/>
        </w:trPr>
        <w:tc>
          <w:tcPr>
            <w:tcW w:w="3263" w:type="dxa"/>
            <w:tcBorders>
              <w:bottom w:val="single" w:sz="12" w:space="0" w:color="auto"/>
            </w:tcBorders>
          </w:tcPr>
          <w:p w14:paraId="05A75013" w14:textId="671D5D80" w:rsidR="00576A85" w:rsidRPr="00256FD2" w:rsidRDefault="00576A85" w:rsidP="00576A85">
            <w:pPr>
              <w:pStyle w:val="Normal-pool-Table"/>
            </w:pPr>
            <w:r w:rsidRPr="00256FD2">
              <w:rPr>
                <w:color w:val="000000"/>
              </w:rPr>
              <w:t>République démocratique du Congo</w:t>
            </w:r>
          </w:p>
        </w:tc>
        <w:tc>
          <w:tcPr>
            <w:tcW w:w="2448" w:type="dxa"/>
            <w:tcBorders>
              <w:bottom w:val="single" w:sz="12" w:space="0" w:color="auto"/>
            </w:tcBorders>
          </w:tcPr>
          <w:p w14:paraId="7EB78ED0" w14:textId="6C98D8FB" w:rsidR="00576A85" w:rsidRPr="00256FD2" w:rsidRDefault="00576A85" w:rsidP="00576A85">
            <w:pPr>
              <w:pStyle w:val="Normal-pool-Table"/>
            </w:pPr>
            <w:r w:rsidRPr="00256FD2">
              <w:rPr>
                <w:color w:val="000000"/>
              </w:rPr>
              <w:t>25/02/2016</w:t>
            </w:r>
          </w:p>
        </w:tc>
        <w:tc>
          <w:tcPr>
            <w:tcW w:w="2596" w:type="dxa"/>
            <w:tcBorders>
              <w:bottom w:val="single" w:sz="12" w:space="0" w:color="auto"/>
            </w:tcBorders>
          </w:tcPr>
          <w:p w14:paraId="62EEBE51" w14:textId="3EC8FB16" w:rsidR="00576A85" w:rsidRPr="00256FD2" w:rsidRDefault="00576A85" w:rsidP="00576A85">
            <w:pPr>
              <w:pStyle w:val="Normal-pool-Table"/>
            </w:pPr>
            <w:r w:rsidRPr="00256FD2">
              <w:rPr>
                <w:color w:val="000000"/>
              </w:rPr>
              <w:t>Soumis le 19/08/2020</w:t>
            </w:r>
          </w:p>
        </w:tc>
      </w:tr>
    </w:tbl>
    <w:p w14:paraId="29006740" w14:textId="77777777" w:rsidR="001030F4" w:rsidRPr="00256FD2" w:rsidRDefault="001030F4" w:rsidP="001030F4">
      <w:pPr>
        <w:pStyle w:val="Normal-pool"/>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30F4" w:rsidRPr="00256FD2" w14:paraId="0F2CC9F8" w14:textId="77777777" w:rsidTr="00B25BC6">
        <w:tc>
          <w:tcPr>
            <w:tcW w:w="1897" w:type="dxa"/>
          </w:tcPr>
          <w:p w14:paraId="0F85BC53" w14:textId="77777777" w:rsidR="001030F4" w:rsidRPr="00256FD2" w:rsidRDefault="001030F4" w:rsidP="00737735">
            <w:pPr>
              <w:pStyle w:val="Normal-pool"/>
            </w:pPr>
          </w:p>
        </w:tc>
        <w:tc>
          <w:tcPr>
            <w:tcW w:w="1897" w:type="dxa"/>
          </w:tcPr>
          <w:p w14:paraId="189666DD" w14:textId="77777777" w:rsidR="001030F4" w:rsidRPr="00256FD2" w:rsidRDefault="001030F4" w:rsidP="00737735">
            <w:pPr>
              <w:pStyle w:val="Normal-pool"/>
            </w:pPr>
          </w:p>
        </w:tc>
        <w:tc>
          <w:tcPr>
            <w:tcW w:w="1897" w:type="dxa"/>
            <w:tcBorders>
              <w:bottom w:val="single" w:sz="4" w:space="0" w:color="auto"/>
            </w:tcBorders>
          </w:tcPr>
          <w:p w14:paraId="5CF4F44A" w14:textId="77777777" w:rsidR="001030F4" w:rsidRPr="00256FD2" w:rsidRDefault="001030F4" w:rsidP="00737735">
            <w:pPr>
              <w:pStyle w:val="Normal-pool"/>
            </w:pPr>
          </w:p>
        </w:tc>
        <w:tc>
          <w:tcPr>
            <w:tcW w:w="1897" w:type="dxa"/>
          </w:tcPr>
          <w:p w14:paraId="3C4CAA14" w14:textId="77777777" w:rsidR="001030F4" w:rsidRPr="00256FD2" w:rsidRDefault="001030F4" w:rsidP="00737735">
            <w:pPr>
              <w:pStyle w:val="Normal-pool"/>
            </w:pPr>
          </w:p>
        </w:tc>
        <w:tc>
          <w:tcPr>
            <w:tcW w:w="1898" w:type="dxa"/>
          </w:tcPr>
          <w:p w14:paraId="64258A05" w14:textId="77777777" w:rsidR="001030F4" w:rsidRPr="00256FD2" w:rsidRDefault="001030F4" w:rsidP="00737735">
            <w:pPr>
              <w:pStyle w:val="Normal-pool"/>
            </w:pPr>
          </w:p>
        </w:tc>
      </w:tr>
    </w:tbl>
    <w:p w14:paraId="65D2C83D" w14:textId="137A49A8" w:rsidR="00C56FEF" w:rsidRPr="00256FD2" w:rsidRDefault="00C56FEF" w:rsidP="00737735">
      <w:pPr>
        <w:pStyle w:val="Normal-pool"/>
        <w:rPr>
          <w:rFonts w:eastAsiaTheme="minorEastAsia"/>
          <w:sz w:val="2"/>
          <w:szCs w:val="2"/>
        </w:rPr>
      </w:pPr>
    </w:p>
    <w:sectPr w:rsidR="00C56FEF" w:rsidRPr="00256FD2" w:rsidSect="001A28A4">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CC52" w14:textId="77777777" w:rsidR="00EA1D6B" w:rsidRPr="001A28A4" w:rsidRDefault="00EA1D6B">
      <w:r w:rsidRPr="001A28A4">
        <w:separator/>
      </w:r>
    </w:p>
  </w:endnote>
  <w:endnote w:type="continuationSeparator" w:id="0">
    <w:p w14:paraId="05C7539D" w14:textId="77777777" w:rsidR="00EA1D6B" w:rsidRPr="001A28A4" w:rsidRDefault="00EA1D6B">
      <w:r w:rsidRPr="001A2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16C8" w14:textId="7A2FA1D4" w:rsidR="007A36F8" w:rsidRPr="004D0F4E" w:rsidRDefault="001A28A4" w:rsidP="001A28A4">
    <w:pPr>
      <w:pStyle w:val="Footer-pool"/>
      <w:rPr>
        <w:b w:val="0"/>
        <w:bCs/>
      </w:rPr>
    </w:pPr>
    <w:r w:rsidRPr="004D0F4E">
      <w:rPr>
        <w:rStyle w:val="PageNumber"/>
        <w:b/>
        <w:bCs/>
      </w:rPr>
      <w:fldChar w:fldCharType="begin"/>
    </w:r>
    <w:r w:rsidRPr="004D0F4E">
      <w:rPr>
        <w:rStyle w:val="PageNumber"/>
        <w:b/>
        <w:bCs/>
      </w:rPr>
      <w:instrText xml:space="preserve"> PAGE </w:instrText>
    </w:r>
    <w:r w:rsidRPr="004D0F4E">
      <w:rPr>
        <w:rStyle w:val="PageNumber"/>
        <w:b/>
        <w:bCs/>
      </w:rPr>
      <w:fldChar w:fldCharType="separate"/>
    </w:r>
    <w:r w:rsidRPr="004D0F4E">
      <w:rPr>
        <w:rStyle w:val="PageNumber"/>
        <w:b/>
        <w:bCs/>
        <w:noProof/>
      </w:rPr>
      <w:t>10</w:t>
    </w:r>
    <w:r w:rsidRPr="004D0F4E">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CBB" w14:textId="1060F7C8" w:rsidR="007A36F8" w:rsidRPr="004D0F4E" w:rsidRDefault="001A28A4" w:rsidP="001A28A4">
    <w:pPr>
      <w:pStyle w:val="Footer-pool"/>
      <w:jc w:val="right"/>
      <w:rPr>
        <w:b w:val="0"/>
        <w:bCs/>
      </w:rPr>
    </w:pPr>
    <w:r w:rsidRPr="004D0F4E">
      <w:rPr>
        <w:rStyle w:val="PageNumber"/>
        <w:b/>
        <w:bCs/>
      </w:rPr>
      <w:fldChar w:fldCharType="begin"/>
    </w:r>
    <w:r w:rsidRPr="004D0F4E">
      <w:rPr>
        <w:rStyle w:val="PageNumber"/>
        <w:b/>
        <w:bCs/>
      </w:rPr>
      <w:instrText xml:space="preserve"> PAGE \* MERGEFORMAT </w:instrText>
    </w:r>
    <w:r w:rsidRPr="004D0F4E">
      <w:rPr>
        <w:rStyle w:val="PageNumber"/>
        <w:b/>
        <w:bCs/>
      </w:rPr>
      <w:fldChar w:fldCharType="separate"/>
    </w:r>
    <w:r w:rsidRPr="004D0F4E">
      <w:rPr>
        <w:rStyle w:val="PageNumber"/>
        <w:b/>
        <w:bCs/>
        <w:noProof/>
      </w:rPr>
      <w:t>9</w:t>
    </w:r>
    <w:r w:rsidRPr="004D0F4E">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3265" w14:textId="36E50C09" w:rsidR="00C56FEF" w:rsidRPr="001A28A4" w:rsidRDefault="001A28A4" w:rsidP="001A28A4">
    <w:pPr>
      <w:pStyle w:val="Footer-jobnumber"/>
    </w:pPr>
    <w:bookmarkStart w:id="10" w:name="FooterJobDate"/>
    <w:r w:rsidRPr="001A28A4">
      <w:t>K</w:t>
    </w:r>
    <w:r w:rsidR="00E80565">
      <w:t>2512239</w:t>
    </w:r>
    <w:r w:rsidRPr="001A28A4">
      <w:t>[F]</w:t>
    </w:r>
    <w:r w:rsidRPr="001A28A4">
      <w:tab/>
    </w:r>
    <w:r w:rsidR="002D22A0">
      <w:t>1</w:t>
    </w:r>
    <w:r w:rsidR="004C22C7">
      <w:t>7</w:t>
    </w:r>
    <w:r w:rsidRPr="001A28A4">
      <w:t>0925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E57E" w14:textId="77777777" w:rsidR="00EA1D6B" w:rsidRPr="001A28A4" w:rsidRDefault="00EA1D6B" w:rsidP="001A28A4">
      <w:pPr>
        <w:pStyle w:val="Footnote-Separator"/>
        <w:ind w:left="624"/>
        <w:rPr>
          <w:szCs w:val="18"/>
        </w:rPr>
      </w:pPr>
      <w:r w:rsidRPr="001A28A4">
        <w:separator/>
      </w:r>
    </w:p>
  </w:footnote>
  <w:footnote w:type="continuationSeparator" w:id="0">
    <w:p w14:paraId="37739F84" w14:textId="77777777" w:rsidR="00EA1D6B" w:rsidRPr="001A28A4" w:rsidRDefault="00EA1D6B" w:rsidP="001A28A4">
      <w:pPr>
        <w:pStyle w:val="Footnote-Separator"/>
      </w:pPr>
      <w:r w:rsidRPr="001A28A4">
        <w:continuationSeparator/>
      </w:r>
    </w:p>
  </w:footnote>
  <w:footnote w:type="continuationNotice" w:id="1">
    <w:p w14:paraId="5278CF8D" w14:textId="77777777" w:rsidR="00EA1D6B" w:rsidRPr="001A28A4" w:rsidRDefault="00EA1D6B" w:rsidP="001A28A4">
      <w:pPr>
        <w:pStyle w:val="ASpacer"/>
      </w:pPr>
    </w:p>
  </w:footnote>
  <w:footnote w:id="2">
    <w:p w14:paraId="5B7FF91B" w14:textId="01F39676" w:rsidR="00E80565" w:rsidRPr="00E80565" w:rsidRDefault="00E80565" w:rsidP="00CE391A">
      <w:pPr>
        <w:pStyle w:val="Footnote-Text"/>
      </w:pPr>
      <w:r w:rsidRPr="00E80565">
        <w:rPr>
          <w:rStyle w:val="FootnoteReference"/>
          <w:rFonts w:eastAsia="SimSun"/>
          <w:vertAlign w:val="baseline"/>
        </w:rPr>
        <w:t>*</w:t>
      </w:r>
      <w:r w:rsidRPr="00E80565">
        <w:t xml:space="preserve"> </w:t>
      </w:r>
      <w:r w:rsidR="00CE391A" w:rsidRPr="001030F4">
        <w:t>UNEP/MC/COP.6/1</w:t>
      </w:r>
      <w:r w:rsidR="004C22C7">
        <w:t>/Rev.1</w:t>
      </w:r>
      <w:r w:rsidR="00CE391A" w:rsidRPr="001030F4">
        <w:t>.</w:t>
      </w:r>
    </w:p>
  </w:footnote>
  <w:footnote w:id="3">
    <w:p w14:paraId="7C10FAAA" w14:textId="75A76533" w:rsidR="001030F4" w:rsidRPr="001A28A4" w:rsidRDefault="001A28A4" w:rsidP="001A28A4">
      <w:pPr>
        <w:pStyle w:val="Footnote-Text"/>
      </w:pPr>
      <w:r w:rsidRPr="001A28A4">
        <w:rPr>
          <w:rStyle w:val="FootnoteReference"/>
          <w:rFonts w:eastAsia="SimSun"/>
          <w:sz w:val="20"/>
        </w:rPr>
        <w:footnoteRef/>
      </w:r>
      <w:r w:rsidR="001030F4" w:rsidRPr="001A28A4">
        <w:t xml:space="preserve"> Voir le document UNEP/MC/COP.6/INF/13.</w:t>
      </w:r>
    </w:p>
  </w:footnote>
  <w:footnote w:id="4">
    <w:p w14:paraId="326D393B" w14:textId="2EFE1DF1" w:rsidR="001030F4" w:rsidRPr="001A28A4" w:rsidRDefault="001A28A4" w:rsidP="001A28A4">
      <w:pPr>
        <w:pStyle w:val="Footnote-Text"/>
      </w:pPr>
      <w:r w:rsidRPr="001A28A4">
        <w:rPr>
          <w:rStyle w:val="FootnoteReference"/>
          <w:rFonts w:eastAsia="SimSun"/>
          <w:sz w:val="20"/>
        </w:rPr>
        <w:footnoteRef/>
      </w:r>
      <w:r w:rsidR="001030F4" w:rsidRPr="001A28A4">
        <w:t xml:space="preserve"> Le PNUE, par l</w:t>
      </w:r>
      <w:r w:rsidR="007C21C3" w:rsidRPr="001A28A4">
        <w:t>’</w:t>
      </w:r>
      <w:r w:rsidR="001030F4" w:rsidRPr="001A28A4">
        <w:t>intermédiaire du secrétariat du Partenariat mondial sur le mercure et du domaine de ce dernier relatif à l</w:t>
      </w:r>
      <w:r w:rsidR="007C21C3" w:rsidRPr="001A28A4">
        <w:t>’</w:t>
      </w:r>
      <w:r w:rsidR="001030F4" w:rsidRPr="001A28A4">
        <w:t>extraction minière artisanale et à petite échelle d</w:t>
      </w:r>
      <w:r w:rsidR="007C21C3" w:rsidRPr="001A28A4">
        <w:t>’</w:t>
      </w:r>
      <w:r w:rsidR="001030F4" w:rsidRPr="001A28A4">
        <w:t>or, appu</w:t>
      </w:r>
      <w:r w:rsidR="00AC5D4F" w:rsidRPr="001A28A4">
        <w:t>ie</w:t>
      </w:r>
      <w:r w:rsidR="001030F4" w:rsidRPr="001A28A4">
        <w:t xml:space="preserve"> une composante globale de gestion des connaissances dans le cadre des projets </w:t>
      </w:r>
      <w:r w:rsidR="00AC5D4F" w:rsidRPr="001A28A4">
        <w:t>relatifs aux</w:t>
      </w:r>
      <w:r w:rsidR="001030F4" w:rsidRPr="001A28A4">
        <w:t xml:space="preserve"> plans d</w:t>
      </w:r>
      <w:r w:rsidR="007C21C3" w:rsidRPr="001A28A4">
        <w:t>’</w:t>
      </w:r>
      <w:r w:rsidR="001030F4" w:rsidRPr="001A28A4">
        <w:t>action nationaux financés par le FEM et mis en œuvre par le PNUE. Il s</w:t>
      </w:r>
      <w:r w:rsidR="007C21C3" w:rsidRPr="001A28A4">
        <w:t>’</w:t>
      </w:r>
      <w:r w:rsidR="001030F4" w:rsidRPr="001A28A4">
        <w:t>agi</w:t>
      </w:r>
      <w:r w:rsidR="00AC5D4F" w:rsidRPr="001A28A4">
        <w:t>t n</w:t>
      </w:r>
      <w:r w:rsidR="001030F4" w:rsidRPr="001A28A4">
        <w:t>otamment de maintenir le pôle de connaissances sur les plans d</w:t>
      </w:r>
      <w:r w:rsidR="007C21C3" w:rsidRPr="001A28A4">
        <w:t>’</w:t>
      </w:r>
      <w:r w:rsidR="001030F4" w:rsidRPr="001A28A4">
        <w:t>action nationaux, d</w:t>
      </w:r>
      <w:r w:rsidR="007C21C3" w:rsidRPr="001A28A4">
        <w:t>’</w:t>
      </w:r>
      <w:r w:rsidR="001030F4" w:rsidRPr="001A28A4">
        <w:t>organiser des manifestations d</w:t>
      </w:r>
      <w:r w:rsidR="007C21C3" w:rsidRPr="001A28A4">
        <w:t>’</w:t>
      </w:r>
      <w:r w:rsidR="001030F4" w:rsidRPr="001A28A4">
        <w:t>échange des expériences et des séminaires en ligne, de créer des tableaux de bord dynamiques pour suivre les progrès en matière de plans d</w:t>
      </w:r>
      <w:r w:rsidR="007C21C3" w:rsidRPr="001A28A4">
        <w:t>’</w:t>
      </w:r>
      <w:r w:rsidR="001030F4" w:rsidRPr="001A28A4">
        <w:t>action nationaux et de fournir une assistance technique sur mesure à chaque pays.</w:t>
      </w:r>
    </w:p>
  </w:footnote>
  <w:footnote w:id="5">
    <w:p w14:paraId="51D086ED" w14:textId="7D8AE0BD" w:rsidR="00AE3F14" w:rsidRPr="001A28A4" w:rsidRDefault="001A28A4" w:rsidP="001A28A4">
      <w:pPr>
        <w:pStyle w:val="Footnote-Text"/>
      </w:pPr>
      <w:r w:rsidRPr="001A28A4">
        <w:rPr>
          <w:rStyle w:val="FootnoteReference"/>
          <w:rFonts w:eastAsia="SimSun"/>
          <w:sz w:val="20"/>
        </w:rPr>
        <w:footnoteRef/>
      </w:r>
      <w:r w:rsidR="00AE3F14" w:rsidRPr="001A28A4">
        <w:t xml:space="preserve"> La date de notification retenue est celle à partir de laquelle le délai de soumission du plan d</w:t>
      </w:r>
      <w:r w:rsidR="007C21C3" w:rsidRPr="001A28A4">
        <w:t>’</w:t>
      </w:r>
      <w:r w:rsidR="00AE3F14" w:rsidRPr="001A28A4">
        <w:t xml:space="preserve">action national est calculé. Tout État </w:t>
      </w:r>
      <w:r w:rsidR="006612E9">
        <w:t>p</w:t>
      </w:r>
      <w:r w:rsidR="00AE3F14" w:rsidRPr="001A28A4">
        <w:t xml:space="preserve">artie ou non </w:t>
      </w:r>
      <w:r w:rsidR="00CF74CE" w:rsidRPr="001A28A4">
        <w:t>p</w:t>
      </w:r>
      <w:r w:rsidR="00AE3F14" w:rsidRPr="001A28A4">
        <w:t>artie qui adresse une notification au secrétariat conformément au paragraphe</w:t>
      </w:r>
      <w:r w:rsidR="000A25F3">
        <w:t> </w:t>
      </w:r>
      <w:r w:rsidR="00AE3F14" w:rsidRPr="001A28A4">
        <w:t>3 de l</w:t>
      </w:r>
      <w:r w:rsidR="007C21C3" w:rsidRPr="001A28A4">
        <w:t>’</w:t>
      </w:r>
      <w:r w:rsidR="00AE3F14" w:rsidRPr="001A28A4">
        <w:t>article</w:t>
      </w:r>
      <w:r w:rsidR="00FA2F66">
        <w:t> </w:t>
      </w:r>
      <w:r w:rsidR="00AE3F14" w:rsidRPr="001A28A4">
        <w:t>7 de la Convention doit soumettre son plan d</w:t>
      </w:r>
      <w:r w:rsidR="007C21C3" w:rsidRPr="001A28A4">
        <w:t>’</w:t>
      </w:r>
      <w:r w:rsidR="00AE3F14" w:rsidRPr="001A28A4">
        <w:t>action national trois</w:t>
      </w:r>
      <w:r w:rsidR="00FA2F66">
        <w:t> </w:t>
      </w:r>
      <w:r w:rsidR="00AE3F14" w:rsidRPr="001A28A4">
        <w:t>ans après la date de</w:t>
      </w:r>
      <w:r w:rsidR="00427887" w:rsidRPr="001A28A4">
        <w:t xml:space="preserve"> la</w:t>
      </w:r>
      <w:r w:rsidR="00AE3F14" w:rsidRPr="001A28A4">
        <w:t xml:space="preserve"> notification, ou trois ans après l</w:t>
      </w:r>
      <w:r w:rsidR="007C21C3" w:rsidRPr="001A28A4">
        <w:t>’</w:t>
      </w:r>
      <w:r w:rsidR="00AE3F14" w:rsidRPr="001A28A4">
        <w:t>entrée en vigueur de la Convention à son égard, la date la plus tardive étant retenue.</w:t>
      </w:r>
    </w:p>
  </w:footnote>
  <w:footnote w:id="6">
    <w:p w14:paraId="6883463A" w14:textId="353DAC3F" w:rsidR="001030F4" w:rsidRPr="001A28A4" w:rsidRDefault="001A28A4" w:rsidP="001A28A4">
      <w:pPr>
        <w:pStyle w:val="Footnote-Text"/>
      </w:pPr>
      <w:r w:rsidRPr="001A28A4">
        <w:rPr>
          <w:rStyle w:val="FootnoteReference"/>
          <w:rFonts w:eastAsia="SimSun"/>
          <w:sz w:val="20"/>
        </w:rPr>
        <w:footnoteRef/>
      </w:r>
      <w:r w:rsidR="001030F4" w:rsidRPr="001A28A4">
        <w:t xml:space="preserve"> Deux</w:t>
      </w:r>
      <w:r w:rsidR="00C330A2">
        <w:t> </w:t>
      </w:r>
      <w:r w:rsidR="001030F4" w:rsidRPr="001A28A4">
        <w:t>Parties ont joint leur plan d</w:t>
      </w:r>
      <w:r w:rsidR="007C21C3" w:rsidRPr="001A28A4">
        <w:t>’</w:t>
      </w:r>
      <w:r w:rsidR="001030F4" w:rsidRPr="001A28A4">
        <w:t>action national, auquel l</w:t>
      </w:r>
      <w:r w:rsidR="007C21C3" w:rsidRPr="001A28A4">
        <w:t>’</w:t>
      </w:r>
      <w:r w:rsidR="001030F4" w:rsidRPr="001A28A4">
        <w:t>une a ajouté une étude sectorielle nationale qui a servi de base à son plan et l</w:t>
      </w:r>
      <w:r w:rsidR="007C21C3" w:rsidRPr="001A28A4">
        <w:t>’</w:t>
      </w:r>
      <w:r w:rsidR="001030F4" w:rsidRPr="001A28A4">
        <w:t>autre un rapport juridique décrivant les fondements juridiques, techniques et stratégiques de son plan.</w:t>
      </w:r>
    </w:p>
  </w:footnote>
  <w:footnote w:id="7">
    <w:p w14:paraId="0F29FE9B" w14:textId="58658150" w:rsidR="001030F4" w:rsidRPr="001A28A4" w:rsidRDefault="001A28A4" w:rsidP="001A28A4">
      <w:pPr>
        <w:pStyle w:val="Footnote-Text"/>
      </w:pPr>
      <w:r w:rsidRPr="001A28A4">
        <w:rPr>
          <w:rStyle w:val="FootnoteReference"/>
          <w:rFonts w:eastAsia="SimSun"/>
          <w:sz w:val="20"/>
        </w:rPr>
        <w:footnoteRef/>
      </w:r>
      <w:r w:rsidR="001030F4" w:rsidRPr="001A28A4">
        <w:t xml:space="preserve"> Le Document d</w:t>
      </w:r>
      <w:r w:rsidR="007C21C3" w:rsidRPr="001A28A4">
        <w:t>’</w:t>
      </w:r>
      <w:r w:rsidR="001030F4" w:rsidRPr="001A28A4">
        <w:t>orientation actualisé sur l</w:t>
      </w:r>
      <w:r w:rsidR="007C21C3" w:rsidRPr="001A28A4">
        <w:t>’</w:t>
      </w:r>
      <w:r w:rsidR="001030F4" w:rsidRPr="001A28A4">
        <w:t>élaboration d</w:t>
      </w:r>
      <w:r w:rsidR="007C21C3" w:rsidRPr="001A28A4">
        <w:t>’</w:t>
      </w:r>
      <w:r w:rsidR="001030F4" w:rsidRPr="001A28A4">
        <w:t>un plan d</w:t>
      </w:r>
      <w:r w:rsidR="007C21C3" w:rsidRPr="001A28A4">
        <w:t>’</w:t>
      </w:r>
      <w:r w:rsidR="001030F4" w:rsidRPr="001A28A4">
        <w:t>action national pour réduire et, si possible, éliminer l</w:t>
      </w:r>
      <w:r w:rsidR="007C21C3" w:rsidRPr="001A28A4">
        <w:t>’</w:t>
      </w:r>
      <w:r w:rsidR="001030F4" w:rsidRPr="001A28A4">
        <w:t>utilisation de mercure pour l</w:t>
      </w:r>
      <w:r w:rsidR="007C21C3" w:rsidRPr="001A28A4">
        <w:t>’</w:t>
      </w:r>
      <w:r w:rsidR="001030F4" w:rsidRPr="001A28A4">
        <w:t>extraction artisanale et à petite échelle d</w:t>
      </w:r>
      <w:r w:rsidR="007C21C3" w:rsidRPr="001A28A4">
        <w:t>’</w:t>
      </w:r>
      <w:r w:rsidR="001030F4" w:rsidRPr="001A28A4">
        <w:t>or est consultable à l</w:t>
      </w:r>
      <w:r w:rsidR="007C21C3" w:rsidRPr="001A28A4">
        <w:t>’</w:t>
      </w:r>
      <w:r w:rsidR="001030F4" w:rsidRPr="001A28A4">
        <w:t>adresse suivante</w:t>
      </w:r>
      <w:r w:rsidR="007C21C3" w:rsidRPr="001A28A4">
        <w:t> :</w:t>
      </w:r>
      <w:r w:rsidR="001030F4" w:rsidRPr="001A28A4">
        <w:t xml:space="preserve"> </w:t>
      </w:r>
      <w:hyperlink r:id="rId1" w:history="1">
        <w:r w:rsidR="006E515E" w:rsidRPr="001A28A4">
          <w:rPr>
            <w:rStyle w:val="Hyperlink"/>
          </w:rPr>
          <w:t>https://minamataconvention.org/en/documents/guidance-developing-national-action-plan-reduce-and-where-feasible-eliminate-mercury-use</w:t>
        </w:r>
      </w:hyperlink>
      <w:r w:rsidR="001030F4" w:rsidRPr="001A28A4">
        <w:t>.</w:t>
      </w:r>
      <w:hyperlink r:id="rId2" w:history="1"/>
    </w:p>
  </w:footnote>
  <w:footnote w:id="8">
    <w:p w14:paraId="59194A7D" w14:textId="1881833E" w:rsidR="001030F4" w:rsidRPr="001A28A4" w:rsidRDefault="001A28A4" w:rsidP="001A28A4">
      <w:pPr>
        <w:pStyle w:val="Footnote-Text"/>
      </w:pPr>
      <w:r w:rsidRPr="001A28A4">
        <w:rPr>
          <w:rStyle w:val="FootnoteReference"/>
          <w:rFonts w:eastAsia="SimSun"/>
          <w:sz w:val="20"/>
        </w:rPr>
        <w:footnoteRef/>
      </w:r>
      <w:r w:rsidR="001030F4" w:rsidRPr="001A28A4">
        <w:t xml:space="preserve"> Cinq observations ont été reçues, formulées par une Partie, une organisation gouvernementale internationale et trois organisations de peuples autochtones.</w:t>
      </w:r>
    </w:p>
  </w:footnote>
  <w:footnote w:id="9">
    <w:p w14:paraId="3A4B7082" w14:textId="1011A64D" w:rsidR="001030F4" w:rsidRPr="001A28A4" w:rsidRDefault="001A28A4" w:rsidP="001A28A4">
      <w:pPr>
        <w:pStyle w:val="Footnote-Text"/>
      </w:pPr>
      <w:r w:rsidRPr="001A28A4">
        <w:rPr>
          <w:rStyle w:val="FootnoteReference"/>
          <w:rFonts w:eastAsia="SimSun"/>
          <w:sz w:val="20"/>
        </w:rPr>
        <w:footnoteRef/>
      </w:r>
      <w:r w:rsidR="001030F4" w:rsidRPr="001A28A4">
        <w:t xml:space="preserve"> Consultable à l</w:t>
      </w:r>
      <w:r w:rsidR="007C21C3" w:rsidRPr="001A28A4">
        <w:t>’</w:t>
      </w:r>
      <w:r w:rsidR="001030F4" w:rsidRPr="001A28A4">
        <w:t>adresse suivante</w:t>
      </w:r>
      <w:r w:rsidR="007C21C3" w:rsidRPr="001A28A4">
        <w:t> :</w:t>
      </w:r>
      <w:r w:rsidR="001030F4" w:rsidRPr="001A28A4">
        <w:t xml:space="preserve"> </w:t>
      </w:r>
      <w:hyperlink r:id="rId3" w:history="1">
        <w:r w:rsidR="00040EC1" w:rsidRPr="001A28A4">
          <w:rPr>
            <w:rStyle w:val="Hyperlink"/>
          </w:rPr>
          <w:t>https://minamataconvention.org/en/resources/monitoring-mercury-and-around-artisanal-and-small-scale-gold-mining-sites</w:t>
        </w:r>
      </w:hyperlink>
      <w:r w:rsidR="001030F4" w:rsidRPr="001A28A4">
        <w:t>.</w:t>
      </w:r>
      <w:hyperlink r:id="rId4" w:history="1"/>
    </w:p>
  </w:footnote>
  <w:footnote w:id="10">
    <w:p w14:paraId="7B27EF8F" w14:textId="4202535F" w:rsidR="001030F4" w:rsidRPr="001A28A4" w:rsidRDefault="001A28A4" w:rsidP="001A28A4">
      <w:pPr>
        <w:pStyle w:val="Footnote-Text"/>
      </w:pPr>
      <w:r w:rsidRPr="001A28A4">
        <w:rPr>
          <w:rStyle w:val="FootnoteReference"/>
          <w:rFonts w:eastAsia="SimSun"/>
          <w:sz w:val="20"/>
        </w:rPr>
        <w:footnoteRef/>
      </w:r>
      <w:r w:rsidR="001030F4" w:rsidRPr="001A28A4">
        <w:t xml:space="preserve"> Le forum mondial du programme </w:t>
      </w:r>
      <w:proofErr w:type="spellStart"/>
      <w:r w:rsidR="001030F4" w:rsidRPr="001A28A4">
        <w:t>planetGOLD</w:t>
      </w:r>
      <w:proofErr w:type="spellEnd"/>
      <w:r w:rsidR="001030F4" w:rsidRPr="001A28A4">
        <w:t xml:space="preserve"> sur l</w:t>
      </w:r>
      <w:r w:rsidR="007C21C3" w:rsidRPr="001A28A4">
        <w:t>’</w:t>
      </w:r>
      <w:r w:rsidR="001030F4" w:rsidRPr="001A28A4">
        <w:t>extraction minière artisanale et à petite échelle d</w:t>
      </w:r>
      <w:r w:rsidR="007C21C3" w:rsidRPr="001A28A4">
        <w:t>’</w:t>
      </w:r>
      <w:r w:rsidR="001030F4" w:rsidRPr="001A28A4">
        <w:t>or s</w:t>
      </w:r>
      <w:r w:rsidR="007C21C3" w:rsidRPr="001A28A4">
        <w:t>’</w:t>
      </w:r>
      <w:r w:rsidR="001030F4" w:rsidRPr="001A28A4">
        <w:t xml:space="preserve">est </w:t>
      </w:r>
      <w:r w:rsidR="008D4B66" w:rsidRPr="001A28A4">
        <w:t>déroulé</w:t>
      </w:r>
      <w:r w:rsidR="001030F4" w:rsidRPr="001A28A4">
        <w:t xml:space="preserve"> du 3 au 5 juin 2024 à Batangas (Philippines). La manifestation a réuni un ensemble divers de parties prenantes, y</w:t>
      </w:r>
      <w:r w:rsidR="00292E2E">
        <w:t> </w:t>
      </w:r>
      <w:r w:rsidR="001030F4" w:rsidRPr="001A28A4">
        <w:t>compris des représentant(e)s de mineur(se)s, des fonctionnaires, des organismes internationaux, des expert(e)s techniques et des membres du secteur privé, qui ont échangé des données, des idées et les enseignements tirés de leurs expériences pour faire avancer la formalisation du secteur de l</w:t>
      </w:r>
      <w:r w:rsidR="007C21C3" w:rsidRPr="001A28A4">
        <w:t>’</w:t>
      </w:r>
      <w:r w:rsidR="001030F4" w:rsidRPr="001A28A4">
        <w:t>extraction minière artisanale et à petite échelle d</w:t>
      </w:r>
      <w:r w:rsidR="007C21C3" w:rsidRPr="001A28A4">
        <w:t>’</w:t>
      </w:r>
      <w:r w:rsidR="001030F4" w:rsidRPr="001A28A4">
        <w:t>or et progresser vers un avenir sans mercure. Le forum était soutenu par le FEM et dirigé par le PNUE, en partenariat avec le secrétariat de la Convention de Minamata, la fondation Conservation International, le Programme des Nations</w:t>
      </w:r>
      <w:r w:rsidR="000B2297">
        <w:t> </w:t>
      </w:r>
      <w:r w:rsidR="001030F4" w:rsidRPr="001A28A4">
        <w:t>Unies pour le développement et l</w:t>
      </w:r>
      <w:r w:rsidR="007C21C3" w:rsidRPr="001A28A4">
        <w:t>’</w:t>
      </w:r>
      <w:r w:rsidR="001030F4" w:rsidRPr="001A28A4">
        <w:t>ONUDI.</w:t>
      </w:r>
    </w:p>
  </w:footnote>
  <w:footnote w:id="11">
    <w:p w14:paraId="461E33F7" w14:textId="713A7ED1" w:rsidR="001030F4" w:rsidRPr="001A28A4" w:rsidRDefault="001A28A4" w:rsidP="001A28A4">
      <w:pPr>
        <w:pStyle w:val="Footnote-Text"/>
      </w:pPr>
      <w:r w:rsidRPr="001A28A4">
        <w:rPr>
          <w:rStyle w:val="FootnoteReference"/>
          <w:rFonts w:eastAsia="SimSun"/>
          <w:sz w:val="20"/>
        </w:rPr>
        <w:footnoteRef/>
      </w:r>
      <w:r w:rsidR="001030F4" w:rsidRPr="001A28A4">
        <w:t xml:space="preserve"> Le paragraphe</w:t>
      </w:r>
      <w:r w:rsidR="002C3EB8">
        <w:t> </w:t>
      </w:r>
      <w:r w:rsidR="001030F4" w:rsidRPr="001A28A4">
        <w:t>3 de l</w:t>
      </w:r>
      <w:r w:rsidR="007C21C3" w:rsidRPr="001A28A4">
        <w:t>’</w:t>
      </w:r>
      <w:r w:rsidR="001030F4" w:rsidRPr="001A28A4">
        <w:t>article</w:t>
      </w:r>
      <w:r w:rsidR="002C3EB8">
        <w:t> </w:t>
      </w:r>
      <w:r w:rsidR="001030F4" w:rsidRPr="001A28A4">
        <w:t>7 de la Convention de</w:t>
      </w:r>
      <w:r w:rsidR="002C3EB8">
        <w:t> </w:t>
      </w:r>
      <w:r w:rsidR="001030F4" w:rsidRPr="001A28A4">
        <w:t>Minamata sur le mercure prévoit que toute Partie qui, à n</w:t>
      </w:r>
      <w:r w:rsidR="007C21C3" w:rsidRPr="001A28A4">
        <w:t>’</w:t>
      </w:r>
      <w:r w:rsidR="001030F4" w:rsidRPr="001A28A4">
        <w:t>importe quel moment, constate que les activités d</w:t>
      </w:r>
      <w:r w:rsidR="007C21C3" w:rsidRPr="001A28A4">
        <w:t>’</w:t>
      </w:r>
      <w:r w:rsidR="001030F4" w:rsidRPr="001A28A4">
        <w:t>extraction minière et de transformation artisanales et à petite échelle d</w:t>
      </w:r>
      <w:r w:rsidR="007C21C3" w:rsidRPr="001A28A4">
        <w:t>’</w:t>
      </w:r>
      <w:r w:rsidR="001030F4" w:rsidRPr="001A28A4">
        <w:t xml:space="preserve">or menées sur son territoire sont non négligeables notifie ce fait au </w:t>
      </w:r>
      <w:r w:rsidR="00E01972">
        <w:t>s</w:t>
      </w:r>
      <w:r w:rsidR="001030F4" w:rsidRPr="001A28A4">
        <w:t>ecrétariat. Dans ce cas, la Partie</w:t>
      </w:r>
      <w:r w:rsidR="007C21C3" w:rsidRPr="001A28A4">
        <w:t> :</w:t>
      </w:r>
    </w:p>
    <w:p w14:paraId="0FBC5DAE" w14:textId="0FFFE823" w:rsidR="001030F4" w:rsidRPr="001A28A4" w:rsidRDefault="00B46CFF" w:rsidP="0005381D">
      <w:pPr>
        <w:pStyle w:val="Footnote-Text"/>
        <w:tabs>
          <w:tab w:val="clear" w:pos="1247"/>
        </w:tabs>
        <w:ind w:left="1848"/>
      </w:pPr>
      <w:r w:rsidRPr="001A28A4">
        <w:t>a) Élabore et met en œuvre un plan d</w:t>
      </w:r>
      <w:r w:rsidR="007C21C3" w:rsidRPr="001A28A4">
        <w:t>’</w:t>
      </w:r>
      <w:r w:rsidRPr="001A28A4">
        <w:t>action national conformément à l</w:t>
      </w:r>
      <w:r w:rsidR="007C21C3" w:rsidRPr="001A28A4">
        <w:t>’</w:t>
      </w:r>
      <w:r w:rsidRPr="001A28A4">
        <w:t>Annexe C</w:t>
      </w:r>
      <w:r w:rsidR="007C21C3" w:rsidRPr="001A28A4">
        <w:t> ;</w:t>
      </w:r>
    </w:p>
    <w:p w14:paraId="4862929C" w14:textId="50728FD8" w:rsidR="001030F4" w:rsidRPr="001A28A4" w:rsidRDefault="00B46CFF" w:rsidP="0005381D">
      <w:pPr>
        <w:pStyle w:val="Footnote-Text"/>
        <w:tabs>
          <w:tab w:val="clear" w:pos="1247"/>
        </w:tabs>
        <w:ind w:left="1848"/>
      </w:pPr>
      <w:r w:rsidRPr="001A28A4">
        <w:t>b) Soumet son plan d</w:t>
      </w:r>
      <w:r w:rsidR="007C21C3" w:rsidRPr="001A28A4">
        <w:t>’</w:t>
      </w:r>
      <w:r w:rsidRPr="001A28A4">
        <w:t xml:space="preserve">action national au </w:t>
      </w:r>
      <w:r w:rsidR="000B5659">
        <w:t>s</w:t>
      </w:r>
      <w:r w:rsidRPr="001A28A4">
        <w:t>ecrétariat au plus tard trois ans après l</w:t>
      </w:r>
      <w:r w:rsidR="007C21C3" w:rsidRPr="001A28A4">
        <w:t>’</w:t>
      </w:r>
      <w:r w:rsidRPr="001A28A4">
        <w:t xml:space="preserve">entrée en vigueur de la Convention à son égard ou dans un délai de trois ans à compter de la date de la notification adressée au </w:t>
      </w:r>
      <w:r w:rsidR="00DC6266">
        <w:t>s</w:t>
      </w:r>
      <w:r w:rsidRPr="001A28A4">
        <w:t>ecrétariat, la date la plus tardive étant retenue</w:t>
      </w:r>
      <w:r w:rsidR="007C21C3" w:rsidRPr="001A28A4">
        <w:t> ;</w:t>
      </w:r>
      <w:r w:rsidRPr="001A28A4">
        <w:t xml:space="preserve"> </w:t>
      </w:r>
    </w:p>
    <w:p w14:paraId="089F3F92" w14:textId="57235896" w:rsidR="001030F4" w:rsidRPr="001A28A4" w:rsidRDefault="00B46CFF" w:rsidP="0005381D">
      <w:pPr>
        <w:pStyle w:val="Footnote-Text"/>
        <w:tabs>
          <w:tab w:val="clear" w:pos="1247"/>
        </w:tabs>
        <w:ind w:left="1848"/>
      </w:pPr>
      <w:r w:rsidRPr="001A28A4">
        <w:t>c) Par la suite, fournit tous les trois ans un compte rendu des progrès qu</w:t>
      </w:r>
      <w:r w:rsidR="007C21C3" w:rsidRPr="001A28A4">
        <w:t>’</w:t>
      </w:r>
      <w:r w:rsidRPr="001A28A4">
        <w:t>elle a accomplis dans le respect de ses obligations au titre du présent article et fait figurer ces comptes rendus dans ses rapports soumis en application de l</w:t>
      </w:r>
      <w:r w:rsidR="007C21C3" w:rsidRPr="001A28A4">
        <w:t>’</w:t>
      </w:r>
      <w:r w:rsidRPr="001A28A4">
        <w:t>article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E40A" w14:textId="43691FE5" w:rsidR="007A36F8" w:rsidRPr="001A28A4" w:rsidRDefault="001A28A4" w:rsidP="001A28A4">
    <w:pPr>
      <w:pStyle w:val="Header-pool"/>
    </w:pPr>
    <w:r w:rsidRPr="001A28A4">
      <w:rPr>
        <w:noProof/>
      </w:rPr>
      <w:fldChar w:fldCharType="begin"/>
    </w:r>
    <w:r w:rsidRPr="001A28A4">
      <w:rPr>
        <w:noProof/>
      </w:rPr>
      <w:instrText xml:space="preserve"> StyleRef A_Symbol </w:instrText>
    </w:r>
    <w:r w:rsidRPr="001A28A4">
      <w:rPr>
        <w:noProof/>
      </w:rPr>
      <w:fldChar w:fldCharType="separate"/>
    </w:r>
    <w:r w:rsidR="004C22C7">
      <w:rPr>
        <w:noProof/>
      </w:rPr>
      <w:t>UNEP/MC/COP.6/7</w:t>
    </w:r>
    <w:r w:rsidRPr="001A28A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828A" w14:textId="27DF04FC" w:rsidR="007A36F8" w:rsidRPr="001A28A4" w:rsidRDefault="001A28A4" w:rsidP="001A28A4">
    <w:pPr>
      <w:pStyle w:val="Header-pool"/>
      <w:jc w:val="right"/>
    </w:pPr>
    <w:r w:rsidRPr="001A28A4">
      <w:rPr>
        <w:noProof/>
      </w:rPr>
      <w:fldChar w:fldCharType="begin"/>
    </w:r>
    <w:r w:rsidRPr="001A28A4">
      <w:rPr>
        <w:noProof/>
      </w:rPr>
      <w:instrText xml:space="preserve"> StyleRef A_Symbol </w:instrText>
    </w:r>
    <w:r w:rsidRPr="001A28A4">
      <w:rPr>
        <w:noProof/>
      </w:rPr>
      <w:fldChar w:fldCharType="separate"/>
    </w:r>
    <w:r w:rsidR="004C22C7">
      <w:rPr>
        <w:noProof/>
      </w:rPr>
      <w:t>UNEP/MC/COP.6/7</w:t>
    </w:r>
    <w:r w:rsidRPr="001A28A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8DF6" w14:textId="77777777" w:rsidR="004C22C7" w:rsidRDefault="004C2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EA01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E6EF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6F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6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9056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6D2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AADD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3477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8E4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423CA1"/>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FC105C"/>
    <w:multiLevelType w:val="hybridMultilevel"/>
    <w:tmpl w:val="F8C2F600"/>
    <w:lvl w:ilvl="0" w:tplc="24FAEE68">
      <w:start w:val="1"/>
      <w:numFmt w:val="lowerLetter"/>
      <w:lvlText w:val="%1)"/>
      <w:lvlJc w:val="left"/>
      <w:pPr>
        <w:ind w:left="3160" w:hanging="360"/>
      </w:pPr>
      <w:rPr>
        <w:rFonts w:ascii="Times New Roman" w:eastAsia="Times New Roman" w:hAnsi="Times New Roman" w:cs="Times New Roman"/>
        <w:i w:val="0"/>
        <w:iCs/>
      </w:rPr>
    </w:lvl>
    <w:lvl w:ilvl="1" w:tplc="FFFFFFFF">
      <w:start w:val="1"/>
      <w:numFmt w:val="lowerLetter"/>
      <w:lvlText w:val="%2."/>
      <w:lvlJc w:val="left"/>
      <w:pPr>
        <w:ind w:left="3880" w:hanging="360"/>
      </w:pPr>
    </w:lvl>
    <w:lvl w:ilvl="2" w:tplc="FFFFFFFF">
      <w:start w:val="1"/>
      <w:numFmt w:val="lowerRoman"/>
      <w:lvlText w:val="%3."/>
      <w:lvlJc w:val="right"/>
      <w:pPr>
        <w:ind w:left="4600" w:hanging="180"/>
      </w:pPr>
    </w:lvl>
    <w:lvl w:ilvl="3" w:tplc="FFFFFFFF">
      <w:start w:val="1"/>
      <w:numFmt w:val="lowerLetter"/>
      <w:lvlText w:val="%4)"/>
      <w:lvlJc w:val="left"/>
      <w:pPr>
        <w:ind w:left="5320" w:hanging="360"/>
      </w:pPr>
      <w:rPr>
        <w:rFonts w:hint="default"/>
      </w:rPr>
    </w:lvl>
    <w:lvl w:ilvl="4" w:tplc="FFFFFFFF" w:tentative="1">
      <w:start w:val="1"/>
      <w:numFmt w:val="lowerLetter"/>
      <w:lvlText w:val="%5."/>
      <w:lvlJc w:val="left"/>
      <w:pPr>
        <w:ind w:left="6040" w:hanging="360"/>
      </w:pPr>
    </w:lvl>
    <w:lvl w:ilvl="5" w:tplc="FFFFFFFF" w:tentative="1">
      <w:start w:val="1"/>
      <w:numFmt w:val="lowerRoman"/>
      <w:lvlText w:val="%6."/>
      <w:lvlJc w:val="right"/>
      <w:pPr>
        <w:ind w:left="6760" w:hanging="180"/>
      </w:pPr>
    </w:lvl>
    <w:lvl w:ilvl="6" w:tplc="FFFFFFFF" w:tentative="1">
      <w:start w:val="1"/>
      <w:numFmt w:val="decimal"/>
      <w:lvlText w:val="%7."/>
      <w:lvlJc w:val="left"/>
      <w:pPr>
        <w:ind w:left="7480" w:hanging="360"/>
      </w:pPr>
    </w:lvl>
    <w:lvl w:ilvl="7" w:tplc="FFFFFFFF" w:tentative="1">
      <w:start w:val="1"/>
      <w:numFmt w:val="lowerLetter"/>
      <w:lvlText w:val="%8."/>
      <w:lvlJc w:val="left"/>
      <w:pPr>
        <w:ind w:left="8200" w:hanging="360"/>
      </w:pPr>
    </w:lvl>
    <w:lvl w:ilvl="8" w:tplc="FFFFFFFF" w:tentative="1">
      <w:start w:val="1"/>
      <w:numFmt w:val="lowerRoman"/>
      <w:lvlText w:val="%9."/>
      <w:lvlJc w:val="right"/>
      <w:pPr>
        <w:ind w:left="8920" w:hanging="180"/>
      </w:pPr>
    </w:lvl>
  </w:abstractNum>
  <w:abstractNum w:abstractNumId="13"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954E51"/>
    <w:multiLevelType w:val="multilevel"/>
    <w:tmpl w:val="555ACB2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ascii="Times New Roman" w:eastAsia="Times New Roman" w:hAnsi="Times New Roman" w:cs="Times New Roman"/>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8"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9"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7"/>
  </w:num>
  <w:num w:numId="2" w16cid:durableId="1242644713">
    <w:abstractNumId w:val="18"/>
  </w:num>
  <w:num w:numId="3" w16cid:durableId="1933662228">
    <w:abstractNumId w:val="16"/>
  </w:num>
  <w:num w:numId="4" w16cid:durableId="1991909117">
    <w:abstractNumId w:val="10"/>
  </w:num>
  <w:num w:numId="5" w16cid:durableId="1138956019">
    <w:abstractNumId w:val="14"/>
  </w:num>
  <w:num w:numId="6" w16cid:durableId="1836724982">
    <w:abstractNumId w:val="9"/>
  </w:num>
  <w:num w:numId="7" w16cid:durableId="1050615862">
    <w:abstractNumId w:val="7"/>
  </w:num>
  <w:num w:numId="8" w16cid:durableId="1268542122">
    <w:abstractNumId w:val="6"/>
  </w:num>
  <w:num w:numId="9" w16cid:durableId="298263743">
    <w:abstractNumId w:val="5"/>
  </w:num>
  <w:num w:numId="10" w16cid:durableId="493103504">
    <w:abstractNumId w:val="4"/>
  </w:num>
  <w:num w:numId="11" w16cid:durableId="331102711">
    <w:abstractNumId w:val="8"/>
  </w:num>
  <w:num w:numId="12" w16cid:durableId="1537503551">
    <w:abstractNumId w:val="3"/>
  </w:num>
  <w:num w:numId="13" w16cid:durableId="601958662">
    <w:abstractNumId w:val="2"/>
  </w:num>
  <w:num w:numId="14" w16cid:durableId="538663148">
    <w:abstractNumId w:val="1"/>
  </w:num>
  <w:num w:numId="15" w16cid:durableId="491485838">
    <w:abstractNumId w:val="0"/>
  </w:num>
  <w:num w:numId="16" w16cid:durableId="1271619878">
    <w:abstractNumId w:val="13"/>
  </w:num>
  <w:num w:numId="17" w16cid:durableId="1411459872">
    <w:abstractNumId w:val="12"/>
  </w:num>
  <w:num w:numId="18" w16cid:durableId="1354763045">
    <w:abstractNumId w:val="15"/>
  </w:num>
  <w:num w:numId="19" w16cid:durableId="619074469">
    <w:abstractNumId w:val="11"/>
  </w:num>
  <w:num w:numId="20" w16cid:durableId="2036882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61235">
    <w:abstractNumId w:val="19"/>
  </w:num>
  <w:num w:numId="22" w16cid:durableId="1681006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6646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7087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092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340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EF"/>
    <w:rsid w:val="00002221"/>
    <w:rsid w:val="0000611A"/>
    <w:rsid w:val="000149E6"/>
    <w:rsid w:val="00016AF3"/>
    <w:rsid w:val="000208C8"/>
    <w:rsid w:val="000247B0"/>
    <w:rsid w:val="00026997"/>
    <w:rsid w:val="00033AB6"/>
    <w:rsid w:val="00033E0B"/>
    <w:rsid w:val="00035EDE"/>
    <w:rsid w:val="00040EC1"/>
    <w:rsid w:val="00043DC9"/>
    <w:rsid w:val="000509B4"/>
    <w:rsid w:val="0005221C"/>
    <w:rsid w:val="0005381D"/>
    <w:rsid w:val="00056B2C"/>
    <w:rsid w:val="0006035B"/>
    <w:rsid w:val="00065F0E"/>
    <w:rsid w:val="0007166E"/>
    <w:rsid w:val="00071886"/>
    <w:rsid w:val="000742BC"/>
    <w:rsid w:val="00077879"/>
    <w:rsid w:val="000778FC"/>
    <w:rsid w:val="0008041D"/>
    <w:rsid w:val="00080616"/>
    <w:rsid w:val="00082A0C"/>
    <w:rsid w:val="00082DCD"/>
    <w:rsid w:val="00083504"/>
    <w:rsid w:val="0008710B"/>
    <w:rsid w:val="000908AC"/>
    <w:rsid w:val="0009640C"/>
    <w:rsid w:val="000A25F3"/>
    <w:rsid w:val="000B1232"/>
    <w:rsid w:val="000B21D5"/>
    <w:rsid w:val="000B2297"/>
    <w:rsid w:val="000B22A2"/>
    <w:rsid w:val="000B5659"/>
    <w:rsid w:val="000B659A"/>
    <w:rsid w:val="000C2A52"/>
    <w:rsid w:val="000C46A9"/>
    <w:rsid w:val="000D1DC0"/>
    <w:rsid w:val="000D31EB"/>
    <w:rsid w:val="000D33C0"/>
    <w:rsid w:val="000D5884"/>
    <w:rsid w:val="000D6941"/>
    <w:rsid w:val="000D71B6"/>
    <w:rsid w:val="000E0405"/>
    <w:rsid w:val="000F063E"/>
    <w:rsid w:val="000F6CFF"/>
    <w:rsid w:val="000F7EE1"/>
    <w:rsid w:val="001030F4"/>
    <w:rsid w:val="001045CC"/>
    <w:rsid w:val="001078C4"/>
    <w:rsid w:val="00113AE9"/>
    <w:rsid w:val="00114232"/>
    <w:rsid w:val="00115F73"/>
    <w:rsid w:val="001202E3"/>
    <w:rsid w:val="0012365F"/>
    <w:rsid w:val="00123699"/>
    <w:rsid w:val="0013059D"/>
    <w:rsid w:val="0014083A"/>
    <w:rsid w:val="00141A55"/>
    <w:rsid w:val="00141F2F"/>
    <w:rsid w:val="00143DF1"/>
    <w:rsid w:val="001446A3"/>
    <w:rsid w:val="00155395"/>
    <w:rsid w:val="00160B46"/>
    <w:rsid w:val="001633B3"/>
    <w:rsid w:val="001713CC"/>
    <w:rsid w:val="0017231B"/>
    <w:rsid w:val="00172E6C"/>
    <w:rsid w:val="00173D27"/>
    <w:rsid w:val="00174739"/>
    <w:rsid w:val="00175949"/>
    <w:rsid w:val="001810B2"/>
    <w:rsid w:val="0018127C"/>
    <w:rsid w:val="00181EC8"/>
    <w:rsid w:val="00181FC0"/>
    <w:rsid w:val="00184349"/>
    <w:rsid w:val="001853C9"/>
    <w:rsid w:val="0019161E"/>
    <w:rsid w:val="00193296"/>
    <w:rsid w:val="00195F33"/>
    <w:rsid w:val="00197C63"/>
    <w:rsid w:val="001A28A4"/>
    <w:rsid w:val="001A316D"/>
    <w:rsid w:val="001A5EE1"/>
    <w:rsid w:val="001A7AC2"/>
    <w:rsid w:val="001A7FF9"/>
    <w:rsid w:val="001B1617"/>
    <w:rsid w:val="001B372D"/>
    <w:rsid w:val="001B504B"/>
    <w:rsid w:val="001C29FC"/>
    <w:rsid w:val="001D3874"/>
    <w:rsid w:val="001D48F3"/>
    <w:rsid w:val="001D5344"/>
    <w:rsid w:val="001D71D1"/>
    <w:rsid w:val="001D7E75"/>
    <w:rsid w:val="001E22D1"/>
    <w:rsid w:val="001E56D2"/>
    <w:rsid w:val="001E7D56"/>
    <w:rsid w:val="001F2584"/>
    <w:rsid w:val="001F75DE"/>
    <w:rsid w:val="00200A95"/>
    <w:rsid w:val="00200D58"/>
    <w:rsid w:val="002013BE"/>
    <w:rsid w:val="002063A4"/>
    <w:rsid w:val="00206F97"/>
    <w:rsid w:val="0021145B"/>
    <w:rsid w:val="00214277"/>
    <w:rsid w:val="00227165"/>
    <w:rsid w:val="0022762D"/>
    <w:rsid w:val="00227756"/>
    <w:rsid w:val="00230199"/>
    <w:rsid w:val="00232303"/>
    <w:rsid w:val="00232F5F"/>
    <w:rsid w:val="00234490"/>
    <w:rsid w:val="00234806"/>
    <w:rsid w:val="002377E1"/>
    <w:rsid w:val="002378D6"/>
    <w:rsid w:val="00243D36"/>
    <w:rsid w:val="00247707"/>
    <w:rsid w:val="00256FD2"/>
    <w:rsid w:val="00263171"/>
    <w:rsid w:val="002632A6"/>
    <w:rsid w:val="00277919"/>
    <w:rsid w:val="00286740"/>
    <w:rsid w:val="00287B0A"/>
    <w:rsid w:val="00287B42"/>
    <w:rsid w:val="002929D8"/>
    <w:rsid w:val="00292E2E"/>
    <w:rsid w:val="002935C2"/>
    <w:rsid w:val="002A237D"/>
    <w:rsid w:val="002A4C53"/>
    <w:rsid w:val="002B0672"/>
    <w:rsid w:val="002B10BC"/>
    <w:rsid w:val="002B1B4C"/>
    <w:rsid w:val="002B2181"/>
    <w:rsid w:val="002B247F"/>
    <w:rsid w:val="002B7264"/>
    <w:rsid w:val="002C145D"/>
    <w:rsid w:val="002C2C3E"/>
    <w:rsid w:val="002C3162"/>
    <w:rsid w:val="002C3EB8"/>
    <w:rsid w:val="002C533E"/>
    <w:rsid w:val="002C5525"/>
    <w:rsid w:val="002D027F"/>
    <w:rsid w:val="002D22A0"/>
    <w:rsid w:val="002D6385"/>
    <w:rsid w:val="002D7A85"/>
    <w:rsid w:val="002D7B60"/>
    <w:rsid w:val="002E19D4"/>
    <w:rsid w:val="002E5358"/>
    <w:rsid w:val="002F0362"/>
    <w:rsid w:val="002F1E22"/>
    <w:rsid w:val="002F2C53"/>
    <w:rsid w:val="002F4761"/>
    <w:rsid w:val="002F5390"/>
    <w:rsid w:val="002F5C79"/>
    <w:rsid w:val="002F6CE5"/>
    <w:rsid w:val="003019E2"/>
    <w:rsid w:val="003064B4"/>
    <w:rsid w:val="0031413F"/>
    <w:rsid w:val="003148BB"/>
    <w:rsid w:val="00316CE7"/>
    <w:rsid w:val="00317976"/>
    <w:rsid w:val="00321732"/>
    <w:rsid w:val="00323701"/>
    <w:rsid w:val="00323885"/>
    <w:rsid w:val="00323B24"/>
    <w:rsid w:val="00331475"/>
    <w:rsid w:val="00335F3D"/>
    <w:rsid w:val="003428F2"/>
    <w:rsid w:val="00351A93"/>
    <w:rsid w:val="00352C43"/>
    <w:rsid w:val="00355EA9"/>
    <w:rsid w:val="003578DE"/>
    <w:rsid w:val="0036077A"/>
    <w:rsid w:val="00365F6B"/>
    <w:rsid w:val="00370BF9"/>
    <w:rsid w:val="00371340"/>
    <w:rsid w:val="003759E2"/>
    <w:rsid w:val="00384E03"/>
    <w:rsid w:val="00386999"/>
    <w:rsid w:val="00390145"/>
    <w:rsid w:val="00394379"/>
    <w:rsid w:val="00396257"/>
    <w:rsid w:val="00397D27"/>
    <w:rsid w:val="00397EB8"/>
    <w:rsid w:val="00397F4F"/>
    <w:rsid w:val="003A07AB"/>
    <w:rsid w:val="003A086E"/>
    <w:rsid w:val="003A2CD2"/>
    <w:rsid w:val="003A35FB"/>
    <w:rsid w:val="003A37B8"/>
    <w:rsid w:val="003A4FD0"/>
    <w:rsid w:val="003A69D1"/>
    <w:rsid w:val="003A7705"/>
    <w:rsid w:val="003B1545"/>
    <w:rsid w:val="003B4225"/>
    <w:rsid w:val="003C035E"/>
    <w:rsid w:val="003C3267"/>
    <w:rsid w:val="003C409D"/>
    <w:rsid w:val="003C4803"/>
    <w:rsid w:val="003C4AB7"/>
    <w:rsid w:val="003C5BA6"/>
    <w:rsid w:val="003E0BB9"/>
    <w:rsid w:val="003F0E85"/>
    <w:rsid w:val="003F356B"/>
    <w:rsid w:val="003F7B98"/>
    <w:rsid w:val="00404CB5"/>
    <w:rsid w:val="00405251"/>
    <w:rsid w:val="00407B2C"/>
    <w:rsid w:val="00410C55"/>
    <w:rsid w:val="00410CB1"/>
    <w:rsid w:val="00413EC2"/>
    <w:rsid w:val="0041604D"/>
    <w:rsid w:val="00416854"/>
    <w:rsid w:val="00417725"/>
    <w:rsid w:val="0041779A"/>
    <w:rsid w:val="00417B99"/>
    <w:rsid w:val="004228D3"/>
    <w:rsid w:val="004243EA"/>
    <w:rsid w:val="00427887"/>
    <w:rsid w:val="00427CC0"/>
    <w:rsid w:val="0043351F"/>
    <w:rsid w:val="004339D3"/>
    <w:rsid w:val="00437F26"/>
    <w:rsid w:val="00441AA8"/>
    <w:rsid w:val="00444097"/>
    <w:rsid w:val="00445487"/>
    <w:rsid w:val="00454769"/>
    <w:rsid w:val="0045659F"/>
    <w:rsid w:val="00456D58"/>
    <w:rsid w:val="00466991"/>
    <w:rsid w:val="0047064C"/>
    <w:rsid w:val="004712CA"/>
    <w:rsid w:val="00474D90"/>
    <w:rsid w:val="00477AFF"/>
    <w:rsid w:val="00481F0B"/>
    <w:rsid w:val="00495BFE"/>
    <w:rsid w:val="004A0E98"/>
    <w:rsid w:val="004A42E1"/>
    <w:rsid w:val="004B162C"/>
    <w:rsid w:val="004B18E2"/>
    <w:rsid w:val="004C22C7"/>
    <w:rsid w:val="004C3DBE"/>
    <w:rsid w:val="004C5790"/>
    <w:rsid w:val="004C5C96"/>
    <w:rsid w:val="004D06A4"/>
    <w:rsid w:val="004D0F4E"/>
    <w:rsid w:val="004D60EA"/>
    <w:rsid w:val="004E59D4"/>
    <w:rsid w:val="004E79AC"/>
    <w:rsid w:val="004F1A81"/>
    <w:rsid w:val="004F3984"/>
    <w:rsid w:val="005006CE"/>
    <w:rsid w:val="00500B90"/>
    <w:rsid w:val="005058BB"/>
    <w:rsid w:val="005218D9"/>
    <w:rsid w:val="00531170"/>
    <w:rsid w:val="00532E47"/>
    <w:rsid w:val="00534C05"/>
    <w:rsid w:val="00536186"/>
    <w:rsid w:val="00536826"/>
    <w:rsid w:val="00544CBB"/>
    <w:rsid w:val="00550518"/>
    <w:rsid w:val="00552CD6"/>
    <w:rsid w:val="00565941"/>
    <w:rsid w:val="0057315F"/>
    <w:rsid w:val="00575DF1"/>
    <w:rsid w:val="00576104"/>
    <w:rsid w:val="00576A85"/>
    <w:rsid w:val="005940BC"/>
    <w:rsid w:val="00594BA0"/>
    <w:rsid w:val="005A0B48"/>
    <w:rsid w:val="005A1B7D"/>
    <w:rsid w:val="005A1BDE"/>
    <w:rsid w:val="005A7E27"/>
    <w:rsid w:val="005C18BD"/>
    <w:rsid w:val="005C25AC"/>
    <w:rsid w:val="005C67C8"/>
    <w:rsid w:val="005D0249"/>
    <w:rsid w:val="005D4702"/>
    <w:rsid w:val="005D4EC0"/>
    <w:rsid w:val="005D6E8C"/>
    <w:rsid w:val="005F100C"/>
    <w:rsid w:val="005F68DA"/>
    <w:rsid w:val="005F75E6"/>
    <w:rsid w:val="006014DD"/>
    <w:rsid w:val="0060773B"/>
    <w:rsid w:val="00607D94"/>
    <w:rsid w:val="00610D9B"/>
    <w:rsid w:val="00611C7A"/>
    <w:rsid w:val="0061237A"/>
    <w:rsid w:val="0061391A"/>
    <w:rsid w:val="006157B5"/>
    <w:rsid w:val="006171BE"/>
    <w:rsid w:val="00626FC6"/>
    <w:rsid w:val="006303B4"/>
    <w:rsid w:val="00633CEB"/>
    <w:rsid w:val="00633D3D"/>
    <w:rsid w:val="00633F3A"/>
    <w:rsid w:val="00636A25"/>
    <w:rsid w:val="00637191"/>
    <w:rsid w:val="00640053"/>
    <w:rsid w:val="00641703"/>
    <w:rsid w:val="006431A6"/>
    <w:rsid w:val="006459F6"/>
    <w:rsid w:val="006501AD"/>
    <w:rsid w:val="00651BFA"/>
    <w:rsid w:val="006533B3"/>
    <w:rsid w:val="006612E9"/>
    <w:rsid w:val="006631A0"/>
    <w:rsid w:val="006639C7"/>
    <w:rsid w:val="00663A80"/>
    <w:rsid w:val="00663E73"/>
    <w:rsid w:val="00665A4B"/>
    <w:rsid w:val="00666749"/>
    <w:rsid w:val="00670457"/>
    <w:rsid w:val="006731FE"/>
    <w:rsid w:val="00673EC7"/>
    <w:rsid w:val="00685A13"/>
    <w:rsid w:val="00687AE7"/>
    <w:rsid w:val="00692E2A"/>
    <w:rsid w:val="006965BC"/>
    <w:rsid w:val="006A76F2"/>
    <w:rsid w:val="006B013A"/>
    <w:rsid w:val="006C1DF0"/>
    <w:rsid w:val="006C3DDA"/>
    <w:rsid w:val="006C76A1"/>
    <w:rsid w:val="006D0436"/>
    <w:rsid w:val="006D3277"/>
    <w:rsid w:val="006D5306"/>
    <w:rsid w:val="006D660D"/>
    <w:rsid w:val="006D7AD9"/>
    <w:rsid w:val="006D7EFB"/>
    <w:rsid w:val="006E08F6"/>
    <w:rsid w:val="006E287F"/>
    <w:rsid w:val="006E3BC6"/>
    <w:rsid w:val="006E515E"/>
    <w:rsid w:val="006E6672"/>
    <w:rsid w:val="006E6722"/>
    <w:rsid w:val="006F10F1"/>
    <w:rsid w:val="006F406B"/>
    <w:rsid w:val="007027B9"/>
    <w:rsid w:val="00705E90"/>
    <w:rsid w:val="00710C15"/>
    <w:rsid w:val="00713D8F"/>
    <w:rsid w:val="00715E88"/>
    <w:rsid w:val="007231F1"/>
    <w:rsid w:val="00723880"/>
    <w:rsid w:val="00724114"/>
    <w:rsid w:val="0072508B"/>
    <w:rsid w:val="00732257"/>
    <w:rsid w:val="00734CAA"/>
    <w:rsid w:val="00736583"/>
    <w:rsid w:val="00737735"/>
    <w:rsid w:val="0075473A"/>
    <w:rsid w:val="00755106"/>
    <w:rsid w:val="0075533C"/>
    <w:rsid w:val="00757581"/>
    <w:rsid w:val="007601E5"/>
    <w:rsid w:val="007610A3"/>
    <w:rsid w:val="007611A0"/>
    <w:rsid w:val="00762DA7"/>
    <w:rsid w:val="007658A0"/>
    <w:rsid w:val="00771992"/>
    <w:rsid w:val="00783907"/>
    <w:rsid w:val="007861AF"/>
    <w:rsid w:val="00796D3F"/>
    <w:rsid w:val="007A1683"/>
    <w:rsid w:val="007A36F8"/>
    <w:rsid w:val="007A4766"/>
    <w:rsid w:val="007A5C12"/>
    <w:rsid w:val="007A7CB0"/>
    <w:rsid w:val="007B68A3"/>
    <w:rsid w:val="007C1A67"/>
    <w:rsid w:val="007C1B93"/>
    <w:rsid w:val="007C21C3"/>
    <w:rsid w:val="007C2541"/>
    <w:rsid w:val="007C45C6"/>
    <w:rsid w:val="007D0D36"/>
    <w:rsid w:val="007D3A65"/>
    <w:rsid w:val="007D66A8"/>
    <w:rsid w:val="007D773D"/>
    <w:rsid w:val="007E003F"/>
    <w:rsid w:val="007F267F"/>
    <w:rsid w:val="007F52BB"/>
    <w:rsid w:val="007F682E"/>
    <w:rsid w:val="00800CF4"/>
    <w:rsid w:val="00802E72"/>
    <w:rsid w:val="00805F1D"/>
    <w:rsid w:val="008077A4"/>
    <w:rsid w:val="008164F2"/>
    <w:rsid w:val="00821395"/>
    <w:rsid w:val="008245BF"/>
    <w:rsid w:val="0082574A"/>
    <w:rsid w:val="00830E26"/>
    <w:rsid w:val="00843576"/>
    <w:rsid w:val="008436A1"/>
    <w:rsid w:val="00843B64"/>
    <w:rsid w:val="00846369"/>
    <w:rsid w:val="00846538"/>
    <w:rsid w:val="008470BD"/>
    <w:rsid w:val="008478FC"/>
    <w:rsid w:val="008508F5"/>
    <w:rsid w:val="00867BFF"/>
    <w:rsid w:val="0088480A"/>
    <w:rsid w:val="00884CA2"/>
    <w:rsid w:val="0088757A"/>
    <w:rsid w:val="00887D81"/>
    <w:rsid w:val="00891208"/>
    <w:rsid w:val="00891B4C"/>
    <w:rsid w:val="008957DD"/>
    <w:rsid w:val="00895F3F"/>
    <w:rsid w:val="00897D98"/>
    <w:rsid w:val="008A26B4"/>
    <w:rsid w:val="008A361A"/>
    <w:rsid w:val="008A66FF"/>
    <w:rsid w:val="008A6DF2"/>
    <w:rsid w:val="008A7807"/>
    <w:rsid w:val="008B0D6B"/>
    <w:rsid w:val="008B3832"/>
    <w:rsid w:val="008B4CC9"/>
    <w:rsid w:val="008B635C"/>
    <w:rsid w:val="008C13F0"/>
    <w:rsid w:val="008C1B8B"/>
    <w:rsid w:val="008C23BF"/>
    <w:rsid w:val="008D3AE0"/>
    <w:rsid w:val="008D3BB5"/>
    <w:rsid w:val="008D4B66"/>
    <w:rsid w:val="008D7C99"/>
    <w:rsid w:val="008E0FCB"/>
    <w:rsid w:val="008E1F10"/>
    <w:rsid w:val="008F6D88"/>
    <w:rsid w:val="00901587"/>
    <w:rsid w:val="00905E58"/>
    <w:rsid w:val="0090650F"/>
    <w:rsid w:val="009073B0"/>
    <w:rsid w:val="00907D78"/>
    <w:rsid w:val="009162D6"/>
    <w:rsid w:val="00916D41"/>
    <w:rsid w:val="00920AD1"/>
    <w:rsid w:val="0092178C"/>
    <w:rsid w:val="009218C0"/>
    <w:rsid w:val="00921A21"/>
    <w:rsid w:val="0092359B"/>
    <w:rsid w:val="0092493F"/>
    <w:rsid w:val="00930690"/>
    <w:rsid w:val="00930B88"/>
    <w:rsid w:val="009378DC"/>
    <w:rsid w:val="00940DCC"/>
    <w:rsid w:val="0094179A"/>
    <w:rsid w:val="0094459E"/>
    <w:rsid w:val="00944DBC"/>
    <w:rsid w:val="00945C12"/>
    <w:rsid w:val="00950977"/>
    <w:rsid w:val="00951A7B"/>
    <w:rsid w:val="009564A6"/>
    <w:rsid w:val="0096107C"/>
    <w:rsid w:val="00961A33"/>
    <w:rsid w:val="009628B9"/>
    <w:rsid w:val="00967621"/>
    <w:rsid w:val="00967E6A"/>
    <w:rsid w:val="00973C18"/>
    <w:rsid w:val="00977792"/>
    <w:rsid w:val="00980797"/>
    <w:rsid w:val="009828F2"/>
    <w:rsid w:val="009935AC"/>
    <w:rsid w:val="009A2468"/>
    <w:rsid w:val="009A4936"/>
    <w:rsid w:val="009A5299"/>
    <w:rsid w:val="009A5A7A"/>
    <w:rsid w:val="009A6054"/>
    <w:rsid w:val="009A6A74"/>
    <w:rsid w:val="009B4A0F"/>
    <w:rsid w:val="009C0FEC"/>
    <w:rsid w:val="009C11D2"/>
    <w:rsid w:val="009C6C70"/>
    <w:rsid w:val="009D0922"/>
    <w:rsid w:val="009D0B63"/>
    <w:rsid w:val="009E1A50"/>
    <w:rsid w:val="009E307E"/>
    <w:rsid w:val="009E47E3"/>
    <w:rsid w:val="009F745E"/>
    <w:rsid w:val="00A018BD"/>
    <w:rsid w:val="00A03A4A"/>
    <w:rsid w:val="00A07870"/>
    <w:rsid w:val="00A07E9E"/>
    <w:rsid w:val="00A07F19"/>
    <w:rsid w:val="00A1348D"/>
    <w:rsid w:val="00A142D1"/>
    <w:rsid w:val="00A1489E"/>
    <w:rsid w:val="00A14DEB"/>
    <w:rsid w:val="00A1509F"/>
    <w:rsid w:val="00A16BF4"/>
    <w:rsid w:val="00A232EE"/>
    <w:rsid w:val="00A23493"/>
    <w:rsid w:val="00A30D0C"/>
    <w:rsid w:val="00A4175F"/>
    <w:rsid w:val="00A41B58"/>
    <w:rsid w:val="00A42B65"/>
    <w:rsid w:val="00A44411"/>
    <w:rsid w:val="00A4695F"/>
    <w:rsid w:val="00A469FA"/>
    <w:rsid w:val="00A47081"/>
    <w:rsid w:val="00A47C2B"/>
    <w:rsid w:val="00A50E94"/>
    <w:rsid w:val="00A5148A"/>
    <w:rsid w:val="00A55B01"/>
    <w:rsid w:val="00A56B5B"/>
    <w:rsid w:val="00A603FF"/>
    <w:rsid w:val="00A62944"/>
    <w:rsid w:val="00A657DD"/>
    <w:rsid w:val="00A666A6"/>
    <w:rsid w:val="00A675FD"/>
    <w:rsid w:val="00A72437"/>
    <w:rsid w:val="00A76583"/>
    <w:rsid w:val="00A80611"/>
    <w:rsid w:val="00A84B15"/>
    <w:rsid w:val="00A87016"/>
    <w:rsid w:val="00A95F56"/>
    <w:rsid w:val="00AA1E70"/>
    <w:rsid w:val="00AA6D9E"/>
    <w:rsid w:val="00AB027F"/>
    <w:rsid w:val="00AB1F69"/>
    <w:rsid w:val="00AB5340"/>
    <w:rsid w:val="00AC010E"/>
    <w:rsid w:val="00AC01CC"/>
    <w:rsid w:val="00AC16B8"/>
    <w:rsid w:val="00AC5D4F"/>
    <w:rsid w:val="00AC7C96"/>
    <w:rsid w:val="00AD022D"/>
    <w:rsid w:val="00AD07C5"/>
    <w:rsid w:val="00AE237D"/>
    <w:rsid w:val="00AE2A3D"/>
    <w:rsid w:val="00AE3F14"/>
    <w:rsid w:val="00AE502A"/>
    <w:rsid w:val="00AF0DF7"/>
    <w:rsid w:val="00AF7C07"/>
    <w:rsid w:val="00B049EF"/>
    <w:rsid w:val="00B22C93"/>
    <w:rsid w:val="00B22E6D"/>
    <w:rsid w:val="00B26410"/>
    <w:rsid w:val="00B27589"/>
    <w:rsid w:val="00B37A93"/>
    <w:rsid w:val="00B37EF9"/>
    <w:rsid w:val="00B405B7"/>
    <w:rsid w:val="00B45E6D"/>
    <w:rsid w:val="00B46CFF"/>
    <w:rsid w:val="00B509DD"/>
    <w:rsid w:val="00B51C8A"/>
    <w:rsid w:val="00B52222"/>
    <w:rsid w:val="00B523A2"/>
    <w:rsid w:val="00B52700"/>
    <w:rsid w:val="00B53E4F"/>
    <w:rsid w:val="00B54FE7"/>
    <w:rsid w:val="00B57A18"/>
    <w:rsid w:val="00B57C47"/>
    <w:rsid w:val="00B66901"/>
    <w:rsid w:val="00B71E6D"/>
    <w:rsid w:val="00B72070"/>
    <w:rsid w:val="00B76AC6"/>
    <w:rsid w:val="00B779E1"/>
    <w:rsid w:val="00B859A3"/>
    <w:rsid w:val="00B91EE1"/>
    <w:rsid w:val="00B9290D"/>
    <w:rsid w:val="00BA0090"/>
    <w:rsid w:val="00BA1A67"/>
    <w:rsid w:val="00BA3CF0"/>
    <w:rsid w:val="00BB1CCE"/>
    <w:rsid w:val="00BB49DE"/>
    <w:rsid w:val="00BB7836"/>
    <w:rsid w:val="00BC07FE"/>
    <w:rsid w:val="00BC388C"/>
    <w:rsid w:val="00BC66CE"/>
    <w:rsid w:val="00BC7F02"/>
    <w:rsid w:val="00BD0163"/>
    <w:rsid w:val="00BD159E"/>
    <w:rsid w:val="00BD3D0E"/>
    <w:rsid w:val="00BE4B5E"/>
    <w:rsid w:val="00BE5B5F"/>
    <w:rsid w:val="00BF4C43"/>
    <w:rsid w:val="00BF4D37"/>
    <w:rsid w:val="00C25A6E"/>
    <w:rsid w:val="00C26F55"/>
    <w:rsid w:val="00C30C63"/>
    <w:rsid w:val="00C32B37"/>
    <w:rsid w:val="00C330A2"/>
    <w:rsid w:val="00C36B8B"/>
    <w:rsid w:val="00C37C87"/>
    <w:rsid w:val="00C411C6"/>
    <w:rsid w:val="00C47DBF"/>
    <w:rsid w:val="00C51A48"/>
    <w:rsid w:val="00C53666"/>
    <w:rsid w:val="00C552FF"/>
    <w:rsid w:val="00C558DA"/>
    <w:rsid w:val="00C55AF3"/>
    <w:rsid w:val="00C56FEF"/>
    <w:rsid w:val="00C57483"/>
    <w:rsid w:val="00C60713"/>
    <w:rsid w:val="00C65865"/>
    <w:rsid w:val="00C66E44"/>
    <w:rsid w:val="00C674BE"/>
    <w:rsid w:val="00C70B49"/>
    <w:rsid w:val="00C75C7C"/>
    <w:rsid w:val="00C81951"/>
    <w:rsid w:val="00C83A8F"/>
    <w:rsid w:val="00C84759"/>
    <w:rsid w:val="00C915EC"/>
    <w:rsid w:val="00C97578"/>
    <w:rsid w:val="00CA0CCF"/>
    <w:rsid w:val="00CA6C7F"/>
    <w:rsid w:val="00CA78AF"/>
    <w:rsid w:val="00CB4C03"/>
    <w:rsid w:val="00CB6F8C"/>
    <w:rsid w:val="00CC0260"/>
    <w:rsid w:val="00CC10A6"/>
    <w:rsid w:val="00CC6E36"/>
    <w:rsid w:val="00CD00FA"/>
    <w:rsid w:val="00CD5EB8"/>
    <w:rsid w:val="00CD6AC7"/>
    <w:rsid w:val="00CD7044"/>
    <w:rsid w:val="00CD7EB5"/>
    <w:rsid w:val="00CE08B9"/>
    <w:rsid w:val="00CE0BB4"/>
    <w:rsid w:val="00CE391A"/>
    <w:rsid w:val="00CE3B92"/>
    <w:rsid w:val="00CE524C"/>
    <w:rsid w:val="00CF141F"/>
    <w:rsid w:val="00CF3D41"/>
    <w:rsid w:val="00CF4777"/>
    <w:rsid w:val="00CF5AF8"/>
    <w:rsid w:val="00CF74CE"/>
    <w:rsid w:val="00D05A68"/>
    <w:rsid w:val="00D067BB"/>
    <w:rsid w:val="00D070CC"/>
    <w:rsid w:val="00D1352A"/>
    <w:rsid w:val="00D13EDE"/>
    <w:rsid w:val="00D15081"/>
    <w:rsid w:val="00D169AF"/>
    <w:rsid w:val="00D20418"/>
    <w:rsid w:val="00D25249"/>
    <w:rsid w:val="00D255A7"/>
    <w:rsid w:val="00D32187"/>
    <w:rsid w:val="00D44172"/>
    <w:rsid w:val="00D51F4B"/>
    <w:rsid w:val="00D526D8"/>
    <w:rsid w:val="00D6033B"/>
    <w:rsid w:val="00D60AB1"/>
    <w:rsid w:val="00D63B8C"/>
    <w:rsid w:val="00D66F6A"/>
    <w:rsid w:val="00D712FD"/>
    <w:rsid w:val="00D72CB6"/>
    <w:rsid w:val="00D739CC"/>
    <w:rsid w:val="00D74985"/>
    <w:rsid w:val="00D8093D"/>
    <w:rsid w:val="00D8108C"/>
    <w:rsid w:val="00D842AE"/>
    <w:rsid w:val="00D9211C"/>
    <w:rsid w:val="00D92DE0"/>
    <w:rsid w:val="00D92FEF"/>
    <w:rsid w:val="00D9349C"/>
    <w:rsid w:val="00D93A0F"/>
    <w:rsid w:val="00DA0826"/>
    <w:rsid w:val="00DA1BCA"/>
    <w:rsid w:val="00DA3FFA"/>
    <w:rsid w:val="00DA7299"/>
    <w:rsid w:val="00DB0048"/>
    <w:rsid w:val="00DB36B7"/>
    <w:rsid w:val="00DB3E23"/>
    <w:rsid w:val="00DC46FF"/>
    <w:rsid w:val="00DC5254"/>
    <w:rsid w:val="00DC6266"/>
    <w:rsid w:val="00DD1A4F"/>
    <w:rsid w:val="00DD3107"/>
    <w:rsid w:val="00DD5EFF"/>
    <w:rsid w:val="00DD7C2C"/>
    <w:rsid w:val="00DE6E55"/>
    <w:rsid w:val="00DF0FB2"/>
    <w:rsid w:val="00DF5660"/>
    <w:rsid w:val="00E002C9"/>
    <w:rsid w:val="00E01972"/>
    <w:rsid w:val="00E0574F"/>
    <w:rsid w:val="00E06797"/>
    <w:rsid w:val="00E122BC"/>
    <w:rsid w:val="00E1265B"/>
    <w:rsid w:val="00E13B48"/>
    <w:rsid w:val="00E1404F"/>
    <w:rsid w:val="00E212EF"/>
    <w:rsid w:val="00E21C83"/>
    <w:rsid w:val="00E235AC"/>
    <w:rsid w:val="00E24ADA"/>
    <w:rsid w:val="00E25263"/>
    <w:rsid w:val="00E256F6"/>
    <w:rsid w:val="00E32F59"/>
    <w:rsid w:val="00E345BC"/>
    <w:rsid w:val="00E37F15"/>
    <w:rsid w:val="00E440CD"/>
    <w:rsid w:val="00E46D9A"/>
    <w:rsid w:val="00E509D1"/>
    <w:rsid w:val="00E52715"/>
    <w:rsid w:val="00E565FF"/>
    <w:rsid w:val="00E600D6"/>
    <w:rsid w:val="00E628E3"/>
    <w:rsid w:val="00E63C75"/>
    <w:rsid w:val="00E65367"/>
    <w:rsid w:val="00E65388"/>
    <w:rsid w:val="00E67833"/>
    <w:rsid w:val="00E70923"/>
    <w:rsid w:val="00E71D01"/>
    <w:rsid w:val="00E74ACB"/>
    <w:rsid w:val="00E7732A"/>
    <w:rsid w:val="00E80565"/>
    <w:rsid w:val="00E85B7D"/>
    <w:rsid w:val="00E9045C"/>
    <w:rsid w:val="00E9121B"/>
    <w:rsid w:val="00E94B48"/>
    <w:rsid w:val="00E956ED"/>
    <w:rsid w:val="00E96614"/>
    <w:rsid w:val="00EA0AE2"/>
    <w:rsid w:val="00EA0E82"/>
    <w:rsid w:val="00EA1D6B"/>
    <w:rsid w:val="00EA292F"/>
    <w:rsid w:val="00EA39E5"/>
    <w:rsid w:val="00EA7BBD"/>
    <w:rsid w:val="00EB2473"/>
    <w:rsid w:val="00EB3106"/>
    <w:rsid w:val="00EC3E4C"/>
    <w:rsid w:val="00EC5A46"/>
    <w:rsid w:val="00EC63E2"/>
    <w:rsid w:val="00EC78D8"/>
    <w:rsid w:val="00ED0087"/>
    <w:rsid w:val="00ED1F3E"/>
    <w:rsid w:val="00EE1BA8"/>
    <w:rsid w:val="00EE1E98"/>
    <w:rsid w:val="00EE397B"/>
    <w:rsid w:val="00EE4483"/>
    <w:rsid w:val="00EE5261"/>
    <w:rsid w:val="00EF0861"/>
    <w:rsid w:val="00EF0BD8"/>
    <w:rsid w:val="00EF22B3"/>
    <w:rsid w:val="00EF469A"/>
    <w:rsid w:val="00F01C0E"/>
    <w:rsid w:val="00F03B69"/>
    <w:rsid w:val="00F07077"/>
    <w:rsid w:val="00F07A50"/>
    <w:rsid w:val="00F113DA"/>
    <w:rsid w:val="00F23184"/>
    <w:rsid w:val="00F25F15"/>
    <w:rsid w:val="00F26EBE"/>
    <w:rsid w:val="00F3050B"/>
    <w:rsid w:val="00F319FC"/>
    <w:rsid w:val="00F32898"/>
    <w:rsid w:val="00F34742"/>
    <w:rsid w:val="00F37DC8"/>
    <w:rsid w:val="00F438BC"/>
    <w:rsid w:val="00F439B3"/>
    <w:rsid w:val="00F45AA8"/>
    <w:rsid w:val="00F45AE0"/>
    <w:rsid w:val="00F502DD"/>
    <w:rsid w:val="00F511D5"/>
    <w:rsid w:val="00F52A1B"/>
    <w:rsid w:val="00F638FC"/>
    <w:rsid w:val="00F645B4"/>
    <w:rsid w:val="00F650C3"/>
    <w:rsid w:val="00F65D85"/>
    <w:rsid w:val="00F65E6D"/>
    <w:rsid w:val="00F66D9A"/>
    <w:rsid w:val="00F7203C"/>
    <w:rsid w:val="00F72D4B"/>
    <w:rsid w:val="00F74107"/>
    <w:rsid w:val="00F75453"/>
    <w:rsid w:val="00F779A0"/>
    <w:rsid w:val="00F8091E"/>
    <w:rsid w:val="00F851D7"/>
    <w:rsid w:val="00F85ECB"/>
    <w:rsid w:val="00F8615C"/>
    <w:rsid w:val="00F929E8"/>
    <w:rsid w:val="00F92DD2"/>
    <w:rsid w:val="00F969E5"/>
    <w:rsid w:val="00F97AEE"/>
    <w:rsid w:val="00F97E54"/>
    <w:rsid w:val="00FA1C95"/>
    <w:rsid w:val="00FA2F66"/>
    <w:rsid w:val="00FA3DC6"/>
    <w:rsid w:val="00FA6BB0"/>
    <w:rsid w:val="00FB1DFB"/>
    <w:rsid w:val="00FC31E7"/>
    <w:rsid w:val="00FD136C"/>
    <w:rsid w:val="00FD2C61"/>
    <w:rsid w:val="00FD2D77"/>
    <w:rsid w:val="00FD5860"/>
    <w:rsid w:val="00FD5D7B"/>
    <w:rsid w:val="00FE352D"/>
    <w:rsid w:val="00FE40EB"/>
    <w:rsid w:val="00FE4D02"/>
    <w:rsid w:val="00FE51C9"/>
    <w:rsid w:val="00FE7282"/>
    <w:rsid w:val="00FE7B2F"/>
    <w:rsid w:val="00FE7D62"/>
    <w:rsid w:val="00FF3819"/>
    <w:rsid w:val="0FA450D4"/>
    <w:rsid w:val="14486CE3"/>
    <w:rsid w:val="14E5E53D"/>
    <w:rsid w:val="2325D5C0"/>
    <w:rsid w:val="261060F9"/>
    <w:rsid w:val="2ADB703D"/>
    <w:rsid w:val="2AF2DE8A"/>
    <w:rsid w:val="2C00683E"/>
    <w:rsid w:val="32A4B0F2"/>
    <w:rsid w:val="446FA6F5"/>
    <w:rsid w:val="4C325C4A"/>
    <w:rsid w:val="56B0D837"/>
    <w:rsid w:val="5FB10F99"/>
    <w:rsid w:val="6564A3AF"/>
    <w:rsid w:val="71F944AA"/>
    <w:rsid w:val="75614DD5"/>
    <w:rsid w:val="7F2564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ADD7"/>
  <w15:chartTrackingRefBased/>
  <w15:docId w15:val="{4D42910A-EA3C-48FA-BAA6-20D04B1F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A28A4"/>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1A28A4"/>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1A28A4"/>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1A28A4"/>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1A28A4"/>
    <w:pPr>
      <w:numPr>
        <w:numId w:val="21"/>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1A28A4"/>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1A28A4"/>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1A28A4"/>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1A28A4"/>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1A28A4"/>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A28A4"/>
    <w:rPr>
      <w:rFonts w:ascii="Times New Roman" w:hAnsi="Times New Roman"/>
      <w:b/>
      <w:sz w:val="18"/>
      <w:lang w:val="fr-FR"/>
    </w:rPr>
  </w:style>
  <w:style w:type="table" w:customStyle="1" w:styleId="Tabledocright">
    <w:name w:val="Table_doc_right"/>
    <w:basedOn w:val="TableNormal"/>
    <w:rsid w:val="001A28A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A28A4"/>
    <w:pPr>
      <w:ind w:left="1000"/>
    </w:pPr>
    <w:rPr>
      <w:sz w:val="18"/>
      <w:szCs w:val="18"/>
    </w:rPr>
  </w:style>
  <w:style w:type="paragraph" w:styleId="TOC7">
    <w:name w:val="toc 7"/>
    <w:basedOn w:val="Normal"/>
    <w:next w:val="Normal"/>
    <w:autoRedefine/>
    <w:semiHidden/>
    <w:rsid w:val="001A28A4"/>
    <w:pPr>
      <w:ind w:left="1200"/>
    </w:pPr>
    <w:rPr>
      <w:sz w:val="18"/>
      <w:szCs w:val="18"/>
    </w:rPr>
  </w:style>
  <w:style w:type="paragraph" w:styleId="TOC8">
    <w:name w:val="toc 8"/>
    <w:basedOn w:val="Normal"/>
    <w:next w:val="Normal"/>
    <w:autoRedefine/>
    <w:semiHidden/>
    <w:rsid w:val="001A28A4"/>
    <w:pPr>
      <w:ind w:left="1400"/>
    </w:pPr>
    <w:rPr>
      <w:sz w:val="18"/>
      <w:szCs w:val="18"/>
    </w:rPr>
  </w:style>
  <w:style w:type="paragraph" w:styleId="TOC9">
    <w:name w:val="toc 9"/>
    <w:basedOn w:val="Normal"/>
    <w:next w:val="Normal"/>
    <w:autoRedefine/>
    <w:semiHidden/>
    <w:rsid w:val="001A28A4"/>
    <w:pPr>
      <w:ind w:left="1600"/>
    </w:pPr>
    <w:rPr>
      <w:sz w:val="18"/>
      <w:szCs w:val="18"/>
    </w:rPr>
  </w:style>
  <w:style w:type="paragraph" w:customStyle="1" w:styleId="Titlefigure">
    <w:name w:val="Title_figure"/>
    <w:basedOn w:val="Titletable"/>
    <w:next w:val="NormalNonumber"/>
    <w:rsid w:val="001A28A4"/>
    <w:rPr>
      <w:bCs w:val="0"/>
    </w:rPr>
  </w:style>
  <w:style w:type="paragraph" w:styleId="TableofFigures">
    <w:name w:val="table of figures"/>
    <w:basedOn w:val="Normal"/>
    <w:next w:val="Normal"/>
    <w:autoRedefine/>
    <w:semiHidden/>
    <w:rsid w:val="001A28A4"/>
    <w:pPr>
      <w:ind w:left="1814" w:hanging="567"/>
    </w:pPr>
  </w:style>
  <w:style w:type="paragraph" w:customStyle="1" w:styleId="CH1">
    <w:name w:val="CH1"/>
    <w:basedOn w:val="Normal-pool"/>
    <w:next w:val="CH2"/>
    <w:qFormat/>
    <w:rsid w:val="001A28A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A28A4"/>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A28A4"/>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1A28A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A28A4"/>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C56FEF"/>
    <w:pPr>
      <w:tabs>
        <w:tab w:val="left" w:pos="4321"/>
        <w:tab w:val="right" w:pos="8641"/>
      </w:tabs>
      <w:spacing w:before="60"/>
    </w:pPr>
    <w:rPr>
      <w:b/>
      <w:sz w:val="18"/>
    </w:rPr>
  </w:style>
  <w:style w:type="paragraph" w:customStyle="1" w:styleId="Footer-pool">
    <w:name w:val="Footer-pool"/>
    <w:basedOn w:val="Normal"/>
    <w:next w:val="Normal"/>
    <w:rsid w:val="001A28A4"/>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1A28A4"/>
    <w:pPr>
      <w:pBdr>
        <w:bottom w:val="single" w:sz="4" w:space="1" w:color="auto"/>
      </w:pBdr>
      <w:tabs>
        <w:tab w:val="center" w:pos="4536"/>
        <w:tab w:val="right" w:pos="9072"/>
      </w:tabs>
      <w:spacing w:after="120"/>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CharCharCharCharCarChar"/>
    <w:semiHidden/>
    <w:rsid w:val="001A28A4"/>
    <w:rPr>
      <w:rFonts w:eastAsia="Times New Roman"/>
      <w:szCs w:val="18"/>
      <w:vertAlign w:val="superscript"/>
      <w:lang w:val="fr-FR" w:eastAsia="en-US"/>
    </w:rPr>
  </w:style>
  <w:style w:type="table" w:customStyle="1" w:styleId="AATable">
    <w:name w:val="AA_Table"/>
    <w:basedOn w:val="TableNormal"/>
    <w:semiHidden/>
    <w:rsid w:val="00C56FE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A28A4"/>
    <w:pPr>
      <w:keepNext/>
      <w:keepLines/>
      <w:suppressAutoHyphens/>
    </w:pPr>
    <w:rPr>
      <w:b/>
    </w:rPr>
  </w:style>
  <w:style w:type="paragraph" w:customStyle="1" w:styleId="AATitle2">
    <w:name w:val="AA_Title2"/>
    <w:basedOn w:val="AATitle"/>
    <w:qFormat/>
    <w:rsid w:val="001A28A4"/>
    <w:pPr>
      <w:keepNext w:val="0"/>
      <w:keepLines w:val="0"/>
      <w:spacing w:before="120" w:after="120"/>
    </w:pPr>
  </w:style>
  <w:style w:type="paragraph" w:customStyle="1" w:styleId="BBTitle">
    <w:name w:val="BB_Title"/>
    <w:basedOn w:val="Normal-pool"/>
    <w:link w:val="BBTitleChar"/>
    <w:qFormat/>
    <w:rsid w:val="001A28A4"/>
    <w:pPr>
      <w:keepNext/>
      <w:keepLines/>
      <w:suppressAutoHyphens/>
      <w:spacing w:before="320" w:after="240"/>
      <w:ind w:left="1247" w:right="567"/>
    </w:pPr>
    <w:rPr>
      <w:b/>
      <w:sz w:val="28"/>
      <w:szCs w:val="28"/>
    </w:rPr>
  </w:style>
  <w:style w:type="paragraph" w:customStyle="1" w:styleId="CH4">
    <w:name w:val="CH4"/>
    <w:basedOn w:val="Normal-pool"/>
    <w:next w:val="Normalnumber"/>
    <w:rsid w:val="001A28A4"/>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1A28A4"/>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A28A4"/>
    <w:rPr>
      <w:color w:val="0000FF"/>
      <w:u w:val="none"/>
      <w:lang w:val="fr-FR"/>
    </w:rPr>
  </w:style>
  <w:style w:type="numbering" w:customStyle="1" w:styleId="Normallist">
    <w:name w:val="Normal_list"/>
    <w:basedOn w:val="NoList"/>
    <w:rsid w:val="001A28A4"/>
    <w:pPr>
      <w:numPr>
        <w:numId w:val="1"/>
      </w:numPr>
    </w:pPr>
  </w:style>
  <w:style w:type="paragraph" w:customStyle="1" w:styleId="NormalNonumber">
    <w:name w:val="Normal_No_number"/>
    <w:basedOn w:val="Normal-pool"/>
    <w:link w:val="NormalNonumberChar"/>
    <w:qFormat/>
    <w:rsid w:val="001A28A4"/>
    <w:pPr>
      <w:spacing w:after="120"/>
      <w:ind w:left="1247"/>
    </w:pPr>
  </w:style>
  <w:style w:type="paragraph" w:customStyle="1" w:styleId="Normalnumber">
    <w:name w:val="Normal_number"/>
    <w:basedOn w:val="Normal"/>
    <w:link w:val="NormalnumberChar"/>
    <w:qFormat/>
    <w:rsid w:val="001A28A4"/>
    <w:pPr>
      <w:numPr>
        <w:numId w:val="20"/>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1A28A4"/>
    <w:pPr>
      <w:keepNext/>
      <w:keepLines/>
      <w:suppressAutoHyphens/>
      <w:spacing w:after="60"/>
      <w:ind w:left="1247"/>
    </w:pPr>
    <w:rPr>
      <w:b/>
      <w:bCs/>
    </w:rPr>
  </w:style>
  <w:style w:type="paragraph" w:styleId="TOC1">
    <w:name w:val="toc 1"/>
    <w:basedOn w:val="Normal"/>
    <w:next w:val="Normal"/>
    <w:autoRedefine/>
    <w:uiPriority w:val="39"/>
    <w:unhideWhenUsed/>
    <w:rsid w:val="001A28A4"/>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1A28A4"/>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1A28A4"/>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1A28A4"/>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1A28A4"/>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1A28A4"/>
    <w:rPr>
      <w:b/>
      <w:bCs/>
      <w:sz w:val="28"/>
      <w:szCs w:val="22"/>
    </w:rPr>
  </w:style>
  <w:style w:type="paragraph" w:customStyle="1" w:styleId="ZZAnxtitle">
    <w:name w:val="ZZ_Anx_title"/>
    <w:basedOn w:val="Normal-pool"/>
    <w:link w:val="ZZAnxtitleChar"/>
    <w:rsid w:val="001A28A4"/>
    <w:pPr>
      <w:spacing w:before="360" w:after="120"/>
      <w:ind w:left="1247"/>
    </w:pPr>
    <w:rPr>
      <w:b/>
      <w:bCs/>
      <w:sz w:val="28"/>
      <w:szCs w:val="26"/>
    </w:rPr>
  </w:style>
  <w:style w:type="paragraph" w:styleId="NormalWeb">
    <w:name w:val="Normal (Web)"/>
    <w:basedOn w:val="Normal"/>
    <w:uiPriority w:val="99"/>
    <w:unhideWhenUsed/>
    <w:rsid w:val="00C56FE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A28A4"/>
    <w:pPr>
      <w:spacing w:before="40" w:after="40"/>
    </w:pPr>
    <w:rPr>
      <w:sz w:val="18"/>
    </w:rPr>
  </w:style>
  <w:style w:type="paragraph" w:customStyle="1" w:styleId="Footnote-Text">
    <w:name w:val="Footnote-Text"/>
    <w:basedOn w:val="Normal-pool"/>
    <w:rsid w:val="001A28A4"/>
    <w:pPr>
      <w:spacing w:before="20" w:after="40"/>
      <w:ind w:left="1247"/>
    </w:pPr>
    <w:rPr>
      <w:sz w:val="18"/>
    </w:rPr>
  </w:style>
  <w:style w:type="paragraph" w:customStyle="1" w:styleId="AConvName">
    <w:name w:val="A_ConvName"/>
    <w:basedOn w:val="Normal-pool"/>
    <w:next w:val="Normal-pool"/>
    <w:rsid w:val="001A28A4"/>
    <w:pPr>
      <w:tabs>
        <w:tab w:val="clear" w:pos="1247"/>
      </w:tabs>
      <w:spacing w:before="120" w:after="240"/>
    </w:pPr>
    <w:rPr>
      <w:rFonts w:ascii="Arial" w:hAnsi="Arial"/>
      <w:b/>
      <w:sz w:val="28"/>
    </w:rPr>
  </w:style>
  <w:style w:type="paragraph" w:customStyle="1" w:styleId="ASymbol">
    <w:name w:val="A_Symbol"/>
    <w:basedOn w:val="Normal-pool"/>
    <w:rsid w:val="001A28A4"/>
    <w:pPr>
      <w:tabs>
        <w:tab w:val="clear" w:pos="1247"/>
      </w:tabs>
    </w:pPr>
  </w:style>
  <w:style w:type="paragraph" w:customStyle="1" w:styleId="AText">
    <w:name w:val="A_Text"/>
    <w:basedOn w:val="Normal-pool"/>
    <w:rsid w:val="001A28A4"/>
    <w:pPr>
      <w:spacing w:before="120"/>
    </w:pPr>
  </w:style>
  <w:style w:type="paragraph" w:customStyle="1" w:styleId="ATwoLetters">
    <w:name w:val="A_TwoLetters"/>
    <w:basedOn w:val="Normal-pool"/>
    <w:next w:val="Normal-pool"/>
    <w:rsid w:val="001A28A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A28A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C56FEF"/>
    <w:rPr>
      <w:rFonts w:ascii="Tahoma" w:hAnsi="Tahoma" w:cs="Tahoma"/>
      <w:sz w:val="16"/>
      <w:szCs w:val="16"/>
    </w:rPr>
  </w:style>
  <w:style w:type="character" w:customStyle="1" w:styleId="BalloonTextChar">
    <w:name w:val="Balloon Text Char"/>
    <w:basedOn w:val="DefaultParagraphFont"/>
    <w:link w:val="BalloonText"/>
    <w:rsid w:val="00C56FEF"/>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1A28A4"/>
    <w:rPr>
      <w:sz w:val="16"/>
      <w:szCs w:val="16"/>
      <w:lang w:val="fr-FR"/>
    </w:rPr>
  </w:style>
  <w:style w:type="paragraph" w:styleId="CommentText">
    <w:name w:val="annotation text"/>
    <w:basedOn w:val="Normal"/>
    <w:link w:val="CommentTextChar"/>
    <w:unhideWhenUsed/>
    <w:rsid w:val="001A28A4"/>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1A28A4"/>
    <w:rPr>
      <w:rFonts w:eastAsia="Times New Roman"/>
      <w:lang w:val="fr-FR" w:eastAsia="en-US"/>
    </w:rPr>
  </w:style>
  <w:style w:type="paragraph" w:styleId="CommentSubject">
    <w:name w:val="annotation subject"/>
    <w:basedOn w:val="CommentText"/>
    <w:next w:val="CommentText"/>
    <w:link w:val="CommentSubjectChar"/>
    <w:unhideWhenUsed/>
    <w:rsid w:val="001A28A4"/>
    <w:rPr>
      <w:b/>
      <w:bCs/>
    </w:rPr>
  </w:style>
  <w:style w:type="character" w:customStyle="1" w:styleId="CommentSubjectChar">
    <w:name w:val="Comment Subject Char"/>
    <w:basedOn w:val="CommentTextChar"/>
    <w:link w:val="CommentSubject"/>
    <w:rsid w:val="001A28A4"/>
    <w:rPr>
      <w:rFonts w:eastAsia="Times New Roman"/>
      <w:b/>
      <w:bCs/>
      <w:lang w:val="fr-FR" w:eastAsia="en-US"/>
    </w:rPr>
  </w:style>
  <w:style w:type="character" w:styleId="FollowedHyperlink">
    <w:name w:val="FollowedHyperlink"/>
    <w:uiPriority w:val="99"/>
    <w:semiHidden/>
    <w:rsid w:val="001A28A4"/>
    <w:rPr>
      <w:color w:val="0000FF"/>
      <w:u w:val="none"/>
      <w:lang w:val="fr-FR"/>
    </w:rPr>
  </w:style>
  <w:style w:type="character" w:customStyle="1" w:styleId="FooterChar">
    <w:name w:val="Footer Char"/>
    <w:basedOn w:val="DefaultParagraphFont"/>
    <w:link w:val="Footer"/>
    <w:uiPriority w:val="99"/>
    <w:rsid w:val="001A28A4"/>
    <w:rPr>
      <w:rFonts w:eastAsia="Times New Roman"/>
      <w:lang w:val="fr-FR" w:eastAsia="en-US"/>
    </w:rPr>
  </w:style>
  <w:style w:type="character" w:customStyle="1" w:styleId="HeaderChar">
    <w:name w:val="Header Char"/>
    <w:basedOn w:val="DefaultParagraphFont"/>
    <w:link w:val="Header"/>
    <w:uiPriority w:val="99"/>
    <w:semiHidden/>
    <w:rsid w:val="001A28A4"/>
    <w:rPr>
      <w:rFonts w:eastAsia="Times New Roman"/>
      <w:lang w:val="fr-FR" w:eastAsia="en-US"/>
    </w:rPr>
  </w:style>
  <w:style w:type="character" w:customStyle="1" w:styleId="Heading1Char">
    <w:name w:val="Heading 1 Char"/>
    <w:basedOn w:val="DefaultParagraphFont"/>
    <w:link w:val="Heading1"/>
    <w:rsid w:val="001A28A4"/>
    <w:rPr>
      <w:rFonts w:eastAsia="Times New Roman"/>
      <w:b/>
      <w:sz w:val="28"/>
      <w:szCs w:val="28"/>
      <w:lang w:val="fr-FR"/>
    </w:rPr>
  </w:style>
  <w:style w:type="character" w:customStyle="1" w:styleId="Heading2Char">
    <w:name w:val="Heading 2 Char"/>
    <w:basedOn w:val="DefaultParagraphFont"/>
    <w:link w:val="Heading2"/>
    <w:rsid w:val="001A28A4"/>
    <w:rPr>
      <w:rFonts w:eastAsia="Times New Roman"/>
      <w:b/>
      <w:sz w:val="24"/>
      <w:szCs w:val="24"/>
      <w:lang w:val="fr-FR"/>
    </w:rPr>
  </w:style>
  <w:style w:type="character" w:customStyle="1" w:styleId="Heading3Char">
    <w:name w:val="Heading 3 Char"/>
    <w:basedOn w:val="DefaultParagraphFont"/>
    <w:link w:val="Heading3"/>
    <w:rsid w:val="001A28A4"/>
    <w:rPr>
      <w:rFonts w:eastAsia="Times New Roman"/>
      <w:b/>
      <w:lang w:val="fr-FR"/>
    </w:rPr>
  </w:style>
  <w:style w:type="character" w:customStyle="1" w:styleId="Heading4Char">
    <w:name w:val="Heading 4 Char"/>
    <w:basedOn w:val="DefaultParagraphFont"/>
    <w:link w:val="Heading4"/>
    <w:rsid w:val="001A28A4"/>
    <w:rPr>
      <w:rFonts w:eastAsia="Times New Roman"/>
      <w:b/>
      <w:lang w:val="fr-FR" w:eastAsia="en-US"/>
    </w:rPr>
  </w:style>
  <w:style w:type="character" w:customStyle="1" w:styleId="Heading5Char">
    <w:name w:val="Heading 5 Char"/>
    <w:basedOn w:val="DefaultParagraphFont"/>
    <w:link w:val="Heading5"/>
    <w:rsid w:val="001A28A4"/>
    <w:rPr>
      <w:rFonts w:eastAsia="Times New Roman"/>
      <w:b/>
      <w:lang w:val="fr-FR"/>
    </w:rPr>
  </w:style>
  <w:style w:type="character" w:customStyle="1" w:styleId="Heading6Char">
    <w:name w:val="Heading 6 Char"/>
    <w:basedOn w:val="DefaultParagraphFont"/>
    <w:link w:val="Heading6"/>
    <w:rsid w:val="001A28A4"/>
    <w:rPr>
      <w:rFonts w:eastAsia="Times New Roman"/>
      <w:bCs/>
      <w:sz w:val="24"/>
      <w:lang w:val="fr-FR"/>
    </w:rPr>
  </w:style>
  <w:style w:type="character" w:customStyle="1" w:styleId="Heading7Char">
    <w:name w:val="Heading 7 Char"/>
    <w:basedOn w:val="DefaultParagraphFont"/>
    <w:link w:val="Heading7"/>
    <w:rsid w:val="001A28A4"/>
    <w:rPr>
      <w:rFonts w:eastAsia="Times New Roman"/>
      <w:b/>
      <w:snapToGrid w:val="0"/>
      <w:u w:val="single"/>
      <w:lang w:val="fr-FR"/>
    </w:rPr>
  </w:style>
  <w:style w:type="character" w:customStyle="1" w:styleId="Heading8Char">
    <w:name w:val="Heading 8 Char"/>
    <w:basedOn w:val="DefaultParagraphFont"/>
    <w:link w:val="Heading8"/>
    <w:rsid w:val="001A28A4"/>
    <w:rPr>
      <w:rFonts w:eastAsia="Times New Roman"/>
      <w:b/>
      <w:snapToGrid w:val="0"/>
      <w:u w:val="single"/>
      <w:lang w:val="fr-FR"/>
    </w:rPr>
  </w:style>
  <w:style w:type="character" w:customStyle="1" w:styleId="Heading9Char">
    <w:name w:val="Heading 9 Char"/>
    <w:basedOn w:val="DefaultParagraphFont"/>
    <w:link w:val="Heading9"/>
    <w:rsid w:val="001A28A4"/>
    <w:rPr>
      <w:rFonts w:eastAsia="Times New Roman"/>
      <w:snapToGrid w:val="0"/>
      <w:u w:val="single"/>
      <w:lang w:val="fr-FR" w:eastAsia="en-US"/>
    </w:rPr>
  </w:style>
  <w:style w:type="paragraph" w:styleId="ListParagraph">
    <w:name w:val="List Paragraph"/>
    <w:basedOn w:val="Normal"/>
    <w:uiPriority w:val="34"/>
    <w:semiHidden/>
    <w:qFormat/>
    <w:rsid w:val="00C56FEF"/>
    <w:pPr>
      <w:ind w:left="720"/>
      <w:contextualSpacing/>
    </w:pPr>
  </w:style>
  <w:style w:type="paragraph" w:styleId="NoSpacing">
    <w:name w:val="No Spacing"/>
    <w:uiPriority w:val="1"/>
    <w:semiHidden/>
    <w:qFormat/>
    <w:rsid w:val="00C56FEF"/>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1A28A4"/>
    <w:rPr>
      <w:rFonts w:eastAsia="Times New Roman"/>
      <w:lang w:eastAsia="en-US"/>
    </w:rPr>
  </w:style>
  <w:style w:type="character" w:styleId="PlaceholderText">
    <w:name w:val="Placeholder Text"/>
    <w:basedOn w:val="DefaultParagraphFont"/>
    <w:uiPriority w:val="99"/>
    <w:semiHidden/>
    <w:rsid w:val="00C56FEF"/>
    <w:rPr>
      <w:color w:val="808080"/>
      <w:lang w:val="fr-FR"/>
    </w:rPr>
  </w:style>
  <w:style w:type="table" w:styleId="TableGrid">
    <w:name w:val="Table Grid"/>
    <w:basedOn w:val="TableNormal"/>
    <w:rsid w:val="00C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A28A4"/>
    <w:pPr>
      <w:spacing w:before="120" w:after="240"/>
    </w:pPr>
    <w:rPr>
      <w:rFonts w:eastAsia="Times New Roman"/>
    </w:rPr>
  </w:style>
  <w:style w:type="character" w:customStyle="1" w:styleId="ALogoChar">
    <w:name w:val="A_Logo Char"/>
    <w:basedOn w:val="DefaultParagraphFont"/>
    <w:link w:val="ALogo"/>
    <w:rsid w:val="001A28A4"/>
    <w:rPr>
      <w:rFonts w:eastAsia="Times New Roman"/>
      <w:lang w:val="fr-FR"/>
    </w:rPr>
  </w:style>
  <w:style w:type="paragraph" w:customStyle="1" w:styleId="ASpacer">
    <w:name w:val="A_Spacer"/>
    <w:basedOn w:val="Normal-pool"/>
    <w:link w:val="ASpacerChar"/>
    <w:qFormat/>
    <w:rsid w:val="001A28A4"/>
    <w:rPr>
      <w:rFonts w:eastAsia="Times New Roman"/>
      <w:sz w:val="2"/>
    </w:rPr>
  </w:style>
  <w:style w:type="character" w:customStyle="1" w:styleId="ASpacerChar">
    <w:name w:val="A_Spacer Char"/>
    <w:basedOn w:val="DefaultParagraphFont"/>
    <w:link w:val="ASpacer"/>
    <w:rsid w:val="001A28A4"/>
    <w:rPr>
      <w:rFonts w:eastAsia="Times New Roman"/>
      <w:sz w:val="2"/>
      <w:lang w:val="fr-FR"/>
    </w:rPr>
  </w:style>
  <w:style w:type="paragraph" w:customStyle="1" w:styleId="AATitle1">
    <w:name w:val="AA_Title1"/>
    <w:basedOn w:val="Normal-pool"/>
    <w:qFormat/>
    <w:rsid w:val="001A28A4"/>
  </w:style>
  <w:style w:type="character" w:styleId="UnresolvedMention">
    <w:name w:val="Unresolved Mention"/>
    <w:basedOn w:val="DefaultParagraphFont"/>
    <w:uiPriority w:val="99"/>
    <w:semiHidden/>
    <w:rsid w:val="00C56FEF"/>
    <w:rPr>
      <w:color w:val="605E5C"/>
      <w:shd w:val="clear" w:color="auto" w:fill="E1DFDD"/>
      <w:lang w:val="fr-FR"/>
    </w:rPr>
  </w:style>
  <w:style w:type="paragraph" w:customStyle="1" w:styleId="ANormal">
    <w:name w:val="A_Normal"/>
    <w:basedOn w:val="Normal-pool"/>
    <w:qFormat/>
    <w:rsid w:val="001A28A4"/>
    <w:rPr>
      <w:rFonts w:eastAsia="Times New Roman"/>
    </w:rPr>
  </w:style>
  <w:style w:type="paragraph" w:customStyle="1" w:styleId="AText0">
    <w:name w:val="A_Text0"/>
    <w:basedOn w:val="AText"/>
    <w:next w:val="Normal-pool"/>
    <w:qFormat/>
    <w:rsid w:val="001A28A4"/>
    <w:pPr>
      <w:spacing w:before="0" w:after="120"/>
    </w:pPr>
    <w:rPr>
      <w:rFonts w:eastAsia="Times New Roman"/>
    </w:rPr>
  </w:style>
  <w:style w:type="paragraph" w:styleId="Footer">
    <w:name w:val="footer"/>
    <w:basedOn w:val="Normal"/>
    <w:link w:val="FooterChar"/>
    <w:uiPriority w:val="99"/>
    <w:rsid w:val="001A28A4"/>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C56FEF"/>
    <w:rPr>
      <w:rFonts w:eastAsia="Times New Roman"/>
      <w:b/>
      <w:sz w:val="18"/>
      <w:lang w:val="fr-FR" w:eastAsia="en-US"/>
    </w:rPr>
  </w:style>
  <w:style w:type="paragraph" w:customStyle="1" w:styleId="Normal-pool">
    <w:name w:val="Normal-pool"/>
    <w:link w:val="Normal-poolChar"/>
    <w:qFormat/>
    <w:rsid w:val="001A28A4"/>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1A28A4"/>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1A28A4"/>
    <w:pPr>
      <w:spacing w:before="60"/>
    </w:pPr>
    <w:rPr>
      <w:sz w:val="18"/>
    </w:rPr>
  </w:style>
  <w:style w:type="paragraph" w:styleId="Bibliography">
    <w:name w:val="Bibliography"/>
    <w:basedOn w:val="Normal"/>
    <w:next w:val="Normal"/>
    <w:uiPriority w:val="37"/>
    <w:semiHidden/>
    <w:rsid w:val="00C56FEF"/>
  </w:style>
  <w:style w:type="paragraph" w:styleId="BlockText">
    <w:name w:val="Block Text"/>
    <w:basedOn w:val="Normal"/>
    <w:semiHidden/>
    <w:unhideWhenUsed/>
    <w:rsid w:val="00C56F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56FEF"/>
    <w:pPr>
      <w:spacing w:after="120"/>
    </w:pPr>
  </w:style>
  <w:style w:type="character" w:customStyle="1" w:styleId="BodyTextChar">
    <w:name w:val="Body Text Char"/>
    <w:basedOn w:val="DefaultParagraphFont"/>
    <w:link w:val="BodyText"/>
    <w:semiHidden/>
    <w:rsid w:val="00C56FEF"/>
    <w:rPr>
      <w:rFonts w:eastAsia="Times New Roman"/>
      <w:lang w:val="fr-FR" w:eastAsia="en-US"/>
    </w:rPr>
  </w:style>
  <w:style w:type="paragraph" w:styleId="BodyText2">
    <w:name w:val="Body Text 2"/>
    <w:basedOn w:val="Normal"/>
    <w:link w:val="BodyText2Char"/>
    <w:semiHidden/>
    <w:unhideWhenUsed/>
    <w:rsid w:val="00C56FEF"/>
    <w:pPr>
      <w:spacing w:after="120" w:line="480" w:lineRule="auto"/>
    </w:pPr>
  </w:style>
  <w:style w:type="character" w:customStyle="1" w:styleId="BodyText2Char">
    <w:name w:val="Body Text 2 Char"/>
    <w:basedOn w:val="DefaultParagraphFont"/>
    <w:link w:val="BodyText2"/>
    <w:semiHidden/>
    <w:rsid w:val="00C56FEF"/>
    <w:rPr>
      <w:rFonts w:eastAsia="Times New Roman"/>
      <w:lang w:val="fr-FR" w:eastAsia="en-US"/>
    </w:rPr>
  </w:style>
  <w:style w:type="paragraph" w:styleId="BodyText3">
    <w:name w:val="Body Text 3"/>
    <w:basedOn w:val="Normal"/>
    <w:link w:val="BodyText3Char"/>
    <w:semiHidden/>
    <w:unhideWhenUsed/>
    <w:rsid w:val="00C56FEF"/>
    <w:pPr>
      <w:spacing w:after="120"/>
    </w:pPr>
    <w:rPr>
      <w:sz w:val="16"/>
      <w:szCs w:val="16"/>
    </w:rPr>
  </w:style>
  <w:style w:type="character" w:customStyle="1" w:styleId="BodyText3Char">
    <w:name w:val="Body Text 3 Char"/>
    <w:basedOn w:val="DefaultParagraphFont"/>
    <w:link w:val="BodyText3"/>
    <w:semiHidden/>
    <w:rsid w:val="00C56FEF"/>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C56FEF"/>
    <w:pPr>
      <w:spacing w:after="0"/>
      <w:ind w:firstLine="360"/>
    </w:pPr>
  </w:style>
  <w:style w:type="character" w:customStyle="1" w:styleId="BodyTextFirstIndentChar">
    <w:name w:val="Body Text First Indent Char"/>
    <w:basedOn w:val="BodyTextChar"/>
    <w:link w:val="BodyTextFirstIndent"/>
    <w:semiHidden/>
    <w:rsid w:val="00C56FEF"/>
    <w:rPr>
      <w:rFonts w:eastAsia="Times New Roman"/>
      <w:lang w:val="fr-FR" w:eastAsia="en-US"/>
    </w:rPr>
  </w:style>
  <w:style w:type="paragraph" w:styleId="BodyTextIndent">
    <w:name w:val="Body Text Indent"/>
    <w:basedOn w:val="Normal"/>
    <w:link w:val="BodyTextIndentChar"/>
    <w:semiHidden/>
    <w:unhideWhenUsed/>
    <w:rsid w:val="00C56FEF"/>
    <w:pPr>
      <w:spacing w:after="120"/>
      <w:ind w:left="283"/>
    </w:pPr>
  </w:style>
  <w:style w:type="character" w:customStyle="1" w:styleId="BodyTextIndentChar">
    <w:name w:val="Body Text Indent Char"/>
    <w:basedOn w:val="DefaultParagraphFont"/>
    <w:link w:val="BodyTextIndent"/>
    <w:semiHidden/>
    <w:rsid w:val="00C56FEF"/>
    <w:rPr>
      <w:rFonts w:eastAsia="Times New Roman"/>
      <w:lang w:val="fr-FR" w:eastAsia="en-US"/>
    </w:rPr>
  </w:style>
  <w:style w:type="paragraph" w:styleId="BodyTextFirstIndent2">
    <w:name w:val="Body Text First Indent 2"/>
    <w:basedOn w:val="BodyTextIndent"/>
    <w:link w:val="BodyTextFirstIndent2Char"/>
    <w:semiHidden/>
    <w:unhideWhenUsed/>
    <w:rsid w:val="00C56FEF"/>
    <w:pPr>
      <w:spacing w:after="0"/>
      <w:ind w:left="360" w:firstLine="360"/>
    </w:pPr>
  </w:style>
  <w:style w:type="character" w:customStyle="1" w:styleId="BodyTextFirstIndent2Char">
    <w:name w:val="Body Text First Indent 2 Char"/>
    <w:basedOn w:val="BodyTextIndentChar"/>
    <w:link w:val="BodyTextFirstIndent2"/>
    <w:semiHidden/>
    <w:rsid w:val="00C56FEF"/>
    <w:rPr>
      <w:rFonts w:eastAsia="Times New Roman"/>
      <w:lang w:val="fr-FR" w:eastAsia="en-US"/>
    </w:rPr>
  </w:style>
  <w:style w:type="paragraph" w:styleId="BodyTextIndent2">
    <w:name w:val="Body Text Indent 2"/>
    <w:basedOn w:val="Normal"/>
    <w:link w:val="BodyTextIndent2Char"/>
    <w:semiHidden/>
    <w:unhideWhenUsed/>
    <w:rsid w:val="00C56FEF"/>
    <w:pPr>
      <w:spacing w:after="120" w:line="480" w:lineRule="auto"/>
      <w:ind w:left="283"/>
    </w:pPr>
  </w:style>
  <w:style w:type="character" w:customStyle="1" w:styleId="BodyTextIndent2Char">
    <w:name w:val="Body Text Indent 2 Char"/>
    <w:basedOn w:val="DefaultParagraphFont"/>
    <w:link w:val="BodyTextIndent2"/>
    <w:semiHidden/>
    <w:rsid w:val="00C56FEF"/>
    <w:rPr>
      <w:rFonts w:eastAsia="Times New Roman"/>
      <w:lang w:val="fr-FR" w:eastAsia="en-US"/>
    </w:rPr>
  </w:style>
  <w:style w:type="paragraph" w:styleId="BodyTextIndent3">
    <w:name w:val="Body Text Indent 3"/>
    <w:basedOn w:val="Normal"/>
    <w:link w:val="BodyTextIndent3Char"/>
    <w:semiHidden/>
    <w:unhideWhenUsed/>
    <w:rsid w:val="00C56FEF"/>
    <w:pPr>
      <w:spacing w:after="120"/>
      <w:ind w:left="283"/>
    </w:pPr>
    <w:rPr>
      <w:sz w:val="16"/>
      <w:szCs w:val="16"/>
    </w:rPr>
  </w:style>
  <w:style w:type="character" w:customStyle="1" w:styleId="BodyTextIndent3Char">
    <w:name w:val="Body Text Indent 3 Char"/>
    <w:basedOn w:val="DefaultParagraphFont"/>
    <w:link w:val="BodyTextIndent3"/>
    <w:semiHidden/>
    <w:rsid w:val="00C56FEF"/>
    <w:rPr>
      <w:rFonts w:eastAsia="Times New Roman"/>
      <w:sz w:val="16"/>
      <w:szCs w:val="16"/>
      <w:lang w:val="fr-FR" w:eastAsia="en-US"/>
    </w:rPr>
  </w:style>
  <w:style w:type="character" w:styleId="BookTitle">
    <w:name w:val="Book Title"/>
    <w:basedOn w:val="DefaultParagraphFont"/>
    <w:uiPriority w:val="33"/>
    <w:semiHidden/>
    <w:qFormat/>
    <w:rsid w:val="00C56FEF"/>
    <w:rPr>
      <w:b/>
      <w:bCs/>
      <w:i/>
      <w:iCs/>
      <w:spacing w:val="5"/>
      <w:lang w:val="fr-FR"/>
    </w:rPr>
  </w:style>
  <w:style w:type="paragraph" w:styleId="Caption">
    <w:name w:val="caption"/>
    <w:basedOn w:val="Normal"/>
    <w:next w:val="Normal"/>
    <w:semiHidden/>
    <w:unhideWhenUsed/>
    <w:qFormat/>
    <w:rsid w:val="00C56FEF"/>
    <w:pPr>
      <w:spacing w:after="200"/>
    </w:pPr>
    <w:rPr>
      <w:i/>
      <w:iCs/>
      <w:color w:val="1F497D" w:themeColor="text2"/>
      <w:sz w:val="18"/>
      <w:szCs w:val="18"/>
    </w:rPr>
  </w:style>
  <w:style w:type="paragraph" w:styleId="Closing">
    <w:name w:val="Closing"/>
    <w:basedOn w:val="Normal"/>
    <w:link w:val="ClosingChar"/>
    <w:semiHidden/>
    <w:unhideWhenUsed/>
    <w:rsid w:val="00C56FEF"/>
    <w:pPr>
      <w:ind w:left="4252"/>
    </w:pPr>
  </w:style>
  <w:style w:type="character" w:customStyle="1" w:styleId="ClosingChar">
    <w:name w:val="Closing Char"/>
    <w:basedOn w:val="DefaultParagraphFont"/>
    <w:link w:val="Closing"/>
    <w:semiHidden/>
    <w:rsid w:val="00C56FEF"/>
    <w:rPr>
      <w:rFonts w:eastAsia="Times New Roman"/>
      <w:lang w:val="fr-FR" w:eastAsia="en-US"/>
    </w:rPr>
  </w:style>
  <w:style w:type="table" w:styleId="ColorfulGrid">
    <w:name w:val="Colorful Grid"/>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56F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6F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56F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56F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56F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56F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56F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6F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56F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6F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6F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56F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6F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56F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56F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56F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56F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56F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56FEF"/>
  </w:style>
  <w:style w:type="character" w:customStyle="1" w:styleId="DateChar">
    <w:name w:val="Date Char"/>
    <w:basedOn w:val="DefaultParagraphFont"/>
    <w:link w:val="Date"/>
    <w:semiHidden/>
    <w:rsid w:val="00C56FEF"/>
    <w:rPr>
      <w:rFonts w:eastAsia="Times New Roman"/>
      <w:lang w:val="fr-FR" w:eastAsia="en-US"/>
    </w:rPr>
  </w:style>
  <w:style w:type="paragraph" w:styleId="DocumentMap">
    <w:name w:val="Document Map"/>
    <w:basedOn w:val="Normal"/>
    <w:link w:val="DocumentMapChar"/>
    <w:semiHidden/>
    <w:unhideWhenUsed/>
    <w:rsid w:val="00C56FEF"/>
    <w:rPr>
      <w:rFonts w:ascii="Segoe UI" w:hAnsi="Segoe UI" w:cs="Segoe UI"/>
      <w:sz w:val="16"/>
      <w:szCs w:val="16"/>
    </w:rPr>
  </w:style>
  <w:style w:type="character" w:customStyle="1" w:styleId="DocumentMapChar">
    <w:name w:val="Document Map Char"/>
    <w:basedOn w:val="DefaultParagraphFont"/>
    <w:link w:val="DocumentMap"/>
    <w:semiHidden/>
    <w:rsid w:val="00C56FEF"/>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C56FEF"/>
  </w:style>
  <w:style w:type="character" w:customStyle="1" w:styleId="E-mailSignatureChar">
    <w:name w:val="E-mail Signature Char"/>
    <w:basedOn w:val="DefaultParagraphFont"/>
    <w:link w:val="E-mailSignature"/>
    <w:semiHidden/>
    <w:rsid w:val="00C56FEF"/>
    <w:rPr>
      <w:rFonts w:eastAsia="Times New Roman"/>
      <w:lang w:val="fr-FR" w:eastAsia="en-US"/>
    </w:rPr>
  </w:style>
  <w:style w:type="character" w:styleId="Emphasis">
    <w:name w:val="Emphasis"/>
    <w:basedOn w:val="DefaultParagraphFont"/>
    <w:semiHidden/>
    <w:qFormat/>
    <w:rsid w:val="00C56FEF"/>
    <w:rPr>
      <w:i/>
      <w:iCs/>
      <w:lang w:val="fr-FR"/>
    </w:rPr>
  </w:style>
  <w:style w:type="character" w:styleId="EndnoteReference">
    <w:name w:val="endnote reference"/>
    <w:basedOn w:val="DefaultParagraphFont"/>
    <w:semiHidden/>
    <w:unhideWhenUsed/>
    <w:rsid w:val="00C56FEF"/>
    <w:rPr>
      <w:vertAlign w:val="superscript"/>
      <w:lang w:val="fr-FR"/>
    </w:rPr>
  </w:style>
  <w:style w:type="paragraph" w:styleId="EndnoteText">
    <w:name w:val="endnote text"/>
    <w:basedOn w:val="Normal"/>
    <w:link w:val="EndnoteTextChar"/>
    <w:semiHidden/>
    <w:unhideWhenUsed/>
    <w:rsid w:val="00C56FEF"/>
  </w:style>
  <w:style w:type="character" w:customStyle="1" w:styleId="EndnoteTextChar">
    <w:name w:val="Endnote Text Char"/>
    <w:basedOn w:val="DefaultParagraphFont"/>
    <w:link w:val="EndnoteText"/>
    <w:semiHidden/>
    <w:rsid w:val="00C56FEF"/>
    <w:rPr>
      <w:rFonts w:eastAsia="Times New Roman"/>
      <w:lang w:val="fr-FR" w:eastAsia="en-US"/>
    </w:rPr>
  </w:style>
  <w:style w:type="paragraph" w:styleId="EnvelopeAddress">
    <w:name w:val="envelope address"/>
    <w:basedOn w:val="Normal"/>
    <w:semiHidden/>
    <w:unhideWhenUsed/>
    <w:rsid w:val="00C56FE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56FEF"/>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
    <w:basedOn w:val="Normal"/>
    <w:link w:val="FootnoteTextChar"/>
    <w:semiHidden/>
    <w:rsid w:val="001A28A4"/>
    <w:pPr>
      <w:tabs>
        <w:tab w:val="left" w:pos="4082"/>
      </w:tabs>
      <w:spacing w:before="20" w:after="40"/>
      <w:ind w:left="1247"/>
    </w:pPr>
    <w:rPr>
      <w:sz w:val="18"/>
    </w:rPr>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semiHidden/>
    <w:rsid w:val="001030F4"/>
    <w:rPr>
      <w:rFonts w:eastAsia="Times New Roman"/>
      <w:sz w:val="18"/>
      <w:lang w:val="fr-FR" w:eastAsia="en-US"/>
    </w:rPr>
  </w:style>
  <w:style w:type="table" w:styleId="GridTable1Light">
    <w:name w:val="Grid Table 1 Light"/>
    <w:basedOn w:val="TableNormal"/>
    <w:uiPriority w:val="46"/>
    <w:rsid w:val="00C56F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6F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6F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6F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6F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6F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6F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6F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6F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56F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56F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56F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56F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56F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56FEF"/>
    <w:rPr>
      <w:color w:val="2B579A"/>
      <w:shd w:val="clear" w:color="auto" w:fill="E1DFDD"/>
      <w:lang w:val="fr-FR"/>
    </w:rPr>
  </w:style>
  <w:style w:type="character" w:styleId="HTMLAcronym">
    <w:name w:val="HTML Acronym"/>
    <w:basedOn w:val="DefaultParagraphFont"/>
    <w:semiHidden/>
    <w:unhideWhenUsed/>
    <w:rsid w:val="00C56FEF"/>
    <w:rPr>
      <w:lang w:val="fr-FR"/>
    </w:rPr>
  </w:style>
  <w:style w:type="paragraph" w:styleId="HTMLAddress">
    <w:name w:val="HTML Address"/>
    <w:basedOn w:val="Normal"/>
    <w:link w:val="HTMLAddressChar"/>
    <w:semiHidden/>
    <w:unhideWhenUsed/>
    <w:rsid w:val="00C56FEF"/>
    <w:rPr>
      <w:i/>
      <w:iCs/>
    </w:rPr>
  </w:style>
  <w:style w:type="character" w:customStyle="1" w:styleId="HTMLAddressChar">
    <w:name w:val="HTML Address Char"/>
    <w:basedOn w:val="DefaultParagraphFont"/>
    <w:link w:val="HTMLAddress"/>
    <w:semiHidden/>
    <w:rsid w:val="00C56FEF"/>
    <w:rPr>
      <w:rFonts w:eastAsia="Times New Roman"/>
      <w:i/>
      <w:iCs/>
      <w:lang w:val="fr-FR" w:eastAsia="en-US"/>
    </w:rPr>
  </w:style>
  <w:style w:type="character" w:styleId="HTMLCite">
    <w:name w:val="HTML Cite"/>
    <w:basedOn w:val="DefaultParagraphFont"/>
    <w:semiHidden/>
    <w:unhideWhenUsed/>
    <w:rsid w:val="00C56FEF"/>
    <w:rPr>
      <w:i/>
      <w:iCs/>
      <w:lang w:val="fr-FR"/>
    </w:rPr>
  </w:style>
  <w:style w:type="character" w:styleId="HTMLCode">
    <w:name w:val="HTML Code"/>
    <w:basedOn w:val="DefaultParagraphFont"/>
    <w:semiHidden/>
    <w:unhideWhenUsed/>
    <w:rsid w:val="00C56FEF"/>
    <w:rPr>
      <w:rFonts w:ascii="Consolas" w:hAnsi="Consolas"/>
      <w:sz w:val="20"/>
      <w:szCs w:val="20"/>
      <w:lang w:val="fr-FR"/>
    </w:rPr>
  </w:style>
  <w:style w:type="character" w:styleId="HTMLDefinition">
    <w:name w:val="HTML Definition"/>
    <w:basedOn w:val="DefaultParagraphFont"/>
    <w:semiHidden/>
    <w:unhideWhenUsed/>
    <w:rsid w:val="00C56FEF"/>
    <w:rPr>
      <w:i/>
      <w:iCs/>
      <w:lang w:val="fr-FR"/>
    </w:rPr>
  </w:style>
  <w:style w:type="character" w:styleId="HTMLKeyboard">
    <w:name w:val="HTML Keyboard"/>
    <w:basedOn w:val="DefaultParagraphFont"/>
    <w:semiHidden/>
    <w:unhideWhenUsed/>
    <w:rsid w:val="00C56FEF"/>
    <w:rPr>
      <w:rFonts w:ascii="Consolas" w:hAnsi="Consolas"/>
      <w:sz w:val="20"/>
      <w:szCs w:val="20"/>
      <w:lang w:val="fr-FR"/>
    </w:rPr>
  </w:style>
  <w:style w:type="paragraph" w:styleId="HTMLPreformatted">
    <w:name w:val="HTML Preformatted"/>
    <w:basedOn w:val="Normal"/>
    <w:link w:val="HTMLPreformattedChar"/>
    <w:semiHidden/>
    <w:unhideWhenUsed/>
    <w:rsid w:val="00C56FEF"/>
    <w:rPr>
      <w:rFonts w:ascii="Consolas" w:hAnsi="Consolas"/>
    </w:rPr>
  </w:style>
  <w:style w:type="character" w:customStyle="1" w:styleId="HTMLPreformattedChar">
    <w:name w:val="HTML Preformatted Char"/>
    <w:basedOn w:val="DefaultParagraphFont"/>
    <w:link w:val="HTMLPreformatted"/>
    <w:semiHidden/>
    <w:rsid w:val="00C56FEF"/>
    <w:rPr>
      <w:rFonts w:ascii="Consolas" w:eastAsia="Times New Roman" w:hAnsi="Consolas"/>
      <w:lang w:val="fr-FR" w:eastAsia="en-US"/>
    </w:rPr>
  </w:style>
  <w:style w:type="character" w:styleId="HTMLSample">
    <w:name w:val="HTML Sample"/>
    <w:basedOn w:val="DefaultParagraphFont"/>
    <w:semiHidden/>
    <w:unhideWhenUsed/>
    <w:rsid w:val="00C56FEF"/>
    <w:rPr>
      <w:rFonts w:ascii="Consolas" w:hAnsi="Consolas"/>
      <w:sz w:val="24"/>
      <w:szCs w:val="24"/>
      <w:lang w:val="fr-FR"/>
    </w:rPr>
  </w:style>
  <w:style w:type="character" w:styleId="HTMLTypewriter">
    <w:name w:val="HTML Typewriter"/>
    <w:basedOn w:val="DefaultParagraphFont"/>
    <w:semiHidden/>
    <w:unhideWhenUsed/>
    <w:rsid w:val="00C56FEF"/>
    <w:rPr>
      <w:rFonts w:ascii="Consolas" w:hAnsi="Consolas"/>
      <w:sz w:val="20"/>
      <w:szCs w:val="20"/>
      <w:lang w:val="fr-FR"/>
    </w:rPr>
  </w:style>
  <w:style w:type="character" w:styleId="HTMLVariable">
    <w:name w:val="HTML Variable"/>
    <w:basedOn w:val="DefaultParagraphFont"/>
    <w:semiHidden/>
    <w:unhideWhenUsed/>
    <w:rsid w:val="00C56FEF"/>
    <w:rPr>
      <w:i/>
      <w:iCs/>
      <w:lang w:val="fr-FR"/>
    </w:rPr>
  </w:style>
  <w:style w:type="paragraph" w:styleId="Index1">
    <w:name w:val="index 1"/>
    <w:basedOn w:val="Normal"/>
    <w:next w:val="Normal"/>
    <w:autoRedefine/>
    <w:semiHidden/>
    <w:unhideWhenUsed/>
    <w:rsid w:val="00C56FEF"/>
    <w:pPr>
      <w:tabs>
        <w:tab w:val="clear" w:pos="1247"/>
      </w:tabs>
      <w:ind w:left="200" w:hanging="200"/>
    </w:pPr>
  </w:style>
  <w:style w:type="paragraph" w:styleId="Index2">
    <w:name w:val="index 2"/>
    <w:basedOn w:val="Normal"/>
    <w:next w:val="Normal"/>
    <w:autoRedefine/>
    <w:semiHidden/>
    <w:unhideWhenUsed/>
    <w:rsid w:val="00C56FEF"/>
    <w:pPr>
      <w:tabs>
        <w:tab w:val="clear" w:pos="1247"/>
      </w:tabs>
      <w:ind w:left="400" w:hanging="200"/>
    </w:pPr>
  </w:style>
  <w:style w:type="paragraph" w:styleId="Index3">
    <w:name w:val="index 3"/>
    <w:basedOn w:val="Normal"/>
    <w:next w:val="Normal"/>
    <w:autoRedefine/>
    <w:semiHidden/>
    <w:unhideWhenUsed/>
    <w:rsid w:val="00C56FEF"/>
    <w:pPr>
      <w:tabs>
        <w:tab w:val="clear" w:pos="1247"/>
      </w:tabs>
      <w:ind w:left="600" w:hanging="200"/>
    </w:pPr>
  </w:style>
  <w:style w:type="paragraph" w:styleId="Index4">
    <w:name w:val="index 4"/>
    <w:basedOn w:val="Normal"/>
    <w:next w:val="Normal"/>
    <w:autoRedefine/>
    <w:semiHidden/>
    <w:unhideWhenUsed/>
    <w:rsid w:val="00C56FEF"/>
    <w:pPr>
      <w:tabs>
        <w:tab w:val="clear" w:pos="1247"/>
      </w:tabs>
      <w:ind w:left="800" w:hanging="200"/>
    </w:pPr>
  </w:style>
  <w:style w:type="paragraph" w:styleId="Index5">
    <w:name w:val="index 5"/>
    <w:basedOn w:val="Normal"/>
    <w:next w:val="Normal"/>
    <w:autoRedefine/>
    <w:semiHidden/>
    <w:unhideWhenUsed/>
    <w:rsid w:val="00C56FEF"/>
    <w:pPr>
      <w:tabs>
        <w:tab w:val="clear" w:pos="1247"/>
      </w:tabs>
      <w:ind w:left="1000" w:hanging="200"/>
    </w:pPr>
  </w:style>
  <w:style w:type="paragraph" w:styleId="Index6">
    <w:name w:val="index 6"/>
    <w:basedOn w:val="Normal"/>
    <w:next w:val="Normal"/>
    <w:autoRedefine/>
    <w:semiHidden/>
    <w:unhideWhenUsed/>
    <w:rsid w:val="00C56FEF"/>
    <w:pPr>
      <w:tabs>
        <w:tab w:val="clear" w:pos="1247"/>
      </w:tabs>
      <w:ind w:left="1200" w:hanging="200"/>
    </w:pPr>
  </w:style>
  <w:style w:type="paragraph" w:styleId="Index7">
    <w:name w:val="index 7"/>
    <w:basedOn w:val="Normal"/>
    <w:next w:val="Normal"/>
    <w:autoRedefine/>
    <w:semiHidden/>
    <w:unhideWhenUsed/>
    <w:rsid w:val="00C56FEF"/>
    <w:pPr>
      <w:tabs>
        <w:tab w:val="clear" w:pos="1247"/>
      </w:tabs>
      <w:ind w:left="1400" w:hanging="200"/>
    </w:pPr>
  </w:style>
  <w:style w:type="paragraph" w:styleId="Index8">
    <w:name w:val="index 8"/>
    <w:basedOn w:val="Normal"/>
    <w:next w:val="Normal"/>
    <w:autoRedefine/>
    <w:semiHidden/>
    <w:unhideWhenUsed/>
    <w:rsid w:val="00C56FEF"/>
    <w:pPr>
      <w:tabs>
        <w:tab w:val="clear" w:pos="1247"/>
      </w:tabs>
      <w:ind w:left="1600" w:hanging="200"/>
    </w:pPr>
  </w:style>
  <w:style w:type="paragraph" w:styleId="Index9">
    <w:name w:val="index 9"/>
    <w:basedOn w:val="Normal"/>
    <w:next w:val="Normal"/>
    <w:autoRedefine/>
    <w:semiHidden/>
    <w:unhideWhenUsed/>
    <w:rsid w:val="00C56FEF"/>
    <w:pPr>
      <w:tabs>
        <w:tab w:val="clear" w:pos="1247"/>
      </w:tabs>
      <w:ind w:left="1800" w:hanging="200"/>
    </w:pPr>
  </w:style>
  <w:style w:type="paragraph" w:styleId="IndexHeading">
    <w:name w:val="index heading"/>
    <w:basedOn w:val="Normal"/>
    <w:next w:val="Index1"/>
    <w:semiHidden/>
    <w:unhideWhenUsed/>
    <w:rsid w:val="00C56FE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56FEF"/>
    <w:rPr>
      <w:i/>
      <w:iCs/>
      <w:color w:val="4F81BD" w:themeColor="accent1"/>
      <w:lang w:val="fr-FR"/>
    </w:rPr>
  </w:style>
  <w:style w:type="paragraph" w:styleId="IntenseQuote">
    <w:name w:val="Intense Quote"/>
    <w:basedOn w:val="Normal"/>
    <w:next w:val="Normal"/>
    <w:link w:val="IntenseQuoteChar"/>
    <w:uiPriority w:val="30"/>
    <w:semiHidden/>
    <w:qFormat/>
    <w:rsid w:val="00C56F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56FEF"/>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C56FEF"/>
    <w:rPr>
      <w:b/>
      <w:bCs/>
      <w:smallCaps/>
      <w:color w:val="4F81BD" w:themeColor="accent1"/>
      <w:spacing w:val="5"/>
      <w:lang w:val="fr-FR"/>
    </w:rPr>
  </w:style>
  <w:style w:type="table" w:styleId="LightGrid">
    <w:name w:val="Light Grid"/>
    <w:basedOn w:val="TableNormal"/>
    <w:uiPriority w:val="62"/>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56F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6F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56F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56F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56F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56F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56F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56FEF"/>
    <w:rPr>
      <w:lang w:val="fr-FR"/>
    </w:rPr>
  </w:style>
  <w:style w:type="paragraph" w:styleId="List">
    <w:name w:val="List"/>
    <w:basedOn w:val="Normal"/>
    <w:semiHidden/>
    <w:unhideWhenUsed/>
    <w:rsid w:val="00C56FEF"/>
    <w:pPr>
      <w:ind w:left="283" w:hanging="283"/>
      <w:contextualSpacing/>
    </w:pPr>
  </w:style>
  <w:style w:type="paragraph" w:styleId="List2">
    <w:name w:val="List 2"/>
    <w:basedOn w:val="Normal"/>
    <w:semiHidden/>
    <w:unhideWhenUsed/>
    <w:rsid w:val="00C56FEF"/>
    <w:pPr>
      <w:ind w:left="566" w:hanging="283"/>
      <w:contextualSpacing/>
    </w:pPr>
  </w:style>
  <w:style w:type="paragraph" w:styleId="List3">
    <w:name w:val="List 3"/>
    <w:basedOn w:val="Normal"/>
    <w:semiHidden/>
    <w:unhideWhenUsed/>
    <w:rsid w:val="00C56FEF"/>
    <w:pPr>
      <w:ind w:left="849" w:hanging="283"/>
      <w:contextualSpacing/>
    </w:pPr>
  </w:style>
  <w:style w:type="paragraph" w:styleId="List4">
    <w:name w:val="List 4"/>
    <w:basedOn w:val="Normal"/>
    <w:semiHidden/>
    <w:unhideWhenUsed/>
    <w:rsid w:val="00C56FEF"/>
    <w:pPr>
      <w:ind w:left="1132" w:hanging="283"/>
      <w:contextualSpacing/>
    </w:pPr>
  </w:style>
  <w:style w:type="paragraph" w:styleId="List5">
    <w:name w:val="List 5"/>
    <w:basedOn w:val="Normal"/>
    <w:semiHidden/>
    <w:unhideWhenUsed/>
    <w:rsid w:val="00C56FEF"/>
    <w:pPr>
      <w:ind w:left="1415" w:hanging="283"/>
      <w:contextualSpacing/>
    </w:pPr>
  </w:style>
  <w:style w:type="paragraph" w:styleId="ListBullet">
    <w:name w:val="List Bullet"/>
    <w:basedOn w:val="Normal"/>
    <w:semiHidden/>
    <w:rsid w:val="00C56FEF"/>
    <w:pPr>
      <w:numPr>
        <w:numId w:val="6"/>
      </w:numPr>
      <w:contextualSpacing/>
    </w:pPr>
  </w:style>
  <w:style w:type="paragraph" w:styleId="ListBullet2">
    <w:name w:val="List Bullet 2"/>
    <w:basedOn w:val="Normal"/>
    <w:semiHidden/>
    <w:unhideWhenUsed/>
    <w:rsid w:val="00C56FEF"/>
    <w:pPr>
      <w:numPr>
        <w:numId w:val="7"/>
      </w:numPr>
      <w:contextualSpacing/>
    </w:pPr>
  </w:style>
  <w:style w:type="paragraph" w:styleId="ListBullet3">
    <w:name w:val="List Bullet 3"/>
    <w:basedOn w:val="Normal"/>
    <w:semiHidden/>
    <w:unhideWhenUsed/>
    <w:rsid w:val="00C56FEF"/>
    <w:pPr>
      <w:numPr>
        <w:numId w:val="8"/>
      </w:numPr>
      <w:contextualSpacing/>
    </w:pPr>
  </w:style>
  <w:style w:type="paragraph" w:styleId="ListBullet4">
    <w:name w:val="List Bullet 4"/>
    <w:basedOn w:val="Normal"/>
    <w:semiHidden/>
    <w:unhideWhenUsed/>
    <w:rsid w:val="00C56FEF"/>
    <w:pPr>
      <w:numPr>
        <w:numId w:val="9"/>
      </w:numPr>
      <w:contextualSpacing/>
    </w:pPr>
  </w:style>
  <w:style w:type="paragraph" w:styleId="ListBullet5">
    <w:name w:val="List Bullet 5"/>
    <w:basedOn w:val="Normal"/>
    <w:semiHidden/>
    <w:unhideWhenUsed/>
    <w:rsid w:val="00C56FEF"/>
    <w:pPr>
      <w:numPr>
        <w:numId w:val="10"/>
      </w:numPr>
      <w:contextualSpacing/>
    </w:pPr>
  </w:style>
  <w:style w:type="paragraph" w:styleId="ListContinue">
    <w:name w:val="List Continue"/>
    <w:basedOn w:val="Normal"/>
    <w:semiHidden/>
    <w:unhideWhenUsed/>
    <w:rsid w:val="00C56FEF"/>
    <w:pPr>
      <w:spacing w:after="120"/>
      <w:ind w:left="283"/>
      <w:contextualSpacing/>
    </w:pPr>
  </w:style>
  <w:style w:type="paragraph" w:styleId="ListContinue2">
    <w:name w:val="List Continue 2"/>
    <w:basedOn w:val="Normal"/>
    <w:semiHidden/>
    <w:unhideWhenUsed/>
    <w:rsid w:val="00C56FEF"/>
    <w:pPr>
      <w:spacing w:after="120"/>
      <w:ind w:left="566"/>
      <w:contextualSpacing/>
    </w:pPr>
  </w:style>
  <w:style w:type="paragraph" w:styleId="ListContinue3">
    <w:name w:val="List Continue 3"/>
    <w:basedOn w:val="Normal"/>
    <w:semiHidden/>
    <w:rsid w:val="00C56FEF"/>
    <w:pPr>
      <w:spacing w:after="120"/>
      <w:ind w:left="849"/>
      <w:contextualSpacing/>
    </w:pPr>
  </w:style>
  <w:style w:type="paragraph" w:styleId="ListContinue4">
    <w:name w:val="List Continue 4"/>
    <w:basedOn w:val="Normal"/>
    <w:semiHidden/>
    <w:rsid w:val="00C56FEF"/>
    <w:pPr>
      <w:spacing w:after="120"/>
      <w:ind w:left="1132"/>
      <w:contextualSpacing/>
    </w:pPr>
  </w:style>
  <w:style w:type="paragraph" w:styleId="ListContinue5">
    <w:name w:val="List Continue 5"/>
    <w:basedOn w:val="Normal"/>
    <w:semiHidden/>
    <w:rsid w:val="00C56FEF"/>
    <w:pPr>
      <w:spacing w:after="120"/>
      <w:ind w:left="1415"/>
      <w:contextualSpacing/>
    </w:pPr>
  </w:style>
  <w:style w:type="paragraph" w:styleId="ListNumber">
    <w:name w:val="List Number"/>
    <w:basedOn w:val="Normal"/>
    <w:semiHidden/>
    <w:rsid w:val="001A28A4"/>
    <w:pPr>
      <w:numPr>
        <w:numId w:val="11"/>
      </w:numPr>
      <w:contextualSpacing/>
    </w:pPr>
  </w:style>
  <w:style w:type="paragraph" w:styleId="ListNumber2">
    <w:name w:val="List Number 2"/>
    <w:basedOn w:val="Normal"/>
    <w:semiHidden/>
    <w:unhideWhenUsed/>
    <w:rsid w:val="00C56FEF"/>
    <w:pPr>
      <w:numPr>
        <w:numId w:val="12"/>
      </w:numPr>
      <w:contextualSpacing/>
    </w:pPr>
  </w:style>
  <w:style w:type="paragraph" w:styleId="ListNumber3">
    <w:name w:val="List Number 3"/>
    <w:basedOn w:val="Normal"/>
    <w:semiHidden/>
    <w:unhideWhenUsed/>
    <w:rsid w:val="00C56FEF"/>
    <w:pPr>
      <w:numPr>
        <w:numId w:val="13"/>
      </w:numPr>
      <w:contextualSpacing/>
    </w:pPr>
  </w:style>
  <w:style w:type="paragraph" w:styleId="ListNumber4">
    <w:name w:val="List Number 4"/>
    <w:basedOn w:val="Normal"/>
    <w:semiHidden/>
    <w:unhideWhenUsed/>
    <w:rsid w:val="00C56FEF"/>
    <w:pPr>
      <w:numPr>
        <w:numId w:val="14"/>
      </w:numPr>
      <w:contextualSpacing/>
    </w:pPr>
  </w:style>
  <w:style w:type="paragraph" w:styleId="ListNumber5">
    <w:name w:val="List Number 5"/>
    <w:basedOn w:val="Normal"/>
    <w:semiHidden/>
    <w:unhideWhenUsed/>
    <w:rsid w:val="00C56FEF"/>
    <w:pPr>
      <w:numPr>
        <w:numId w:val="15"/>
      </w:numPr>
      <w:contextualSpacing/>
    </w:pPr>
  </w:style>
  <w:style w:type="table" w:styleId="ListTable1Light">
    <w:name w:val="List Table 1 Light"/>
    <w:basedOn w:val="TableNormal"/>
    <w:uiPriority w:val="46"/>
    <w:rsid w:val="00C56F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6F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56F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56F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56F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56F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56F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56F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6F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56F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56F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56F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56F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56F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56F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6F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56F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56F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56F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56F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56F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56F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6F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6F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6F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6F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6F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6F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6F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6F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56F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56F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56F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56F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56F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56F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6F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6F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6F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6F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6F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56F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56FE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C56FEF"/>
    <w:rPr>
      <w:rFonts w:ascii="Consolas" w:eastAsia="Times New Roman" w:hAnsi="Consolas"/>
      <w:lang w:val="fr-FR" w:eastAsia="en-US"/>
    </w:rPr>
  </w:style>
  <w:style w:type="table" w:styleId="MediumGrid1">
    <w:name w:val="Medium Grid 1"/>
    <w:basedOn w:val="TableNormal"/>
    <w:uiPriority w:val="67"/>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56F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6F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56F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56F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56F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56F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56F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C56FEF"/>
    <w:rPr>
      <w:color w:val="2B579A"/>
      <w:shd w:val="clear" w:color="auto" w:fill="E1DFDD"/>
      <w:lang w:val="fr-FR"/>
    </w:rPr>
  </w:style>
  <w:style w:type="paragraph" w:styleId="MessageHeader">
    <w:name w:val="Message Header"/>
    <w:basedOn w:val="Normal"/>
    <w:link w:val="MessageHeaderChar"/>
    <w:semiHidden/>
    <w:rsid w:val="00C56FE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56FEF"/>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C56FEF"/>
    <w:pPr>
      <w:ind w:left="720"/>
    </w:pPr>
  </w:style>
  <w:style w:type="paragraph" w:styleId="NoteHeading">
    <w:name w:val="Note Heading"/>
    <w:basedOn w:val="Normal"/>
    <w:next w:val="Normal"/>
    <w:link w:val="NoteHeadingChar"/>
    <w:semiHidden/>
    <w:unhideWhenUsed/>
    <w:rsid w:val="00C56FEF"/>
  </w:style>
  <w:style w:type="character" w:customStyle="1" w:styleId="NoteHeadingChar">
    <w:name w:val="Note Heading Char"/>
    <w:basedOn w:val="DefaultParagraphFont"/>
    <w:link w:val="NoteHeading"/>
    <w:semiHidden/>
    <w:rsid w:val="00C56FEF"/>
    <w:rPr>
      <w:rFonts w:eastAsia="Times New Roman"/>
      <w:lang w:val="fr-FR" w:eastAsia="en-US"/>
    </w:rPr>
  </w:style>
  <w:style w:type="table" w:styleId="PlainTable1">
    <w:name w:val="Plain Table 1"/>
    <w:basedOn w:val="TableNormal"/>
    <w:uiPriority w:val="41"/>
    <w:rsid w:val="00C56F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6F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6FE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6F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6F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56FEF"/>
    <w:rPr>
      <w:rFonts w:ascii="Consolas" w:hAnsi="Consolas"/>
      <w:sz w:val="21"/>
      <w:szCs w:val="21"/>
    </w:rPr>
  </w:style>
  <w:style w:type="character" w:customStyle="1" w:styleId="PlainTextChar">
    <w:name w:val="Plain Text Char"/>
    <w:basedOn w:val="DefaultParagraphFont"/>
    <w:link w:val="PlainText"/>
    <w:semiHidden/>
    <w:rsid w:val="00C56FEF"/>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C56F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56FEF"/>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C56FEF"/>
  </w:style>
  <w:style w:type="character" w:customStyle="1" w:styleId="SalutationChar">
    <w:name w:val="Salutation Char"/>
    <w:basedOn w:val="DefaultParagraphFont"/>
    <w:link w:val="Salutation"/>
    <w:semiHidden/>
    <w:rsid w:val="00C56FEF"/>
    <w:rPr>
      <w:rFonts w:eastAsia="Times New Roman"/>
      <w:lang w:val="fr-FR" w:eastAsia="en-US"/>
    </w:rPr>
  </w:style>
  <w:style w:type="paragraph" w:styleId="Signature">
    <w:name w:val="Signature"/>
    <w:basedOn w:val="Normal"/>
    <w:link w:val="SignatureChar"/>
    <w:semiHidden/>
    <w:unhideWhenUsed/>
    <w:rsid w:val="00C56FEF"/>
    <w:pPr>
      <w:ind w:left="4252"/>
    </w:pPr>
  </w:style>
  <w:style w:type="character" w:customStyle="1" w:styleId="SignatureChar">
    <w:name w:val="Signature Char"/>
    <w:basedOn w:val="DefaultParagraphFont"/>
    <w:link w:val="Signature"/>
    <w:semiHidden/>
    <w:rsid w:val="00C56FEF"/>
    <w:rPr>
      <w:rFonts w:eastAsia="Times New Roman"/>
      <w:lang w:val="fr-FR" w:eastAsia="en-US"/>
    </w:rPr>
  </w:style>
  <w:style w:type="character" w:styleId="SmartHyperlink">
    <w:name w:val="Smart Hyperlink"/>
    <w:basedOn w:val="DefaultParagraphFont"/>
    <w:uiPriority w:val="99"/>
    <w:semiHidden/>
    <w:rsid w:val="00C56FEF"/>
    <w:rPr>
      <w:u w:val="dotted"/>
      <w:lang w:val="fr-FR"/>
    </w:rPr>
  </w:style>
  <w:style w:type="character" w:styleId="SmartLink">
    <w:name w:val="Smart Link"/>
    <w:basedOn w:val="DefaultParagraphFont"/>
    <w:uiPriority w:val="99"/>
    <w:semiHidden/>
    <w:unhideWhenUsed/>
    <w:rsid w:val="00C56FEF"/>
    <w:rPr>
      <w:color w:val="0000FF"/>
      <w:u w:val="single"/>
      <w:shd w:val="clear" w:color="auto" w:fill="F3F2F1"/>
      <w:lang w:val="fr-FR"/>
    </w:rPr>
  </w:style>
  <w:style w:type="character" w:styleId="Strong">
    <w:name w:val="Strong"/>
    <w:basedOn w:val="DefaultParagraphFont"/>
    <w:uiPriority w:val="22"/>
    <w:semiHidden/>
    <w:qFormat/>
    <w:rsid w:val="00C56FEF"/>
    <w:rPr>
      <w:b/>
      <w:bCs/>
      <w:lang w:val="fr-FR"/>
    </w:rPr>
  </w:style>
  <w:style w:type="paragraph" w:styleId="Subtitle">
    <w:name w:val="Subtitle"/>
    <w:basedOn w:val="Normal"/>
    <w:next w:val="Normal"/>
    <w:link w:val="SubtitleChar"/>
    <w:semiHidden/>
    <w:qFormat/>
    <w:rsid w:val="00C56F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56FEF"/>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C56FEF"/>
    <w:rPr>
      <w:i/>
      <w:iCs/>
      <w:color w:val="404040" w:themeColor="text1" w:themeTint="BF"/>
      <w:lang w:val="fr-FR"/>
    </w:rPr>
  </w:style>
  <w:style w:type="character" w:styleId="SubtleReference">
    <w:name w:val="Subtle Reference"/>
    <w:basedOn w:val="DefaultParagraphFont"/>
    <w:uiPriority w:val="31"/>
    <w:semiHidden/>
    <w:qFormat/>
    <w:rsid w:val="00C56FEF"/>
    <w:rPr>
      <w:smallCaps/>
      <w:color w:val="5A5A5A" w:themeColor="text1" w:themeTint="A5"/>
      <w:lang w:val="fr-FR"/>
    </w:rPr>
  </w:style>
  <w:style w:type="table" w:styleId="Table3Deffects1">
    <w:name w:val="Table 3D effect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56F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56FEF"/>
    <w:pPr>
      <w:tabs>
        <w:tab w:val="clear" w:pos="1247"/>
      </w:tabs>
      <w:ind w:left="200" w:hanging="200"/>
    </w:pPr>
  </w:style>
  <w:style w:type="table" w:styleId="TableProfessional">
    <w:name w:val="Table Professional"/>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56F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56FEF"/>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C56F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56FE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C56FEF"/>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Headerpool">
    <w:name w:val="Header_pool"/>
    <w:basedOn w:val="Normal"/>
    <w:next w:val="Normal"/>
    <w:semiHidden/>
    <w:rsid w:val="001030F4"/>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1030F4"/>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1030F4"/>
    <w:rPr>
      <w:rFonts w:eastAsia="SimSun"/>
      <w:lang w:val="fr-FR" w:eastAsia="zh-CN"/>
    </w:rPr>
  </w:style>
  <w:style w:type="character" w:customStyle="1" w:styleId="ZZAnxheaderChar">
    <w:name w:val="ZZ_Anx_header Char"/>
    <w:link w:val="ZZAnxheader"/>
    <w:locked/>
    <w:rsid w:val="001030F4"/>
    <w:rPr>
      <w:b/>
      <w:bCs/>
      <w:sz w:val="28"/>
      <w:szCs w:val="22"/>
    </w:rPr>
  </w:style>
  <w:style w:type="character" w:customStyle="1" w:styleId="ZZAnxtitleChar">
    <w:name w:val="ZZ_Anx_title Char"/>
    <w:link w:val="ZZAnxtitle"/>
    <w:rsid w:val="001030F4"/>
    <w:rPr>
      <w:b/>
      <w:bCs/>
      <w:sz w:val="28"/>
      <w:szCs w:val="26"/>
    </w:rPr>
  </w:style>
  <w:style w:type="character" w:customStyle="1" w:styleId="Normal-poolChar">
    <w:name w:val="Normal-pool Char"/>
    <w:link w:val="Normal-pool"/>
    <w:locked/>
    <w:rsid w:val="001030F4"/>
  </w:style>
  <w:style w:type="character" w:customStyle="1" w:styleId="CH2Char">
    <w:name w:val="CH2 Char"/>
    <w:link w:val="CH2"/>
    <w:rsid w:val="001030F4"/>
    <w:rPr>
      <w:b/>
      <w:sz w:val="24"/>
      <w:szCs w:val="24"/>
    </w:rPr>
  </w:style>
  <w:style w:type="paragraph" w:customStyle="1" w:styleId="paragraph">
    <w:name w:val="paragraph"/>
    <w:basedOn w:val="Normal"/>
    <w:semiHidden/>
    <w:rsid w:val="001030F4"/>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semiHidden/>
    <w:rsid w:val="001030F4"/>
    <w:rPr>
      <w:lang w:val="fr-FR"/>
    </w:rPr>
  </w:style>
  <w:style w:type="character" w:customStyle="1" w:styleId="eop">
    <w:name w:val="eop"/>
    <w:basedOn w:val="DefaultParagraphFont"/>
    <w:semiHidden/>
    <w:rsid w:val="001030F4"/>
    <w:rPr>
      <w:lang w:val="fr-FR"/>
    </w:rPr>
  </w:style>
  <w:style w:type="character" w:customStyle="1" w:styleId="NormalNonumberChar">
    <w:name w:val="Normal_No_number Char"/>
    <w:link w:val="NormalNonumber"/>
    <w:locked/>
    <w:rsid w:val="001030F4"/>
  </w:style>
  <w:style w:type="paragraph" w:styleId="Revision">
    <w:name w:val="Revision"/>
    <w:hidden/>
    <w:uiPriority w:val="99"/>
    <w:semiHidden/>
    <w:rsid w:val="001030F4"/>
    <w:rPr>
      <w:lang w:val="en-GB"/>
    </w:rPr>
  </w:style>
  <w:style w:type="numbering" w:customStyle="1" w:styleId="Normallist1">
    <w:name w:val="Normal_list1"/>
    <w:basedOn w:val="NoList"/>
    <w:rsid w:val="001030F4"/>
  </w:style>
  <w:style w:type="character" w:customStyle="1" w:styleId="findhit">
    <w:name w:val="findhit"/>
    <w:basedOn w:val="DefaultParagraphFont"/>
    <w:semiHidden/>
    <w:rsid w:val="001030F4"/>
    <w:rPr>
      <w:lang w:val="fr-FR"/>
    </w:rPr>
  </w:style>
  <w:style w:type="paragraph" w:customStyle="1" w:styleId="ds-markdown-paragraph">
    <w:name w:val="ds-markdown-paragraph"/>
    <w:basedOn w:val="Normal"/>
    <w:rsid w:val="001030F4"/>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BBTitleChar">
    <w:name w:val="BB_Title Char"/>
    <w:link w:val="BBTitle"/>
    <w:rsid w:val="001030F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94705719">
      <w:bodyDiv w:val="1"/>
      <w:marLeft w:val="0"/>
      <w:marRight w:val="0"/>
      <w:marTop w:val="0"/>
      <w:marBottom w:val="0"/>
      <w:divBdr>
        <w:top w:val="none" w:sz="0" w:space="0" w:color="auto"/>
        <w:left w:val="none" w:sz="0" w:space="0" w:color="auto"/>
        <w:bottom w:val="none" w:sz="0" w:space="0" w:color="auto"/>
        <w:right w:val="none" w:sz="0" w:space="0" w:color="auto"/>
      </w:divBdr>
    </w:div>
    <w:div w:id="993025576">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resources/monitoring-mercury-and-around-artisanal-and-small-scale-gold-mining-sites" TargetMode="External"/><Relationship Id="rId2" Type="http://schemas.openxmlformats.org/officeDocument/2006/relationships/hyperlink" Target="https://minamataconvention.org/en/documents/guidance-developing-national-action-plan-reduce-and-where-feasible-eliminate-mercury-use" TargetMode="External"/><Relationship Id="rId1" Type="http://schemas.openxmlformats.org/officeDocument/2006/relationships/hyperlink" Target="https://minamataconvention.org/en/documents/guidance-developing-national-action-plan-reduce-and-where-feasible-eliminate-mercury-use" TargetMode="External"/><Relationship Id="rId4" Type="http://schemas.openxmlformats.org/officeDocument/2006/relationships/hyperlink" Target="https://minamataconvention.org/en/resources/monitoring-mercury-and-around-artisanal-and-small-scale-gold-mining-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8168-009E-4A7B-AB72-D5001C79B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www.w3.org/XML/1998/namespace"/>
    <ds:schemaRef ds:uri="http://purl.org/dc/elements/1.1/"/>
    <ds:schemaRef ds:uri="985ec44e-1bab-4c0b-9df0-6ba128686fc9"/>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25a4600d-fc45-4aed-ad1e-9b44b590e5cc"/>
    <ds:schemaRef ds:uri="786100a8-bbaa-48b6-aa10-6d2082f346b4"/>
    <ds:schemaRef ds:uri="http://purl.org/dc/dcmitype/"/>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9</Pages>
  <Words>4212</Words>
  <Characters>24014</Characters>
  <Application>Microsoft Office Word</Application>
  <DocSecurity>0</DocSecurity>
  <PresentationFormat/>
  <Lines>200</Lines>
  <Paragraphs>56</Paragraphs>
  <ScaleCrop>false</ScaleCrop>
  <Manager/>
  <Company/>
  <LinksUpToDate>false</LinksUpToDate>
  <CharactersWithSpaces>28170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4</cp:revision>
  <cp:lastPrinted>2025-09-16T09:01:00Z</cp:lastPrinted>
  <dcterms:created xsi:type="dcterms:W3CDTF">2025-09-16T09:01:00Z</dcterms:created>
  <dcterms:modified xsi:type="dcterms:W3CDTF">2025-09-17T11:40:00Z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