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02B213C6" w:rsidR="00061BBD" w:rsidRPr="00761D88" w:rsidRDefault="00F10E16" w:rsidP="00061BBD">
            <w:pPr>
              <w:pStyle w:val="ASymbol"/>
              <w:rPr>
                <w:lang w:val="en-US"/>
              </w:rPr>
            </w:pPr>
            <w:r w:rsidRPr="00F10E16">
              <w:rPr>
                <w:b/>
                <w:bCs/>
                <w:sz w:val="28"/>
                <w:szCs w:val="28"/>
              </w:rPr>
              <w:t>UNEP</w:t>
            </w:r>
            <w:r w:rsidRPr="00F10E16">
              <w:t>/MC/COP.</w:t>
            </w:r>
            <w:r w:rsidR="00761D88">
              <w:t>6/</w:t>
            </w:r>
            <w:r w:rsidR="009575B4">
              <w:rPr>
                <w:rFonts w:hint="cs"/>
                <w:rtl/>
              </w:rPr>
              <w:t>6</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0DCA3E1E" w:rsidR="00061BBD" w:rsidRPr="00061BBD" w:rsidRDefault="00061BBD" w:rsidP="00061BBD">
            <w:pPr>
              <w:pStyle w:val="Normal-pool"/>
              <w:bidi/>
              <w:rPr>
                <w:rFonts w:ascii="Simplified Arabic" w:hAnsi="Simplified Arabic" w:cs="Simplified Arabic"/>
              </w:rPr>
            </w:pPr>
          </w:p>
        </w:tc>
        <w:tc>
          <w:tcPr>
            <w:tcW w:w="3118" w:type="dxa"/>
          </w:tcPr>
          <w:p w14:paraId="126C65C8" w14:textId="780C1D56" w:rsidR="00061BBD" w:rsidRDefault="00061BBD" w:rsidP="00061BBD">
            <w:pPr>
              <w:pStyle w:val="AText"/>
            </w:pPr>
            <w:r>
              <w:t xml:space="preserve">Distr.: </w:t>
            </w:r>
            <w:r w:rsidR="000B13FD">
              <w:t>General</w:t>
            </w:r>
            <w:r>
              <w:br/>
            </w:r>
            <w:r w:rsidR="00505D86">
              <w:rPr>
                <w:lang w:val="en-US"/>
              </w:rPr>
              <w:t>28 July</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F05304E" w14:textId="77777777" w:rsidR="00061BBD" w:rsidRDefault="00061BBD" w:rsidP="00F96438">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0A0C22AC" w14:textId="3AC53CA6" w:rsidR="00B8167B" w:rsidRDefault="00B8167B" w:rsidP="00F96438">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2"/>
                <w:szCs w:val="22"/>
                <w:lang w:eastAsia="zh-TW" w:bidi="en-GB"/>
              </w:rPr>
            </w:pPr>
            <w:bookmarkStart w:id="3" w:name="CorNot1AgItem"/>
            <w:r w:rsidRPr="00F96438">
              <w:rPr>
                <w:rFonts w:ascii="Simplified Arabic" w:hAnsi="Simplified Arabic" w:cs="Simplified Arabic"/>
                <w:color w:val="000000"/>
                <w:sz w:val="24"/>
                <w:szCs w:val="24"/>
                <w:rtl/>
              </w:rPr>
              <w:t>البند 4 (ب) ’1‘ من جدول الأعمال المؤقت</w:t>
            </w:r>
            <w:r w:rsidRPr="00F96438">
              <w:rPr>
                <w:rStyle w:val="FootnoteReference"/>
                <w:rFonts w:ascii="Simplified Arabic" w:hAnsi="Simplified Arabic" w:cs="Simplified Arabic"/>
                <w:color w:val="000000"/>
                <w:sz w:val="28"/>
                <w:szCs w:val="28"/>
                <w:rtl/>
              </w:rPr>
              <w:footnoteReference w:customMarkFollows="1" w:id="1"/>
              <w:t>*</w:t>
            </w:r>
            <w:bookmarkEnd w:id="3"/>
          </w:p>
          <w:p w14:paraId="35024D45" w14:textId="591FB796" w:rsidR="00DA2647" w:rsidRPr="00C4425C" w:rsidRDefault="00DA2647" w:rsidP="00C902AD">
            <w:pPr>
              <w:pStyle w:val="AATitle1"/>
              <w:tabs>
                <w:tab w:val="clear" w:pos="624"/>
                <w:tab w:val="clear" w:pos="1247"/>
                <w:tab w:val="clear" w:pos="1871"/>
                <w:tab w:val="clear" w:pos="2495"/>
                <w:tab w:val="clear" w:pos="3119"/>
                <w:tab w:val="clear" w:pos="3742"/>
                <w:tab w:val="clear" w:pos="4366"/>
              </w:tabs>
              <w:bidi/>
              <w:spacing w:before="80" w:after="360" w:line="320" w:lineRule="exact"/>
              <w:ind w:right="988"/>
              <w:jc w:val="lowKashida"/>
              <w:textDirection w:val="tbRlV"/>
              <w:rPr>
                <w:bCs/>
              </w:rPr>
            </w:pPr>
            <w:bookmarkStart w:id="4" w:name="CorNot1AgTitle"/>
            <w:r w:rsidRPr="00C4425C">
              <w:rPr>
                <w:rFonts w:ascii="Simplified Arabic" w:hAnsi="Simplified Arabic" w:cs="Simplified Arabic"/>
                <w:bCs/>
                <w:color w:val="000000"/>
                <w:sz w:val="22"/>
                <w:szCs w:val="22"/>
                <w:rtl/>
              </w:rPr>
              <w:t>مسائل تُعرَض على مؤتمر الأطراف لكي ينظر فيها أو يتخذ إجراءً بشأنها: المنتجات المضاف إليها الزئبق وعمليات التصنيع التي يُستخدم فيها الزئبق أو مركبات الزئبق: التعديلات على المرفق ألف</w:t>
            </w:r>
            <w:bookmarkEnd w:id="4"/>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B3BC939" w14:textId="77777777" w:rsidR="00404B51" w:rsidRPr="00C902AD" w:rsidRDefault="00404B51" w:rsidP="00C902AD">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sz w:val="30"/>
          <w:szCs w:val="30"/>
          <w:rtl/>
          <w:lang w:val="ar-SA" w:eastAsia="zh-TW" w:bidi="en-GB"/>
        </w:rPr>
      </w:pPr>
      <w:r w:rsidRPr="00C902AD">
        <w:rPr>
          <w:rFonts w:ascii="Simplified Arabic" w:hAnsi="Simplified Arabic" w:cs="Simplified Arabic"/>
          <w:bCs/>
          <w:sz w:val="30"/>
          <w:szCs w:val="30"/>
          <w:rtl/>
        </w:rPr>
        <w:t>التعديلات على المرفق ألف</w:t>
      </w:r>
    </w:p>
    <w:p w14:paraId="2FA366A0" w14:textId="4A6238F4" w:rsidR="00404B51" w:rsidRPr="00C902AD" w:rsidRDefault="00404B51" w:rsidP="00C902AD">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C902AD">
        <w:rPr>
          <w:rFonts w:ascii="Simplified Arabic" w:hAnsi="Simplified Arabic" w:cs="Simplified Arabic"/>
          <w:bCs/>
          <w:sz w:val="28"/>
          <w:szCs w:val="28"/>
          <w:rtl/>
        </w:rPr>
        <w:t>مذكرة من الأمانة</w:t>
      </w:r>
    </w:p>
    <w:p w14:paraId="2AA4D694" w14:textId="362B5FCB" w:rsidR="00404B51" w:rsidRPr="00544F37" w:rsidRDefault="00404B51" w:rsidP="00544F37">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noProof/>
          <w:sz w:val="26"/>
          <w:szCs w:val="26"/>
          <w:rtl/>
          <w:lang w:val="ar-SA" w:eastAsia="zh-TW" w:bidi="en-GB"/>
        </w:rPr>
      </w:pPr>
      <w:r w:rsidRPr="00544F37">
        <w:rPr>
          <w:rFonts w:ascii="Simplified Arabic" w:hAnsi="Simplified Arabic" w:cs="Simplified Arabic"/>
          <w:bCs/>
          <w:sz w:val="26"/>
          <w:szCs w:val="26"/>
          <w:rtl/>
        </w:rPr>
        <w:t>أولا</w:t>
      </w:r>
      <w:r w:rsidR="00544F37">
        <w:rPr>
          <w:rFonts w:ascii="Simplified Arabic" w:hAnsi="Simplified Arabic" w:cs="Simplified Arabic" w:hint="cs"/>
          <w:bCs/>
          <w:sz w:val="26"/>
          <w:szCs w:val="26"/>
          <w:rtl/>
        </w:rPr>
        <w:t>ً</w:t>
      </w:r>
      <w:r w:rsidRPr="00544F37">
        <w:rPr>
          <w:rFonts w:ascii="Simplified Arabic" w:hAnsi="Simplified Arabic" w:cs="Simplified Arabic"/>
          <w:bCs/>
          <w:sz w:val="26"/>
          <w:szCs w:val="26"/>
          <w:rtl/>
        </w:rPr>
        <w:t>-</w:t>
      </w:r>
      <w:r w:rsidRPr="00544F37">
        <w:rPr>
          <w:rFonts w:ascii="Simplified Arabic" w:hAnsi="Simplified Arabic" w:cs="Simplified Arabic"/>
          <w:sz w:val="26"/>
          <w:szCs w:val="26"/>
          <w:rtl/>
        </w:rPr>
        <w:tab/>
      </w:r>
      <w:r w:rsidRPr="00544F37">
        <w:rPr>
          <w:rFonts w:ascii="Simplified Arabic" w:hAnsi="Simplified Arabic" w:cs="Simplified Arabic"/>
          <w:bCs/>
          <w:sz w:val="26"/>
          <w:szCs w:val="26"/>
          <w:rtl/>
        </w:rPr>
        <w:t>مقدمة</w:t>
      </w:r>
    </w:p>
    <w:p w14:paraId="10C8A610" w14:textId="038F729B" w:rsidR="00404B51" w:rsidRPr="008E0E19" w:rsidRDefault="00404B51" w:rsidP="000F2AFD">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تعرض هذه المذكرة المقترحات الخاصة بتعديل المرفق ألف لاتفاقية ميناماتا بشأن الزئبق على النحو الوارد في المقرر ا م-5/4.</w:t>
      </w:r>
    </w:p>
    <w:p w14:paraId="7C97736C" w14:textId="77777777" w:rsidR="00404B51" w:rsidRPr="008E0E19" w:rsidRDefault="00404B51" w:rsidP="00C6360F">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 xml:space="preserve">ويشمل البند 4 (ب) من جدول الأعمال المؤقت للاجتماع السادس لمؤتمر الأطراف في الاتفاقية أيضاً بندين فرعيين بشأن مستحضرات التجميل المدرجة في الجزء الأول من المرفق ألف وبشأن النظر في جدوى البدائل الخالية من الزئبق لتصنيع مونومر كلوريد الفينيل. وترد معلومات عن هاتين المسألتين في الوثيقتين </w:t>
      </w:r>
      <w:r w:rsidRPr="00C6360F">
        <w:rPr>
          <w:rFonts w:asciiTheme="majorBidi" w:hAnsiTheme="majorBidi" w:cstheme="majorBidi"/>
          <w:sz w:val="22"/>
          <w:szCs w:val="22"/>
          <w:rtl/>
        </w:rPr>
        <w:t>UNEP/MC/COP.6/6/Add.1</w:t>
      </w:r>
      <w:r w:rsidRPr="008E0E19">
        <w:rPr>
          <w:rFonts w:ascii="Simplified Arabic" w:hAnsi="Simplified Arabic" w:cs="Simplified Arabic"/>
          <w:sz w:val="24"/>
          <w:szCs w:val="24"/>
          <w:rtl/>
        </w:rPr>
        <w:t xml:space="preserve"> و</w:t>
      </w:r>
      <w:r w:rsidRPr="00C6360F">
        <w:rPr>
          <w:rFonts w:asciiTheme="majorBidi" w:hAnsiTheme="majorBidi" w:cstheme="majorBidi"/>
          <w:sz w:val="22"/>
          <w:szCs w:val="22"/>
          <w:rtl/>
        </w:rPr>
        <w:t>UNEP/MC/COP.6/6/Add.2</w:t>
      </w:r>
      <w:r w:rsidRPr="008E0E19">
        <w:rPr>
          <w:rFonts w:ascii="Simplified Arabic" w:hAnsi="Simplified Arabic" w:cs="Simplified Arabic"/>
          <w:sz w:val="24"/>
          <w:szCs w:val="24"/>
          <w:rtl/>
        </w:rPr>
        <w:t xml:space="preserve"> على التوالي.</w:t>
      </w:r>
    </w:p>
    <w:p w14:paraId="5933FE9A" w14:textId="77777777" w:rsidR="00404B51" w:rsidRPr="008E0E19" w:rsidRDefault="00404B51" w:rsidP="00FD1C09">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 xml:space="preserve">وقد تلقت الأمانة طلباً لتمديد الإعفاءات من تواريخ التخلص التدريجي المدرجة في المرفق ألف، لكي ينظر فيه مؤتمر الأطراف عملاً بالفقرة 6 من المادة 6 من الاتفاقية. وترد المعلومات ذات الصلة في الوثيقة </w:t>
      </w:r>
      <w:r w:rsidRPr="00C6360F">
        <w:rPr>
          <w:rFonts w:asciiTheme="majorBidi" w:hAnsiTheme="majorBidi" w:cstheme="majorBidi"/>
          <w:sz w:val="22"/>
          <w:szCs w:val="22"/>
          <w:rtl/>
        </w:rPr>
        <w:t>UNEP/MC/COP.6/6/Add.3</w:t>
      </w:r>
      <w:r w:rsidRPr="008E0E19">
        <w:rPr>
          <w:rFonts w:ascii="Simplified Arabic" w:hAnsi="Simplified Arabic" w:cs="Simplified Arabic"/>
          <w:sz w:val="24"/>
          <w:szCs w:val="24"/>
          <w:rtl/>
        </w:rPr>
        <w:t>.</w:t>
      </w:r>
    </w:p>
    <w:p w14:paraId="3ABB4A43" w14:textId="5ADE62A7" w:rsidR="00404B51" w:rsidRPr="00544F37" w:rsidRDefault="00404B51" w:rsidP="00544F37">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544F37">
        <w:rPr>
          <w:rFonts w:ascii="Simplified Arabic" w:hAnsi="Simplified Arabic" w:cs="Simplified Arabic"/>
          <w:bCs/>
          <w:sz w:val="26"/>
          <w:szCs w:val="26"/>
          <w:rtl/>
        </w:rPr>
        <w:t>ثانيا</w:t>
      </w:r>
      <w:r w:rsidR="00EC14BD">
        <w:rPr>
          <w:rFonts w:ascii="Simplified Arabic" w:hAnsi="Simplified Arabic" w:cs="Simplified Arabic" w:hint="cs"/>
          <w:bCs/>
          <w:sz w:val="26"/>
          <w:szCs w:val="26"/>
          <w:rtl/>
        </w:rPr>
        <w:t>ً</w:t>
      </w:r>
      <w:r w:rsidRPr="00544F37">
        <w:rPr>
          <w:rFonts w:ascii="Simplified Arabic" w:hAnsi="Simplified Arabic" w:cs="Simplified Arabic"/>
          <w:bCs/>
          <w:sz w:val="26"/>
          <w:szCs w:val="26"/>
          <w:rtl/>
        </w:rPr>
        <w:t>-</w:t>
      </w:r>
      <w:r w:rsidRPr="00544F37">
        <w:rPr>
          <w:rFonts w:ascii="Simplified Arabic" w:hAnsi="Simplified Arabic" w:cs="Simplified Arabic"/>
          <w:bCs/>
          <w:sz w:val="26"/>
          <w:szCs w:val="26"/>
          <w:rtl/>
        </w:rPr>
        <w:tab/>
        <w:t>مقترحات لتعديل المرفق ألف للاتفاقية</w:t>
      </w:r>
    </w:p>
    <w:p w14:paraId="3E1CD0E5" w14:textId="37C9C048" w:rsidR="00404B51" w:rsidRPr="008E0E19" w:rsidRDefault="00404B51" w:rsidP="00FD1C09">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نظر مؤتمر الأطراف، في اجتماعه الخامس، في مقترح مقدم من بوتسوانا وبوركينا فاسو نيابة عن المنطقة الأفريقية لتعديل المرفق ألف للاتفاقية فيما يتعلق بالتدابير الخاصة بملغم الأسنان. وعملا</w:t>
      </w:r>
      <w:r w:rsidR="00296E8C">
        <w:rPr>
          <w:rFonts w:ascii="Simplified Arabic" w:hAnsi="Simplified Arabic" w:cs="Simplified Arabic" w:hint="cs"/>
          <w:sz w:val="24"/>
          <w:szCs w:val="24"/>
          <w:rtl/>
        </w:rPr>
        <w:t>ً</w:t>
      </w:r>
      <w:r w:rsidRPr="008E0E19">
        <w:rPr>
          <w:rFonts w:ascii="Simplified Arabic" w:hAnsi="Simplified Arabic" w:cs="Simplified Arabic"/>
          <w:sz w:val="24"/>
          <w:szCs w:val="24"/>
          <w:rtl/>
        </w:rPr>
        <w:t xml:space="preserve"> بالفقرة 7 من المادة 4، </w:t>
      </w:r>
      <w:r w:rsidRPr="008E0E19">
        <w:rPr>
          <w:rFonts w:ascii="Simplified Arabic" w:hAnsi="Simplified Arabic" w:cs="Simplified Arabic"/>
          <w:sz w:val="24"/>
          <w:szCs w:val="24"/>
          <w:rtl/>
        </w:rPr>
        <w:lastRenderedPageBreak/>
        <w:t>تضمن الاقتراح معلومات تتصل بتوافر بدائل من غير الزئبق وجدواها التقنية والاقتصادية والمخاطر والفوائد البيئية والصحية.</w:t>
      </w:r>
    </w:p>
    <w:p w14:paraId="7286B1E3" w14:textId="07699377" w:rsidR="00404B51" w:rsidRPr="008E0E19" w:rsidRDefault="00404B51" w:rsidP="00FD1C09">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وقرر مؤتمر الأطراف، في المقرر ا م-5/4، تعديل الجزء الثاني من المرفق ألف بإضافة الحكم التالي:</w:t>
      </w:r>
    </w:p>
    <w:tbl>
      <w:tblPr>
        <w:bidiVisual/>
        <w:tblW w:w="8363" w:type="dxa"/>
        <w:tblInd w:w="1134" w:type="dxa"/>
        <w:tblLayout w:type="fixed"/>
        <w:tblCellMar>
          <w:top w:w="57" w:type="dxa"/>
          <w:bottom w:w="57" w:type="dxa"/>
        </w:tblCellMar>
        <w:tblLook w:val="0000" w:firstRow="0" w:lastRow="0" w:firstColumn="0" w:lastColumn="0" w:noHBand="0" w:noVBand="0"/>
      </w:tblPr>
      <w:tblGrid>
        <w:gridCol w:w="2526"/>
        <w:gridCol w:w="5837"/>
      </w:tblGrid>
      <w:tr w:rsidR="00404B51" w:rsidRPr="0053798A" w14:paraId="4A26EA05" w14:textId="77777777" w:rsidTr="0053798A">
        <w:trPr>
          <w:trHeight w:val="217"/>
          <w:tblHeader/>
        </w:trPr>
        <w:tc>
          <w:tcPr>
            <w:tcW w:w="2509" w:type="dxa"/>
            <w:tcBorders>
              <w:top w:val="single" w:sz="4" w:space="0" w:color="auto"/>
              <w:bottom w:val="single" w:sz="12" w:space="0" w:color="auto"/>
            </w:tcBorders>
          </w:tcPr>
          <w:p w14:paraId="3463435B" w14:textId="77777777" w:rsidR="00404B51" w:rsidRPr="0053798A" w:rsidRDefault="00404B51" w:rsidP="003E62A8">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sz w:val="22"/>
                <w:szCs w:val="22"/>
                <w:rtl/>
                <w:lang w:val="ar-SA" w:eastAsia="zh-TW" w:bidi="en-GB"/>
              </w:rPr>
            </w:pPr>
            <w:r w:rsidRPr="0053798A">
              <w:rPr>
                <w:rFonts w:ascii="Simplified Arabic" w:hAnsi="Simplified Arabic" w:cs="Simplified Arabic"/>
                <w:i/>
                <w:iCs/>
                <w:color w:val="000000"/>
                <w:sz w:val="22"/>
                <w:szCs w:val="22"/>
                <w:rtl/>
              </w:rPr>
              <w:t>المنتجات المضاف إليها الزئبق</w:t>
            </w:r>
          </w:p>
        </w:tc>
        <w:tc>
          <w:tcPr>
            <w:tcW w:w="5798" w:type="dxa"/>
            <w:tcBorders>
              <w:top w:val="single" w:sz="4" w:space="0" w:color="auto"/>
              <w:bottom w:val="single" w:sz="12" w:space="0" w:color="auto"/>
            </w:tcBorders>
          </w:tcPr>
          <w:p w14:paraId="5F1BD77E" w14:textId="77777777" w:rsidR="00404B51" w:rsidRPr="0053798A" w:rsidRDefault="00404B51" w:rsidP="003E62A8">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sz w:val="22"/>
                <w:szCs w:val="22"/>
                <w:rtl/>
                <w:lang w:val="ar-SA" w:eastAsia="zh-TW" w:bidi="en-GB"/>
              </w:rPr>
            </w:pPr>
            <w:r w:rsidRPr="0053798A">
              <w:rPr>
                <w:rFonts w:ascii="Simplified Arabic" w:hAnsi="Simplified Arabic" w:cs="Simplified Arabic"/>
                <w:i/>
                <w:iCs/>
                <w:color w:val="000000"/>
                <w:sz w:val="22"/>
                <w:szCs w:val="22"/>
                <w:rtl/>
              </w:rPr>
              <w:t>الأحكام</w:t>
            </w:r>
            <w:r w:rsidRPr="0053798A">
              <w:rPr>
                <w:rFonts w:ascii="Simplified Arabic" w:hAnsi="Simplified Arabic" w:cs="Simplified Arabic"/>
                <w:color w:val="000000"/>
                <w:sz w:val="22"/>
                <w:szCs w:val="22"/>
                <w:rtl/>
              </w:rPr>
              <w:t xml:space="preserve"> </w:t>
            </w:r>
          </w:p>
        </w:tc>
      </w:tr>
      <w:tr w:rsidR="00404B51" w:rsidRPr="0053798A" w14:paraId="593C9484" w14:textId="77777777" w:rsidTr="0053798A">
        <w:trPr>
          <w:trHeight w:val="914"/>
        </w:trPr>
        <w:tc>
          <w:tcPr>
            <w:tcW w:w="2509" w:type="dxa"/>
            <w:tcBorders>
              <w:top w:val="single" w:sz="12" w:space="0" w:color="auto"/>
              <w:bottom w:val="single" w:sz="12" w:space="0" w:color="auto"/>
            </w:tcBorders>
          </w:tcPr>
          <w:p w14:paraId="51EC9536" w14:textId="77777777" w:rsidR="00404B51" w:rsidRPr="0053798A" w:rsidRDefault="00404B51" w:rsidP="003E62A8">
            <w:pPr>
              <w:pStyle w:val="Normal-pool-Table"/>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sz w:val="22"/>
                <w:szCs w:val="22"/>
                <w:rtl/>
                <w:lang w:val="ar-SA" w:eastAsia="zh-TW" w:bidi="en-GB"/>
              </w:rPr>
            </w:pPr>
            <w:r w:rsidRPr="0053798A">
              <w:rPr>
                <w:rFonts w:ascii="Simplified Arabic" w:hAnsi="Simplified Arabic" w:cs="Simplified Arabic"/>
                <w:color w:val="000000"/>
                <w:sz w:val="22"/>
                <w:szCs w:val="22"/>
                <w:rtl/>
              </w:rPr>
              <w:t>ملغم الأسنان</w:t>
            </w:r>
          </w:p>
        </w:tc>
        <w:tc>
          <w:tcPr>
            <w:tcW w:w="5798" w:type="dxa"/>
            <w:tcBorders>
              <w:top w:val="single" w:sz="12" w:space="0" w:color="auto"/>
              <w:bottom w:val="single" w:sz="12" w:space="0" w:color="auto"/>
            </w:tcBorders>
          </w:tcPr>
          <w:p w14:paraId="7C2518D2" w14:textId="77777777" w:rsidR="00404B51" w:rsidRPr="0053798A" w:rsidRDefault="00404B51" w:rsidP="003E62A8">
            <w:pPr>
              <w:pStyle w:val="Normal-pool-Table"/>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sz w:val="22"/>
                <w:szCs w:val="22"/>
                <w:rtl/>
                <w:lang w:val="ar-SA" w:eastAsia="zh-TW" w:bidi="en-GB"/>
              </w:rPr>
            </w:pPr>
            <w:r w:rsidRPr="0053798A">
              <w:rPr>
                <w:rFonts w:ascii="Simplified Arabic" w:hAnsi="Simplified Arabic" w:cs="Simplified Arabic"/>
                <w:color w:val="000000"/>
                <w:sz w:val="22"/>
                <w:szCs w:val="22"/>
                <w:rtl/>
              </w:rPr>
              <w:t>إضافةً إلى ذلك، تقوم الأطراف التي لم تتخلص بعد من ملغم الأسنان بما يلي:</w:t>
            </w:r>
          </w:p>
          <w:p w14:paraId="3636392F" w14:textId="1DCB0BEF" w:rsidR="00404B51" w:rsidRPr="0053798A" w:rsidRDefault="00404B51" w:rsidP="00D8013F">
            <w:pPr>
              <w:pStyle w:val="Normal-pool-Table"/>
              <w:numPr>
                <w:ilvl w:val="0"/>
                <w:numId w:val="45"/>
              </w:numPr>
              <w:tabs>
                <w:tab w:val="clear" w:pos="1247"/>
                <w:tab w:val="clear" w:pos="1814"/>
                <w:tab w:val="clear" w:pos="2381"/>
                <w:tab w:val="clear" w:pos="2948"/>
                <w:tab w:val="clear" w:pos="3515"/>
                <w:tab w:val="clear" w:pos="4082"/>
                <w:tab w:val="left" w:pos="3260"/>
              </w:tabs>
              <w:bidi/>
              <w:spacing w:before="60" w:after="60" w:line="300" w:lineRule="exact"/>
              <w:ind w:left="709" w:hanging="709"/>
              <w:jc w:val="both"/>
              <w:textDirection w:val="tbRlV"/>
              <w:rPr>
                <w:rFonts w:ascii="Simplified Arabic" w:hAnsi="Simplified Arabic" w:cs="Simplified Arabic"/>
                <w:sz w:val="22"/>
                <w:szCs w:val="22"/>
                <w:rtl/>
                <w:lang w:val="ar-SA" w:eastAsia="zh-TW" w:bidi="en-GB"/>
              </w:rPr>
            </w:pPr>
            <w:r w:rsidRPr="0053798A">
              <w:rPr>
                <w:rFonts w:ascii="Simplified Arabic" w:hAnsi="Simplified Arabic" w:cs="Simplified Arabic"/>
                <w:color w:val="000000"/>
                <w:sz w:val="22"/>
                <w:szCs w:val="22"/>
                <w:rtl/>
              </w:rPr>
              <w:t>تقديم خطة عمل وطنية أو تقرير إلى الأمانة استناداً إلى المعلومات المتاحة فيما يتعلق بالتقدم الذي أحرزته أو تحرزه على صعيد الخفض التدريجي من ملغم الأسنان أو التخلص التدريجي منه كل أربع سنوات كجزء من التقارير الوطنية.</w:t>
            </w:r>
          </w:p>
        </w:tc>
      </w:tr>
    </w:tbl>
    <w:p w14:paraId="041A80FF" w14:textId="77777777" w:rsidR="00404B51" w:rsidRPr="008E0E19" w:rsidRDefault="00404B51" w:rsidP="00CF7C9E">
      <w:pPr>
        <w:pStyle w:val="Normalnumber"/>
        <w:numPr>
          <w:ilvl w:val="0"/>
          <w:numId w:val="37"/>
        </w:numPr>
        <w:tabs>
          <w:tab w:val="clear" w:pos="1247"/>
          <w:tab w:val="clear" w:pos="1814"/>
          <w:tab w:val="clear" w:pos="2381"/>
          <w:tab w:val="clear" w:pos="2948"/>
          <w:tab w:val="clear" w:pos="3515"/>
          <w:tab w:val="left" w:pos="1843"/>
        </w:tabs>
        <w:bidi/>
        <w:spacing w:before="120" w:after="120" w:line="360" w:lineRule="exact"/>
        <w:ind w:left="1134" w:firstLine="0"/>
        <w:jc w:val="both"/>
        <w:textDirection w:val="tbRlV"/>
        <w:rPr>
          <w:rFonts w:ascii="Simplified Arabic" w:hAnsi="Simplified Arabic" w:cs="Simplified Arabic"/>
          <w:sz w:val="24"/>
          <w:szCs w:val="24"/>
          <w:rtl/>
          <w:lang w:val="ar-SA" w:eastAsia="zh-TW" w:bidi="en-GB"/>
        </w:rPr>
      </w:pPr>
      <w:r w:rsidRPr="008E0E19">
        <w:rPr>
          <w:rFonts w:ascii="Simplified Arabic" w:hAnsi="Simplified Arabic" w:cs="Simplified Arabic"/>
          <w:sz w:val="24"/>
          <w:szCs w:val="24"/>
          <w:rtl/>
        </w:rPr>
        <w:t>وقرر مؤتمر الأطراف أيضا أن ينظر في اجتماعه السادس في مقترح تعديل الجزء الأول من المرفق ألف بإضافة القيد التالي:</w:t>
      </w:r>
    </w:p>
    <w:tbl>
      <w:tblPr>
        <w:tblStyle w:val="TableGrid"/>
        <w:bidiVisual/>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5755"/>
      </w:tblGrid>
      <w:tr w:rsidR="00404B51" w:rsidRPr="00E213B5" w14:paraId="21BE8A2C" w14:textId="77777777" w:rsidTr="00CF6B52">
        <w:trPr>
          <w:trHeight w:val="57"/>
          <w:tblHeader/>
          <w:jc w:val="right"/>
        </w:trPr>
        <w:tc>
          <w:tcPr>
            <w:tcW w:w="2552" w:type="dxa"/>
            <w:tcBorders>
              <w:top w:val="single" w:sz="4" w:space="0" w:color="auto"/>
              <w:bottom w:val="single" w:sz="12" w:space="0" w:color="auto"/>
            </w:tcBorders>
          </w:tcPr>
          <w:p w14:paraId="07D35F7A" w14:textId="77777777" w:rsidR="00404B51" w:rsidRPr="00E213B5"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color w:val="000000"/>
                <w:sz w:val="22"/>
                <w:szCs w:val="22"/>
                <w:rtl/>
                <w:lang w:bidi="en-GB"/>
              </w:rPr>
            </w:pPr>
            <w:r w:rsidRPr="00E213B5">
              <w:rPr>
                <w:rFonts w:ascii="Simplified Arabic" w:hAnsi="Simplified Arabic" w:cs="Simplified Arabic"/>
                <w:i/>
                <w:iCs/>
                <w:color w:val="000000"/>
                <w:sz w:val="22"/>
                <w:szCs w:val="22"/>
                <w:rtl/>
              </w:rPr>
              <w:t>المنتجات المضاف إليها الزئبق</w:t>
            </w:r>
          </w:p>
        </w:tc>
        <w:tc>
          <w:tcPr>
            <w:tcW w:w="5755" w:type="dxa"/>
            <w:tcBorders>
              <w:top w:val="single" w:sz="4" w:space="0" w:color="auto"/>
              <w:bottom w:val="single" w:sz="12" w:space="0" w:color="auto"/>
            </w:tcBorders>
          </w:tcPr>
          <w:p w14:paraId="53027E92" w14:textId="77777777" w:rsidR="00404B51" w:rsidRPr="00E213B5"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color w:val="000000"/>
                <w:sz w:val="22"/>
                <w:szCs w:val="22"/>
                <w:rtl/>
                <w:lang w:bidi="en-GB"/>
              </w:rPr>
            </w:pPr>
            <w:r w:rsidRPr="00E213B5">
              <w:rPr>
                <w:rFonts w:ascii="Simplified Arabic" w:hAnsi="Simplified Arabic" w:cs="Simplified Arabic"/>
                <w:i/>
                <w:iCs/>
                <w:color w:val="000000"/>
                <w:sz w:val="22"/>
                <w:szCs w:val="22"/>
                <w:rtl/>
              </w:rPr>
              <w:t>التاريخ الذي لن يُسمح بعده بتصنيع المنتج أو استيراده أو تصديره (تاريخ التخلُّص التدريجي)</w:t>
            </w:r>
          </w:p>
        </w:tc>
      </w:tr>
      <w:tr w:rsidR="00404B51" w:rsidRPr="00E213B5" w14:paraId="31FF6124" w14:textId="77777777" w:rsidTr="00CF6B52">
        <w:trPr>
          <w:trHeight w:val="57"/>
          <w:jc w:val="right"/>
        </w:trPr>
        <w:tc>
          <w:tcPr>
            <w:tcW w:w="2552" w:type="dxa"/>
            <w:tcBorders>
              <w:top w:val="single" w:sz="12" w:space="0" w:color="auto"/>
              <w:bottom w:val="single" w:sz="12" w:space="0" w:color="auto"/>
            </w:tcBorders>
          </w:tcPr>
          <w:p w14:paraId="25C77960" w14:textId="77777777" w:rsidR="00404B51" w:rsidRPr="00E64D0B"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color w:val="000000"/>
                <w:sz w:val="22"/>
                <w:szCs w:val="22"/>
                <w:rtl/>
                <w:lang w:bidi="en-GB"/>
              </w:rPr>
            </w:pPr>
            <w:r w:rsidRPr="00E64D0B">
              <w:rPr>
                <w:rFonts w:ascii="Simplified Arabic" w:hAnsi="Simplified Arabic" w:cs="Simplified Arabic"/>
                <w:color w:val="000000"/>
                <w:sz w:val="22"/>
                <w:szCs w:val="22"/>
                <w:rtl/>
              </w:rPr>
              <w:t>[ملغم الأسنان]</w:t>
            </w:r>
          </w:p>
        </w:tc>
        <w:tc>
          <w:tcPr>
            <w:tcW w:w="5755" w:type="dxa"/>
            <w:tcBorders>
              <w:top w:val="single" w:sz="12" w:space="0" w:color="auto"/>
              <w:bottom w:val="single" w:sz="12" w:space="0" w:color="auto"/>
            </w:tcBorders>
          </w:tcPr>
          <w:p w14:paraId="708824F9" w14:textId="77777777" w:rsidR="00404B51" w:rsidRPr="00E64D0B"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color w:val="000000"/>
                <w:sz w:val="22"/>
                <w:szCs w:val="22"/>
                <w:rtl/>
                <w:lang w:bidi="en-GB"/>
              </w:rPr>
            </w:pPr>
            <w:r w:rsidRPr="00E64D0B">
              <w:rPr>
                <w:rFonts w:ascii="Simplified Arabic" w:hAnsi="Simplified Arabic" w:cs="Simplified Arabic"/>
                <w:color w:val="000000"/>
                <w:sz w:val="22"/>
                <w:szCs w:val="22"/>
                <w:rtl/>
              </w:rPr>
              <w:t>[2030]</w:t>
            </w:r>
          </w:p>
        </w:tc>
      </w:tr>
    </w:tbl>
    <w:p w14:paraId="2D3E5F25" w14:textId="77777777" w:rsidR="00404B51" w:rsidRPr="008E0E19" w:rsidRDefault="00404B51" w:rsidP="00CF7C9E">
      <w:pPr>
        <w:pStyle w:val="Normalnumber"/>
        <w:numPr>
          <w:ilvl w:val="0"/>
          <w:numId w:val="37"/>
        </w:numPr>
        <w:tabs>
          <w:tab w:val="clear" w:pos="1247"/>
          <w:tab w:val="clear" w:pos="1814"/>
          <w:tab w:val="clear" w:pos="2381"/>
          <w:tab w:val="clear" w:pos="2948"/>
          <w:tab w:val="clear" w:pos="3515"/>
          <w:tab w:val="left" w:pos="1843"/>
        </w:tabs>
        <w:bidi/>
        <w:spacing w:before="120" w:after="120" w:line="360" w:lineRule="exact"/>
        <w:ind w:left="1134" w:firstLine="0"/>
        <w:jc w:val="both"/>
        <w:textDirection w:val="tbRlV"/>
        <w:rPr>
          <w:rFonts w:ascii="Simplified Arabic" w:hAnsi="Simplified Arabic" w:cs="Simplified Arabic"/>
          <w:iCs/>
          <w:sz w:val="24"/>
          <w:szCs w:val="24"/>
          <w:rtl/>
          <w:lang w:val="ar-SA" w:eastAsia="zh-TW" w:bidi="en-GB"/>
        </w:rPr>
      </w:pPr>
      <w:r w:rsidRPr="008E0E19">
        <w:rPr>
          <w:rFonts w:ascii="Simplified Arabic" w:hAnsi="Simplified Arabic" w:cs="Simplified Arabic"/>
          <w:sz w:val="24"/>
          <w:szCs w:val="24"/>
          <w:rtl/>
        </w:rPr>
        <w:t>وفي المقرر نفسه، قرر المؤتمر أن ينظر في اجتماعه السادس في مقترح آخر لتعديل الجزء الثاني من المرفق ألف بإضافة الحكم التالي:</w:t>
      </w:r>
    </w:p>
    <w:tbl>
      <w:tblPr>
        <w:bidiVisual/>
        <w:tblW w:w="8307" w:type="dxa"/>
        <w:jc w:val="right"/>
        <w:tblLayout w:type="fixed"/>
        <w:tblCellMar>
          <w:top w:w="57" w:type="dxa"/>
          <w:bottom w:w="57" w:type="dxa"/>
        </w:tblCellMar>
        <w:tblLook w:val="0000" w:firstRow="0" w:lastRow="0" w:firstColumn="0" w:lastColumn="0" w:noHBand="0" w:noVBand="0"/>
      </w:tblPr>
      <w:tblGrid>
        <w:gridCol w:w="2529"/>
        <w:gridCol w:w="5778"/>
      </w:tblGrid>
      <w:tr w:rsidR="00404B51" w:rsidRPr="00E213B5" w14:paraId="3D6DF154" w14:textId="77777777" w:rsidTr="00CF6B52">
        <w:trPr>
          <w:trHeight w:val="20"/>
          <w:jc w:val="right"/>
        </w:trPr>
        <w:tc>
          <w:tcPr>
            <w:tcW w:w="2572" w:type="dxa"/>
            <w:tcBorders>
              <w:top w:val="single" w:sz="4" w:space="0" w:color="auto"/>
              <w:bottom w:val="single" w:sz="12" w:space="0" w:color="auto"/>
            </w:tcBorders>
            <w:vAlign w:val="bottom"/>
          </w:tcPr>
          <w:p w14:paraId="4CD4E9B4" w14:textId="77777777" w:rsidR="00404B51" w:rsidRPr="00E213B5"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color w:val="000000"/>
                <w:sz w:val="22"/>
                <w:szCs w:val="22"/>
                <w:rtl/>
                <w:lang w:bidi="en-GB"/>
              </w:rPr>
            </w:pPr>
            <w:r w:rsidRPr="00E213B5">
              <w:rPr>
                <w:rFonts w:ascii="Simplified Arabic" w:hAnsi="Simplified Arabic" w:cs="Simplified Arabic"/>
                <w:i/>
                <w:iCs/>
                <w:color w:val="000000"/>
                <w:sz w:val="22"/>
                <w:szCs w:val="22"/>
                <w:rtl/>
              </w:rPr>
              <w:t>المنتجات المضاف إليها الزئبق</w:t>
            </w:r>
          </w:p>
        </w:tc>
        <w:tc>
          <w:tcPr>
            <w:tcW w:w="5882" w:type="dxa"/>
            <w:tcBorders>
              <w:top w:val="single" w:sz="4" w:space="0" w:color="auto"/>
              <w:bottom w:val="single" w:sz="12" w:space="0" w:color="auto"/>
            </w:tcBorders>
            <w:vAlign w:val="bottom"/>
          </w:tcPr>
          <w:p w14:paraId="1F168160" w14:textId="0A7B1404" w:rsidR="00404B51" w:rsidRPr="00E213B5"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i/>
                <w:iCs/>
                <w:color w:val="000000"/>
                <w:sz w:val="22"/>
                <w:szCs w:val="22"/>
                <w:rtl/>
                <w:lang w:bidi="en-GB"/>
              </w:rPr>
            </w:pPr>
            <w:r w:rsidRPr="00E213B5">
              <w:rPr>
                <w:rFonts w:ascii="Simplified Arabic" w:hAnsi="Simplified Arabic" w:cs="Simplified Arabic"/>
                <w:i/>
                <w:iCs/>
                <w:color w:val="000000"/>
                <w:sz w:val="22"/>
                <w:szCs w:val="22"/>
                <w:rtl/>
              </w:rPr>
              <w:t>الأحكام</w:t>
            </w:r>
          </w:p>
        </w:tc>
      </w:tr>
      <w:tr w:rsidR="00404B51" w:rsidRPr="00D8013F" w14:paraId="194228B9" w14:textId="77777777" w:rsidTr="00CF6B52">
        <w:trPr>
          <w:trHeight w:val="57"/>
          <w:jc w:val="right"/>
        </w:trPr>
        <w:tc>
          <w:tcPr>
            <w:tcW w:w="2572" w:type="dxa"/>
            <w:tcBorders>
              <w:top w:val="single" w:sz="12" w:space="0" w:color="auto"/>
              <w:bottom w:val="single" w:sz="12" w:space="0" w:color="auto"/>
            </w:tcBorders>
          </w:tcPr>
          <w:p w14:paraId="3DCFF8DC" w14:textId="77777777" w:rsidR="00404B51" w:rsidRPr="00D8013F"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color w:val="000000"/>
                <w:sz w:val="22"/>
                <w:szCs w:val="22"/>
                <w:rtl/>
                <w:lang w:bidi="en-GB"/>
              </w:rPr>
            </w:pPr>
            <w:r w:rsidRPr="00D8013F">
              <w:rPr>
                <w:rFonts w:ascii="Simplified Arabic" w:hAnsi="Simplified Arabic" w:cs="Simplified Arabic"/>
                <w:color w:val="000000"/>
                <w:sz w:val="22"/>
                <w:szCs w:val="22"/>
                <w:rtl/>
              </w:rPr>
              <w:t>ملغم الأسنان</w:t>
            </w:r>
          </w:p>
        </w:tc>
        <w:tc>
          <w:tcPr>
            <w:tcW w:w="5882" w:type="dxa"/>
            <w:tcBorders>
              <w:top w:val="single" w:sz="12" w:space="0" w:color="auto"/>
              <w:bottom w:val="single" w:sz="12" w:space="0" w:color="auto"/>
            </w:tcBorders>
          </w:tcPr>
          <w:p w14:paraId="6E8AE57D" w14:textId="77777777" w:rsidR="00404B51" w:rsidRPr="00D8013F" w:rsidRDefault="00404B51" w:rsidP="00E213B5">
            <w:pPr>
              <w:pStyle w:val="Normal-pool-Table"/>
              <w:keepNext/>
              <w:keepLines/>
              <w:tabs>
                <w:tab w:val="clear" w:pos="1247"/>
                <w:tab w:val="clear" w:pos="1814"/>
                <w:tab w:val="clear" w:pos="2381"/>
                <w:tab w:val="clear" w:pos="2948"/>
                <w:tab w:val="clear" w:pos="3515"/>
                <w:tab w:val="clear" w:pos="4082"/>
              </w:tabs>
              <w:bidi/>
              <w:spacing w:before="60" w:after="60" w:line="300" w:lineRule="exact"/>
              <w:jc w:val="both"/>
              <w:textDirection w:val="tbRlV"/>
              <w:rPr>
                <w:rFonts w:ascii="Simplified Arabic" w:hAnsi="Simplified Arabic" w:cs="Simplified Arabic"/>
                <w:color w:val="000000"/>
                <w:sz w:val="22"/>
                <w:szCs w:val="22"/>
                <w:rtl/>
                <w:lang w:bidi="en-GB"/>
              </w:rPr>
            </w:pPr>
            <w:r w:rsidRPr="00D8013F">
              <w:rPr>
                <w:rFonts w:ascii="Simplified Arabic" w:hAnsi="Simplified Arabic" w:cs="Simplified Arabic"/>
                <w:color w:val="000000"/>
                <w:sz w:val="22"/>
                <w:szCs w:val="22"/>
                <w:rtl/>
              </w:rPr>
              <w:t>إضافةً إلى ذلك يتعين على الأطراف:</w:t>
            </w:r>
          </w:p>
          <w:p w14:paraId="6192D6E2" w14:textId="536C14B6" w:rsidR="00404B51" w:rsidRPr="00D8013F" w:rsidRDefault="00404B51" w:rsidP="00B45C87">
            <w:pPr>
              <w:pStyle w:val="Normal-pool-Table"/>
              <w:numPr>
                <w:ilvl w:val="0"/>
                <w:numId w:val="46"/>
              </w:numPr>
              <w:tabs>
                <w:tab w:val="clear" w:pos="1247"/>
                <w:tab w:val="clear" w:pos="1814"/>
                <w:tab w:val="clear" w:pos="2381"/>
                <w:tab w:val="clear" w:pos="2948"/>
                <w:tab w:val="clear" w:pos="3515"/>
                <w:tab w:val="clear" w:pos="4082"/>
                <w:tab w:val="left" w:pos="3260"/>
              </w:tabs>
              <w:bidi/>
              <w:spacing w:before="60" w:after="60" w:line="300" w:lineRule="exact"/>
              <w:ind w:left="709" w:hanging="709"/>
              <w:jc w:val="both"/>
              <w:textDirection w:val="tbRlV"/>
              <w:rPr>
                <w:rFonts w:ascii="Simplified Arabic" w:hAnsi="Simplified Arabic" w:cs="Simplified Arabic"/>
                <w:color w:val="000000"/>
                <w:sz w:val="22"/>
                <w:szCs w:val="22"/>
                <w:rtl/>
                <w:lang w:bidi="en-GB"/>
              </w:rPr>
            </w:pPr>
            <w:r w:rsidRPr="00D8013F">
              <w:rPr>
                <w:rFonts w:ascii="Simplified Arabic" w:hAnsi="Simplified Arabic" w:cs="Simplified Arabic"/>
                <w:color w:val="000000"/>
                <w:sz w:val="22"/>
                <w:szCs w:val="22"/>
                <w:rtl/>
              </w:rPr>
              <w:t>[[استبعاد أو عدم السماح] [الخفض التدريجي]، باتخاذ تدابير حسب الاقتضاء، لاستخدام ملغم الأسنان في سياسات وبرامج التأمين الحكومية.]</w:t>
            </w:r>
          </w:p>
          <w:p w14:paraId="594A7A49" w14:textId="77777777" w:rsidR="00404B51" w:rsidRPr="00D8013F" w:rsidRDefault="00404B51" w:rsidP="00B45C87">
            <w:pPr>
              <w:pStyle w:val="Normal-pool-Table"/>
              <w:keepNext/>
              <w:keepLines/>
              <w:tabs>
                <w:tab w:val="clear" w:pos="1247"/>
                <w:tab w:val="clear" w:pos="1814"/>
                <w:tab w:val="clear" w:pos="2381"/>
                <w:tab w:val="clear" w:pos="2948"/>
                <w:tab w:val="clear" w:pos="3515"/>
                <w:tab w:val="clear" w:pos="4082"/>
              </w:tabs>
              <w:bidi/>
              <w:spacing w:before="60" w:after="60" w:line="300" w:lineRule="exact"/>
              <w:ind w:left="709"/>
              <w:jc w:val="both"/>
              <w:textDirection w:val="tbRlV"/>
              <w:rPr>
                <w:rFonts w:ascii="Simplified Arabic" w:hAnsi="Simplified Arabic" w:cs="Simplified Arabic"/>
                <w:color w:val="000000"/>
                <w:sz w:val="22"/>
                <w:szCs w:val="22"/>
                <w:rtl/>
                <w:lang w:bidi="en-GB"/>
              </w:rPr>
            </w:pPr>
            <w:r w:rsidRPr="00B45C87">
              <w:rPr>
                <w:rFonts w:ascii="Simplified Arabic" w:hAnsi="Simplified Arabic" w:cs="Simplified Arabic"/>
                <w:i/>
                <w:iCs/>
                <w:color w:val="000000"/>
                <w:sz w:val="22"/>
                <w:szCs w:val="22"/>
                <w:rtl/>
              </w:rPr>
              <w:t>(حكم بديل عن الحكم ’4‘)</w:t>
            </w:r>
            <w:r w:rsidRPr="00D8013F">
              <w:rPr>
                <w:rFonts w:ascii="Simplified Arabic" w:hAnsi="Simplified Arabic" w:cs="Simplified Arabic"/>
                <w:color w:val="000000"/>
                <w:sz w:val="22"/>
                <w:szCs w:val="22"/>
                <w:rtl/>
              </w:rPr>
              <w:t xml:space="preserve"> [اتخاذ تدابير، حسب الاقتضاء، للاستغناء عن ملغم الأسنان في السياسات أو البرامج الحكومية، أو عدم السماح به [أو خفضه تدريجياً.] </w:t>
            </w:r>
          </w:p>
        </w:tc>
      </w:tr>
    </w:tbl>
    <w:p w14:paraId="1A2111C2" w14:textId="79F6F85F" w:rsidR="00404B51" w:rsidRPr="00EC14BD" w:rsidRDefault="00404B51" w:rsidP="00CF7C9E">
      <w:pPr>
        <w:pStyle w:val="CH1"/>
        <w:tabs>
          <w:tab w:val="clear" w:pos="851"/>
          <w:tab w:val="clear" w:pos="1247"/>
          <w:tab w:val="clear" w:pos="1871"/>
          <w:tab w:val="clear" w:pos="2495"/>
          <w:tab w:val="clear" w:pos="3119"/>
          <w:tab w:val="clear" w:pos="3742"/>
          <w:tab w:val="clear" w:pos="4366"/>
        </w:tabs>
        <w:bidi/>
        <w:spacing w:before="120" w:line="360" w:lineRule="exact"/>
        <w:ind w:left="1135" w:right="0" w:hanging="851"/>
        <w:jc w:val="both"/>
        <w:textDirection w:val="tbRlV"/>
        <w:rPr>
          <w:rFonts w:ascii="Simplified Arabic" w:hAnsi="Simplified Arabic" w:cs="Simplified Arabic"/>
          <w:bCs/>
          <w:sz w:val="26"/>
          <w:szCs w:val="26"/>
          <w:rtl/>
          <w:lang w:bidi="en-GB"/>
        </w:rPr>
      </w:pPr>
      <w:r w:rsidRPr="00EC14BD">
        <w:rPr>
          <w:rFonts w:ascii="Simplified Arabic" w:hAnsi="Simplified Arabic" w:cs="Simplified Arabic"/>
          <w:bCs/>
          <w:sz w:val="26"/>
          <w:szCs w:val="26"/>
          <w:rtl/>
        </w:rPr>
        <w:t>ثالثا</w:t>
      </w:r>
      <w:r w:rsidR="00EC14BD">
        <w:rPr>
          <w:rFonts w:ascii="Simplified Arabic" w:hAnsi="Simplified Arabic" w:cs="Simplified Arabic" w:hint="cs"/>
          <w:bCs/>
          <w:sz w:val="26"/>
          <w:szCs w:val="26"/>
          <w:rtl/>
        </w:rPr>
        <w:t>ً</w:t>
      </w:r>
      <w:r w:rsidRPr="00EC14BD">
        <w:rPr>
          <w:rFonts w:ascii="Simplified Arabic" w:hAnsi="Simplified Arabic" w:cs="Simplified Arabic"/>
          <w:bCs/>
          <w:sz w:val="26"/>
          <w:szCs w:val="26"/>
          <w:rtl/>
        </w:rPr>
        <w:t>-</w:t>
      </w:r>
      <w:r w:rsidRPr="00EC14BD">
        <w:rPr>
          <w:rFonts w:ascii="Simplified Arabic" w:hAnsi="Simplified Arabic" w:cs="Simplified Arabic"/>
          <w:bCs/>
          <w:sz w:val="26"/>
          <w:szCs w:val="26"/>
          <w:rtl/>
        </w:rPr>
        <w:tab/>
        <w:t>الإجراء المقترح</w:t>
      </w:r>
    </w:p>
    <w:p w14:paraId="01B2FD12" w14:textId="5677BE9D" w:rsidR="00404B51" w:rsidRPr="008E0E19" w:rsidRDefault="00404B51" w:rsidP="00FD1C09">
      <w:pPr>
        <w:pStyle w:val="Normalnumber"/>
        <w:numPr>
          <w:ilvl w:val="0"/>
          <w:numId w:val="37"/>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lang w:val="ar-SA" w:eastAsia="zh-TW" w:bidi="en-GB"/>
        </w:rPr>
      </w:pPr>
      <w:r w:rsidRPr="008E0E19">
        <w:rPr>
          <w:rFonts w:ascii="Simplified Arabic" w:hAnsi="Simplified Arabic" w:cs="Simplified Arabic"/>
          <w:sz w:val="24"/>
          <w:szCs w:val="24"/>
          <w:rtl/>
        </w:rPr>
        <w:t>قد يرغب مؤتمر الأطراف في النظر في التعديلات المقترح إدخالها على المرفق ألف بهدف اتخاذ مقررات بشأنها، حسب الاقتضاء.</w:t>
      </w:r>
    </w:p>
    <w:p w14:paraId="45360AE7" w14:textId="71427059" w:rsidR="008E0E19" w:rsidRPr="008E0E19" w:rsidRDefault="008E0E19" w:rsidP="008E0E19">
      <w:pPr>
        <w:pStyle w:val="Normalnumber"/>
        <w:numPr>
          <w:ilvl w:val="0"/>
          <w:numId w:val="0"/>
        </w:numPr>
        <w:tabs>
          <w:tab w:val="clear" w:pos="1247"/>
          <w:tab w:val="clear" w:pos="1814"/>
          <w:tab w:val="clear" w:pos="2381"/>
          <w:tab w:val="clear" w:pos="2948"/>
          <w:tab w:val="clear" w:pos="3515"/>
        </w:tabs>
        <w:bidi/>
        <w:spacing w:before="480" w:after="120" w:line="360" w:lineRule="exact"/>
        <w:ind w:left="1134"/>
        <w:jc w:val="center"/>
        <w:textDirection w:val="tbRlV"/>
        <w:rPr>
          <w:rFonts w:ascii="Simplified Arabic" w:hAnsi="Simplified Arabic" w:cs="Simplified Arabic"/>
          <w:sz w:val="24"/>
          <w:szCs w:val="24"/>
          <w:rtl/>
          <w:lang w:val="ar-SA" w:eastAsia="zh-TW" w:bidi="en-GB"/>
        </w:rPr>
      </w:pPr>
      <w:r>
        <w:rPr>
          <w:rFonts w:ascii="Simplified Arabic" w:hAnsi="Simplified Arabic" w:cs="Simplified Arabic"/>
          <w:sz w:val="24"/>
          <w:szCs w:val="24"/>
        </w:rPr>
        <w:t>____________</w:t>
      </w:r>
    </w:p>
    <w:sectPr w:rsidR="008E0E19" w:rsidRPr="008E0E19"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97B96" w14:textId="77777777" w:rsidR="008759BD" w:rsidRDefault="008759BD" w:rsidP="00061BBD">
      <w:r>
        <w:separator/>
      </w:r>
    </w:p>
  </w:endnote>
  <w:endnote w:type="continuationSeparator" w:id="0">
    <w:p w14:paraId="08F43D01" w14:textId="77777777" w:rsidR="008759BD" w:rsidRDefault="008759BD"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C27F65"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b w:val="0"/>
        <w:bCs/>
        <w:sz w:val="20"/>
      </w:rPr>
    </w:pPr>
    <w:r w:rsidRPr="00C27F65">
      <w:rPr>
        <w:b w:val="0"/>
        <w:bCs/>
        <w:sz w:val="20"/>
      </w:rPr>
      <w:fldChar w:fldCharType="begin"/>
    </w:r>
    <w:r w:rsidRPr="00C27F65">
      <w:rPr>
        <w:b w:val="0"/>
        <w:bCs/>
        <w:sz w:val="20"/>
      </w:rPr>
      <w:instrText xml:space="preserve"> PAGE \* MERGEFORMAT </w:instrText>
    </w:r>
    <w:r w:rsidRPr="00C27F65">
      <w:rPr>
        <w:b w:val="0"/>
        <w:bCs/>
        <w:sz w:val="20"/>
      </w:rPr>
      <w:fldChar w:fldCharType="separate"/>
    </w:r>
    <w:r w:rsidRPr="00C27F65">
      <w:rPr>
        <w:b w:val="0"/>
        <w:bCs/>
        <w:noProof/>
        <w:sz w:val="20"/>
      </w:rPr>
      <w:t>1</w:t>
    </w:r>
    <w:r w:rsidRPr="00C27F65">
      <w:rPr>
        <w:b w:val="0"/>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0B9F1D19"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5" w:name="FooterJobDate"/>
    <w:r>
      <w:t>K</w:t>
    </w:r>
    <w:r w:rsidR="00867682">
      <w:t>25</w:t>
    </w:r>
    <w:r w:rsidR="00CD3F36">
      <w:t>12</w:t>
    </w:r>
    <w:r w:rsidR="00F96438">
      <w:t>242</w:t>
    </w:r>
    <w:r>
      <w:t>[A]</w:t>
    </w:r>
    <w:r>
      <w:tab/>
    </w:r>
    <w:bookmarkEnd w:id="5"/>
    <w:r w:rsidR="00187C1B">
      <w:t>0309</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3FBF" w14:textId="77777777" w:rsidR="008759BD" w:rsidRDefault="008759BD" w:rsidP="00630AC1">
      <w:pPr>
        <w:bidi/>
        <w:ind w:left="567"/>
      </w:pPr>
      <w:r>
        <w:separator/>
      </w:r>
    </w:p>
  </w:footnote>
  <w:footnote w:type="continuationSeparator" w:id="0">
    <w:p w14:paraId="5F0042B7" w14:textId="77777777" w:rsidR="008759BD" w:rsidRDefault="008759BD" w:rsidP="00061BBD">
      <w:r>
        <w:continuationSeparator/>
      </w:r>
    </w:p>
  </w:footnote>
  <w:footnote w:id="1">
    <w:p w14:paraId="3B897B53" w14:textId="20714FE8" w:rsidR="00B8167B" w:rsidRPr="00C6360F" w:rsidRDefault="00B8167B" w:rsidP="00C6360F">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C6360F">
        <w:rPr>
          <w:rFonts w:ascii="Simplified Arabic" w:hAnsi="Simplified Arabic" w:cs="Simplified Arabic"/>
          <w:sz w:val="20"/>
        </w:rPr>
        <w:t>*</w:t>
      </w:r>
      <w:r w:rsidRPr="00C6360F">
        <w:rPr>
          <w:rFonts w:ascii="Simplified Arabic" w:hAnsi="Simplified Arabic" w:cs="Simplified Arabic"/>
          <w:sz w:val="20"/>
          <w:rtl/>
        </w:rPr>
        <w:t xml:space="preserve"> </w:t>
      </w:r>
      <w:r w:rsidRPr="00C6360F">
        <w:rPr>
          <w:rFonts w:asciiTheme="majorBidi" w:hAnsiTheme="majorBidi" w:cstheme="majorBidi"/>
          <w:szCs w:val="18"/>
        </w:rPr>
        <w:t>UNEP/MC/COP.6/1</w:t>
      </w:r>
      <w:r w:rsidR="00187C1B">
        <w:rPr>
          <w:rFonts w:asciiTheme="majorBidi" w:hAnsiTheme="majorBidi" w:cstheme="majorBidi"/>
          <w:szCs w:val="18"/>
        </w:rPr>
        <w:t>/Rev.1</w:t>
      </w:r>
      <w:r w:rsidRPr="00C6360F">
        <w:rPr>
          <w:rFonts w:ascii="Simplified Arabic" w:hAnsi="Simplified Arabic" w:cs="Simplified Arabic"/>
          <w:sz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0118A4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187C1B">
      <w:rPr>
        <w:noProof/>
        <w:sz w:val="17"/>
        <w:szCs w:val="17"/>
      </w:rPr>
      <w:t>UNEP/MC/COP.6/6</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7EEB6224"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3B66FC">
      <w:rPr>
        <w:noProof/>
        <w:sz w:val="17"/>
        <w:szCs w:val="17"/>
      </w:rPr>
      <w:t>UNEP/MC/COP.6/6</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1" w15:restartNumberingAfterBreak="0">
    <w:nsid w:val="51B41B43"/>
    <w:multiLevelType w:val="hybridMultilevel"/>
    <w:tmpl w:val="12A837B0"/>
    <w:lvl w:ilvl="0" w:tplc="E844035E">
      <w:start w:val="1"/>
      <w:numFmt w:val="decimal"/>
      <w:lvlText w:val="%1-"/>
      <w:lvlJc w:val="left"/>
      <w:pPr>
        <w:ind w:left="1854" w:hanging="360"/>
      </w:pPr>
      <w:rPr>
        <w:rFonts w:hint="default"/>
        <w:i/>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4" w15:restartNumberingAfterBreak="0">
    <w:nsid w:val="53E95A02"/>
    <w:multiLevelType w:val="hybridMultilevel"/>
    <w:tmpl w:val="A5EA713A"/>
    <w:lvl w:ilvl="0" w:tplc="0809000F">
      <w:start w:val="1"/>
      <w:numFmt w:val="decimal"/>
      <w:lvlText w:val="%1."/>
      <w:lvlJc w:val="left"/>
      <w:pPr>
        <w:ind w:left="1494"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5" w15:restartNumberingAfterBreak="0">
    <w:nsid w:val="54A46927"/>
    <w:multiLevelType w:val="hybridMultilevel"/>
    <w:tmpl w:val="9AE011C4"/>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1" w15:restartNumberingAfterBreak="0">
    <w:nsid w:val="6E9D507B"/>
    <w:multiLevelType w:val="hybridMultilevel"/>
    <w:tmpl w:val="6792D82A"/>
    <w:lvl w:ilvl="0" w:tplc="75F84E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3"/>
  </w:num>
  <w:num w:numId="2" w16cid:durableId="1135835458">
    <w:abstractNumId w:val="16"/>
  </w:num>
  <w:num w:numId="3" w16cid:durableId="676426535">
    <w:abstractNumId w:val="8"/>
  </w:num>
  <w:num w:numId="4" w16cid:durableId="2137947824">
    <w:abstractNumId w:val="26"/>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7"/>
    <w:lvlOverride w:ilvl="0">
      <w:lvl w:ilvl="0" w:tplc="0809000F">
        <w:start w:val="1"/>
        <w:numFmt w:val="decimal"/>
        <w:lvlText w:val="%1."/>
        <w:lvlJc w:val="left"/>
        <w:pPr>
          <w:ind w:left="1967" w:hanging="360"/>
        </w:pPr>
      </w:lvl>
    </w:lvlOverride>
  </w:num>
  <w:num w:numId="16" w16cid:durableId="952176627">
    <w:abstractNumId w:val="27"/>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5"/>
    <w:lvlOverride w:ilvl="0">
      <w:lvl w:ilvl="0" w:tplc="B95EBFE6">
        <w:start w:val="1"/>
        <w:numFmt w:val="lowerRoman"/>
        <w:lvlText w:val="(%1)"/>
        <w:lvlJc w:val="left"/>
        <w:pPr>
          <w:ind w:left="720" w:hanging="360"/>
        </w:pPr>
        <w:rPr>
          <w:rFonts w:hint="default"/>
        </w:rPr>
      </w:lvl>
    </w:lvlOverride>
  </w:num>
  <w:num w:numId="18" w16cid:durableId="1918830074">
    <w:abstractNumId w:val="34"/>
    <w:lvlOverride w:ilvl="0">
      <w:lvl w:ilvl="0" w:tplc="142E8CEC">
        <w:start w:val="1"/>
        <w:numFmt w:val="lowerRoman"/>
        <w:lvlText w:val="(%1)"/>
        <w:lvlJc w:val="left"/>
        <w:pPr>
          <w:ind w:left="720" w:hanging="360"/>
        </w:pPr>
        <w:rPr>
          <w:rFonts w:hint="default"/>
        </w:rPr>
      </w:lvl>
    </w:lvlOverride>
  </w:num>
  <w:num w:numId="19" w16cid:durableId="1808471233">
    <w:abstractNumId w:val="34"/>
  </w:num>
  <w:num w:numId="20" w16cid:durableId="1386178108">
    <w:abstractNumId w:val="29"/>
  </w:num>
  <w:num w:numId="21" w16cid:durableId="300893234">
    <w:abstractNumId w:val="28"/>
  </w:num>
  <w:num w:numId="22" w16cid:durableId="571697771">
    <w:abstractNumId w:val="19"/>
  </w:num>
  <w:num w:numId="23" w16cid:durableId="227082503">
    <w:abstractNumId w:val="10"/>
  </w:num>
  <w:num w:numId="24" w16cid:durableId="1670324932">
    <w:abstractNumId w:val="33"/>
  </w:num>
  <w:num w:numId="25" w16cid:durableId="564143671">
    <w:abstractNumId w:val="22"/>
  </w:num>
  <w:num w:numId="26" w16cid:durableId="418060446">
    <w:abstractNumId w:val="14"/>
  </w:num>
  <w:num w:numId="27" w16cid:durableId="1270115184">
    <w:abstractNumId w:val="15"/>
  </w:num>
  <w:num w:numId="28" w16cid:durableId="1992052538">
    <w:abstractNumId w:val="12"/>
  </w:num>
  <w:num w:numId="29" w16cid:durableId="1775787974">
    <w:abstractNumId w:val="32"/>
  </w:num>
  <w:num w:numId="30" w16cid:durableId="1841650813">
    <w:abstractNumId w:val="30"/>
  </w:num>
  <w:num w:numId="31" w16cid:durableId="2107463138">
    <w:abstractNumId w:val="35"/>
  </w:num>
  <w:num w:numId="32" w16cid:durableId="1035346227">
    <w:abstractNumId w:val="20"/>
  </w:num>
  <w:num w:numId="33" w16cid:durableId="261691894">
    <w:abstractNumId w:val="13"/>
  </w:num>
  <w:num w:numId="34" w16cid:durableId="1361970773">
    <w:abstractNumId w:val="11"/>
  </w:num>
  <w:num w:numId="35" w16cid:durableId="560672902">
    <w:abstractNumId w:val="23"/>
    <w:lvlOverride w:ilvl="0">
      <w:lvl w:ilvl="0">
        <w:start w:val="1"/>
        <w:numFmt w:val="decimal"/>
        <w:lvlText w:val="%1."/>
        <w:lvlJc w:val="left"/>
        <w:pPr>
          <w:tabs>
            <w:tab w:val="num" w:pos="624"/>
          </w:tabs>
          <w:ind w:left="1248" w:firstLine="0"/>
        </w:pPr>
        <w:rPr>
          <w:rFonts w:hint="default"/>
        </w:rPr>
      </w:lvl>
    </w:lvlOverride>
  </w:num>
  <w:num w:numId="36" w16cid:durableId="2068720435">
    <w:abstractNumId w:val="24"/>
  </w:num>
  <w:num w:numId="37" w16cid:durableId="947661561">
    <w:abstractNumId w:val="21"/>
  </w:num>
  <w:num w:numId="38" w16cid:durableId="1675647781">
    <w:abstractNumId w:val="26"/>
  </w:num>
  <w:num w:numId="39" w16cid:durableId="1255746116">
    <w:abstractNumId w:val="26"/>
  </w:num>
  <w:num w:numId="40" w16cid:durableId="1236209967">
    <w:abstractNumId w:val="26"/>
  </w:num>
  <w:num w:numId="41" w16cid:durableId="2057122436">
    <w:abstractNumId w:val="26"/>
  </w:num>
  <w:num w:numId="42" w16cid:durableId="331028801">
    <w:abstractNumId w:val="26"/>
  </w:num>
  <w:num w:numId="43" w16cid:durableId="947202743">
    <w:abstractNumId w:val="26"/>
  </w:num>
  <w:num w:numId="44" w16cid:durableId="1143159390">
    <w:abstractNumId w:val="26"/>
  </w:num>
  <w:num w:numId="45" w16cid:durableId="2129154151">
    <w:abstractNumId w:val="25"/>
  </w:num>
  <w:num w:numId="46" w16cid:durableId="697657550">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B13FD"/>
    <w:rsid w:val="000B3682"/>
    <w:rsid w:val="000C3309"/>
    <w:rsid w:val="000C67C4"/>
    <w:rsid w:val="000D0119"/>
    <w:rsid w:val="000D242C"/>
    <w:rsid w:val="000E4EA0"/>
    <w:rsid w:val="000E7284"/>
    <w:rsid w:val="000F2AFD"/>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87C1B"/>
    <w:rsid w:val="001A4241"/>
    <w:rsid w:val="001B6F5B"/>
    <w:rsid w:val="001C68F3"/>
    <w:rsid w:val="001D32A6"/>
    <w:rsid w:val="001D6FB0"/>
    <w:rsid w:val="001D7E87"/>
    <w:rsid w:val="001E08F2"/>
    <w:rsid w:val="001E4739"/>
    <w:rsid w:val="001F6558"/>
    <w:rsid w:val="00222030"/>
    <w:rsid w:val="00230E38"/>
    <w:rsid w:val="0023154F"/>
    <w:rsid w:val="00232571"/>
    <w:rsid w:val="00236154"/>
    <w:rsid w:val="002466ED"/>
    <w:rsid w:val="00253E26"/>
    <w:rsid w:val="00254A6F"/>
    <w:rsid w:val="00270CC9"/>
    <w:rsid w:val="0028484D"/>
    <w:rsid w:val="00285B0A"/>
    <w:rsid w:val="00296E8C"/>
    <w:rsid w:val="002A47EA"/>
    <w:rsid w:val="002B0E6F"/>
    <w:rsid w:val="002D1BC5"/>
    <w:rsid w:val="002D213D"/>
    <w:rsid w:val="002E6225"/>
    <w:rsid w:val="00301DDD"/>
    <w:rsid w:val="00315981"/>
    <w:rsid w:val="003259C7"/>
    <w:rsid w:val="00337004"/>
    <w:rsid w:val="00351547"/>
    <w:rsid w:val="00366C4C"/>
    <w:rsid w:val="00371CA2"/>
    <w:rsid w:val="00373026"/>
    <w:rsid w:val="00377723"/>
    <w:rsid w:val="00392E37"/>
    <w:rsid w:val="003B0118"/>
    <w:rsid w:val="003B20D1"/>
    <w:rsid w:val="003B2D9D"/>
    <w:rsid w:val="003B66FC"/>
    <w:rsid w:val="003B6ED5"/>
    <w:rsid w:val="003D748D"/>
    <w:rsid w:val="003E0323"/>
    <w:rsid w:val="003E1265"/>
    <w:rsid w:val="003E62A8"/>
    <w:rsid w:val="003F004E"/>
    <w:rsid w:val="003F0A98"/>
    <w:rsid w:val="003F4E0B"/>
    <w:rsid w:val="003F631B"/>
    <w:rsid w:val="003F7A0C"/>
    <w:rsid w:val="00404B51"/>
    <w:rsid w:val="004129CC"/>
    <w:rsid w:val="00421D9E"/>
    <w:rsid w:val="004273E7"/>
    <w:rsid w:val="00434547"/>
    <w:rsid w:val="004501DD"/>
    <w:rsid w:val="004623DA"/>
    <w:rsid w:val="0046257C"/>
    <w:rsid w:val="004649F8"/>
    <w:rsid w:val="00485026"/>
    <w:rsid w:val="00495600"/>
    <w:rsid w:val="004A0D2E"/>
    <w:rsid w:val="004A2E91"/>
    <w:rsid w:val="004B1129"/>
    <w:rsid w:val="004B1402"/>
    <w:rsid w:val="004C7D5A"/>
    <w:rsid w:val="004E4269"/>
    <w:rsid w:val="004F1968"/>
    <w:rsid w:val="005049BC"/>
    <w:rsid w:val="00505D86"/>
    <w:rsid w:val="005225DB"/>
    <w:rsid w:val="0053798A"/>
    <w:rsid w:val="0054056E"/>
    <w:rsid w:val="00544F37"/>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F3CD5"/>
    <w:rsid w:val="006062BF"/>
    <w:rsid w:val="00615244"/>
    <w:rsid w:val="00617123"/>
    <w:rsid w:val="0062591A"/>
    <w:rsid w:val="00630AC1"/>
    <w:rsid w:val="00654F2F"/>
    <w:rsid w:val="0065664E"/>
    <w:rsid w:val="006638A1"/>
    <w:rsid w:val="00683D35"/>
    <w:rsid w:val="006B02A1"/>
    <w:rsid w:val="006B6D3C"/>
    <w:rsid w:val="006C0EEA"/>
    <w:rsid w:val="006D54E7"/>
    <w:rsid w:val="007008BE"/>
    <w:rsid w:val="0071712C"/>
    <w:rsid w:val="00721691"/>
    <w:rsid w:val="007378B1"/>
    <w:rsid w:val="00741121"/>
    <w:rsid w:val="00761D88"/>
    <w:rsid w:val="00773C83"/>
    <w:rsid w:val="007836D9"/>
    <w:rsid w:val="007969EA"/>
    <w:rsid w:val="007A6CE3"/>
    <w:rsid w:val="007B018F"/>
    <w:rsid w:val="007B3991"/>
    <w:rsid w:val="007B56C5"/>
    <w:rsid w:val="007C5F55"/>
    <w:rsid w:val="007F3337"/>
    <w:rsid w:val="007F788F"/>
    <w:rsid w:val="00802A7E"/>
    <w:rsid w:val="00804624"/>
    <w:rsid w:val="008061E2"/>
    <w:rsid w:val="00811E49"/>
    <w:rsid w:val="008222BE"/>
    <w:rsid w:val="00835DAE"/>
    <w:rsid w:val="00843EA2"/>
    <w:rsid w:val="00855FE8"/>
    <w:rsid w:val="00867682"/>
    <w:rsid w:val="0087078B"/>
    <w:rsid w:val="008750E6"/>
    <w:rsid w:val="008759BD"/>
    <w:rsid w:val="008824D5"/>
    <w:rsid w:val="00896656"/>
    <w:rsid w:val="008A4793"/>
    <w:rsid w:val="008B214F"/>
    <w:rsid w:val="008B42FC"/>
    <w:rsid w:val="008E0E19"/>
    <w:rsid w:val="008E0EE8"/>
    <w:rsid w:val="009245D7"/>
    <w:rsid w:val="0093623B"/>
    <w:rsid w:val="009575B4"/>
    <w:rsid w:val="00967E80"/>
    <w:rsid w:val="00971A6B"/>
    <w:rsid w:val="00974343"/>
    <w:rsid w:val="00977588"/>
    <w:rsid w:val="0098305F"/>
    <w:rsid w:val="00992854"/>
    <w:rsid w:val="00994CFA"/>
    <w:rsid w:val="009A7355"/>
    <w:rsid w:val="009C4F40"/>
    <w:rsid w:val="009C4FF4"/>
    <w:rsid w:val="009E555E"/>
    <w:rsid w:val="009E6974"/>
    <w:rsid w:val="009F1B3E"/>
    <w:rsid w:val="00A13CDF"/>
    <w:rsid w:val="00A17652"/>
    <w:rsid w:val="00A40553"/>
    <w:rsid w:val="00A5084E"/>
    <w:rsid w:val="00A6079D"/>
    <w:rsid w:val="00A62976"/>
    <w:rsid w:val="00A72397"/>
    <w:rsid w:val="00A81608"/>
    <w:rsid w:val="00A81876"/>
    <w:rsid w:val="00AB0DAB"/>
    <w:rsid w:val="00AC177B"/>
    <w:rsid w:val="00AE4FF2"/>
    <w:rsid w:val="00AE6364"/>
    <w:rsid w:val="00AE6BF6"/>
    <w:rsid w:val="00AF23D1"/>
    <w:rsid w:val="00B017CC"/>
    <w:rsid w:val="00B05999"/>
    <w:rsid w:val="00B36DD2"/>
    <w:rsid w:val="00B4449E"/>
    <w:rsid w:val="00B45C87"/>
    <w:rsid w:val="00B71603"/>
    <w:rsid w:val="00B77196"/>
    <w:rsid w:val="00B77BD8"/>
    <w:rsid w:val="00B8167B"/>
    <w:rsid w:val="00B872EB"/>
    <w:rsid w:val="00B92456"/>
    <w:rsid w:val="00BA16BB"/>
    <w:rsid w:val="00BA36DE"/>
    <w:rsid w:val="00BB32D9"/>
    <w:rsid w:val="00BC01CD"/>
    <w:rsid w:val="00BE17B9"/>
    <w:rsid w:val="00C255CC"/>
    <w:rsid w:val="00C25F1C"/>
    <w:rsid w:val="00C27F65"/>
    <w:rsid w:val="00C4425C"/>
    <w:rsid w:val="00C52ADB"/>
    <w:rsid w:val="00C56378"/>
    <w:rsid w:val="00C56962"/>
    <w:rsid w:val="00C61773"/>
    <w:rsid w:val="00C620FE"/>
    <w:rsid w:val="00C6360F"/>
    <w:rsid w:val="00C739FA"/>
    <w:rsid w:val="00C7421A"/>
    <w:rsid w:val="00C842AD"/>
    <w:rsid w:val="00C84A47"/>
    <w:rsid w:val="00C87AFC"/>
    <w:rsid w:val="00C902AD"/>
    <w:rsid w:val="00C90C40"/>
    <w:rsid w:val="00CA0147"/>
    <w:rsid w:val="00CA19B3"/>
    <w:rsid w:val="00CD3F36"/>
    <w:rsid w:val="00CD77F6"/>
    <w:rsid w:val="00CE0AA5"/>
    <w:rsid w:val="00CE1AFB"/>
    <w:rsid w:val="00CE52D8"/>
    <w:rsid w:val="00CF1739"/>
    <w:rsid w:val="00CF2A4E"/>
    <w:rsid w:val="00CF6393"/>
    <w:rsid w:val="00CF7C9E"/>
    <w:rsid w:val="00D016A7"/>
    <w:rsid w:val="00D370C9"/>
    <w:rsid w:val="00D8013F"/>
    <w:rsid w:val="00DA2647"/>
    <w:rsid w:val="00DB0480"/>
    <w:rsid w:val="00DC6E6B"/>
    <w:rsid w:val="00DD44FB"/>
    <w:rsid w:val="00DD6B50"/>
    <w:rsid w:val="00DE2794"/>
    <w:rsid w:val="00DE4CF9"/>
    <w:rsid w:val="00DE6806"/>
    <w:rsid w:val="00DE683C"/>
    <w:rsid w:val="00DF0084"/>
    <w:rsid w:val="00DF3639"/>
    <w:rsid w:val="00E03F93"/>
    <w:rsid w:val="00E05571"/>
    <w:rsid w:val="00E130AB"/>
    <w:rsid w:val="00E213B5"/>
    <w:rsid w:val="00E226D0"/>
    <w:rsid w:val="00E40695"/>
    <w:rsid w:val="00E47E2D"/>
    <w:rsid w:val="00E54BA5"/>
    <w:rsid w:val="00E62DAA"/>
    <w:rsid w:val="00E64462"/>
    <w:rsid w:val="00E64D0B"/>
    <w:rsid w:val="00E67E95"/>
    <w:rsid w:val="00E735A6"/>
    <w:rsid w:val="00EA5873"/>
    <w:rsid w:val="00EB04C6"/>
    <w:rsid w:val="00EB2DF2"/>
    <w:rsid w:val="00EB35B4"/>
    <w:rsid w:val="00EB653F"/>
    <w:rsid w:val="00EC14BD"/>
    <w:rsid w:val="00EC3D1A"/>
    <w:rsid w:val="00ED4DD2"/>
    <w:rsid w:val="00EE12A0"/>
    <w:rsid w:val="00F006CC"/>
    <w:rsid w:val="00F02FED"/>
    <w:rsid w:val="00F079D9"/>
    <w:rsid w:val="00F10E16"/>
    <w:rsid w:val="00F153E9"/>
    <w:rsid w:val="00F36B17"/>
    <w:rsid w:val="00F4425D"/>
    <w:rsid w:val="00F507BF"/>
    <w:rsid w:val="00F5504A"/>
    <w:rsid w:val="00F7077E"/>
    <w:rsid w:val="00F70969"/>
    <w:rsid w:val="00F77890"/>
    <w:rsid w:val="00F9511D"/>
    <w:rsid w:val="00F96438"/>
    <w:rsid w:val="00F965F7"/>
    <w:rsid w:val="00FA60C5"/>
    <w:rsid w:val="00FB3BB7"/>
    <w:rsid w:val="00FB6243"/>
    <w:rsid w:val="00FC1D2A"/>
    <w:rsid w:val="00FC251F"/>
    <w:rsid w:val="00FD1BF3"/>
    <w:rsid w:val="00FD1C09"/>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ED1A0870-14E9-4579-947B-ACBD09EF4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76</TotalTime>
  <Pages>2</Pages>
  <Words>424</Words>
  <Characters>2421</Characters>
  <Application>Microsoft Office Word</Application>
  <DocSecurity>0</DocSecurity>
  <PresentationFormat/>
  <Lines>20</Lines>
  <Paragraphs>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36</cp:revision>
  <cp:lastPrinted>2025-08-14T13:06:00Z</cp:lastPrinted>
  <dcterms:created xsi:type="dcterms:W3CDTF">2025-04-16T08:17:00Z</dcterms:created>
  <dcterms:modified xsi:type="dcterms:W3CDTF">2025-09-03T12:29:00Z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