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7C6054" w:rsidRPr="0056798F" w14:paraId="6940F2FA" w14:textId="77777777" w:rsidTr="007C6054">
        <w:trPr>
          <w:trHeight w:val="850"/>
        </w:trPr>
        <w:tc>
          <w:tcPr>
            <w:tcW w:w="1559" w:type="dxa"/>
          </w:tcPr>
          <w:p w14:paraId="32A2B9A0" w14:textId="60E492B1" w:rsidR="007C6054" w:rsidRPr="0056798F" w:rsidRDefault="007C6054" w:rsidP="007C6054">
            <w:pPr>
              <w:pStyle w:val="AUnitedNations"/>
            </w:pPr>
            <w:r w:rsidRPr="0056798F">
              <w:t xml:space="preserve">NATIONS </w:t>
            </w:r>
            <w:r w:rsidRPr="0056798F">
              <w:br/>
              <w:t>UNIES</w:t>
            </w:r>
          </w:p>
        </w:tc>
        <w:tc>
          <w:tcPr>
            <w:tcW w:w="6520" w:type="dxa"/>
          </w:tcPr>
          <w:p w14:paraId="27B806CB" w14:textId="1FA38F52" w:rsidR="007C6054" w:rsidRPr="0056798F" w:rsidRDefault="007C6054" w:rsidP="007C6054">
            <w:pPr>
              <w:pStyle w:val="Normal-pool"/>
            </w:pPr>
            <w:r w:rsidRPr="0056798F">
              <w:rPr>
                <w:noProof/>
              </w:rPr>
              <w:drawing>
                <wp:anchor distT="0" distB="0" distL="114300" distR="114300" simplePos="0" relativeHeight="251658752" behindDoc="0" locked="0" layoutInCell="1" allowOverlap="1" wp14:anchorId="60BDF4C2" wp14:editId="066FF578">
                  <wp:simplePos x="0" y="0"/>
                  <wp:positionH relativeFrom="column">
                    <wp:posOffset>2560</wp:posOffset>
                  </wp:positionH>
                  <wp:positionV relativeFrom="paragraph">
                    <wp:posOffset>-758</wp:posOffset>
                  </wp:positionV>
                  <wp:extent cx="1269153" cy="573559"/>
                  <wp:effectExtent l="0" t="0" r="7620" b="0"/>
                  <wp:wrapNone/>
                  <wp:docPr id="141398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8322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59E96127" w14:textId="77777777" w:rsidR="007C6054" w:rsidRPr="0056798F" w:rsidRDefault="007C6054" w:rsidP="007C6054">
            <w:pPr>
              <w:pStyle w:val="Normal-pool"/>
            </w:pPr>
          </w:p>
        </w:tc>
      </w:tr>
    </w:tbl>
    <w:p w14:paraId="5A112D18" w14:textId="77777777" w:rsidR="007C6054" w:rsidRPr="0056798F" w:rsidRDefault="007C6054" w:rsidP="007C6054">
      <w:pPr>
        <w:pStyle w:val="ASpacer"/>
      </w:pPr>
    </w:p>
    <w:tbl>
      <w:tblPr>
        <w:tblW w:w="9496" w:type="dxa"/>
        <w:tblLook w:val="0000" w:firstRow="0" w:lastRow="0" w:firstColumn="0" w:lastColumn="0" w:noHBand="0" w:noVBand="0"/>
      </w:tblPr>
      <w:tblGrid>
        <w:gridCol w:w="6378"/>
        <w:gridCol w:w="3118"/>
      </w:tblGrid>
      <w:tr w:rsidR="007C6054" w:rsidRPr="0056798F" w14:paraId="7085E23B" w14:textId="77777777" w:rsidTr="007C6054">
        <w:trPr>
          <w:trHeight w:val="340"/>
        </w:trPr>
        <w:tc>
          <w:tcPr>
            <w:tcW w:w="3358" w:type="pct"/>
            <w:vAlign w:val="bottom"/>
          </w:tcPr>
          <w:p w14:paraId="4D135FAE" w14:textId="77777777" w:rsidR="007C6054" w:rsidRPr="0056798F" w:rsidRDefault="007C6054" w:rsidP="007C6054">
            <w:pPr>
              <w:pStyle w:val="Normal-pool"/>
            </w:pPr>
          </w:p>
        </w:tc>
        <w:tc>
          <w:tcPr>
            <w:tcW w:w="1642" w:type="pct"/>
            <w:noWrap/>
            <w:vAlign w:val="bottom"/>
          </w:tcPr>
          <w:p w14:paraId="7B4A6808" w14:textId="61949642" w:rsidR="007C6054" w:rsidRPr="0056798F" w:rsidRDefault="007C6054" w:rsidP="007C6054">
            <w:pPr>
              <w:pStyle w:val="ASymbol"/>
            </w:pPr>
            <w:r w:rsidRPr="0056798F">
              <w:rPr>
                <w:b/>
                <w:sz w:val="28"/>
              </w:rPr>
              <w:t>UNEP</w:t>
            </w:r>
            <w:r w:rsidRPr="0056798F">
              <w:t>/MC/COP.</w:t>
            </w:r>
            <w:bookmarkStart w:id="0" w:name="Symbol1A"/>
            <w:r w:rsidRPr="0056798F">
              <w:t>6</w:t>
            </w:r>
            <w:bookmarkStart w:id="1" w:name="Symbol1B"/>
            <w:bookmarkEnd w:id="0"/>
            <w:r w:rsidRPr="0056798F">
              <w:t>/</w:t>
            </w:r>
            <w:bookmarkEnd w:id="1"/>
            <w:r w:rsidRPr="0056798F">
              <w:t>5</w:t>
            </w:r>
          </w:p>
        </w:tc>
      </w:tr>
    </w:tbl>
    <w:p w14:paraId="1CED771A" w14:textId="77777777" w:rsidR="007C6054" w:rsidRPr="0056798F" w:rsidRDefault="007C6054" w:rsidP="007C6054">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C6054" w:rsidRPr="0056798F" w14:paraId="7B027C0B" w14:textId="77777777" w:rsidTr="007C6054">
        <w:trPr>
          <w:trHeight w:val="2098"/>
        </w:trPr>
        <w:tc>
          <w:tcPr>
            <w:tcW w:w="3685" w:type="dxa"/>
          </w:tcPr>
          <w:p w14:paraId="676D0CE1" w14:textId="122774BF" w:rsidR="007C6054" w:rsidRPr="0056798F" w:rsidRDefault="007C6054" w:rsidP="007C6054">
            <w:pPr>
              <w:pStyle w:val="ALogo"/>
            </w:pPr>
            <w:r w:rsidRPr="0056798F">
              <w:rPr>
                <w:noProof/>
              </w:rPr>
              <w:drawing>
                <wp:inline distT="0" distB="0" distL="0" distR="0" wp14:anchorId="0EB683E7" wp14:editId="324493F4">
                  <wp:extent cx="2202815" cy="1028700"/>
                  <wp:effectExtent l="0" t="0" r="6985" b="0"/>
                  <wp:docPr id="1537510056" name="Picture 2"/>
                  <wp:cNvGraphicFramePr/>
                  <a:graphic xmlns:a="http://schemas.openxmlformats.org/drawingml/2006/main">
                    <a:graphicData uri="http://schemas.openxmlformats.org/drawingml/2006/picture">
                      <pic:pic xmlns:pic="http://schemas.openxmlformats.org/drawingml/2006/picture">
                        <pic:nvPicPr>
                          <pic:cNvPr id="153751005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56798F">
              <w:t xml:space="preserve"> </w:t>
            </w:r>
          </w:p>
          <w:p w14:paraId="572608C1" w14:textId="1FFDD1F9" w:rsidR="007C6054" w:rsidRPr="0056798F" w:rsidRDefault="007C6054" w:rsidP="007C6054">
            <w:pPr>
              <w:pStyle w:val="ALogo"/>
            </w:pPr>
          </w:p>
        </w:tc>
        <w:tc>
          <w:tcPr>
            <w:tcW w:w="2693" w:type="dxa"/>
          </w:tcPr>
          <w:p w14:paraId="692ACBB2" w14:textId="77777777" w:rsidR="007C6054" w:rsidRPr="0056798F" w:rsidRDefault="007C6054" w:rsidP="007C6054">
            <w:pPr>
              <w:pStyle w:val="Normal-pool"/>
            </w:pPr>
          </w:p>
        </w:tc>
        <w:tc>
          <w:tcPr>
            <w:tcW w:w="3118" w:type="dxa"/>
          </w:tcPr>
          <w:p w14:paraId="5054B8C3" w14:textId="3369E845" w:rsidR="007C6054" w:rsidRPr="0056798F" w:rsidRDefault="007C6054" w:rsidP="007C6054">
            <w:pPr>
              <w:pStyle w:val="AText"/>
            </w:pPr>
            <w:proofErr w:type="spellStart"/>
            <w:r w:rsidRPr="0056798F">
              <w:t>Distr</w:t>
            </w:r>
            <w:proofErr w:type="spellEnd"/>
            <w:r w:rsidRPr="0056798F">
              <w:t xml:space="preserve">. </w:t>
            </w:r>
            <w:bookmarkStart w:id="2" w:name="Distribution"/>
            <w:proofErr w:type="gramStart"/>
            <w:r w:rsidRPr="0056798F">
              <w:rPr>
                <w:color w:val="000000"/>
              </w:rPr>
              <w:t>générale</w:t>
            </w:r>
            <w:bookmarkEnd w:id="2"/>
            <w:proofErr w:type="gramEnd"/>
            <w:r w:rsidRPr="0056798F">
              <w:t xml:space="preserve"> </w:t>
            </w:r>
          </w:p>
          <w:p w14:paraId="21CAE3B1" w14:textId="7C00838C" w:rsidR="007C6054" w:rsidRPr="0056798F" w:rsidRDefault="007C6054" w:rsidP="007C6054">
            <w:pPr>
              <w:pStyle w:val="AText0"/>
            </w:pPr>
            <w:bookmarkStart w:id="3" w:name="DistributionDate"/>
            <w:r w:rsidRPr="0056798F">
              <w:rPr>
                <w:color w:val="000000"/>
              </w:rPr>
              <w:t>31 juillet 2025</w:t>
            </w:r>
            <w:bookmarkEnd w:id="3"/>
            <w:r w:rsidRPr="0056798F">
              <w:t xml:space="preserve"> </w:t>
            </w:r>
          </w:p>
          <w:p w14:paraId="29D567F9" w14:textId="2EA17A9D" w:rsidR="007C6054" w:rsidRPr="0056798F" w:rsidRDefault="007C6054" w:rsidP="007C6054">
            <w:pPr>
              <w:pStyle w:val="AText"/>
            </w:pPr>
            <w:bookmarkStart w:id="4" w:name="DistributionLang"/>
            <w:r w:rsidRPr="0056798F">
              <w:t xml:space="preserve">Français </w:t>
            </w:r>
            <w:r w:rsidRPr="0056798F">
              <w:br/>
              <w:t>Original : anglais</w:t>
            </w:r>
            <w:bookmarkEnd w:id="4"/>
          </w:p>
        </w:tc>
      </w:tr>
    </w:tbl>
    <w:p w14:paraId="667BB408" w14:textId="77777777" w:rsidR="007C6054" w:rsidRPr="0056798F" w:rsidRDefault="007C6054" w:rsidP="007C6054">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C6054" w:rsidRPr="0056798F" w14:paraId="07FC8077" w14:textId="77777777" w:rsidTr="007C6054">
        <w:trPr>
          <w:trHeight w:val="57"/>
        </w:trPr>
        <w:tc>
          <w:tcPr>
            <w:tcW w:w="5301" w:type="dxa"/>
          </w:tcPr>
          <w:p w14:paraId="5210A9AE" w14:textId="77777777" w:rsidR="007C6054" w:rsidRPr="0056798F" w:rsidRDefault="007C6054" w:rsidP="007C6054">
            <w:pPr>
              <w:pStyle w:val="AATitle"/>
            </w:pPr>
            <w:bookmarkStart w:id="5" w:name="CorNot1Text"/>
            <w:r w:rsidRPr="0056798F">
              <w:t xml:space="preserve">Conférence des Parties à la Convention de </w:t>
            </w:r>
            <w:r w:rsidRPr="0056798F">
              <w:br/>
              <w:t xml:space="preserve">Minamata sur le mercure </w:t>
            </w:r>
          </w:p>
          <w:p w14:paraId="793B0E29" w14:textId="12238F6F" w:rsidR="007C6054" w:rsidRPr="0056798F" w:rsidRDefault="007C6054" w:rsidP="007C6054">
            <w:pPr>
              <w:pStyle w:val="AATitle"/>
            </w:pPr>
            <w:r w:rsidRPr="0056798F">
              <w:t>Sixième réunion</w:t>
            </w:r>
            <w:bookmarkEnd w:id="5"/>
            <w:r w:rsidRPr="0056798F">
              <w:t xml:space="preserve"> </w:t>
            </w:r>
          </w:p>
          <w:p w14:paraId="39A4CF8E" w14:textId="7E0F7C3A" w:rsidR="007C6054" w:rsidRPr="0056798F" w:rsidRDefault="007C6054" w:rsidP="007C6054">
            <w:pPr>
              <w:pStyle w:val="AATitle1"/>
            </w:pPr>
            <w:bookmarkStart w:id="6" w:name="CorNot1VenueDate"/>
            <w:r w:rsidRPr="0056798F">
              <w:t>Genève, 3-7 novembre 2025</w:t>
            </w:r>
            <w:bookmarkEnd w:id="6"/>
            <w:r w:rsidRPr="0056798F">
              <w:t xml:space="preserve"> </w:t>
            </w:r>
          </w:p>
          <w:p w14:paraId="532F0F7F" w14:textId="3F0EB1F1" w:rsidR="007C6054" w:rsidRPr="0056798F" w:rsidRDefault="007C6054" w:rsidP="007C6054">
            <w:pPr>
              <w:pStyle w:val="AATitle1"/>
            </w:pPr>
            <w:bookmarkStart w:id="7" w:name="CorNot1AgItem"/>
            <w:r w:rsidRPr="0056798F">
              <w:t xml:space="preserve">Point </w:t>
            </w:r>
            <w:r w:rsidRPr="0056798F">
              <w:rPr>
                <w:color w:val="000000"/>
              </w:rPr>
              <w:t>4 a)</w:t>
            </w:r>
            <w:r w:rsidRPr="0056798F">
              <w:t xml:space="preserve"> de l</w:t>
            </w:r>
            <w:r w:rsidR="00EA4125" w:rsidRPr="0056798F">
              <w:t>’</w:t>
            </w:r>
            <w:r w:rsidRPr="0056798F">
              <w:t>ordre du jour provisoire</w:t>
            </w:r>
            <w:bookmarkEnd w:id="7"/>
            <w:r w:rsidRPr="0056798F">
              <w:rPr>
                <w:rFonts w:eastAsia="Times New Roman"/>
                <w:bCs/>
                <w:lang w:eastAsia="en-US"/>
              </w:rPr>
              <w:footnoteReference w:customMarkFollows="1" w:id="2"/>
              <w:t>*</w:t>
            </w:r>
            <w:r w:rsidRPr="0056798F">
              <w:t xml:space="preserve"> </w:t>
            </w:r>
          </w:p>
          <w:p w14:paraId="1EBA3919" w14:textId="61A4F5FE" w:rsidR="007C6054" w:rsidRPr="0056798F" w:rsidRDefault="007C6054" w:rsidP="007C6054">
            <w:pPr>
              <w:pStyle w:val="AATitle2"/>
            </w:pPr>
            <w:bookmarkStart w:id="8" w:name="CorNot1AgTitle"/>
            <w:r w:rsidRPr="0056798F">
              <w:rPr>
                <w:bCs/>
                <w:color w:val="000000"/>
              </w:rPr>
              <w:t>Questions soumises à la Conférence des Parties pour examen ou décision : sources d</w:t>
            </w:r>
            <w:r w:rsidR="00EA4125" w:rsidRPr="0056798F">
              <w:rPr>
                <w:bCs/>
                <w:color w:val="000000"/>
              </w:rPr>
              <w:t>’</w:t>
            </w:r>
            <w:r w:rsidRPr="0056798F">
              <w:rPr>
                <w:bCs/>
                <w:color w:val="000000"/>
              </w:rPr>
              <w:t>approvisionnement en mercure et</w:t>
            </w:r>
            <w:r w:rsidR="00785466" w:rsidRPr="0056798F">
              <w:rPr>
                <w:bCs/>
                <w:color w:val="000000"/>
              </w:rPr>
              <w:t> </w:t>
            </w:r>
            <w:r w:rsidRPr="0056798F">
              <w:rPr>
                <w:bCs/>
                <w:color w:val="000000"/>
              </w:rPr>
              <w:t>commerce du mercure</w:t>
            </w:r>
            <w:bookmarkEnd w:id="8"/>
          </w:p>
        </w:tc>
        <w:tc>
          <w:tcPr>
            <w:tcW w:w="4195" w:type="dxa"/>
          </w:tcPr>
          <w:p w14:paraId="692D3FFB" w14:textId="77777777" w:rsidR="007C6054" w:rsidRPr="0056798F" w:rsidRDefault="007C6054" w:rsidP="007C6054">
            <w:pPr>
              <w:pStyle w:val="Normal-pool"/>
            </w:pPr>
          </w:p>
        </w:tc>
      </w:tr>
    </w:tbl>
    <w:p w14:paraId="4FEAC0E6" w14:textId="709A255E" w:rsidR="00344E3B" w:rsidRPr="0056798F" w:rsidRDefault="00C256F4" w:rsidP="009B706D">
      <w:pPr>
        <w:pStyle w:val="BBTitle"/>
      </w:pPr>
      <w:r w:rsidRPr="0056798F">
        <w:rPr>
          <w:bCs/>
        </w:rPr>
        <w:t>Mise en œuvre de la décision</w:t>
      </w:r>
      <w:r w:rsidR="00DD159C" w:rsidRPr="0056798F">
        <w:rPr>
          <w:bCs/>
        </w:rPr>
        <w:t> </w:t>
      </w:r>
      <w:r w:rsidRPr="0056798F">
        <w:rPr>
          <w:bCs/>
        </w:rPr>
        <w:t>MC-5/2 sur les sources d</w:t>
      </w:r>
      <w:r w:rsidR="00EA4125" w:rsidRPr="0056798F">
        <w:rPr>
          <w:bCs/>
        </w:rPr>
        <w:t>’</w:t>
      </w:r>
      <w:r w:rsidRPr="0056798F">
        <w:rPr>
          <w:bCs/>
        </w:rPr>
        <w:t>approvisionnement en mercure et le commerce</w:t>
      </w:r>
      <w:r w:rsidR="00A27C32" w:rsidRPr="0056798F">
        <w:rPr>
          <w:bCs/>
        </w:rPr>
        <w:t xml:space="preserve"> du mercure</w:t>
      </w:r>
    </w:p>
    <w:p w14:paraId="7BF70494" w14:textId="77777777" w:rsidR="00344E3B" w:rsidRPr="0056798F" w:rsidRDefault="00344E3B" w:rsidP="009B706D">
      <w:pPr>
        <w:pStyle w:val="CH2"/>
      </w:pPr>
      <w:r w:rsidRPr="0056798F">
        <w:tab/>
      </w:r>
      <w:r w:rsidRPr="0056798F">
        <w:tab/>
      </w:r>
      <w:r w:rsidRPr="0056798F">
        <w:rPr>
          <w:bCs/>
        </w:rPr>
        <w:t>Note du secrétariat</w:t>
      </w:r>
    </w:p>
    <w:p w14:paraId="4E77977A" w14:textId="50A688B1" w:rsidR="00344E3B" w:rsidRPr="0056798F" w:rsidRDefault="007803A7" w:rsidP="007803A7">
      <w:pPr>
        <w:pStyle w:val="CH1"/>
      </w:pPr>
      <w:r w:rsidRPr="0056798F">
        <w:tab/>
      </w:r>
      <w:r w:rsidR="00DD159C" w:rsidRPr="0056798F">
        <w:t>I.</w:t>
      </w:r>
      <w:r w:rsidR="00344E3B" w:rsidRPr="0056798F">
        <w:tab/>
        <w:t>Introduction</w:t>
      </w:r>
    </w:p>
    <w:p w14:paraId="5CFB0AF2" w14:textId="0B872A92" w:rsidR="00344E3B" w:rsidRPr="0056798F" w:rsidRDefault="00344E3B" w:rsidP="00585DBD">
      <w:pPr>
        <w:pStyle w:val="Normalnumber"/>
      </w:pPr>
      <w:r w:rsidRPr="0056798F">
        <w:t>La présente note fournit des informations sur la mise en œuvre de la décision</w:t>
      </w:r>
      <w:r w:rsidR="00E32B0B" w:rsidRPr="0056798F">
        <w:t> </w:t>
      </w:r>
      <w:r w:rsidRPr="0056798F">
        <w:t>MC-5/2 relative aux sources d</w:t>
      </w:r>
      <w:r w:rsidR="00EA4125" w:rsidRPr="0056798F">
        <w:t>’</w:t>
      </w:r>
      <w:r w:rsidRPr="0056798F">
        <w:t>approvisionnement en mercure et au commerce</w:t>
      </w:r>
      <w:r w:rsidR="008C053D" w:rsidRPr="0056798F">
        <w:t xml:space="preserve"> du mercure</w:t>
      </w:r>
      <w:r w:rsidRPr="0056798F">
        <w:t>. Des informations sur la mise en œuvre de la décision</w:t>
      </w:r>
      <w:r w:rsidR="00E32B0B" w:rsidRPr="0056798F">
        <w:t> </w:t>
      </w:r>
      <w:r w:rsidRPr="0056798F">
        <w:t>MC-5/3 relative à l</w:t>
      </w:r>
      <w:r w:rsidR="00EA4125" w:rsidRPr="0056798F">
        <w:t>’</w:t>
      </w:r>
      <w:r w:rsidRPr="0056798F">
        <w:t>étude de l</w:t>
      </w:r>
      <w:r w:rsidR="00EA4125" w:rsidRPr="0056798F">
        <w:t>’</w:t>
      </w:r>
      <w:r w:rsidRPr="0056798F">
        <w:t>offre, de la production, du commerce et de l</w:t>
      </w:r>
      <w:r w:rsidR="00EA4125" w:rsidRPr="0056798F">
        <w:t>’</w:t>
      </w:r>
      <w:r w:rsidRPr="0056798F">
        <w:t xml:space="preserve">utilisation au niveau mondial de composés du mercure sont fournies dans le document UNEP/MC/COP.6/5/Add.1. La présente note </w:t>
      </w:r>
      <w:r w:rsidR="00C07CBE" w:rsidRPr="0056798F">
        <w:t xml:space="preserve">contient </w:t>
      </w:r>
      <w:r w:rsidRPr="0056798F">
        <w:t xml:space="preserve">également des informations pertinentes tirées des deuxièmes rapports nationaux </w:t>
      </w:r>
      <w:r w:rsidR="00E558A8" w:rsidRPr="0056798F">
        <w:t>abrégés</w:t>
      </w:r>
      <w:r w:rsidRPr="0056798F">
        <w:t xml:space="preserve">, ainsi que de rapports antérieurs soumis par les </w:t>
      </w:r>
      <w:r w:rsidR="00E317FD" w:rsidRPr="0056798F">
        <w:t>P</w:t>
      </w:r>
      <w:r w:rsidRPr="0056798F">
        <w:t>arties en application de l</w:t>
      </w:r>
      <w:r w:rsidR="00EA4125" w:rsidRPr="0056798F">
        <w:t>’</w:t>
      </w:r>
      <w:r w:rsidRPr="0056798F">
        <w:t>article</w:t>
      </w:r>
      <w:r w:rsidR="00E32B0B" w:rsidRPr="0056798F">
        <w:t> </w:t>
      </w:r>
      <w:r w:rsidRPr="0056798F">
        <w:t>21 de la Convention de</w:t>
      </w:r>
      <w:r w:rsidR="00B05762" w:rsidRPr="0056798F">
        <w:t> </w:t>
      </w:r>
      <w:r w:rsidRPr="0056798F">
        <w:t>Minamata sur le mercure, et sur les travaux connexes réalisés par le Comité de mise en œuvre et du respect des obligations conformément à l</w:t>
      </w:r>
      <w:r w:rsidR="00EA4125" w:rsidRPr="0056798F">
        <w:t>’</w:t>
      </w:r>
      <w:r w:rsidRPr="0056798F">
        <w:t>article</w:t>
      </w:r>
      <w:r w:rsidR="009D07DF" w:rsidRPr="0056798F">
        <w:t> </w:t>
      </w:r>
      <w:r w:rsidRPr="0056798F">
        <w:t>15</w:t>
      </w:r>
      <w:r w:rsidR="00D70DA6" w:rsidRPr="0056798F">
        <w:t xml:space="preserve"> de la Convention</w:t>
      </w:r>
      <w:r w:rsidRPr="0056798F">
        <w:t xml:space="preserve"> durant la période intersessions entre l</w:t>
      </w:r>
      <w:r w:rsidR="00E317FD" w:rsidRPr="0056798F">
        <w:t>es</w:t>
      </w:r>
      <w:r w:rsidRPr="0056798F">
        <w:t xml:space="preserve"> cinquième et sixième</w:t>
      </w:r>
      <w:r w:rsidR="00B05762" w:rsidRPr="0056798F">
        <w:t> </w:t>
      </w:r>
      <w:r w:rsidRPr="0056798F">
        <w:t>réunion</w:t>
      </w:r>
      <w:r w:rsidR="00E317FD" w:rsidRPr="0056798F">
        <w:t>s</w:t>
      </w:r>
      <w:r w:rsidRPr="0056798F">
        <w:t xml:space="preserve"> de la Conférence des Parties</w:t>
      </w:r>
      <w:r w:rsidR="00C07CBE" w:rsidRPr="0056798F">
        <w:t xml:space="preserve"> à la Convention</w:t>
      </w:r>
      <w:r w:rsidRPr="0056798F">
        <w:t xml:space="preserve">. On trouvera de plus amples informations sur les deuxièmes rapports nationaux </w:t>
      </w:r>
      <w:r w:rsidR="0096196E" w:rsidRPr="0056798F">
        <w:t xml:space="preserve">abrégés </w:t>
      </w:r>
      <w:r w:rsidRPr="0056798F">
        <w:t>dans les documents UNEP/MC/COP.6/15 et UNEP/MC/COP.6/INF/20. Le rapport sur les travaux du Comité de mise en œuvre et du respect des obligations, y</w:t>
      </w:r>
      <w:r w:rsidR="00504F1C" w:rsidRPr="0056798F">
        <w:t> </w:t>
      </w:r>
      <w:r w:rsidRPr="0056798F">
        <w:t>compris ses recommandations, figure dans le document UNEP/MC/COP.6/14.</w:t>
      </w:r>
    </w:p>
    <w:p w14:paraId="25DFC7C6" w14:textId="2269B007" w:rsidR="00B12585" w:rsidRPr="0056798F" w:rsidRDefault="00344E3B" w:rsidP="007803A7">
      <w:pPr>
        <w:pStyle w:val="CH1"/>
      </w:pPr>
      <w:r w:rsidRPr="0056798F">
        <w:tab/>
      </w:r>
      <w:r w:rsidR="009D07DF" w:rsidRPr="0056798F">
        <w:t>II.</w:t>
      </w:r>
      <w:r w:rsidR="007803A7" w:rsidRPr="0056798F">
        <w:tab/>
      </w:r>
      <w:r w:rsidRPr="0056798F">
        <w:t>Mise en œuvre</w:t>
      </w:r>
    </w:p>
    <w:p w14:paraId="14FFB2F3" w14:textId="1DAEF9E2" w:rsidR="00F279C4" w:rsidRPr="0056798F" w:rsidRDefault="007803A7" w:rsidP="007803A7">
      <w:pPr>
        <w:pStyle w:val="CH2"/>
        <w:rPr>
          <w:bCs/>
        </w:rPr>
      </w:pPr>
      <w:r w:rsidRPr="0056798F">
        <w:rPr>
          <w:bCs/>
        </w:rPr>
        <w:tab/>
      </w:r>
      <w:r w:rsidR="00912B6F" w:rsidRPr="0056798F">
        <w:rPr>
          <w:bCs/>
        </w:rPr>
        <w:t>A.</w:t>
      </w:r>
      <w:r w:rsidR="007C46A6" w:rsidRPr="0056798F">
        <w:rPr>
          <w:bCs/>
        </w:rPr>
        <w:tab/>
        <w:t xml:space="preserve">Extraction </w:t>
      </w:r>
      <w:r w:rsidR="00534215" w:rsidRPr="0056798F">
        <w:rPr>
          <w:bCs/>
        </w:rPr>
        <w:t xml:space="preserve">primaire </w:t>
      </w:r>
      <w:r w:rsidR="007C46A6" w:rsidRPr="0056798F">
        <w:rPr>
          <w:bCs/>
        </w:rPr>
        <w:t>de mercure (décision</w:t>
      </w:r>
      <w:r w:rsidR="00912B6F" w:rsidRPr="0056798F">
        <w:rPr>
          <w:bCs/>
        </w:rPr>
        <w:t> </w:t>
      </w:r>
      <w:r w:rsidR="007C46A6" w:rsidRPr="0056798F">
        <w:rPr>
          <w:bCs/>
        </w:rPr>
        <w:t>MC-5/2, paragraphe</w:t>
      </w:r>
      <w:r w:rsidR="00912B6F" w:rsidRPr="0056798F">
        <w:rPr>
          <w:bCs/>
        </w:rPr>
        <w:t> </w:t>
      </w:r>
      <w:r w:rsidR="007C46A6" w:rsidRPr="0056798F">
        <w:rPr>
          <w:bCs/>
        </w:rPr>
        <w:t>1)</w:t>
      </w:r>
    </w:p>
    <w:p w14:paraId="3080DAB6" w14:textId="4C0EF629" w:rsidR="001E62F2" w:rsidRPr="0056798F" w:rsidRDefault="008E08A0" w:rsidP="00585DBD">
      <w:pPr>
        <w:pStyle w:val="Normalnumber"/>
      </w:pPr>
      <w:r w:rsidRPr="0056798F">
        <w:t>A</w:t>
      </w:r>
      <w:r w:rsidR="004062AD" w:rsidRPr="0056798F">
        <w:t>u paragraphe</w:t>
      </w:r>
      <w:r w:rsidR="00743DB0" w:rsidRPr="0056798F">
        <w:t> </w:t>
      </w:r>
      <w:r w:rsidR="004062AD" w:rsidRPr="0056798F">
        <w:t xml:space="preserve">1 de </w:t>
      </w:r>
      <w:r w:rsidRPr="0056798F">
        <w:t>s</w:t>
      </w:r>
      <w:r w:rsidR="004062AD" w:rsidRPr="0056798F">
        <w:t>a décision</w:t>
      </w:r>
      <w:r w:rsidR="00912B6F" w:rsidRPr="0056798F">
        <w:t> </w:t>
      </w:r>
      <w:r w:rsidR="004062AD" w:rsidRPr="0056798F">
        <w:t xml:space="preserve">MC-5/2, </w:t>
      </w:r>
      <w:r w:rsidRPr="0056798F">
        <w:t xml:space="preserve">la Conférence des Parties a rappelé </w:t>
      </w:r>
      <w:r w:rsidR="004062AD" w:rsidRPr="0056798F">
        <w:t>que, conformément aux paragraphes</w:t>
      </w:r>
      <w:r w:rsidR="00912B6F" w:rsidRPr="0056798F">
        <w:t> </w:t>
      </w:r>
      <w:r w:rsidR="004062AD" w:rsidRPr="0056798F">
        <w:t>3 et 4 de l</w:t>
      </w:r>
      <w:r w:rsidR="00EA4125" w:rsidRPr="0056798F">
        <w:t>’</w:t>
      </w:r>
      <w:r w:rsidR="004062AD" w:rsidRPr="0056798F">
        <w:t>article</w:t>
      </w:r>
      <w:r w:rsidR="00912B6F" w:rsidRPr="0056798F">
        <w:t> </w:t>
      </w:r>
      <w:r w:rsidR="004062AD" w:rsidRPr="0056798F">
        <w:t>3, il était demandé aux Parties de contrôler l</w:t>
      </w:r>
      <w:r w:rsidR="00EA4125" w:rsidRPr="0056798F">
        <w:t>’</w:t>
      </w:r>
      <w:r w:rsidR="004062AD" w:rsidRPr="0056798F">
        <w:t xml:space="preserve">extraction </w:t>
      </w:r>
      <w:r w:rsidR="002F5F74" w:rsidRPr="0056798F">
        <w:t xml:space="preserve">primaire </w:t>
      </w:r>
      <w:r w:rsidR="004062AD" w:rsidRPr="0056798F">
        <w:t>de mercure</w:t>
      </w:r>
      <w:r w:rsidR="00247F13" w:rsidRPr="0056798F">
        <w:t>,</w:t>
      </w:r>
      <w:r w:rsidR="004062AD" w:rsidRPr="0056798F">
        <w:t xml:space="preserve"> et</w:t>
      </w:r>
      <w:r w:rsidR="00247F13" w:rsidRPr="0056798F">
        <w:t>, au même paragraphe,</w:t>
      </w:r>
      <w:r w:rsidR="004062AD" w:rsidRPr="0056798F">
        <w:t xml:space="preserve"> elle a engagé les Parties à rendre compte, dans leurs prochains rapports nationaux, de toutes les activités d</w:t>
      </w:r>
      <w:r w:rsidR="00EA4125" w:rsidRPr="0056798F">
        <w:t>’</w:t>
      </w:r>
      <w:r w:rsidR="004062AD" w:rsidRPr="0056798F">
        <w:t xml:space="preserve">extraction </w:t>
      </w:r>
      <w:r w:rsidR="002F5F74" w:rsidRPr="0056798F">
        <w:t xml:space="preserve">primaire </w:t>
      </w:r>
      <w:r w:rsidR="004062AD" w:rsidRPr="0056798F">
        <w:t>de mercure menées sur leur territoire, quel que soit leur statut (formel, informel ou illicite). L</w:t>
      </w:r>
      <w:r w:rsidR="00EA4125" w:rsidRPr="0056798F">
        <w:t>’</w:t>
      </w:r>
      <w:r w:rsidR="004062AD" w:rsidRPr="0056798F">
        <w:t xml:space="preserve">analyse par le secrétariat des deuxièmes rapports nationaux </w:t>
      </w:r>
      <w:r w:rsidR="00E558A8" w:rsidRPr="0056798F">
        <w:t>abrégés</w:t>
      </w:r>
      <w:r w:rsidR="004062AD" w:rsidRPr="0056798F">
        <w:t xml:space="preserve">, qui devaient être soumis avant la fin de 2023, ainsi que des rapports antérieurs, </w:t>
      </w:r>
      <w:r w:rsidR="005631B6" w:rsidRPr="0056798F">
        <w:t xml:space="preserve">a </w:t>
      </w:r>
      <w:r w:rsidR="004062AD" w:rsidRPr="0056798F">
        <w:t>rév</w:t>
      </w:r>
      <w:r w:rsidR="005631B6" w:rsidRPr="0056798F">
        <w:t>é</w:t>
      </w:r>
      <w:r w:rsidR="004062AD" w:rsidRPr="0056798F">
        <w:t>l</w:t>
      </w:r>
      <w:r w:rsidR="005631B6" w:rsidRPr="0056798F">
        <w:t>é</w:t>
      </w:r>
      <w:r w:rsidR="004062AD" w:rsidRPr="0056798F">
        <w:t xml:space="preserve"> que deux</w:t>
      </w:r>
      <w:r w:rsidR="003617E5" w:rsidRPr="0056798F">
        <w:t> </w:t>
      </w:r>
      <w:r w:rsidR="001600DA" w:rsidRPr="0056798F">
        <w:t>P</w:t>
      </w:r>
      <w:r w:rsidR="004062AD" w:rsidRPr="0056798F">
        <w:t>arties disposant d</w:t>
      </w:r>
      <w:r w:rsidR="00EA4125" w:rsidRPr="0056798F">
        <w:t>’</w:t>
      </w:r>
      <w:r w:rsidR="004062AD" w:rsidRPr="0056798F">
        <w:t xml:space="preserve">importants gisements de </w:t>
      </w:r>
      <w:r w:rsidR="004062AD" w:rsidRPr="0056798F">
        <w:lastRenderedPageBreak/>
        <w:t xml:space="preserve">mercure (Indonésie et Mexique) </w:t>
      </w:r>
      <w:r w:rsidR="005631B6" w:rsidRPr="0056798F">
        <w:t>avaie</w:t>
      </w:r>
      <w:r w:rsidR="004062AD" w:rsidRPr="0056798F">
        <w:t>nt soulevé la question d</w:t>
      </w:r>
      <w:r w:rsidR="00EA4125" w:rsidRPr="0056798F">
        <w:t>’</w:t>
      </w:r>
      <w:r w:rsidR="004062AD" w:rsidRPr="0056798F">
        <w:t>une</w:t>
      </w:r>
      <w:r w:rsidR="000046F2" w:rsidRPr="0056798F">
        <w:t xml:space="preserve"> </w:t>
      </w:r>
      <w:r w:rsidR="004062AD" w:rsidRPr="0056798F">
        <w:t>extraction</w:t>
      </w:r>
      <w:r w:rsidR="002F5F74" w:rsidRPr="0056798F">
        <w:t xml:space="preserve"> primaire</w:t>
      </w:r>
      <w:r w:rsidR="004062AD" w:rsidRPr="0056798F">
        <w:t xml:space="preserve"> informelle ou illicite de mercure sur leurs territoires, soit dans leurs réponses à la question 3.1</w:t>
      </w:r>
      <w:r w:rsidR="004062AD" w:rsidRPr="0056798F">
        <w:rPr>
          <w:vertAlign w:val="superscript"/>
        </w:rPr>
        <w:footnoteReference w:id="3"/>
      </w:r>
      <w:r w:rsidR="004062AD" w:rsidRPr="0056798F">
        <w:t>, soit dans la partie</w:t>
      </w:r>
      <w:r w:rsidR="00B3009B" w:rsidRPr="0056798F">
        <w:t> </w:t>
      </w:r>
      <w:r w:rsidR="004062AD" w:rsidRPr="0056798F">
        <w:t>C</w:t>
      </w:r>
      <w:r w:rsidR="004062AD" w:rsidRPr="0056798F">
        <w:rPr>
          <w:vertAlign w:val="superscript"/>
        </w:rPr>
        <w:footnoteReference w:id="4"/>
      </w:r>
      <w:r w:rsidR="006803A6" w:rsidRPr="0056798F">
        <w:t xml:space="preserve"> </w:t>
      </w:r>
      <w:r w:rsidR="004062AD" w:rsidRPr="0056798F">
        <w:t xml:space="preserve">de leurs rapports nationaux. Une </w:t>
      </w:r>
      <w:r w:rsidR="006D3E26" w:rsidRPr="0056798F">
        <w:t>P</w:t>
      </w:r>
      <w:r w:rsidR="004062AD" w:rsidRPr="0056798F">
        <w:t>artie (Indonésie) a</w:t>
      </w:r>
      <w:r w:rsidR="005631B6" w:rsidRPr="0056798F">
        <w:t>vait</w:t>
      </w:r>
      <w:r w:rsidR="004062AD" w:rsidRPr="0056798F">
        <w:t xml:space="preserve"> formellement </w:t>
      </w:r>
      <w:r w:rsidR="000C3C15" w:rsidRPr="0056798F">
        <w:t>rendu compte</w:t>
      </w:r>
      <w:r w:rsidR="004062AD" w:rsidRPr="0056798F">
        <w:t xml:space="preserve"> de la question de l</w:t>
      </w:r>
      <w:r w:rsidR="00EA4125" w:rsidRPr="0056798F">
        <w:t>’</w:t>
      </w:r>
      <w:r w:rsidR="004062AD" w:rsidRPr="0056798F">
        <w:t xml:space="preserve">extraction </w:t>
      </w:r>
      <w:r w:rsidR="002F5F74" w:rsidRPr="0056798F">
        <w:t xml:space="preserve">primaire </w:t>
      </w:r>
      <w:r w:rsidR="004062AD" w:rsidRPr="0056798F">
        <w:t xml:space="preserve">illicite de mercure dans </w:t>
      </w:r>
      <w:r w:rsidR="00EF2D86" w:rsidRPr="0056798F">
        <w:t xml:space="preserve">son </w:t>
      </w:r>
      <w:r w:rsidR="004062AD" w:rsidRPr="0056798F">
        <w:t xml:space="preserve">deuxième rapport national </w:t>
      </w:r>
      <w:r w:rsidR="000C3C15" w:rsidRPr="0056798F">
        <w:t xml:space="preserve">abrégé </w:t>
      </w:r>
      <w:r w:rsidR="004062AD" w:rsidRPr="0056798F">
        <w:t>(</w:t>
      </w:r>
      <w:r w:rsidR="00C07CBE" w:rsidRPr="0056798F">
        <w:t xml:space="preserve">soumis en </w:t>
      </w:r>
      <w:r w:rsidR="004062AD" w:rsidRPr="0056798F">
        <w:t>2023)</w:t>
      </w:r>
      <w:r w:rsidR="00EF2D86" w:rsidRPr="0056798F">
        <w:t>.</w:t>
      </w:r>
      <w:r w:rsidR="004062AD" w:rsidRPr="0056798F">
        <w:t xml:space="preserve"> Cette </w:t>
      </w:r>
      <w:r w:rsidR="006D3E26" w:rsidRPr="0056798F">
        <w:t>P</w:t>
      </w:r>
      <w:r w:rsidR="004062AD" w:rsidRPr="0056798F">
        <w:t>artie a</w:t>
      </w:r>
      <w:r w:rsidR="005631B6" w:rsidRPr="0056798F">
        <w:t>vait</w:t>
      </w:r>
      <w:r w:rsidR="004062AD" w:rsidRPr="0056798F">
        <w:t xml:space="preserve"> également indiqué que l</w:t>
      </w:r>
      <w:r w:rsidR="00EA4125" w:rsidRPr="0056798F">
        <w:t>’</w:t>
      </w:r>
      <w:r w:rsidR="004062AD" w:rsidRPr="0056798F">
        <w:t>extraction</w:t>
      </w:r>
      <w:r w:rsidR="002F5F74" w:rsidRPr="0056798F">
        <w:t xml:space="preserve"> primaire</w:t>
      </w:r>
      <w:r w:rsidR="004062AD" w:rsidRPr="0056798F">
        <w:t xml:space="preserve"> illicite de mercure était un obstacle à la réalisation de l</w:t>
      </w:r>
      <w:r w:rsidR="00EA4125" w:rsidRPr="0056798F">
        <w:t>’</w:t>
      </w:r>
      <w:r w:rsidR="004062AD" w:rsidRPr="0056798F">
        <w:t xml:space="preserve">objectif de la </w:t>
      </w:r>
      <w:r w:rsidR="00EF2D86" w:rsidRPr="0056798F">
        <w:t>C</w:t>
      </w:r>
      <w:r w:rsidR="004062AD" w:rsidRPr="0056798F">
        <w:t xml:space="preserve">onvention dans la partie C de son rapport national complet (2021) et dans son rapport national </w:t>
      </w:r>
      <w:r w:rsidR="000C3C15" w:rsidRPr="0056798F">
        <w:t xml:space="preserve">abrégé </w:t>
      </w:r>
      <w:r w:rsidR="004062AD" w:rsidRPr="0056798F">
        <w:t xml:space="preserve">(2019). </w:t>
      </w:r>
      <w:r w:rsidR="00C07CBE" w:rsidRPr="0056798F">
        <w:t>L</w:t>
      </w:r>
      <w:r w:rsidR="00EA4125" w:rsidRPr="0056798F">
        <w:t>’</w:t>
      </w:r>
      <w:r w:rsidR="004062AD" w:rsidRPr="0056798F">
        <w:t xml:space="preserve">autre </w:t>
      </w:r>
      <w:r w:rsidR="00792FBF" w:rsidRPr="0056798F">
        <w:t>P</w:t>
      </w:r>
      <w:r w:rsidR="004062AD" w:rsidRPr="0056798F">
        <w:t>artie (Mexique) a</w:t>
      </w:r>
      <w:r w:rsidR="005631B6" w:rsidRPr="0056798F">
        <w:t>vait</w:t>
      </w:r>
      <w:r w:rsidR="004062AD" w:rsidRPr="0056798F">
        <w:t xml:space="preserve"> fourni </w:t>
      </w:r>
      <w:r w:rsidR="00792FBF" w:rsidRPr="0056798F">
        <w:t>l</w:t>
      </w:r>
      <w:r w:rsidR="004062AD" w:rsidRPr="0056798F">
        <w:t xml:space="preserve">es données </w:t>
      </w:r>
      <w:r w:rsidR="00792FBF" w:rsidRPr="0056798F">
        <w:t>de</w:t>
      </w:r>
      <w:r w:rsidR="004062AD" w:rsidRPr="0056798F">
        <w:t xml:space="preserve"> production de mines officielles d</w:t>
      </w:r>
      <w:r w:rsidR="00EA4125" w:rsidRPr="0056798F">
        <w:t>’</w:t>
      </w:r>
      <w:r w:rsidR="002F5F74" w:rsidRPr="0056798F">
        <w:t>extraction primaire de</w:t>
      </w:r>
      <w:r w:rsidR="004062AD" w:rsidRPr="0056798F">
        <w:t xml:space="preserve"> mercure</w:t>
      </w:r>
      <w:r w:rsidR="002F5F74" w:rsidRPr="0056798F">
        <w:t xml:space="preserve"> </w:t>
      </w:r>
      <w:r w:rsidR="004062AD" w:rsidRPr="0056798F">
        <w:t>sur son territoire dans sa réponse à la question</w:t>
      </w:r>
      <w:r w:rsidR="00F43C1C" w:rsidRPr="0056798F">
        <w:t> </w:t>
      </w:r>
      <w:r w:rsidR="004062AD" w:rsidRPr="0056798F">
        <w:t xml:space="preserve">3.1 de son deuxième rapport national </w:t>
      </w:r>
      <w:r w:rsidR="000C3C15" w:rsidRPr="0056798F">
        <w:t xml:space="preserve">abrégé </w:t>
      </w:r>
      <w:r w:rsidR="004062AD" w:rsidRPr="0056798F">
        <w:t>et a</w:t>
      </w:r>
      <w:r w:rsidR="005631B6" w:rsidRPr="0056798F">
        <w:t>vait</w:t>
      </w:r>
      <w:r w:rsidR="004062AD" w:rsidRPr="0056798F">
        <w:t xml:space="preserve"> reconnu qu</w:t>
      </w:r>
      <w:r w:rsidR="00EA4125" w:rsidRPr="0056798F">
        <w:t>’</w:t>
      </w:r>
      <w:r w:rsidR="004062AD" w:rsidRPr="0056798F">
        <w:t xml:space="preserve">elle ne disposait pas de données sur la production </w:t>
      </w:r>
      <w:r w:rsidR="00792FBF" w:rsidRPr="0056798F">
        <w:t xml:space="preserve">provenant </w:t>
      </w:r>
      <w:r w:rsidR="00645EA1" w:rsidRPr="0056798F">
        <w:t>d</w:t>
      </w:r>
      <w:r w:rsidR="00EA4125" w:rsidRPr="0056798F">
        <w:t>’</w:t>
      </w:r>
      <w:r w:rsidR="00645EA1" w:rsidRPr="0056798F">
        <w:t>activités</w:t>
      </w:r>
      <w:r w:rsidR="002406B2" w:rsidRPr="0056798F">
        <w:t xml:space="preserve"> </w:t>
      </w:r>
      <w:r w:rsidR="004062AD" w:rsidRPr="0056798F">
        <w:t>illicites d</w:t>
      </w:r>
      <w:r w:rsidR="00EA4125" w:rsidRPr="0056798F">
        <w:t>’</w:t>
      </w:r>
      <w:r w:rsidR="004062AD" w:rsidRPr="0056798F">
        <w:t xml:space="preserve">extraction </w:t>
      </w:r>
      <w:r w:rsidR="002F5F74" w:rsidRPr="0056798F">
        <w:t xml:space="preserve">primaire </w:t>
      </w:r>
      <w:r w:rsidR="004062AD" w:rsidRPr="0056798F">
        <w:t xml:space="preserve">de mercure. La même </w:t>
      </w:r>
      <w:r w:rsidR="00C11CDC" w:rsidRPr="0056798F">
        <w:t>P</w:t>
      </w:r>
      <w:r w:rsidR="004062AD" w:rsidRPr="0056798F">
        <w:t>artie a</w:t>
      </w:r>
      <w:r w:rsidR="00C11CDC" w:rsidRPr="0056798F">
        <w:t>vait</w:t>
      </w:r>
      <w:r w:rsidR="004062AD" w:rsidRPr="0056798F">
        <w:t xml:space="preserve"> déjà mentionné dans son rapport national complet (</w:t>
      </w:r>
      <w:r w:rsidR="00C07CBE" w:rsidRPr="0056798F">
        <w:t xml:space="preserve">soumis en </w:t>
      </w:r>
      <w:r w:rsidR="004062AD" w:rsidRPr="0056798F">
        <w:t>2021) la persistance de la production de mercure qui pourrait s</w:t>
      </w:r>
      <w:r w:rsidR="00EA4125" w:rsidRPr="0056798F">
        <w:t>’</w:t>
      </w:r>
      <w:r w:rsidR="004062AD" w:rsidRPr="0056798F">
        <w:t xml:space="preserve">ajouter aux mines fermées connues. </w:t>
      </w:r>
    </w:p>
    <w:p w14:paraId="5A534810" w14:textId="7A7C3C66" w:rsidR="001E62F2" w:rsidRPr="0056798F" w:rsidRDefault="001E62F2" w:rsidP="00585DBD">
      <w:pPr>
        <w:pStyle w:val="Normalnumber"/>
      </w:pPr>
      <w:r w:rsidRPr="0056798F">
        <w:t>À cet égard, le Comité de mise en œuvre et du respect des obligations</w:t>
      </w:r>
      <w:r w:rsidR="003620B1" w:rsidRPr="0056798F">
        <w:t>, à sa septième</w:t>
      </w:r>
      <w:r w:rsidR="00232FEF" w:rsidRPr="0056798F">
        <w:t> </w:t>
      </w:r>
      <w:r w:rsidR="003620B1" w:rsidRPr="0056798F">
        <w:t>réunion,</w:t>
      </w:r>
      <w:r w:rsidRPr="0056798F">
        <w:t xml:space="preserve"> a</w:t>
      </w:r>
      <w:r w:rsidR="00DC6671" w:rsidRPr="0056798F">
        <w:t> </w:t>
      </w:r>
      <w:r w:rsidRPr="0056798F">
        <w:t>pris note du fait que les Parties qui disposent d</w:t>
      </w:r>
      <w:r w:rsidR="00EA4125" w:rsidRPr="0056798F">
        <w:t>’</w:t>
      </w:r>
      <w:r w:rsidRPr="0056798F">
        <w:t xml:space="preserve">importants gisements de mercure </w:t>
      </w:r>
      <w:r w:rsidR="003620B1" w:rsidRPr="0056798F">
        <w:t xml:space="preserve">avaient </w:t>
      </w:r>
      <w:r w:rsidRPr="0056798F">
        <w:t>évoqué la présence sur leur territoire d</w:t>
      </w:r>
      <w:r w:rsidR="00EA4125" w:rsidRPr="0056798F">
        <w:t>’</w:t>
      </w:r>
      <w:r w:rsidRPr="0056798F">
        <w:t xml:space="preserve">activités informelles ou </w:t>
      </w:r>
      <w:r w:rsidR="002406B2" w:rsidRPr="0056798F">
        <w:t xml:space="preserve">illicites </w:t>
      </w:r>
      <w:r w:rsidRPr="0056798F">
        <w:t>d</w:t>
      </w:r>
      <w:r w:rsidR="00EA4125" w:rsidRPr="0056798F">
        <w:t>’</w:t>
      </w:r>
      <w:r w:rsidRPr="0056798F">
        <w:t>extraction minière primaire depuis le premier cycle d</w:t>
      </w:r>
      <w:r w:rsidR="00EA4125" w:rsidRPr="0056798F">
        <w:t>’</w:t>
      </w:r>
      <w:r w:rsidRPr="0056798F">
        <w:t>établissement des rapports</w:t>
      </w:r>
      <w:r w:rsidR="00B51AAA" w:rsidRPr="0056798F">
        <w:t>.</w:t>
      </w:r>
      <w:r w:rsidRPr="0056798F">
        <w:t xml:space="preserve"> Le Comité a recommandé, </w:t>
      </w:r>
      <w:r w:rsidR="00C119F1" w:rsidRPr="0056798F">
        <w:t>à l</w:t>
      </w:r>
      <w:r w:rsidR="00EA4125" w:rsidRPr="0056798F">
        <w:t>’</w:t>
      </w:r>
      <w:r w:rsidR="00C119F1" w:rsidRPr="0056798F">
        <w:t>alinéa b) d</w:t>
      </w:r>
      <w:r w:rsidRPr="0056798F">
        <w:t>u paragraphe</w:t>
      </w:r>
      <w:r w:rsidR="00BC4951" w:rsidRPr="0056798F">
        <w:t> </w:t>
      </w:r>
      <w:r w:rsidRPr="0056798F">
        <w:t xml:space="preserve">3  de </w:t>
      </w:r>
      <w:r w:rsidR="000E3EED" w:rsidRPr="0056798F">
        <w:t xml:space="preserve">son </w:t>
      </w:r>
      <w:r w:rsidRPr="0056798F">
        <w:t xml:space="preserve">rapport sur </w:t>
      </w:r>
      <w:r w:rsidR="000E3EED" w:rsidRPr="0056798F">
        <w:t>l</w:t>
      </w:r>
      <w:r w:rsidR="00EA4125" w:rsidRPr="0056798F">
        <w:t>’</w:t>
      </w:r>
      <w:r w:rsidR="000E3EED" w:rsidRPr="0056798F">
        <w:t>examen des questions de respect et de mise en œuvre de la Convention de</w:t>
      </w:r>
      <w:r w:rsidR="00C9581A" w:rsidRPr="0056798F">
        <w:t> </w:t>
      </w:r>
      <w:r w:rsidR="000E3EED" w:rsidRPr="0056798F">
        <w:t>Minamata dans le cadre des rapports nationaux, qui figure dans l</w:t>
      </w:r>
      <w:r w:rsidR="00EA4125" w:rsidRPr="0056798F">
        <w:t>’</w:t>
      </w:r>
      <w:r w:rsidR="000E3EED" w:rsidRPr="0056798F">
        <w:t>annexe du</w:t>
      </w:r>
      <w:r w:rsidRPr="0056798F">
        <w:t xml:space="preserve"> </w:t>
      </w:r>
      <w:r w:rsidR="000C7F4B" w:rsidRPr="0056798F">
        <w:t xml:space="preserve">document </w:t>
      </w:r>
      <w:r w:rsidRPr="0056798F">
        <w:t>UNEP/MC/COP.6/14, que la Conférence des Parties à sa sixième</w:t>
      </w:r>
      <w:r w:rsidR="00C9581A" w:rsidRPr="0056798F">
        <w:t> </w:t>
      </w:r>
      <w:r w:rsidRPr="0056798F">
        <w:t>réunion envisage d</w:t>
      </w:r>
      <w:r w:rsidR="00EA4125" w:rsidRPr="0056798F">
        <w:t>’</w:t>
      </w:r>
      <w:r w:rsidRPr="0056798F">
        <w:t>inviter les Parties à soumettre des informations sur leur expérience et les difficultés rencontrées en matière de mise en</w:t>
      </w:r>
      <w:r w:rsidR="00406FD9" w:rsidRPr="0056798F">
        <w:t> </w:t>
      </w:r>
      <w:r w:rsidRPr="0056798F">
        <w:t>œuvre du paragraphe</w:t>
      </w:r>
      <w:r w:rsidR="00C9581A" w:rsidRPr="0056798F">
        <w:t> </w:t>
      </w:r>
      <w:r w:rsidRPr="0056798F">
        <w:t>3 de l</w:t>
      </w:r>
      <w:r w:rsidR="00EA4125" w:rsidRPr="0056798F">
        <w:t>’</w:t>
      </w:r>
      <w:r w:rsidRPr="0056798F">
        <w:t>article</w:t>
      </w:r>
      <w:r w:rsidR="00C9581A" w:rsidRPr="0056798F">
        <w:t> </w:t>
      </w:r>
      <w:r w:rsidRPr="0056798F">
        <w:t>3, compte tenu notamment de toute information déjà fournie en réponse au paragraphe</w:t>
      </w:r>
      <w:r w:rsidR="00C9581A" w:rsidRPr="0056798F">
        <w:t> </w:t>
      </w:r>
      <w:r w:rsidRPr="0056798F">
        <w:t>4 de la décision</w:t>
      </w:r>
      <w:r w:rsidR="00C9581A" w:rsidRPr="0056798F">
        <w:t> </w:t>
      </w:r>
      <w:r w:rsidRPr="0056798F">
        <w:t xml:space="preserve">MC-5/2 (voir </w:t>
      </w:r>
      <w:r w:rsidR="00C119F1" w:rsidRPr="0056798F">
        <w:t>l</w:t>
      </w:r>
      <w:r w:rsidR="006B487F" w:rsidRPr="0056798F">
        <w:t>a section D</w:t>
      </w:r>
      <w:r w:rsidRPr="0056798F">
        <w:t xml:space="preserve"> ci-dessous)</w:t>
      </w:r>
      <w:r w:rsidR="00B51AAA" w:rsidRPr="0056798F">
        <w:t>.</w:t>
      </w:r>
      <w:r w:rsidRPr="0056798F">
        <w:t xml:space="preserve"> </w:t>
      </w:r>
      <w:r w:rsidR="000E3EED" w:rsidRPr="0056798F">
        <w:t>Conformément à cette recommandation, le secrétariat a élaboré le paragraphe</w:t>
      </w:r>
      <w:r w:rsidR="0091396F" w:rsidRPr="0056798F">
        <w:t> </w:t>
      </w:r>
      <w:r w:rsidR="000E3EED" w:rsidRPr="0056798F">
        <w:t xml:space="preserve">3 du projet </w:t>
      </w:r>
      <w:r w:rsidRPr="0056798F">
        <w:t>de décision</w:t>
      </w:r>
      <w:r w:rsidR="000E3EED" w:rsidRPr="0056798F">
        <w:t xml:space="preserve"> reproduit dans l</w:t>
      </w:r>
      <w:r w:rsidR="00EA4125" w:rsidRPr="0056798F">
        <w:t>’</w:t>
      </w:r>
      <w:r w:rsidR="000E3EED" w:rsidRPr="0056798F">
        <w:t>annexe de la présente note,</w:t>
      </w:r>
      <w:r w:rsidRPr="0056798F">
        <w:t xml:space="preserve"> pour examen par la Conférence des Parties à sa sixième</w:t>
      </w:r>
      <w:r w:rsidR="0091396F" w:rsidRPr="0056798F">
        <w:t> </w:t>
      </w:r>
      <w:r w:rsidRPr="0056798F">
        <w:t>réunion. En outre, le</w:t>
      </w:r>
      <w:r w:rsidR="002223E8" w:rsidRPr="0056798F">
        <w:t> </w:t>
      </w:r>
      <w:r w:rsidRPr="0056798F">
        <w:t xml:space="preserve">Comité a décidé de réexaminer cette question à sa réunion </w:t>
      </w:r>
      <w:r w:rsidR="000E3EED" w:rsidRPr="0056798F">
        <w:t xml:space="preserve">suivante </w:t>
      </w:r>
      <w:r w:rsidRPr="0056798F">
        <w:t>à la lumière des informations disponibles et de se pencher sur la formulation des conclusions ou recommandations qui s</w:t>
      </w:r>
      <w:r w:rsidR="00EA4125" w:rsidRPr="0056798F">
        <w:t>’</w:t>
      </w:r>
      <w:r w:rsidRPr="0056798F">
        <w:t>imposent à</w:t>
      </w:r>
      <w:r w:rsidR="002223E8" w:rsidRPr="0056798F">
        <w:t> </w:t>
      </w:r>
      <w:r w:rsidRPr="0056798F">
        <w:t>l</w:t>
      </w:r>
      <w:r w:rsidR="00EA4125" w:rsidRPr="0056798F">
        <w:t>’</w:t>
      </w:r>
      <w:r w:rsidRPr="0056798F">
        <w:t>intention de la Conférence des Parties.</w:t>
      </w:r>
    </w:p>
    <w:p w14:paraId="480086BF" w14:textId="421E17D1" w:rsidR="00793F62" w:rsidRPr="0056798F" w:rsidRDefault="00B23EE3" w:rsidP="00585DBD">
      <w:pPr>
        <w:pStyle w:val="Normalnumber"/>
      </w:pPr>
      <w:r w:rsidRPr="0056798F">
        <w:t>Il convient de noter qu</w:t>
      </w:r>
      <w:r w:rsidR="002D2822" w:rsidRPr="0056798F">
        <w:t>e depuis 2021</w:t>
      </w:r>
      <w:r w:rsidR="00C1210D" w:rsidRPr="0056798F">
        <w:t>, le Programme des Nations</w:t>
      </w:r>
      <w:r w:rsidR="00E078E2" w:rsidRPr="0056798F">
        <w:t> </w:t>
      </w:r>
      <w:r w:rsidR="00C1210D" w:rsidRPr="0056798F">
        <w:t>Unies pour l</w:t>
      </w:r>
      <w:r w:rsidR="00EA4125" w:rsidRPr="0056798F">
        <w:t>’</w:t>
      </w:r>
      <w:r w:rsidR="00C1210D" w:rsidRPr="0056798F">
        <w:t>environnement (PNUE) met en œuvre</w:t>
      </w:r>
      <w:r w:rsidR="002D2822" w:rsidRPr="0056798F">
        <w:t xml:space="preserve"> </w:t>
      </w:r>
      <w:r w:rsidRPr="0056798F">
        <w:t>un projet financé par le Fonds pour l</w:t>
      </w:r>
      <w:r w:rsidR="00EA4125" w:rsidRPr="0056798F">
        <w:t>’</w:t>
      </w:r>
      <w:r w:rsidRPr="0056798F">
        <w:t>environnement mondial (FEM)</w:t>
      </w:r>
      <w:r w:rsidR="00C1210D" w:rsidRPr="0056798F">
        <w:t xml:space="preserve"> devant durer jusqu</w:t>
      </w:r>
      <w:r w:rsidR="00EA4125" w:rsidRPr="0056798F">
        <w:t>’</w:t>
      </w:r>
      <w:r w:rsidR="00C1210D" w:rsidRPr="0056798F">
        <w:t>en 2026 qui</w:t>
      </w:r>
      <w:r w:rsidRPr="0056798F">
        <w:t xml:space="preserve"> vis</w:t>
      </w:r>
      <w:r w:rsidR="00C1210D" w:rsidRPr="0056798F">
        <w:t>e</w:t>
      </w:r>
      <w:r w:rsidRPr="0056798F">
        <w:t xml:space="preserve"> à réduire les risques pour l</w:t>
      </w:r>
      <w:r w:rsidR="00EA4125" w:rsidRPr="0056798F">
        <w:t>’</w:t>
      </w:r>
      <w:r w:rsidRPr="0056798F">
        <w:t>environnement mondial par l</w:t>
      </w:r>
      <w:r w:rsidR="00EA4125" w:rsidRPr="0056798F">
        <w:t>’</w:t>
      </w:r>
      <w:r w:rsidRPr="0056798F">
        <w:t>étude et le développement d</w:t>
      </w:r>
      <w:r w:rsidR="00EA4125" w:rsidRPr="0056798F">
        <w:t>’</w:t>
      </w:r>
      <w:r w:rsidRPr="0056798F">
        <w:t>autres moyens de subsistance pour le secteur de l</w:t>
      </w:r>
      <w:r w:rsidR="00EA4125" w:rsidRPr="0056798F">
        <w:t>’</w:t>
      </w:r>
      <w:r w:rsidRPr="0056798F">
        <w:t>extraction minière primaire de mercure au Mexique</w:t>
      </w:r>
      <w:r w:rsidR="000417B8" w:rsidRPr="0056798F">
        <w:rPr>
          <w:rStyle w:val="FootnoteReference"/>
          <w:rFonts w:eastAsia="MS Mincho"/>
          <w:lang w:eastAsia="ja-JP"/>
        </w:rPr>
        <w:footnoteReference w:id="5"/>
      </w:r>
      <w:r w:rsidRPr="0056798F">
        <w:t xml:space="preserve">. Le projet vise à </w:t>
      </w:r>
      <w:r w:rsidR="0013734B" w:rsidRPr="0056798F">
        <w:t xml:space="preserve">circonscrire </w:t>
      </w:r>
      <w:r w:rsidRPr="0056798F">
        <w:t>l</w:t>
      </w:r>
      <w:r w:rsidR="00EA4125" w:rsidRPr="0056798F">
        <w:t>’</w:t>
      </w:r>
      <w:r w:rsidRPr="0056798F">
        <w:t xml:space="preserve">extraction </w:t>
      </w:r>
      <w:r w:rsidR="002F5F74" w:rsidRPr="0056798F">
        <w:t xml:space="preserve">primaire </w:t>
      </w:r>
      <w:r w:rsidRPr="0056798F">
        <w:t>de mercure au Mexique et à</w:t>
      </w:r>
      <w:r w:rsidR="00C84B92" w:rsidRPr="0056798F">
        <w:t> </w:t>
      </w:r>
      <w:r w:rsidRPr="0056798F">
        <w:t>renforcer les mécanismes de contrôle en vue de la fermeture définitive des mines de mercure d</w:t>
      </w:r>
      <w:r w:rsidR="00EA4125" w:rsidRPr="0056798F">
        <w:t>’</w:t>
      </w:r>
      <w:r w:rsidRPr="0056798F">
        <w:t>ici</w:t>
      </w:r>
      <w:r w:rsidR="00C84B92" w:rsidRPr="0056798F">
        <w:t> </w:t>
      </w:r>
      <w:r w:rsidRPr="0056798F">
        <w:t>à</w:t>
      </w:r>
      <w:r w:rsidR="00C84B92" w:rsidRPr="0056798F">
        <w:t> </w:t>
      </w:r>
      <w:r w:rsidRPr="0056798F">
        <w:t>2032, sans que la situation des mineur</w:t>
      </w:r>
      <w:r w:rsidR="0013734B" w:rsidRPr="0056798F">
        <w:t>(se)</w:t>
      </w:r>
      <w:r w:rsidRPr="0056798F">
        <w:t>s et de leurs familles</w:t>
      </w:r>
      <w:r w:rsidR="00981686" w:rsidRPr="0056798F">
        <w:t xml:space="preserve"> s</w:t>
      </w:r>
      <w:r w:rsidR="00EA4125" w:rsidRPr="0056798F">
        <w:t>’</w:t>
      </w:r>
      <w:r w:rsidR="00981686" w:rsidRPr="0056798F">
        <w:t>en trouve affectée</w:t>
      </w:r>
      <w:r w:rsidRPr="0056798F">
        <w:t xml:space="preserve">. La mise en œuvre de ce projet peut fournir des informations précieuses qui aideront les </w:t>
      </w:r>
      <w:r w:rsidR="0013734B" w:rsidRPr="0056798F">
        <w:t>P</w:t>
      </w:r>
      <w:r w:rsidRPr="0056798F">
        <w:t>arties à remplir leurs obligations en matière de réglementation de l</w:t>
      </w:r>
      <w:r w:rsidR="00EA4125" w:rsidRPr="0056798F">
        <w:t>’</w:t>
      </w:r>
      <w:r w:rsidRPr="0056798F">
        <w:t xml:space="preserve">extraction </w:t>
      </w:r>
      <w:r w:rsidR="002F5F74" w:rsidRPr="0056798F">
        <w:t xml:space="preserve">primaire </w:t>
      </w:r>
      <w:r w:rsidRPr="0056798F">
        <w:t>de mercure.</w:t>
      </w:r>
    </w:p>
    <w:p w14:paraId="573E2DAB" w14:textId="7C2834BA" w:rsidR="00DA3488" w:rsidRPr="0056798F" w:rsidRDefault="00610539" w:rsidP="00B877D4">
      <w:pPr>
        <w:pStyle w:val="CH2"/>
      </w:pPr>
      <w:r w:rsidRPr="0056798F">
        <w:tab/>
      </w:r>
      <w:r w:rsidR="00B057FD" w:rsidRPr="0056798F">
        <w:t>B.</w:t>
      </w:r>
      <w:r w:rsidR="007803A7" w:rsidRPr="0056798F">
        <w:tab/>
      </w:r>
      <w:r w:rsidRPr="0056798F">
        <w:t>Informations sur les exportations de mercure sans consentement (décision</w:t>
      </w:r>
      <w:r w:rsidR="00B057FD" w:rsidRPr="0056798F">
        <w:t> </w:t>
      </w:r>
      <w:r w:rsidRPr="0056798F">
        <w:t>MC-5/2, paragraphe</w:t>
      </w:r>
      <w:r w:rsidR="00B057FD" w:rsidRPr="0056798F">
        <w:t> </w:t>
      </w:r>
      <w:r w:rsidRPr="0056798F">
        <w:t>2)</w:t>
      </w:r>
    </w:p>
    <w:p w14:paraId="076AE2A0" w14:textId="2847F04D" w:rsidR="006F4625" w:rsidRPr="0056798F" w:rsidRDefault="00371DD4" w:rsidP="00585DBD">
      <w:pPr>
        <w:pStyle w:val="Normalnumber"/>
      </w:pPr>
      <w:r w:rsidRPr="0056798F">
        <w:t>Au paragraphe</w:t>
      </w:r>
      <w:r w:rsidR="00B057FD" w:rsidRPr="0056798F">
        <w:t> </w:t>
      </w:r>
      <w:r w:rsidRPr="0056798F">
        <w:t>2 de la décision</w:t>
      </w:r>
      <w:r w:rsidR="00B057FD" w:rsidRPr="0056798F">
        <w:t> </w:t>
      </w:r>
      <w:r w:rsidRPr="0056798F">
        <w:t>MC-5/2, la Conférence des Parties a engagé les Parties qui n</w:t>
      </w:r>
      <w:r w:rsidR="00EA4125" w:rsidRPr="0056798F">
        <w:t>’</w:t>
      </w:r>
      <w:r w:rsidRPr="0056798F">
        <w:t>ont pas reçu de consentement pour les exportations de mercure effectuées à partir de leur territoire à</w:t>
      </w:r>
      <w:r w:rsidR="00427DDC" w:rsidRPr="0056798F">
        <w:t> </w:t>
      </w:r>
      <w:r w:rsidRPr="0056798F">
        <w:t>fournir, le cas échéant, davantage d</w:t>
      </w:r>
      <w:r w:rsidR="00EA4125" w:rsidRPr="0056798F">
        <w:t>’</w:t>
      </w:r>
      <w:r w:rsidRPr="0056798F">
        <w:t>informations dans leur prochain rapport national, notamment sur les mesures prises pour empêcher les exportations non conformes à la Convention. À cet égard, l</w:t>
      </w:r>
      <w:r w:rsidR="00EA4125" w:rsidRPr="0056798F">
        <w:t>’</w:t>
      </w:r>
      <w:r w:rsidRPr="0056798F">
        <w:t xml:space="preserve">analyse par le secrétariat des deuxièmes rapports nationaux </w:t>
      </w:r>
      <w:r w:rsidR="00E558A8" w:rsidRPr="0056798F">
        <w:t>abrégés</w:t>
      </w:r>
      <w:r w:rsidRPr="0056798F">
        <w:t xml:space="preserve"> a conclu que quatre </w:t>
      </w:r>
      <w:r w:rsidR="00E42E25" w:rsidRPr="0056798F">
        <w:t>P</w:t>
      </w:r>
      <w:r w:rsidRPr="0056798F">
        <w:t xml:space="preserve">arties </w:t>
      </w:r>
      <w:r w:rsidR="005631B6" w:rsidRPr="0056798F">
        <w:t>avaie</w:t>
      </w:r>
      <w:r w:rsidRPr="0056798F">
        <w:t>nt fourni des informations, comme suit</w:t>
      </w:r>
      <w:r w:rsidR="00504F1C" w:rsidRPr="0056798F">
        <w:t> </w:t>
      </w:r>
      <w:r w:rsidRPr="0056798F">
        <w:t xml:space="preserve">: </w:t>
      </w:r>
    </w:p>
    <w:p w14:paraId="2A84BE03" w14:textId="2A879FCE" w:rsidR="006F4625" w:rsidRPr="0056798F" w:rsidRDefault="006F4625" w:rsidP="005C3FE1">
      <w:pPr>
        <w:pStyle w:val="Normalnumber"/>
        <w:numPr>
          <w:ilvl w:val="1"/>
          <w:numId w:val="13"/>
        </w:numPr>
        <w:ind w:left="1247" w:firstLine="624"/>
      </w:pPr>
      <w:r w:rsidRPr="0056798F">
        <w:t xml:space="preserve">Une </w:t>
      </w:r>
      <w:r w:rsidR="00E42E25" w:rsidRPr="0056798F">
        <w:t>P</w:t>
      </w:r>
      <w:r w:rsidRPr="0056798F">
        <w:t>artie (Antigua-et-Barbuda) a</w:t>
      </w:r>
      <w:r w:rsidR="003659CA" w:rsidRPr="0056798F">
        <w:t>vait</w:t>
      </w:r>
      <w:r w:rsidRPr="0056798F">
        <w:t xml:space="preserve"> signalé une exportation sans consentement en</w:t>
      </w:r>
      <w:r w:rsidR="003F1795" w:rsidRPr="0056798F">
        <w:t> </w:t>
      </w:r>
      <w:r w:rsidRPr="0056798F">
        <w:t xml:space="preserve">2022. La </w:t>
      </w:r>
      <w:r w:rsidR="00E42E25" w:rsidRPr="0056798F">
        <w:t>P</w:t>
      </w:r>
      <w:r w:rsidRPr="0056798F">
        <w:t>artie a</w:t>
      </w:r>
      <w:r w:rsidR="003659CA" w:rsidRPr="0056798F">
        <w:t>vait</w:t>
      </w:r>
      <w:r w:rsidRPr="0056798F">
        <w:t xml:space="preserve"> indiqué que des documents soumis ultérieurement à son (sa) correspondant(e) national(e) lui </w:t>
      </w:r>
      <w:r w:rsidR="003659CA" w:rsidRPr="0056798F">
        <w:t>avaie</w:t>
      </w:r>
      <w:r w:rsidRPr="0056798F">
        <w:t>nt permis de s</w:t>
      </w:r>
      <w:r w:rsidR="00EA4125" w:rsidRPr="0056798F">
        <w:t>’</w:t>
      </w:r>
      <w:r w:rsidRPr="0056798F">
        <w:t>assurer que les stocks avaient été éliminés d</w:t>
      </w:r>
      <w:r w:rsidR="00EA4125" w:rsidRPr="0056798F">
        <w:t>’</w:t>
      </w:r>
      <w:r w:rsidRPr="0056798F">
        <w:t>une manière écologiquement rationnelle</w:t>
      </w:r>
      <w:r w:rsidR="00504F1C" w:rsidRPr="0056798F">
        <w:t> </w:t>
      </w:r>
      <w:r w:rsidRPr="0056798F">
        <w:t>;</w:t>
      </w:r>
    </w:p>
    <w:p w14:paraId="417A412C" w14:textId="6CC29579" w:rsidR="009D6A1F" w:rsidRPr="0056798F" w:rsidRDefault="006F4625" w:rsidP="005C3FE1">
      <w:pPr>
        <w:pStyle w:val="Normalnumber"/>
        <w:numPr>
          <w:ilvl w:val="1"/>
          <w:numId w:val="13"/>
        </w:numPr>
        <w:ind w:left="1247" w:firstLine="624"/>
      </w:pPr>
      <w:r w:rsidRPr="0056798F">
        <w:t xml:space="preserve">Une </w:t>
      </w:r>
      <w:r w:rsidR="00E42E25" w:rsidRPr="0056798F">
        <w:t>P</w:t>
      </w:r>
      <w:r w:rsidRPr="0056798F">
        <w:t>artie (Burkina Faso) a</w:t>
      </w:r>
      <w:r w:rsidR="003659CA" w:rsidRPr="0056798F">
        <w:t>vait</w:t>
      </w:r>
      <w:r w:rsidRPr="0056798F">
        <w:t xml:space="preserve"> signalé l</w:t>
      </w:r>
      <w:r w:rsidR="00EA4125" w:rsidRPr="0056798F">
        <w:t>’</w:t>
      </w:r>
      <w:r w:rsidRPr="0056798F">
        <w:t>existence d</w:t>
      </w:r>
      <w:r w:rsidR="00EA4125" w:rsidRPr="0056798F">
        <w:t>’</w:t>
      </w:r>
      <w:r w:rsidRPr="0056798F">
        <w:t>un commerce intérieur illicite de mercure en petites quantités. Le rapport a</w:t>
      </w:r>
      <w:r w:rsidR="003659CA" w:rsidRPr="0056798F">
        <w:t>vait</w:t>
      </w:r>
      <w:r w:rsidRPr="0056798F">
        <w:t xml:space="preserve"> également confirmé qu</w:t>
      </w:r>
      <w:r w:rsidR="00EA4125" w:rsidRPr="0056798F">
        <w:t>’</w:t>
      </w:r>
      <w:r w:rsidRPr="0056798F">
        <w:t>il n</w:t>
      </w:r>
      <w:r w:rsidR="00EA4125" w:rsidRPr="0056798F">
        <w:t>’</w:t>
      </w:r>
      <w:r w:rsidRPr="0056798F">
        <w:t xml:space="preserve">y avait pas </w:t>
      </w:r>
      <w:r w:rsidR="00BC14AA" w:rsidRPr="0056798F">
        <w:t>d</w:t>
      </w:r>
      <w:r w:rsidR="00EA4125" w:rsidRPr="0056798F">
        <w:t>’</w:t>
      </w:r>
      <w:r w:rsidR="00BC14AA" w:rsidRPr="0056798F">
        <w:t>extraction</w:t>
      </w:r>
      <w:r w:rsidRPr="0056798F">
        <w:t xml:space="preserve"> </w:t>
      </w:r>
      <w:r w:rsidR="002F5F74" w:rsidRPr="0056798F">
        <w:t xml:space="preserve">primaire </w:t>
      </w:r>
      <w:r w:rsidRPr="0056798F">
        <w:t xml:space="preserve">de mercure sur son territoire, ni de stocks de mercure. La </w:t>
      </w:r>
      <w:r w:rsidR="00E42E25" w:rsidRPr="0056798F">
        <w:t>P</w:t>
      </w:r>
      <w:r w:rsidRPr="0056798F">
        <w:t>artie a</w:t>
      </w:r>
      <w:r w:rsidR="003659CA" w:rsidRPr="0056798F">
        <w:t>vait</w:t>
      </w:r>
      <w:r w:rsidRPr="0056798F">
        <w:t xml:space="preserve"> fourni davantage </w:t>
      </w:r>
      <w:r w:rsidRPr="0056798F">
        <w:lastRenderedPageBreak/>
        <w:t>d</w:t>
      </w:r>
      <w:r w:rsidR="00EA4125" w:rsidRPr="0056798F">
        <w:t>’</w:t>
      </w:r>
      <w:r w:rsidRPr="0056798F">
        <w:t>informations sur le mercure importé illégalement sur son territoire et sur la réexportation illicite en réponse au paragraphe</w:t>
      </w:r>
      <w:r w:rsidR="00D5741F" w:rsidRPr="0056798F">
        <w:t> </w:t>
      </w:r>
      <w:r w:rsidRPr="0056798F">
        <w:t>4 de la décision</w:t>
      </w:r>
      <w:r w:rsidR="00D5741F" w:rsidRPr="0056798F">
        <w:t> </w:t>
      </w:r>
      <w:r w:rsidRPr="0056798F">
        <w:t>MC-5/2 (voir les paragraphes ci-dessous à ce sujet)</w:t>
      </w:r>
      <w:r w:rsidR="00504F1C" w:rsidRPr="0056798F">
        <w:t> </w:t>
      </w:r>
      <w:r w:rsidRPr="0056798F">
        <w:t>;</w:t>
      </w:r>
    </w:p>
    <w:p w14:paraId="0A2304C9" w14:textId="1588F00C" w:rsidR="009D6A1F" w:rsidRPr="0056798F" w:rsidRDefault="006F4625" w:rsidP="005C3FE1">
      <w:pPr>
        <w:pStyle w:val="Normalnumber"/>
        <w:numPr>
          <w:ilvl w:val="1"/>
          <w:numId w:val="13"/>
        </w:numPr>
        <w:ind w:left="1247" w:firstLine="624"/>
      </w:pPr>
      <w:r w:rsidRPr="0056798F">
        <w:t xml:space="preserve">Une </w:t>
      </w:r>
      <w:r w:rsidR="003659CA" w:rsidRPr="0056798F">
        <w:t>P</w:t>
      </w:r>
      <w:r w:rsidRPr="0056798F">
        <w:t>artie (Australie) a</w:t>
      </w:r>
      <w:r w:rsidR="003659CA" w:rsidRPr="0056798F">
        <w:t>vait</w:t>
      </w:r>
      <w:r w:rsidRPr="0056798F">
        <w:t xml:space="preserve"> indiqué </w:t>
      </w:r>
      <w:r w:rsidR="003659CA" w:rsidRPr="0056798F">
        <w:t>avoir</w:t>
      </w:r>
      <w:r w:rsidRPr="0056798F">
        <w:t xml:space="preserve"> refusé une demande d</w:t>
      </w:r>
      <w:r w:rsidR="00EA4125" w:rsidRPr="0056798F">
        <w:t>’</w:t>
      </w:r>
      <w:r w:rsidRPr="0056798F">
        <w:t xml:space="preserve">exportation de mercure élémentaire vers un État </w:t>
      </w:r>
      <w:proofErr w:type="gramStart"/>
      <w:r w:rsidRPr="0056798F">
        <w:t>non partie</w:t>
      </w:r>
      <w:proofErr w:type="gramEnd"/>
      <w:r w:rsidRPr="0056798F">
        <w:t>, à des fins d</w:t>
      </w:r>
      <w:r w:rsidR="00EA4125" w:rsidRPr="0056798F">
        <w:t>’</w:t>
      </w:r>
      <w:r w:rsidRPr="0056798F">
        <w:t>extraction d</w:t>
      </w:r>
      <w:r w:rsidR="00EA4125" w:rsidRPr="0056798F">
        <w:t>’</w:t>
      </w:r>
      <w:r w:rsidRPr="0056798F">
        <w:t xml:space="preserve">or, au motif que </w:t>
      </w:r>
      <w:r w:rsidR="003659CA" w:rsidRPr="0056798F">
        <w:t>ce dernier</w:t>
      </w:r>
      <w:r w:rsidRPr="0056798F">
        <w:t xml:space="preserve"> n</w:t>
      </w:r>
      <w:r w:rsidR="00EA4125" w:rsidRPr="0056798F">
        <w:t>’</w:t>
      </w:r>
      <w:r w:rsidRPr="0056798F">
        <w:t>était pas en mesure de certifier que des mesures étaient en place pour garantir la protection de la santé humaine et de l</w:t>
      </w:r>
      <w:r w:rsidR="00EA4125" w:rsidRPr="0056798F">
        <w:t>’</w:t>
      </w:r>
      <w:r w:rsidRPr="0056798F">
        <w:t>environnement</w:t>
      </w:r>
      <w:r w:rsidR="00504F1C" w:rsidRPr="0056798F">
        <w:t> </w:t>
      </w:r>
      <w:r w:rsidRPr="0056798F">
        <w:t xml:space="preserve">; </w:t>
      </w:r>
    </w:p>
    <w:p w14:paraId="7C7B57A7" w14:textId="1BD3F16A" w:rsidR="006F4625" w:rsidRPr="0056798F" w:rsidRDefault="006F4625" w:rsidP="005C3FE1">
      <w:pPr>
        <w:pStyle w:val="Normalnumber"/>
        <w:numPr>
          <w:ilvl w:val="1"/>
          <w:numId w:val="13"/>
        </w:numPr>
        <w:ind w:left="1247" w:firstLine="624"/>
      </w:pPr>
      <w:r w:rsidRPr="0056798F">
        <w:t xml:space="preserve">Une </w:t>
      </w:r>
      <w:r w:rsidR="003659CA" w:rsidRPr="0056798F">
        <w:t>P</w:t>
      </w:r>
      <w:r w:rsidRPr="0056798F">
        <w:t>artie (Canada) a</w:t>
      </w:r>
      <w:r w:rsidR="003659CA" w:rsidRPr="0056798F">
        <w:t>vait</w:t>
      </w:r>
      <w:r w:rsidRPr="0056798F">
        <w:t xml:space="preserve"> fait état d</w:t>
      </w:r>
      <w:r w:rsidR="00EA4125" w:rsidRPr="0056798F">
        <w:t>’</w:t>
      </w:r>
      <w:r w:rsidRPr="0056798F">
        <w:t>un cas découlant d</w:t>
      </w:r>
      <w:r w:rsidR="00EA4125" w:rsidRPr="0056798F">
        <w:t>’</w:t>
      </w:r>
      <w:r w:rsidRPr="0056798F">
        <w:t xml:space="preserve">un rapport incorrect sur la quantité de mercure exportée vers une autre </w:t>
      </w:r>
      <w:r w:rsidR="00160E4F" w:rsidRPr="0056798F">
        <w:t>P</w:t>
      </w:r>
      <w:r w:rsidRPr="0056798F">
        <w:t xml:space="preserve">artie. La </w:t>
      </w:r>
      <w:r w:rsidR="003659CA" w:rsidRPr="0056798F">
        <w:t>P</w:t>
      </w:r>
      <w:r w:rsidRPr="0056798F">
        <w:t>artie a</w:t>
      </w:r>
      <w:r w:rsidR="003659CA" w:rsidRPr="0056798F">
        <w:t>vait</w:t>
      </w:r>
      <w:r w:rsidRPr="0056798F">
        <w:t xml:space="preserve"> indiqué que l</w:t>
      </w:r>
      <w:r w:rsidR="00EA4125" w:rsidRPr="0056798F">
        <w:t>’</w:t>
      </w:r>
      <w:r w:rsidRPr="0056798F">
        <w:t xml:space="preserve">affaire avait été renvoyée vers les services </w:t>
      </w:r>
      <w:r w:rsidR="00BD6652" w:rsidRPr="0056798F">
        <w:t>chargés de l</w:t>
      </w:r>
      <w:r w:rsidR="00EA4125" w:rsidRPr="0056798F">
        <w:t>’</w:t>
      </w:r>
      <w:r w:rsidR="00BD6652" w:rsidRPr="0056798F">
        <w:t>application de la loi</w:t>
      </w:r>
      <w:r w:rsidRPr="0056798F">
        <w:t xml:space="preserve"> pour examen et </w:t>
      </w:r>
      <w:proofErr w:type="gramStart"/>
      <w:r w:rsidRPr="0056798F">
        <w:t>suite à</w:t>
      </w:r>
      <w:proofErr w:type="gramEnd"/>
      <w:r w:rsidRPr="0056798F">
        <w:t xml:space="preserve"> donner, </w:t>
      </w:r>
      <w:r w:rsidR="00160E4F" w:rsidRPr="0056798F">
        <w:t>selon qu</w:t>
      </w:r>
      <w:r w:rsidR="00EA4125" w:rsidRPr="0056798F">
        <w:t>’</w:t>
      </w:r>
      <w:r w:rsidR="00160E4F" w:rsidRPr="0056798F">
        <w:t>il conviendrait</w:t>
      </w:r>
      <w:r w:rsidRPr="0056798F">
        <w:t>.</w:t>
      </w:r>
    </w:p>
    <w:p w14:paraId="22DE8A32" w14:textId="0651FB1C" w:rsidR="006F4625" w:rsidRPr="0056798F" w:rsidRDefault="00F35B2F" w:rsidP="005C3FE1">
      <w:pPr>
        <w:pStyle w:val="Normalnumber"/>
      </w:pPr>
      <w:r w:rsidRPr="0056798F">
        <w:t>L</w:t>
      </w:r>
      <w:r w:rsidR="00EA4125" w:rsidRPr="0056798F">
        <w:t>’</w:t>
      </w:r>
      <w:r w:rsidRPr="0056798F">
        <w:t>analyse par le secrétariat des deuxièmes</w:t>
      </w:r>
      <w:r w:rsidR="00CA6BBD" w:rsidRPr="0056798F">
        <w:t> </w:t>
      </w:r>
      <w:r w:rsidRPr="0056798F">
        <w:t xml:space="preserve">rapports nationaux </w:t>
      </w:r>
      <w:r w:rsidR="00E558A8" w:rsidRPr="0056798F">
        <w:t>abrégés</w:t>
      </w:r>
      <w:r w:rsidRPr="0056798F">
        <w:t xml:space="preserve"> a également révélé que </w:t>
      </w:r>
      <w:r w:rsidR="0038003D" w:rsidRPr="0056798F">
        <w:t>16 </w:t>
      </w:r>
      <w:r w:rsidR="00160E4F" w:rsidRPr="0056798F">
        <w:t>P</w:t>
      </w:r>
      <w:r w:rsidRPr="0056798F">
        <w:t>arties</w:t>
      </w:r>
      <w:r w:rsidR="0026116F" w:rsidRPr="0056798F">
        <w:rPr>
          <w:rStyle w:val="FootnoteReference"/>
        </w:rPr>
        <w:footnoteReference w:id="6"/>
      </w:r>
      <w:r w:rsidRPr="0056798F">
        <w:t xml:space="preserve"> </w:t>
      </w:r>
      <w:r w:rsidR="00160E4F" w:rsidRPr="0056798F">
        <w:t>avaie</w:t>
      </w:r>
      <w:r w:rsidRPr="0056798F">
        <w:t xml:space="preserve">nt déclaré ne pas avoir reçu de consentement ni </w:t>
      </w:r>
      <w:r w:rsidR="00682E9A" w:rsidRPr="0056798F">
        <w:t>s</w:t>
      </w:r>
      <w:r w:rsidR="00EA4125" w:rsidRPr="0056798F">
        <w:t>’</w:t>
      </w:r>
      <w:r w:rsidR="00682E9A" w:rsidRPr="0056798F">
        <w:t xml:space="preserve">être fondées </w:t>
      </w:r>
      <w:r w:rsidRPr="0056798F">
        <w:t xml:space="preserve">sur une notification générale de consentement pour </w:t>
      </w:r>
      <w:r w:rsidR="00D21A27" w:rsidRPr="0056798F">
        <w:t>l</w:t>
      </w:r>
      <w:r w:rsidR="00EA4125" w:rsidRPr="0056798F">
        <w:t>’</w:t>
      </w:r>
      <w:r w:rsidR="00D21A27" w:rsidRPr="0056798F">
        <w:t>ensemble d</w:t>
      </w:r>
      <w:r w:rsidRPr="0056798F">
        <w:t>es exportations de mercure effectuées à partir de leur territoire</w:t>
      </w:r>
      <w:r w:rsidR="00435DBF" w:rsidRPr="0056798F">
        <w:t>,</w:t>
      </w:r>
      <w:r w:rsidRPr="0056798F">
        <w:t xml:space="preserve"> et </w:t>
      </w:r>
      <w:r w:rsidR="00435DBF" w:rsidRPr="0056798F">
        <w:t>n</w:t>
      </w:r>
      <w:r w:rsidR="00EA4125" w:rsidRPr="0056798F">
        <w:t>’</w:t>
      </w:r>
      <w:r w:rsidR="00435DBF" w:rsidRPr="0056798F">
        <w:t xml:space="preserve">avaient </w:t>
      </w:r>
      <w:r w:rsidRPr="0056798F">
        <w:t xml:space="preserve">fourni </w:t>
      </w:r>
      <w:r w:rsidR="00435DBF" w:rsidRPr="0056798F">
        <w:t>aucune explication à ce sujet</w:t>
      </w:r>
      <w:r w:rsidR="0026116F" w:rsidRPr="0056798F">
        <w:t>.</w:t>
      </w:r>
      <w:r w:rsidRPr="0056798F">
        <w:t xml:space="preserve"> Le secrétariat n</w:t>
      </w:r>
      <w:r w:rsidR="00EA4125" w:rsidRPr="0056798F">
        <w:t>’</w:t>
      </w:r>
      <w:r w:rsidRPr="0056798F">
        <w:t>a pas pu déterminer à partir de ces rapports si les réponses indiquaient qu</w:t>
      </w:r>
      <w:r w:rsidR="00EA4125" w:rsidRPr="0056798F">
        <w:t>’</w:t>
      </w:r>
      <w:r w:rsidRPr="0056798F">
        <w:t>il n</w:t>
      </w:r>
      <w:r w:rsidR="00EA4125" w:rsidRPr="0056798F">
        <w:t>’</w:t>
      </w:r>
      <w:r w:rsidRPr="0056798F">
        <w:t>y avait pas eu d</w:t>
      </w:r>
      <w:r w:rsidR="00EA4125" w:rsidRPr="0056798F">
        <w:t>’</w:t>
      </w:r>
      <w:r w:rsidRPr="0056798F">
        <w:t>exportations ou s</w:t>
      </w:r>
      <w:r w:rsidR="00EA4125" w:rsidRPr="0056798F">
        <w:t>’</w:t>
      </w:r>
      <w:r w:rsidRPr="0056798F">
        <w:t>il y avait eu un commerce non conforme à l</w:t>
      </w:r>
      <w:r w:rsidR="00EA4125" w:rsidRPr="0056798F">
        <w:t>’</w:t>
      </w:r>
      <w:r w:rsidRPr="0056798F">
        <w:t>article</w:t>
      </w:r>
      <w:r w:rsidR="00917E1F" w:rsidRPr="0056798F">
        <w:t> </w:t>
      </w:r>
      <w:r w:rsidRPr="0056798F">
        <w:t xml:space="preserve">3.  </w:t>
      </w:r>
    </w:p>
    <w:p w14:paraId="4E6862A0" w14:textId="16D5EC06" w:rsidR="005662CE" w:rsidRPr="0056798F" w:rsidRDefault="00504C19" w:rsidP="005C3FE1">
      <w:pPr>
        <w:pStyle w:val="Normalnumber"/>
      </w:pPr>
      <w:r w:rsidRPr="0056798F">
        <w:t>L</w:t>
      </w:r>
      <w:r w:rsidR="00EA4125" w:rsidRPr="0056798F">
        <w:t>’</w:t>
      </w:r>
      <w:r w:rsidRPr="0056798F">
        <w:t xml:space="preserve">analyse par le secrétariat des deuxièmes rapports nationaux </w:t>
      </w:r>
      <w:r w:rsidR="00E558A8" w:rsidRPr="0056798F">
        <w:t>abrégés</w:t>
      </w:r>
      <w:r w:rsidRPr="0056798F">
        <w:t xml:space="preserve"> a également mis en évidence des difficultés dans la mise en œuvre de l</w:t>
      </w:r>
      <w:r w:rsidR="00EA4125" w:rsidRPr="0056798F">
        <w:t>’</w:t>
      </w:r>
      <w:r w:rsidRPr="0056798F">
        <w:t>article</w:t>
      </w:r>
      <w:r w:rsidR="00716E03" w:rsidRPr="0056798F">
        <w:t> </w:t>
      </w:r>
      <w:r w:rsidRPr="0056798F">
        <w:t>3, notamment en raison de formulaires de consentement au commerce incomplets et d</w:t>
      </w:r>
      <w:r w:rsidR="00EA4125" w:rsidRPr="0056798F">
        <w:t>’</w:t>
      </w:r>
      <w:r w:rsidRPr="0056798F">
        <w:t>incertitudes quant au respect de l</w:t>
      </w:r>
      <w:r w:rsidR="00EA4125" w:rsidRPr="0056798F">
        <w:t>’</w:t>
      </w:r>
      <w:r w:rsidRPr="0056798F">
        <w:t>obligation de consentement à l</w:t>
      </w:r>
      <w:r w:rsidR="00EA4125" w:rsidRPr="0056798F">
        <w:t>’</w:t>
      </w:r>
      <w:r w:rsidRPr="0056798F">
        <w:t>importation de mercure prévue à l</w:t>
      </w:r>
      <w:r w:rsidR="00EA4125" w:rsidRPr="0056798F">
        <w:t>’</w:t>
      </w:r>
      <w:r w:rsidRPr="0056798F">
        <w:t>article</w:t>
      </w:r>
      <w:r w:rsidR="00716E03" w:rsidRPr="0056798F">
        <w:t> </w:t>
      </w:r>
      <w:r w:rsidRPr="0056798F">
        <w:t>3. En particulier, les informations manquantes concernaient</w:t>
      </w:r>
      <w:r w:rsidR="00504F1C" w:rsidRPr="0056798F">
        <w:t> </w:t>
      </w:r>
      <w:r w:rsidRPr="0056798F">
        <w:t>: a) le consentement accordé</w:t>
      </w:r>
      <w:r w:rsidR="00C60E76" w:rsidRPr="0056798F">
        <w:t> ;</w:t>
      </w:r>
      <w:r w:rsidRPr="0056798F">
        <w:t xml:space="preserve"> b) la source du mercure exportée</w:t>
      </w:r>
      <w:r w:rsidR="00C60E76" w:rsidRPr="0056798F">
        <w:t> ;</w:t>
      </w:r>
      <w:r w:rsidRPr="0056798F">
        <w:t xml:space="preserve"> c)</w:t>
      </w:r>
      <w:r w:rsidR="00C60E76" w:rsidRPr="0056798F">
        <w:t> </w:t>
      </w:r>
      <w:r w:rsidRPr="0056798F">
        <w:t>la</w:t>
      </w:r>
      <w:r w:rsidR="00C60E76" w:rsidRPr="0056798F">
        <w:t> </w:t>
      </w:r>
      <w:r w:rsidRPr="0056798F">
        <w:t>signature du formulaire de consentement par le (la) correspondant(e) national(e). Sur les sept</w:t>
      </w:r>
      <w:r w:rsidR="00B977D4" w:rsidRPr="0056798F">
        <w:t> </w:t>
      </w:r>
      <w:r w:rsidR="00682E9A" w:rsidRPr="0056798F">
        <w:t>P</w:t>
      </w:r>
      <w:r w:rsidRPr="0056798F">
        <w:t xml:space="preserve">arties qui </w:t>
      </w:r>
      <w:r w:rsidR="00682E9A" w:rsidRPr="0056798F">
        <w:t xml:space="preserve">avaient </w:t>
      </w:r>
      <w:r w:rsidRPr="0056798F">
        <w:t>déclaré avoir reçu un consentement à l</w:t>
      </w:r>
      <w:r w:rsidR="00EA4125" w:rsidRPr="0056798F">
        <w:t>’</w:t>
      </w:r>
      <w:r w:rsidRPr="0056798F">
        <w:t xml:space="preserve">exportation, quatre (Japon, Mexique, Pérou et Suisse) </w:t>
      </w:r>
      <w:r w:rsidR="00682E9A" w:rsidRPr="0056798F">
        <w:t>avaie</w:t>
      </w:r>
      <w:r w:rsidRPr="0056798F">
        <w:t>nt soumis des formulaires de consentement au commerce avec leur deuxième</w:t>
      </w:r>
      <w:r w:rsidR="00257A21" w:rsidRPr="0056798F">
        <w:t> </w:t>
      </w:r>
      <w:r w:rsidRPr="0056798F">
        <w:t xml:space="preserve">rapport national </w:t>
      </w:r>
      <w:r w:rsidR="000C3C15" w:rsidRPr="0056798F">
        <w:t>abrégé</w:t>
      </w:r>
      <w:r w:rsidRPr="0056798F">
        <w:t xml:space="preserve">. </w:t>
      </w:r>
      <w:r w:rsidR="00682E9A" w:rsidRPr="0056798F">
        <w:t>Sur les t</w:t>
      </w:r>
      <w:r w:rsidRPr="0056798F">
        <w:t>rois</w:t>
      </w:r>
      <w:r w:rsidR="00257A21" w:rsidRPr="0056798F">
        <w:t> </w:t>
      </w:r>
      <w:r w:rsidR="00682E9A" w:rsidRPr="0056798F">
        <w:t>P</w:t>
      </w:r>
      <w:r w:rsidRPr="0056798F">
        <w:t xml:space="preserve">arties </w:t>
      </w:r>
      <w:r w:rsidR="00682E9A" w:rsidRPr="0056798F">
        <w:t xml:space="preserve">qui </w:t>
      </w:r>
      <w:r w:rsidRPr="0056798F">
        <w:t>n</w:t>
      </w:r>
      <w:r w:rsidR="00EA4125" w:rsidRPr="0056798F">
        <w:t>’</w:t>
      </w:r>
      <w:r w:rsidR="00682E9A" w:rsidRPr="0056798F">
        <w:t>avaie</w:t>
      </w:r>
      <w:r w:rsidRPr="0056798F">
        <w:t>nt pas soumis de formulaires de consentement au commerce</w:t>
      </w:r>
      <w:r w:rsidR="00682E9A" w:rsidRPr="0056798F">
        <w:t>,</w:t>
      </w:r>
      <w:r w:rsidRPr="0056798F">
        <w:t xml:space="preserve"> une </w:t>
      </w:r>
      <w:r w:rsidR="00682E9A" w:rsidRPr="0056798F">
        <w:t>P</w:t>
      </w:r>
      <w:r w:rsidRPr="0056798F">
        <w:t>artie (Canada) a</w:t>
      </w:r>
      <w:r w:rsidR="00682E9A" w:rsidRPr="0056798F">
        <w:t>vait</w:t>
      </w:r>
      <w:r w:rsidRPr="0056798F">
        <w:t xml:space="preserve"> indiqué </w:t>
      </w:r>
      <w:r w:rsidR="00682E9A" w:rsidRPr="0056798F">
        <w:t>s</w:t>
      </w:r>
      <w:r w:rsidR="00EA4125" w:rsidRPr="0056798F">
        <w:t>’</w:t>
      </w:r>
      <w:r w:rsidR="00682E9A" w:rsidRPr="0056798F">
        <w:t>être</w:t>
      </w:r>
      <w:r w:rsidRPr="0056798F">
        <w:t xml:space="preserve"> fondée sur une notification générale de consentement, une </w:t>
      </w:r>
      <w:r w:rsidR="00682E9A" w:rsidRPr="0056798F">
        <w:t>P</w:t>
      </w:r>
      <w:r w:rsidRPr="0056798F">
        <w:t>artie (Italie) n</w:t>
      </w:r>
      <w:r w:rsidR="00EA4125" w:rsidRPr="0056798F">
        <w:t>’</w:t>
      </w:r>
      <w:r w:rsidRPr="0056798F">
        <w:t xml:space="preserve">était pas encore </w:t>
      </w:r>
      <w:r w:rsidR="00221B3E" w:rsidRPr="0056798F">
        <w:t>P</w:t>
      </w:r>
      <w:r w:rsidRPr="0056798F">
        <w:t xml:space="preserve">artie </w:t>
      </w:r>
      <w:r w:rsidR="00797753" w:rsidRPr="0056798F">
        <w:t xml:space="preserve">à la Convention </w:t>
      </w:r>
      <w:r w:rsidRPr="0056798F">
        <w:t>lorsque le commerce déclaré a</w:t>
      </w:r>
      <w:r w:rsidR="00682E9A" w:rsidRPr="0056798F">
        <w:t>vait</w:t>
      </w:r>
      <w:r w:rsidRPr="0056798F">
        <w:t xml:space="preserve"> eu lieu, et une </w:t>
      </w:r>
      <w:r w:rsidR="00682E9A" w:rsidRPr="0056798F">
        <w:t>P</w:t>
      </w:r>
      <w:r w:rsidRPr="0056798F">
        <w:t>artie (Thaïlande) a</w:t>
      </w:r>
      <w:r w:rsidR="00682E9A" w:rsidRPr="0056798F">
        <w:t>vait</w:t>
      </w:r>
      <w:r w:rsidRPr="0056798F">
        <w:t xml:space="preserve"> fourni d</w:t>
      </w:r>
      <w:r w:rsidR="00EA4125" w:rsidRPr="0056798F">
        <w:t>’</w:t>
      </w:r>
      <w:r w:rsidRPr="0056798F">
        <w:t>autres informations sous forme de tableaux ou d</w:t>
      </w:r>
      <w:r w:rsidR="00EA4125" w:rsidRPr="0056798F">
        <w:t>’</w:t>
      </w:r>
      <w:r w:rsidRPr="0056798F">
        <w:t>observations générales qui ne montr</w:t>
      </w:r>
      <w:r w:rsidR="00DB76B4" w:rsidRPr="0056798F">
        <w:t>ai</w:t>
      </w:r>
      <w:r w:rsidRPr="0056798F">
        <w:t>ent pas que toutes les exigences de l</w:t>
      </w:r>
      <w:r w:rsidR="00EA4125" w:rsidRPr="0056798F">
        <w:t>’</w:t>
      </w:r>
      <w:r w:rsidRPr="0056798F">
        <w:t>article</w:t>
      </w:r>
      <w:r w:rsidR="00631C45" w:rsidRPr="0056798F">
        <w:t> </w:t>
      </w:r>
      <w:r w:rsidRPr="0056798F">
        <w:t xml:space="preserve">3, </w:t>
      </w:r>
      <w:r w:rsidR="00DB76B4" w:rsidRPr="0056798F">
        <w:t>notamment</w:t>
      </w:r>
      <w:r w:rsidRPr="0056798F">
        <w:t xml:space="preserve"> la preuve du consentement</w:t>
      </w:r>
      <w:r w:rsidR="00682E9A" w:rsidRPr="0056798F">
        <w:t>, avaient été satisfaites</w:t>
      </w:r>
      <w:r w:rsidRPr="0056798F">
        <w:t xml:space="preserve">. </w:t>
      </w:r>
      <w:r w:rsidR="00CF45C4" w:rsidRPr="0056798F">
        <w:t xml:space="preserve">On trouvera </w:t>
      </w:r>
      <w:r w:rsidRPr="0056798F">
        <w:t>de plus amples informations sur cette question</w:t>
      </w:r>
      <w:r w:rsidR="00CF45C4" w:rsidRPr="0056798F">
        <w:t xml:space="preserve"> au</w:t>
      </w:r>
      <w:r w:rsidRPr="0056798F">
        <w:t xml:space="preserve"> paragraphe</w:t>
      </w:r>
      <w:r w:rsidR="00631C45" w:rsidRPr="0056798F">
        <w:t> </w:t>
      </w:r>
      <w:r w:rsidR="00E4450E" w:rsidRPr="0056798F">
        <w:t>22</w:t>
      </w:r>
      <w:r w:rsidRPr="0056798F">
        <w:t xml:space="preserve"> du document UNEP/MC/COP.6/INF/20.</w:t>
      </w:r>
    </w:p>
    <w:p w14:paraId="159C7263" w14:textId="11671CD1" w:rsidR="00ED1EC8" w:rsidRPr="0056798F" w:rsidRDefault="00626B7D" w:rsidP="00585DBD">
      <w:pPr>
        <w:pStyle w:val="Normalnumber"/>
      </w:pPr>
      <w:r w:rsidRPr="0056798F">
        <w:t xml:space="preserve">Dans </w:t>
      </w:r>
      <w:r w:rsidR="00C11898" w:rsidRPr="0056798F">
        <w:t>s</w:t>
      </w:r>
      <w:r w:rsidRPr="0056798F">
        <w:t>a décision</w:t>
      </w:r>
      <w:r w:rsidR="00631C45" w:rsidRPr="0056798F">
        <w:t> </w:t>
      </w:r>
      <w:r w:rsidRPr="0056798F">
        <w:t xml:space="preserve">MC-4/8, </w:t>
      </w:r>
      <w:r w:rsidR="00194698" w:rsidRPr="0056798F">
        <w:t>la Conférence des Parties a demandé aux Parties auxquelles des Parties et/ou des non-Parties avaient donné leur consentement à l</w:t>
      </w:r>
      <w:r w:rsidR="00EA4125" w:rsidRPr="0056798F">
        <w:t>’</w:t>
      </w:r>
      <w:r w:rsidR="00194698" w:rsidRPr="0056798F">
        <w:t>exportation de mercure de faire parvenir des copies des formulaires de consentement au secrétariat ou de fournir d</w:t>
      </w:r>
      <w:r w:rsidR="00EA4125" w:rsidRPr="0056798F">
        <w:t>’</w:t>
      </w:r>
      <w:r w:rsidR="00194698" w:rsidRPr="0056798F">
        <w:t>autres informations appropriées dans leurs rapports soumis en application de l</w:t>
      </w:r>
      <w:r w:rsidR="00EA4125" w:rsidRPr="0056798F">
        <w:t>’</w:t>
      </w:r>
      <w:r w:rsidR="00194698" w:rsidRPr="0056798F">
        <w:t>article</w:t>
      </w:r>
      <w:r w:rsidR="007247E1" w:rsidRPr="0056798F">
        <w:t> </w:t>
      </w:r>
      <w:r w:rsidR="00194698" w:rsidRPr="0056798F">
        <w:t>21 de la Convention montrant que les exigences pertinentes de l</w:t>
      </w:r>
      <w:r w:rsidR="00EA4125" w:rsidRPr="0056798F">
        <w:t>’</w:t>
      </w:r>
      <w:r w:rsidR="00194698" w:rsidRPr="0056798F">
        <w:t>article</w:t>
      </w:r>
      <w:r w:rsidR="007247E1" w:rsidRPr="0056798F">
        <w:t> </w:t>
      </w:r>
      <w:r w:rsidR="00194698" w:rsidRPr="0056798F">
        <w:t xml:space="preserve">3 de la Convention </w:t>
      </w:r>
      <w:r w:rsidR="0056668F" w:rsidRPr="0056798F">
        <w:t>avaie</w:t>
      </w:r>
      <w:r w:rsidR="00194698" w:rsidRPr="0056798F">
        <w:t>nt été satisfaites.</w:t>
      </w:r>
    </w:p>
    <w:p w14:paraId="02832B64" w14:textId="717E80B4" w:rsidR="00B64F86" w:rsidRPr="0056798F" w:rsidRDefault="00143B6F" w:rsidP="00585DBD">
      <w:pPr>
        <w:pStyle w:val="Normalnumber"/>
      </w:pPr>
      <w:r w:rsidRPr="0056798F">
        <w:t>I</w:t>
      </w:r>
      <w:r w:rsidR="00B64F86" w:rsidRPr="0056798F">
        <w:t>l convient également de noter qu</w:t>
      </w:r>
      <w:r w:rsidR="00EA4125" w:rsidRPr="0056798F">
        <w:t>’</w:t>
      </w:r>
      <w:r w:rsidR="00B64F86" w:rsidRPr="0056798F">
        <w:t xml:space="preserve">une </w:t>
      </w:r>
      <w:r w:rsidR="001B4A01" w:rsidRPr="0056798F">
        <w:t>P</w:t>
      </w:r>
      <w:r w:rsidR="00B64F86" w:rsidRPr="0056798F">
        <w:t>artie (Pérou)</w:t>
      </w:r>
      <w:r w:rsidR="00D45139" w:rsidRPr="0056798F">
        <w:t xml:space="preserve"> a proposé, dans son deuxième</w:t>
      </w:r>
      <w:r w:rsidR="007247E1" w:rsidRPr="0056798F">
        <w:t> </w:t>
      </w:r>
      <w:r w:rsidR="00D45139" w:rsidRPr="0056798F">
        <w:t xml:space="preserve">rapport </w:t>
      </w:r>
      <w:r w:rsidR="00CA7A94" w:rsidRPr="0056798F">
        <w:t>national</w:t>
      </w:r>
      <w:r w:rsidR="00D45139" w:rsidRPr="0056798F">
        <w:t xml:space="preserve"> </w:t>
      </w:r>
      <w:r w:rsidR="005263A8" w:rsidRPr="0056798F">
        <w:t>abrégé</w:t>
      </w:r>
      <w:r w:rsidR="00D45139" w:rsidRPr="0056798F">
        <w:t>, d</w:t>
      </w:r>
      <w:r w:rsidR="00EA4125" w:rsidRPr="0056798F">
        <w:t>’</w:t>
      </w:r>
      <w:r w:rsidR="00D45139" w:rsidRPr="0056798F">
        <w:t xml:space="preserve">optimiser la </w:t>
      </w:r>
      <w:r w:rsidR="00CA7A94" w:rsidRPr="0056798F">
        <w:t>procédure</w:t>
      </w:r>
      <w:r w:rsidR="00D45139" w:rsidRPr="0056798F">
        <w:t xml:space="preserve"> de consentement écrit pour</w:t>
      </w:r>
      <w:r w:rsidR="00CA7A94" w:rsidRPr="0056798F">
        <w:t xml:space="preserve"> </w:t>
      </w:r>
      <w:r w:rsidR="00D45139" w:rsidRPr="0056798F">
        <w:t>l</w:t>
      </w:r>
      <w:r w:rsidR="00EA4125" w:rsidRPr="0056798F">
        <w:t>’</w:t>
      </w:r>
      <w:r w:rsidR="00CA7A94" w:rsidRPr="0056798F">
        <w:t xml:space="preserve">importation de mercure, notamment en fournissant des informations sur les pays de transit, les points de réexportation et le rôle des zones de libre-échange </w:t>
      </w:r>
      <w:r w:rsidR="00730E86" w:rsidRPr="0056798F">
        <w:t>et en fixant un</w:t>
      </w:r>
      <w:r w:rsidR="0020152F" w:rsidRPr="0056798F">
        <w:t xml:space="preserve"> délai</w:t>
      </w:r>
      <w:r w:rsidR="00730E86" w:rsidRPr="0056798F">
        <w:t xml:space="preserve"> pour la réception d</w:t>
      </w:r>
      <w:r w:rsidR="00EA4125" w:rsidRPr="0056798F">
        <w:t>’</w:t>
      </w:r>
      <w:r w:rsidR="00730E86" w:rsidRPr="0056798F">
        <w:t xml:space="preserve">une réponse des </w:t>
      </w:r>
      <w:r w:rsidR="005263A8" w:rsidRPr="0056798F">
        <w:t>P</w:t>
      </w:r>
      <w:r w:rsidR="00730E86" w:rsidRPr="0056798F">
        <w:t xml:space="preserve">arties concernées. La même </w:t>
      </w:r>
      <w:r w:rsidR="005263A8" w:rsidRPr="0056798F">
        <w:t>P</w:t>
      </w:r>
      <w:r w:rsidR="00730E86" w:rsidRPr="0056798F">
        <w:t xml:space="preserve">artie a </w:t>
      </w:r>
      <w:r w:rsidR="007323C6" w:rsidRPr="0056798F">
        <w:t>aussi</w:t>
      </w:r>
      <w:r w:rsidR="00730E86" w:rsidRPr="0056798F">
        <w:t xml:space="preserve"> souligné </w:t>
      </w:r>
      <w:r w:rsidR="006E34C1" w:rsidRPr="0056798F">
        <w:t>qu</w:t>
      </w:r>
      <w:r w:rsidR="00EA4125" w:rsidRPr="0056798F">
        <w:t>’</w:t>
      </w:r>
      <w:r w:rsidR="006E34C1" w:rsidRPr="0056798F">
        <w:t xml:space="preserve">il fallait </w:t>
      </w:r>
      <w:r w:rsidR="00730E86" w:rsidRPr="0056798F">
        <w:t xml:space="preserve">améliorer </w:t>
      </w:r>
      <w:r w:rsidR="007323C6" w:rsidRPr="0056798F">
        <w:t>le recensement</w:t>
      </w:r>
      <w:r w:rsidR="00730E86" w:rsidRPr="0056798F">
        <w:t xml:space="preserve"> des utilisations prévues pour le mercure commercialisé</w:t>
      </w:r>
      <w:r w:rsidR="007323C6" w:rsidRPr="0056798F">
        <w:t>,</w:t>
      </w:r>
      <w:r w:rsidR="00427F5B" w:rsidRPr="0056798F">
        <w:t xml:space="preserve"> </w:t>
      </w:r>
      <w:r w:rsidR="006E34C1" w:rsidRPr="0056798F">
        <w:t>renforcer l</w:t>
      </w:r>
      <w:r w:rsidR="00427F5B" w:rsidRPr="0056798F">
        <w:t>es capacités des agent</w:t>
      </w:r>
      <w:r w:rsidR="006E34C1" w:rsidRPr="0056798F">
        <w:t>(e)</w:t>
      </w:r>
      <w:r w:rsidR="00427F5B" w:rsidRPr="0056798F">
        <w:t xml:space="preserve">s de contrôle aux frontières </w:t>
      </w:r>
      <w:r w:rsidR="006E34C1" w:rsidRPr="0056798F">
        <w:t>et faire progresser l</w:t>
      </w:r>
      <w:r w:rsidR="00EA4125" w:rsidRPr="0056798F">
        <w:t>’</w:t>
      </w:r>
      <w:r w:rsidR="006E34C1" w:rsidRPr="0056798F">
        <w:t>élaboration</w:t>
      </w:r>
      <w:r w:rsidR="00427F5B" w:rsidRPr="0056798F">
        <w:t xml:space="preserve"> de protocoles permettant d</w:t>
      </w:r>
      <w:r w:rsidR="00EA4125" w:rsidRPr="0056798F">
        <w:t>’</w:t>
      </w:r>
      <w:r w:rsidR="00427F5B" w:rsidRPr="0056798F">
        <w:t>identifier, de saisir, de transporter, de manipuler et d</w:t>
      </w:r>
      <w:r w:rsidR="00EA4125" w:rsidRPr="0056798F">
        <w:t>’</w:t>
      </w:r>
      <w:r w:rsidR="00427F5B" w:rsidRPr="0056798F">
        <w:t>étiqueter le mercure.</w:t>
      </w:r>
    </w:p>
    <w:p w14:paraId="1359A65C" w14:textId="552D3A90" w:rsidR="00631449" w:rsidRPr="0056798F" w:rsidRDefault="007803A7" w:rsidP="00680B2C">
      <w:pPr>
        <w:pStyle w:val="CH2"/>
      </w:pPr>
      <w:r w:rsidRPr="0056798F">
        <w:tab/>
      </w:r>
      <w:r w:rsidR="00423BD8" w:rsidRPr="0056798F">
        <w:t>C.</w:t>
      </w:r>
      <w:r w:rsidR="00061432" w:rsidRPr="0056798F">
        <w:tab/>
        <w:t>Campagnes et possibilités de formation communes afin de</w:t>
      </w:r>
      <w:r w:rsidR="00423BD8" w:rsidRPr="0056798F">
        <w:t> </w:t>
      </w:r>
      <w:r w:rsidR="00061432" w:rsidRPr="0056798F">
        <w:t>renforcer la</w:t>
      </w:r>
      <w:r w:rsidR="00AC1005" w:rsidRPr="0056798F">
        <w:t> </w:t>
      </w:r>
      <w:r w:rsidR="00061432" w:rsidRPr="0056798F">
        <w:t>capacité des agent</w:t>
      </w:r>
      <w:r w:rsidR="00BD6652" w:rsidRPr="0056798F">
        <w:t>(e)</w:t>
      </w:r>
      <w:r w:rsidR="00061432" w:rsidRPr="0056798F">
        <w:t>s chargé</w:t>
      </w:r>
      <w:r w:rsidR="00BD6652" w:rsidRPr="0056798F">
        <w:t>(e)</w:t>
      </w:r>
      <w:r w:rsidR="00061432" w:rsidRPr="0056798F">
        <w:t>s de l</w:t>
      </w:r>
      <w:r w:rsidR="00EA4125" w:rsidRPr="0056798F">
        <w:t>’</w:t>
      </w:r>
      <w:r w:rsidR="00061432" w:rsidRPr="0056798F">
        <w:t>application de la loi (décision</w:t>
      </w:r>
      <w:r w:rsidR="0013183E" w:rsidRPr="0056798F">
        <w:t> </w:t>
      </w:r>
      <w:r w:rsidR="00061432" w:rsidRPr="0056798F">
        <w:t>MC-5/2, paragraphe</w:t>
      </w:r>
      <w:r w:rsidR="001900B3" w:rsidRPr="0056798F">
        <w:t> </w:t>
      </w:r>
      <w:r w:rsidR="00061432" w:rsidRPr="0056798F">
        <w:t>3)</w:t>
      </w:r>
    </w:p>
    <w:p w14:paraId="714FD563" w14:textId="50BA6E71" w:rsidR="00143939" w:rsidRPr="0056798F" w:rsidRDefault="00322C88" w:rsidP="00585DBD">
      <w:pPr>
        <w:pStyle w:val="Normalnumber"/>
      </w:pPr>
      <w:r w:rsidRPr="0056798F">
        <w:t>Au</w:t>
      </w:r>
      <w:r w:rsidR="00C758AA" w:rsidRPr="0056798F">
        <w:t xml:space="preserve"> paragraph</w:t>
      </w:r>
      <w:r w:rsidRPr="0056798F">
        <w:t>e</w:t>
      </w:r>
      <w:r w:rsidR="007247E1" w:rsidRPr="0056798F">
        <w:t> </w:t>
      </w:r>
      <w:r w:rsidR="00C758AA" w:rsidRPr="0056798F">
        <w:t xml:space="preserve">3 </w:t>
      </w:r>
      <w:r w:rsidRPr="0056798F">
        <w:t>de la</w:t>
      </w:r>
      <w:r w:rsidR="00C758AA" w:rsidRPr="0056798F">
        <w:t xml:space="preserve"> </w:t>
      </w:r>
      <w:r w:rsidR="001E2E79" w:rsidRPr="0056798F">
        <w:t>décision</w:t>
      </w:r>
      <w:r w:rsidR="007247E1" w:rsidRPr="0056798F">
        <w:t> </w:t>
      </w:r>
      <w:r w:rsidR="00C758AA" w:rsidRPr="0056798F">
        <w:t xml:space="preserve">MC-5/2, </w:t>
      </w:r>
      <w:r w:rsidRPr="0056798F">
        <w:t>la</w:t>
      </w:r>
      <w:r w:rsidR="00C758AA" w:rsidRPr="0056798F">
        <w:t xml:space="preserve"> </w:t>
      </w:r>
      <w:r w:rsidR="001E2E79" w:rsidRPr="0056798F">
        <w:t>Conférence</w:t>
      </w:r>
      <w:r w:rsidR="00C758AA" w:rsidRPr="0056798F">
        <w:t xml:space="preserve"> </w:t>
      </w:r>
      <w:r w:rsidRPr="0056798F">
        <w:t>des</w:t>
      </w:r>
      <w:r w:rsidR="00C758AA" w:rsidRPr="0056798F">
        <w:t xml:space="preserve"> Parties</w:t>
      </w:r>
      <w:r w:rsidRPr="0056798F">
        <w:t xml:space="preserve"> a encouragé les Parties à</w:t>
      </w:r>
      <w:r w:rsidR="00311A67" w:rsidRPr="0056798F">
        <w:t> </w:t>
      </w:r>
      <w:r w:rsidRPr="0056798F">
        <w:t>promouvoir des campagnes et des possibilités de formation communes afin de renforcer la capacité des agent</w:t>
      </w:r>
      <w:r w:rsidR="00D134AA" w:rsidRPr="0056798F">
        <w:t>(e)</w:t>
      </w:r>
      <w:r w:rsidRPr="0056798F">
        <w:t>s chargé</w:t>
      </w:r>
      <w:r w:rsidR="00D134AA" w:rsidRPr="0056798F">
        <w:t>(e)</w:t>
      </w:r>
      <w:r w:rsidRPr="0056798F">
        <w:t>s de l</w:t>
      </w:r>
      <w:r w:rsidR="00EA4125" w:rsidRPr="0056798F">
        <w:t>’</w:t>
      </w:r>
      <w:r w:rsidRPr="0056798F">
        <w:t>application de la loi, y</w:t>
      </w:r>
      <w:r w:rsidR="00504F1C" w:rsidRPr="0056798F">
        <w:t> </w:t>
      </w:r>
      <w:r w:rsidRPr="0056798F">
        <w:t>compris les</w:t>
      </w:r>
      <w:r w:rsidR="00D134AA" w:rsidRPr="0056798F">
        <w:t xml:space="preserve"> agent(e)s des</w:t>
      </w:r>
      <w:r w:rsidRPr="0056798F">
        <w:t xml:space="preserve"> douanes, à contrôler le commerce de mercure au niveau national</w:t>
      </w:r>
      <w:r w:rsidR="00E02173" w:rsidRPr="0056798F">
        <w:t xml:space="preserve">. </w:t>
      </w:r>
    </w:p>
    <w:p w14:paraId="1EBA1920" w14:textId="63F2D4DB" w:rsidR="00DD2027" w:rsidRPr="0056798F" w:rsidRDefault="001E10A2" w:rsidP="00585DBD">
      <w:pPr>
        <w:pStyle w:val="Normalnumber"/>
      </w:pPr>
      <w:r w:rsidRPr="0056798F">
        <w:lastRenderedPageBreak/>
        <w:t>Le PNUE</w:t>
      </w:r>
      <w:r w:rsidR="008464D1" w:rsidRPr="0056798F">
        <w:t xml:space="preserve"> </w:t>
      </w:r>
      <w:r w:rsidRPr="0056798F">
        <w:t xml:space="preserve">met actuellement en </w:t>
      </w:r>
      <w:r w:rsidR="006E377A" w:rsidRPr="0056798F">
        <w:t>œuvre</w:t>
      </w:r>
      <w:r w:rsidRPr="0056798F">
        <w:t xml:space="preserve"> un projet financé par le Japon appelé</w:t>
      </w:r>
      <w:r w:rsidR="002B566D" w:rsidRPr="0056798F">
        <w:t xml:space="preserve"> </w:t>
      </w:r>
      <w:r w:rsidR="000E165B" w:rsidRPr="0056798F">
        <w:t>«</w:t>
      </w:r>
      <w:r w:rsidR="009464C0" w:rsidRPr="0056798F">
        <w:t> </w:t>
      </w:r>
      <w:bookmarkStart w:id="9" w:name="_Hlk207107269"/>
      <w:r w:rsidR="000E165B" w:rsidRPr="0056798F">
        <w:t xml:space="preserve">Project for </w:t>
      </w:r>
      <w:proofErr w:type="spellStart"/>
      <w:r w:rsidR="000E165B" w:rsidRPr="0056798F">
        <w:t>promoting</w:t>
      </w:r>
      <w:proofErr w:type="spellEnd"/>
      <w:r w:rsidR="000E165B" w:rsidRPr="0056798F">
        <w:t xml:space="preserve"> the Minamata Convention on Mercury by </w:t>
      </w:r>
      <w:proofErr w:type="spellStart"/>
      <w:r w:rsidR="000E165B" w:rsidRPr="0056798F">
        <w:t>making</w:t>
      </w:r>
      <w:proofErr w:type="spellEnd"/>
      <w:r w:rsidR="000E165B" w:rsidRPr="0056798F">
        <w:t xml:space="preserve"> the </w:t>
      </w:r>
      <w:proofErr w:type="spellStart"/>
      <w:r w:rsidR="000E165B" w:rsidRPr="0056798F">
        <w:t>most</w:t>
      </w:r>
      <w:proofErr w:type="spellEnd"/>
      <w:r w:rsidR="000E165B" w:rsidRPr="0056798F">
        <w:t xml:space="preserve"> of </w:t>
      </w:r>
      <w:proofErr w:type="spellStart"/>
      <w:r w:rsidR="000E165B" w:rsidRPr="0056798F">
        <w:t>Japan</w:t>
      </w:r>
      <w:r w:rsidR="00EA4125" w:rsidRPr="0056798F">
        <w:t>’</w:t>
      </w:r>
      <w:r w:rsidR="000E165B" w:rsidRPr="0056798F">
        <w:t>s</w:t>
      </w:r>
      <w:proofErr w:type="spellEnd"/>
      <w:r w:rsidR="000E165B" w:rsidRPr="0056798F">
        <w:t xml:space="preserve"> </w:t>
      </w:r>
      <w:proofErr w:type="spellStart"/>
      <w:r w:rsidR="000E165B" w:rsidRPr="0056798F">
        <w:t>knowledge</w:t>
      </w:r>
      <w:proofErr w:type="spellEnd"/>
      <w:r w:rsidR="000E165B" w:rsidRPr="0056798F">
        <w:t xml:space="preserve"> and </w:t>
      </w:r>
      <w:proofErr w:type="spellStart"/>
      <w:r w:rsidR="000E165B" w:rsidRPr="0056798F">
        <w:t>experiences</w:t>
      </w:r>
      <w:bookmarkEnd w:id="9"/>
      <w:proofErr w:type="spellEnd"/>
      <w:r w:rsidR="000E165B" w:rsidRPr="0056798F">
        <w:t> » (</w:t>
      </w:r>
      <w:r w:rsidR="002B566D" w:rsidRPr="0056798F">
        <w:t>Projet de promotion de la Convention de Minamata sur le mercure en tirant le meilleur parti des connaissances et de l</w:t>
      </w:r>
      <w:r w:rsidR="00EA4125" w:rsidRPr="0056798F">
        <w:t>’</w:t>
      </w:r>
      <w:r w:rsidR="002B566D" w:rsidRPr="0056798F">
        <w:t>expérience du Japon</w:t>
      </w:r>
      <w:r w:rsidR="000E165B" w:rsidRPr="0056798F">
        <w:t>)</w:t>
      </w:r>
      <w:r w:rsidR="007A0AEA" w:rsidRPr="0056798F">
        <w:t>,</w:t>
      </w:r>
      <w:r w:rsidRPr="0056798F">
        <w:t xml:space="preserve"> afin de soutenir ses États </w:t>
      </w:r>
      <w:r w:rsidR="007A0AEA" w:rsidRPr="0056798F">
        <w:t xml:space="preserve">Membres </w:t>
      </w:r>
      <w:r w:rsidRPr="0056798F">
        <w:t>dans la mise en œuvre de la Convention de</w:t>
      </w:r>
      <w:r w:rsidR="00E8288D" w:rsidRPr="0056798F">
        <w:t> </w:t>
      </w:r>
      <w:r w:rsidR="00D83337" w:rsidRPr="0056798F">
        <w:t>Minamata</w:t>
      </w:r>
      <w:r w:rsidR="008464D1" w:rsidRPr="0056798F">
        <w:t xml:space="preserve">. </w:t>
      </w:r>
      <w:r w:rsidRPr="0056798F">
        <w:t>Le</w:t>
      </w:r>
      <w:r w:rsidR="008464D1" w:rsidRPr="0056798F">
        <w:t xml:space="preserve"> projet </w:t>
      </w:r>
      <w:r w:rsidRPr="0056798F">
        <w:t>porte en particulier sur l</w:t>
      </w:r>
      <w:r w:rsidR="00EA4125" w:rsidRPr="0056798F">
        <w:t>’</w:t>
      </w:r>
      <w:r w:rsidRPr="0056798F">
        <w:t>échange d</w:t>
      </w:r>
      <w:r w:rsidR="00EA4125" w:rsidRPr="0056798F">
        <w:t>’</w:t>
      </w:r>
      <w:r w:rsidRPr="0056798F">
        <w:t>i</w:t>
      </w:r>
      <w:r w:rsidR="008464D1" w:rsidRPr="0056798F">
        <w:t>nformation</w:t>
      </w:r>
      <w:r w:rsidRPr="0056798F">
        <w:t>s</w:t>
      </w:r>
      <w:r w:rsidR="008464D1" w:rsidRPr="0056798F">
        <w:t xml:space="preserve">, </w:t>
      </w:r>
      <w:r w:rsidRPr="0056798F">
        <w:t>la sensibilisation et l</w:t>
      </w:r>
      <w:r w:rsidR="00EA4125" w:rsidRPr="0056798F">
        <w:t>’</w:t>
      </w:r>
      <w:r w:rsidRPr="0056798F">
        <w:t>éducation du public</w:t>
      </w:r>
      <w:r w:rsidR="008464D1" w:rsidRPr="0056798F">
        <w:t xml:space="preserve">, </w:t>
      </w:r>
      <w:r w:rsidRPr="0056798F">
        <w:t>la recherche, le développement et la surveillance</w:t>
      </w:r>
      <w:r w:rsidR="008464D1" w:rsidRPr="0056798F">
        <w:t xml:space="preserve">. </w:t>
      </w:r>
      <w:r w:rsidR="0048198B" w:rsidRPr="0056798F">
        <w:t>Des</w:t>
      </w:r>
      <w:r w:rsidR="00B714FE" w:rsidRPr="0056798F">
        <w:t> </w:t>
      </w:r>
      <w:r w:rsidR="007A0AEA" w:rsidRPr="0056798F">
        <w:t xml:space="preserve">sessions de </w:t>
      </w:r>
      <w:r w:rsidR="0048198B" w:rsidRPr="0056798F">
        <w:t>formation</w:t>
      </w:r>
      <w:r w:rsidR="006E377A" w:rsidRPr="0056798F">
        <w:t xml:space="preserve"> (en personne et en ligne)</w:t>
      </w:r>
      <w:r w:rsidR="007A0AEA" w:rsidRPr="0056798F">
        <w:t xml:space="preserve"> pour améliorer la surveillance du commerce du mercure et des composés du mercure</w:t>
      </w:r>
      <w:r w:rsidR="0048198B" w:rsidRPr="0056798F">
        <w:t xml:space="preserve"> ont été organisées en</w:t>
      </w:r>
      <w:r w:rsidR="007A0AEA" w:rsidRPr="0056798F">
        <w:t>tre</w:t>
      </w:r>
      <w:r w:rsidR="0048198B" w:rsidRPr="0056798F">
        <w:t xml:space="preserve"> mai </w:t>
      </w:r>
      <w:r w:rsidR="007A0AEA" w:rsidRPr="0056798F">
        <w:t xml:space="preserve">et août </w:t>
      </w:r>
      <w:r w:rsidR="0048198B" w:rsidRPr="0056798F">
        <w:t xml:space="preserve">2025 </w:t>
      </w:r>
      <w:r w:rsidR="007A0AEA" w:rsidRPr="0056798F">
        <w:t>à destination d</w:t>
      </w:r>
      <w:r w:rsidR="0048198B" w:rsidRPr="0056798F">
        <w:t>es représentant</w:t>
      </w:r>
      <w:r w:rsidR="007A0AEA" w:rsidRPr="0056798F">
        <w:t>(e)</w:t>
      </w:r>
      <w:r w:rsidR="0048198B" w:rsidRPr="0056798F">
        <w:t>s</w:t>
      </w:r>
      <w:r w:rsidR="007461E4" w:rsidRPr="0056798F">
        <w:t xml:space="preserve"> des ministères de l</w:t>
      </w:r>
      <w:r w:rsidR="00EA4125" w:rsidRPr="0056798F">
        <w:t>’</w:t>
      </w:r>
      <w:r w:rsidR="007461E4" w:rsidRPr="0056798F">
        <w:t xml:space="preserve">environnement et de la santé et </w:t>
      </w:r>
      <w:r w:rsidR="007A0AEA" w:rsidRPr="0056798F">
        <w:t>d</w:t>
      </w:r>
      <w:r w:rsidR="007461E4" w:rsidRPr="0056798F">
        <w:t>es autorités douanières</w:t>
      </w:r>
      <w:r w:rsidR="004320FF" w:rsidRPr="0056798F">
        <w:t xml:space="preserve">. </w:t>
      </w:r>
      <w:r w:rsidR="007461E4" w:rsidRPr="0056798F">
        <w:t>Les pays ci-après y ont participé </w:t>
      </w:r>
      <w:r w:rsidR="008E47E3" w:rsidRPr="0056798F">
        <w:t xml:space="preserve">: </w:t>
      </w:r>
      <w:r w:rsidR="00D53883" w:rsidRPr="0056798F">
        <w:t>Ind</w:t>
      </w:r>
      <w:r w:rsidR="007461E4" w:rsidRPr="0056798F">
        <w:t>e</w:t>
      </w:r>
      <w:r w:rsidR="00D53883" w:rsidRPr="0056798F">
        <w:t xml:space="preserve">, </w:t>
      </w:r>
      <w:r w:rsidR="007461E4" w:rsidRPr="0056798F">
        <w:t>Indonésie</w:t>
      </w:r>
      <w:r w:rsidR="00D53883" w:rsidRPr="0056798F">
        <w:t>, Jap</w:t>
      </w:r>
      <w:r w:rsidR="007461E4" w:rsidRPr="0056798F">
        <w:t>o</w:t>
      </w:r>
      <w:r w:rsidR="00D53883" w:rsidRPr="0056798F">
        <w:t>n, Mala</w:t>
      </w:r>
      <w:r w:rsidR="007461E4" w:rsidRPr="0056798F">
        <w:t>isie</w:t>
      </w:r>
      <w:r w:rsidR="00D53883" w:rsidRPr="0056798F">
        <w:t>, Maldives, Mongoli</w:t>
      </w:r>
      <w:r w:rsidR="007461E4" w:rsidRPr="0056798F">
        <w:t>e</w:t>
      </w:r>
      <w:r w:rsidR="00D53883" w:rsidRPr="0056798F">
        <w:t xml:space="preserve">, </w:t>
      </w:r>
      <w:r w:rsidR="007461E4" w:rsidRPr="0056798F">
        <w:t>Népal</w:t>
      </w:r>
      <w:r w:rsidR="00D53883" w:rsidRPr="0056798F">
        <w:t>, Pala</w:t>
      </w:r>
      <w:r w:rsidR="007461E4" w:rsidRPr="0056798F">
        <w:t>os</w:t>
      </w:r>
      <w:r w:rsidR="00D53883" w:rsidRPr="0056798F">
        <w:t xml:space="preserve">, Philippines, Sri Lanka, </w:t>
      </w:r>
      <w:r w:rsidR="007461E4" w:rsidRPr="0056798F">
        <w:t>Thaïlande</w:t>
      </w:r>
      <w:r w:rsidR="00D53883" w:rsidRPr="0056798F">
        <w:t xml:space="preserve"> </w:t>
      </w:r>
      <w:r w:rsidR="007461E4" w:rsidRPr="0056798F">
        <w:t>et</w:t>
      </w:r>
      <w:r w:rsidR="00D53883" w:rsidRPr="0056798F">
        <w:t xml:space="preserve"> Viet</w:t>
      </w:r>
      <w:r w:rsidR="007461E4" w:rsidRPr="0056798F">
        <w:t xml:space="preserve"> N</w:t>
      </w:r>
      <w:r w:rsidR="00D53883" w:rsidRPr="0056798F">
        <w:t>am.</w:t>
      </w:r>
    </w:p>
    <w:p w14:paraId="6462924D" w14:textId="1300F420" w:rsidR="006E386F" w:rsidRPr="0056798F" w:rsidRDefault="00061432" w:rsidP="00EF0B00">
      <w:pPr>
        <w:pStyle w:val="CH2"/>
      </w:pPr>
      <w:r w:rsidRPr="0056798F">
        <w:tab/>
      </w:r>
      <w:r w:rsidR="00EF0B00" w:rsidRPr="0056798F">
        <w:t>D.</w:t>
      </w:r>
      <w:r w:rsidR="007803A7" w:rsidRPr="0056798F">
        <w:tab/>
      </w:r>
      <w:r w:rsidRPr="0056798F">
        <w:t>Expériences et difficultés rencontrées dans l</w:t>
      </w:r>
      <w:r w:rsidR="00EA4125" w:rsidRPr="0056798F">
        <w:t>’</w:t>
      </w:r>
      <w:r w:rsidRPr="0056798F">
        <w:t>application de l</w:t>
      </w:r>
      <w:r w:rsidR="00EA4125" w:rsidRPr="0056798F">
        <w:t>’</w:t>
      </w:r>
      <w:r w:rsidRPr="0056798F">
        <w:t>article</w:t>
      </w:r>
      <w:r w:rsidR="00842611" w:rsidRPr="0056798F">
        <w:t> </w:t>
      </w:r>
      <w:r w:rsidRPr="0056798F">
        <w:t>3 et</w:t>
      </w:r>
      <w:r w:rsidR="00EC0731" w:rsidRPr="0056798F">
        <w:t> </w:t>
      </w:r>
      <w:r w:rsidRPr="0056798F">
        <w:t>informations sur les activités entreprises dans le cadre de la Déclaration de</w:t>
      </w:r>
      <w:r w:rsidR="00EC0731" w:rsidRPr="0056798F">
        <w:t> </w:t>
      </w:r>
      <w:r w:rsidRPr="0056798F">
        <w:t>Bali sur la lutte contre le commerce illicite de mercure (décision</w:t>
      </w:r>
      <w:r w:rsidR="00EC0731" w:rsidRPr="0056798F">
        <w:t> </w:t>
      </w:r>
      <w:r w:rsidRPr="0056798F">
        <w:t>MC-5/2, paragraphe</w:t>
      </w:r>
      <w:r w:rsidR="00EC0731" w:rsidRPr="0056798F">
        <w:t> </w:t>
      </w:r>
      <w:r w:rsidRPr="0056798F">
        <w:t>4)</w:t>
      </w:r>
    </w:p>
    <w:p w14:paraId="34937E39" w14:textId="3BC94620" w:rsidR="001B49D5" w:rsidRPr="0056798F" w:rsidRDefault="00322C88" w:rsidP="00585DBD">
      <w:pPr>
        <w:pStyle w:val="Normalnumber"/>
      </w:pPr>
      <w:r w:rsidRPr="0056798F">
        <w:t>Au</w:t>
      </w:r>
      <w:r w:rsidR="003E0B82" w:rsidRPr="0056798F">
        <w:t xml:space="preserve"> paragraph</w:t>
      </w:r>
      <w:r w:rsidRPr="0056798F">
        <w:t>e</w:t>
      </w:r>
      <w:r w:rsidR="007849D5" w:rsidRPr="0056798F">
        <w:t> </w:t>
      </w:r>
      <w:r w:rsidR="003E0B82" w:rsidRPr="0056798F">
        <w:t xml:space="preserve">4 </w:t>
      </w:r>
      <w:r w:rsidRPr="0056798F">
        <w:t>de la</w:t>
      </w:r>
      <w:r w:rsidR="003E0B82" w:rsidRPr="0056798F">
        <w:t xml:space="preserve"> </w:t>
      </w:r>
      <w:r w:rsidRPr="0056798F">
        <w:t>décision</w:t>
      </w:r>
      <w:r w:rsidR="007849D5" w:rsidRPr="0056798F">
        <w:t> </w:t>
      </w:r>
      <w:r w:rsidR="003E0B82" w:rsidRPr="0056798F">
        <w:t xml:space="preserve">MC-5/2, </w:t>
      </w:r>
      <w:r w:rsidRPr="0056798F">
        <w:t>la</w:t>
      </w:r>
      <w:r w:rsidR="001B49D5" w:rsidRPr="0056798F">
        <w:t xml:space="preserve"> </w:t>
      </w:r>
      <w:r w:rsidRPr="0056798F">
        <w:t>Conférence</w:t>
      </w:r>
      <w:r w:rsidR="001B49D5" w:rsidRPr="0056798F">
        <w:t xml:space="preserve"> </w:t>
      </w:r>
      <w:r w:rsidRPr="0056798F">
        <w:t>des</w:t>
      </w:r>
      <w:r w:rsidR="001B49D5" w:rsidRPr="0056798F">
        <w:t xml:space="preserve"> Parties </w:t>
      </w:r>
      <w:r w:rsidRPr="0056798F">
        <w:t>a invité les Parties à</w:t>
      </w:r>
      <w:r w:rsidR="005E0E13" w:rsidRPr="0056798F">
        <w:t> </w:t>
      </w:r>
      <w:r w:rsidRPr="0056798F">
        <w:t xml:space="preserve">communiquer au secrétariat, </w:t>
      </w:r>
      <w:r w:rsidR="004B7F4D" w:rsidRPr="0056798F">
        <w:t>le 31</w:t>
      </w:r>
      <w:r w:rsidR="007849D5" w:rsidRPr="0056798F">
        <w:t> </w:t>
      </w:r>
      <w:r w:rsidRPr="0056798F">
        <w:t>mars 2025</w:t>
      </w:r>
      <w:r w:rsidR="004B7F4D" w:rsidRPr="0056798F">
        <w:t xml:space="preserve"> au plus tard</w:t>
      </w:r>
      <w:r w:rsidRPr="0056798F">
        <w:t>, des informations sur les expériences et les difficultés rencontrées dans l</w:t>
      </w:r>
      <w:r w:rsidR="00EA4125" w:rsidRPr="0056798F">
        <w:t>’</w:t>
      </w:r>
      <w:r w:rsidRPr="0056798F">
        <w:t>application de l</w:t>
      </w:r>
      <w:r w:rsidR="00EA4125" w:rsidRPr="0056798F">
        <w:t>’</w:t>
      </w:r>
      <w:r w:rsidRPr="0056798F">
        <w:t>article</w:t>
      </w:r>
      <w:r w:rsidR="007849D5" w:rsidRPr="0056798F">
        <w:t> </w:t>
      </w:r>
      <w:r w:rsidRPr="0056798F">
        <w:t xml:space="preserve">3 ainsi que des informations sur les activités entreprises dans le cadre de la Déclaration de Bali sur la lutte contre le commerce illicite de mercure, et </w:t>
      </w:r>
      <w:r w:rsidR="00137F49" w:rsidRPr="0056798F">
        <w:t>a prié</w:t>
      </w:r>
      <w:r w:rsidRPr="0056798F">
        <w:t xml:space="preserve"> le secrétariat de compiler les informations reçues pour qu</w:t>
      </w:r>
      <w:r w:rsidR="00EA4125" w:rsidRPr="0056798F">
        <w:t>’</w:t>
      </w:r>
      <w:r w:rsidRPr="0056798F">
        <w:t>elle les examine à sa sixième</w:t>
      </w:r>
      <w:r w:rsidR="007849D5" w:rsidRPr="0056798F">
        <w:t> </w:t>
      </w:r>
      <w:r w:rsidRPr="0056798F">
        <w:t>réunion</w:t>
      </w:r>
      <w:r w:rsidR="001B49D5" w:rsidRPr="0056798F">
        <w:t xml:space="preserve">. </w:t>
      </w:r>
    </w:p>
    <w:p w14:paraId="195E19EA" w14:textId="5C09C035" w:rsidR="001B49D5" w:rsidRPr="0056798F" w:rsidRDefault="004C6078" w:rsidP="005C3FE1">
      <w:pPr>
        <w:pStyle w:val="Normalnumber"/>
      </w:pPr>
      <w:r w:rsidRPr="0056798F">
        <w:t>Les huit</w:t>
      </w:r>
      <w:r w:rsidR="00C051BB" w:rsidRPr="0056798F">
        <w:t> </w:t>
      </w:r>
      <w:r w:rsidR="00E017E8" w:rsidRPr="0056798F">
        <w:t>P</w:t>
      </w:r>
      <w:r w:rsidRPr="0056798F">
        <w:t xml:space="preserve">arties ci-après ont fourni des informations en réponse au </w:t>
      </w:r>
      <w:r w:rsidR="001B49D5" w:rsidRPr="0056798F">
        <w:t>paragraph</w:t>
      </w:r>
      <w:r w:rsidRPr="0056798F">
        <w:t>e</w:t>
      </w:r>
      <w:r w:rsidR="00C051BB" w:rsidRPr="0056798F">
        <w:t> </w:t>
      </w:r>
      <w:r w:rsidR="001B49D5" w:rsidRPr="0056798F">
        <w:t xml:space="preserve">4 </w:t>
      </w:r>
      <w:r w:rsidRPr="0056798F">
        <w:t>de la</w:t>
      </w:r>
      <w:r w:rsidR="001B49D5" w:rsidRPr="0056798F">
        <w:t xml:space="preserve"> </w:t>
      </w:r>
      <w:r w:rsidRPr="0056798F">
        <w:t>décision</w:t>
      </w:r>
      <w:r w:rsidR="008771C8" w:rsidRPr="0056798F">
        <w:t> </w:t>
      </w:r>
      <w:r w:rsidR="001B49D5" w:rsidRPr="0056798F">
        <w:t>MC-5/2</w:t>
      </w:r>
      <w:r w:rsidRPr="0056798F">
        <w:t> </w:t>
      </w:r>
      <w:r w:rsidR="00D923F6" w:rsidRPr="0056798F">
        <w:t>:</w:t>
      </w:r>
      <w:r w:rsidR="00553C57" w:rsidRPr="0056798F">
        <w:t xml:space="preserve"> Burkina Faso, Canada, </w:t>
      </w:r>
      <w:r w:rsidRPr="0056798F">
        <w:t>Indonésie</w:t>
      </w:r>
      <w:r w:rsidR="00553C57" w:rsidRPr="0056798F">
        <w:t>, Jap</w:t>
      </w:r>
      <w:r w:rsidRPr="0056798F">
        <w:t>o</w:t>
      </w:r>
      <w:r w:rsidR="00553C57" w:rsidRPr="0056798F">
        <w:t xml:space="preserve">n, </w:t>
      </w:r>
      <w:r w:rsidRPr="0056798F">
        <w:t>Pérou</w:t>
      </w:r>
      <w:r w:rsidR="00553C57" w:rsidRPr="0056798F">
        <w:t xml:space="preserve">, Philippines, </w:t>
      </w:r>
      <w:r w:rsidRPr="0056798F">
        <w:t>Sénégal</w:t>
      </w:r>
      <w:r w:rsidR="00553C57" w:rsidRPr="0056798F">
        <w:t xml:space="preserve"> </w:t>
      </w:r>
      <w:r w:rsidRPr="0056798F">
        <w:t>et</w:t>
      </w:r>
      <w:r w:rsidR="00553C57" w:rsidRPr="0056798F">
        <w:t xml:space="preserve"> Togo</w:t>
      </w:r>
      <w:r w:rsidR="001B49D5" w:rsidRPr="0056798F">
        <w:t xml:space="preserve">.  </w:t>
      </w:r>
    </w:p>
    <w:p w14:paraId="4A14EB3E" w14:textId="509D3700" w:rsidR="00467BEF" w:rsidRPr="0056798F" w:rsidRDefault="00620E91" w:rsidP="00585DBD">
      <w:pPr>
        <w:pStyle w:val="Normalnumber"/>
      </w:pPr>
      <w:r w:rsidRPr="0056798F">
        <w:t>Le</w:t>
      </w:r>
      <w:r w:rsidR="00993D32" w:rsidRPr="0056798F">
        <w:t xml:space="preserve"> </w:t>
      </w:r>
      <w:r w:rsidRPr="0056798F">
        <w:t>s</w:t>
      </w:r>
      <w:r w:rsidR="00993D32" w:rsidRPr="0056798F">
        <w:t>ecrétariat a élaboré un résumé des diverses</w:t>
      </w:r>
      <w:r w:rsidR="005912BF" w:rsidRPr="0056798F">
        <w:t xml:space="preserve"> </w:t>
      </w:r>
      <w:r w:rsidR="00507340" w:rsidRPr="0056798F">
        <w:t>information</w:t>
      </w:r>
      <w:r w:rsidRPr="0056798F">
        <w:t>s communiquées par les</w:t>
      </w:r>
      <w:r w:rsidR="00507340" w:rsidRPr="0056798F">
        <w:t xml:space="preserve"> </w:t>
      </w:r>
      <w:r w:rsidR="007E5181" w:rsidRPr="0056798F">
        <w:t>P</w:t>
      </w:r>
      <w:r w:rsidR="00507340" w:rsidRPr="0056798F">
        <w:t xml:space="preserve">arties </w:t>
      </w:r>
      <w:r w:rsidR="00993D32" w:rsidRPr="0056798F">
        <w:t>(</w:t>
      </w:r>
      <w:r w:rsidR="00821BB0" w:rsidRPr="0056798F">
        <w:t>UNEP/MC/COP.6/INF/6</w:t>
      </w:r>
      <w:r w:rsidR="00993D32" w:rsidRPr="0056798F">
        <w:t>) et</w:t>
      </w:r>
      <w:r w:rsidR="00073854" w:rsidRPr="0056798F">
        <w:t xml:space="preserve"> </w:t>
      </w:r>
      <w:r w:rsidRPr="0056798F">
        <w:t xml:space="preserve">a publié ces </w:t>
      </w:r>
      <w:r w:rsidR="00BC14AA" w:rsidRPr="0056798F">
        <w:t>informat</w:t>
      </w:r>
      <w:r w:rsidR="00073854" w:rsidRPr="0056798F">
        <w:t xml:space="preserve">ions </w:t>
      </w:r>
      <w:r w:rsidRPr="0056798F">
        <w:t xml:space="preserve">sur le </w:t>
      </w:r>
      <w:hyperlink r:id="rId13" w:history="1">
        <w:r w:rsidRPr="0056798F">
          <w:rPr>
            <w:rStyle w:val="Hyperlink"/>
          </w:rPr>
          <w:t xml:space="preserve">site </w:t>
        </w:r>
        <w:r w:rsidR="00993D32" w:rsidRPr="0056798F">
          <w:rPr>
            <w:rStyle w:val="Hyperlink"/>
          </w:rPr>
          <w:t>Web</w:t>
        </w:r>
      </w:hyperlink>
      <w:r w:rsidR="00993D32" w:rsidRPr="0056798F">
        <w:t xml:space="preserve"> </w:t>
      </w:r>
      <w:r w:rsidRPr="0056798F">
        <w:t>de la</w:t>
      </w:r>
      <w:r w:rsidR="00821BB0" w:rsidRPr="0056798F">
        <w:t xml:space="preserve"> Convention</w:t>
      </w:r>
      <w:r w:rsidRPr="0056798F">
        <w:t xml:space="preserve">. </w:t>
      </w:r>
      <w:r w:rsidR="004327F1" w:rsidRPr="0056798F">
        <w:t>Parmi l</w:t>
      </w:r>
      <w:r w:rsidRPr="0056798F">
        <w:t>es difficultés</w:t>
      </w:r>
      <w:r w:rsidR="00FE339B" w:rsidRPr="0056798F">
        <w:t xml:space="preserve"> </w:t>
      </w:r>
      <w:r w:rsidRPr="0056798F">
        <w:t>rencontrées</w:t>
      </w:r>
      <w:r w:rsidR="004327F1" w:rsidRPr="0056798F">
        <w:t>, qui</w:t>
      </w:r>
      <w:r w:rsidRPr="0056798F">
        <w:t xml:space="preserve"> étaient principalement liées</w:t>
      </w:r>
      <w:r w:rsidR="002A768D" w:rsidRPr="0056798F">
        <w:t xml:space="preserve"> </w:t>
      </w:r>
      <w:r w:rsidRPr="0056798F">
        <w:t xml:space="preserve">à la mise en œuvre des obligations </w:t>
      </w:r>
      <w:r w:rsidR="004327F1" w:rsidRPr="0056798F">
        <w:t xml:space="preserve">relatives au </w:t>
      </w:r>
      <w:r w:rsidR="00FE339B" w:rsidRPr="0056798F">
        <w:t>commerce prévues par l</w:t>
      </w:r>
      <w:r w:rsidR="00EA4125" w:rsidRPr="0056798F">
        <w:t>’</w:t>
      </w:r>
      <w:r w:rsidR="00044E5A" w:rsidRPr="0056798F">
        <w:t xml:space="preserve">article 3, </w:t>
      </w:r>
      <w:r w:rsidR="004327F1" w:rsidRPr="0056798F">
        <w:t>figuraient les suivantes</w:t>
      </w:r>
      <w:r w:rsidR="002A768D" w:rsidRPr="0056798F">
        <w:t> </w:t>
      </w:r>
      <w:r w:rsidR="00467BEF" w:rsidRPr="0056798F">
        <w:t>:</w:t>
      </w:r>
    </w:p>
    <w:p w14:paraId="1F5EB0A3" w14:textId="458B2AED" w:rsidR="00212488" w:rsidRPr="0056798F" w:rsidRDefault="00BE7443" w:rsidP="00BE7443">
      <w:pPr>
        <w:pStyle w:val="NormalNonumber"/>
        <w:numPr>
          <w:ilvl w:val="1"/>
          <w:numId w:val="32"/>
        </w:numPr>
        <w:tabs>
          <w:tab w:val="clear" w:pos="2495"/>
          <w:tab w:val="num" w:pos="2380"/>
        </w:tabs>
      </w:pPr>
      <w:r w:rsidRPr="0056798F">
        <w:t>Commerce transfrontières illicite, informel et non déclaré ;</w:t>
      </w:r>
    </w:p>
    <w:p w14:paraId="57750DD7" w14:textId="7F1A9753" w:rsidR="00916AD0" w:rsidRPr="0056798F" w:rsidRDefault="00BE7443" w:rsidP="00BE7443">
      <w:pPr>
        <w:pStyle w:val="NormalNonumber"/>
        <w:numPr>
          <w:ilvl w:val="1"/>
          <w:numId w:val="32"/>
        </w:numPr>
        <w:tabs>
          <w:tab w:val="clear" w:pos="2495"/>
          <w:tab w:val="num" w:pos="2380"/>
        </w:tabs>
      </w:pPr>
      <w:r w:rsidRPr="0056798F">
        <w:t>Transit et réexportation illicites de mercure ;</w:t>
      </w:r>
    </w:p>
    <w:p w14:paraId="31589B14" w14:textId="7148F253" w:rsidR="00467BEF" w:rsidRPr="0056798F" w:rsidRDefault="00B9616E" w:rsidP="00BE7443">
      <w:pPr>
        <w:pStyle w:val="NormalNonumber"/>
        <w:numPr>
          <w:ilvl w:val="1"/>
          <w:numId w:val="32"/>
        </w:numPr>
        <w:tabs>
          <w:tab w:val="clear" w:pos="2495"/>
          <w:tab w:val="num" w:pos="2380"/>
        </w:tabs>
      </w:pPr>
      <w:r w:rsidRPr="0056798F">
        <w:t>C</w:t>
      </w:r>
      <w:r w:rsidR="001D71D7" w:rsidRPr="0056798F">
        <w:t>ommerce illicite de mercure destiné à l</w:t>
      </w:r>
      <w:r w:rsidR="00EA4125" w:rsidRPr="0056798F">
        <w:t>’</w:t>
      </w:r>
      <w:r w:rsidR="001D71D7" w:rsidRPr="0056798F">
        <w:t>extraction minière artisanale et à petite échelle d</w:t>
      </w:r>
      <w:r w:rsidR="00EA4125" w:rsidRPr="0056798F">
        <w:t>’</w:t>
      </w:r>
      <w:r w:rsidR="001D71D7" w:rsidRPr="0056798F">
        <w:t>or </w:t>
      </w:r>
      <w:r w:rsidR="00EF7834" w:rsidRPr="0056798F">
        <w:t>;</w:t>
      </w:r>
      <w:r w:rsidR="00BD3324" w:rsidRPr="0056798F">
        <w:t xml:space="preserve"> </w:t>
      </w:r>
    </w:p>
    <w:p w14:paraId="6DD4D38F" w14:textId="5474DDE3" w:rsidR="00BE7443" w:rsidRPr="0056798F" w:rsidRDefault="00BE7443" w:rsidP="00BE7443">
      <w:pPr>
        <w:pStyle w:val="NormalNonumber"/>
        <w:numPr>
          <w:ilvl w:val="1"/>
          <w:numId w:val="32"/>
        </w:numPr>
        <w:tabs>
          <w:tab w:val="clear" w:pos="2495"/>
          <w:tab w:val="num" w:pos="2380"/>
        </w:tabs>
      </w:pPr>
      <w:r w:rsidRPr="0056798F">
        <w:t>Divergences dans les données commerciales ;</w:t>
      </w:r>
    </w:p>
    <w:p w14:paraId="17544DA1" w14:textId="0CBA4386" w:rsidR="00467BEF" w:rsidRPr="0056798F" w:rsidRDefault="00BE7443" w:rsidP="00921C35">
      <w:pPr>
        <w:pStyle w:val="NormalNonumber"/>
        <w:numPr>
          <w:ilvl w:val="1"/>
          <w:numId w:val="13"/>
        </w:numPr>
        <w:tabs>
          <w:tab w:val="clear" w:pos="2495"/>
          <w:tab w:val="num" w:pos="2380"/>
        </w:tabs>
        <w:ind w:left="1247" w:firstLine="624"/>
      </w:pPr>
      <w:r w:rsidRPr="0056798F">
        <w:t xml:space="preserve">Manque de ressources pour le contrôle </w:t>
      </w:r>
      <w:r w:rsidR="001D71D7" w:rsidRPr="0056798F">
        <w:t>aux frontières et</w:t>
      </w:r>
      <w:r w:rsidR="00467BEF" w:rsidRPr="0056798F">
        <w:t xml:space="preserve"> </w:t>
      </w:r>
      <w:r w:rsidR="001D71D7" w:rsidRPr="0056798F">
        <w:t>d</w:t>
      </w:r>
      <w:r w:rsidR="00EA4125" w:rsidRPr="0056798F">
        <w:t>’</w:t>
      </w:r>
      <w:r w:rsidR="001D71D7" w:rsidRPr="0056798F">
        <w:t>infrastructures pour le mercure saisi</w:t>
      </w:r>
      <w:r w:rsidR="008447D4" w:rsidRPr="0056798F">
        <w:t> </w:t>
      </w:r>
      <w:r w:rsidR="00EF7834" w:rsidRPr="0056798F">
        <w:t>;</w:t>
      </w:r>
      <w:r w:rsidR="005912BF" w:rsidRPr="0056798F">
        <w:t xml:space="preserve"> </w:t>
      </w:r>
    </w:p>
    <w:p w14:paraId="1832E9F7" w14:textId="179074C4" w:rsidR="00467BEF" w:rsidRPr="0056798F" w:rsidRDefault="00B52D13" w:rsidP="005C3FE1">
      <w:pPr>
        <w:pStyle w:val="Normalnumber"/>
        <w:numPr>
          <w:ilvl w:val="1"/>
          <w:numId w:val="13"/>
        </w:numPr>
        <w:ind w:left="1247" w:firstLine="624"/>
        <w:rPr>
          <w:rFonts w:eastAsia="SimSun"/>
        </w:rPr>
      </w:pPr>
      <w:r w:rsidRPr="0056798F">
        <w:rPr>
          <w:rFonts w:eastAsia="SimSun"/>
        </w:rPr>
        <w:t>O</w:t>
      </w:r>
      <w:r w:rsidR="001D71D7" w:rsidRPr="0056798F">
        <w:rPr>
          <w:rFonts w:eastAsia="SimSun"/>
        </w:rPr>
        <w:t>rigine et importateur du mercure inconnus </w:t>
      </w:r>
      <w:r w:rsidR="00EF7834" w:rsidRPr="0056798F">
        <w:rPr>
          <w:rFonts w:eastAsia="SimSun"/>
        </w:rPr>
        <w:t>;</w:t>
      </w:r>
      <w:r w:rsidR="005912BF" w:rsidRPr="0056798F">
        <w:rPr>
          <w:rFonts w:eastAsia="SimSun"/>
        </w:rPr>
        <w:t xml:space="preserve"> </w:t>
      </w:r>
    </w:p>
    <w:p w14:paraId="74465F5A" w14:textId="1BDC31BC" w:rsidR="00467BEF" w:rsidRPr="0056798F" w:rsidRDefault="00B52D13" w:rsidP="005C3FE1">
      <w:pPr>
        <w:pStyle w:val="Normalnumber"/>
        <w:numPr>
          <w:ilvl w:val="1"/>
          <w:numId w:val="13"/>
        </w:numPr>
        <w:ind w:left="1247" w:firstLine="624"/>
        <w:rPr>
          <w:rFonts w:eastAsia="SimSun"/>
        </w:rPr>
      </w:pPr>
      <w:r w:rsidRPr="0056798F">
        <w:rPr>
          <w:rFonts w:eastAsia="SimSun"/>
        </w:rPr>
        <w:t>C</w:t>
      </w:r>
      <w:r w:rsidR="001D71D7" w:rsidRPr="0056798F">
        <w:rPr>
          <w:rFonts w:eastAsia="SimSun"/>
        </w:rPr>
        <w:t>ommerce illicite en ligne</w:t>
      </w:r>
      <w:r w:rsidR="005912BF" w:rsidRPr="0056798F">
        <w:rPr>
          <w:rFonts w:eastAsia="SimSun"/>
        </w:rPr>
        <w:t xml:space="preserve">. </w:t>
      </w:r>
    </w:p>
    <w:p w14:paraId="0F89931B" w14:textId="66FA3E97" w:rsidR="002529A2" w:rsidRPr="0056798F" w:rsidRDefault="00C019EC" w:rsidP="005C3FE1">
      <w:pPr>
        <w:pStyle w:val="Normalnumber"/>
      </w:pPr>
      <w:r w:rsidRPr="0056798F">
        <w:t>U</w:t>
      </w:r>
      <w:r w:rsidR="002529A2" w:rsidRPr="0056798F">
        <w:t xml:space="preserve">ne </w:t>
      </w:r>
      <w:r w:rsidR="00A54B91" w:rsidRPr="0056798F">
        <w:t>P</w:t>
      </w:r>
      <w:r w:rsidR="002529A2" w:rsidRPr="0056798F">
        <w:t>artie</w:t>
      </w:r>
      <w:r w:rsidR="00712004" w:rsidRPr="0056798F">
        <w:t xml:space="preserve"> (</w:t>
      </w:r>
      <w:r w:rsidR="008E5032" w:rsidRPr="0056798F">
        <w:rPr>
          <w:rFonts w:eastAsia="SimSun"/>
        </w:rPr>
        <w:t>Indonésie</w:t>
      </w:r>
      <w:r w:rsidR="00712004" w:rsidRPr="0056798F">
        <w:rPr>
          <w:rFonts w:eastAsia="SimSun"/>
        </w:rPr>
        <w:t xml:space="preserve">) </w:t>
      </w:r>
      <w:r w:rsidR="002529A2" w:rsidRPr="0056798F">
        <w:rPr>
          <w:rFonts w:eastAsia="SimSun"/>
        </w:rPr>
        <w:t>a</w:t>
      </w:r>
      <w:r w:rsidR="00A54B91" w:rsidRPr="0056798F">
        <w:rPr>
          <w:rFonts w:eastAsia="SimSun"/>
        </w:rPr>
        <w:t>vait</w:t>
      </w:r>
      <w:r w:rsidR="002529A2" w:rsidRPr="0056798F">
        <w:rPr>
          <w:rFonts w:eastAsia="SimSun"/>
        </w:rPr>
        <w:t xml:space="preserve"> </w:t>
      </w:r>
      <w:r w:rsidR="00A54B91" w:rsidRPr="0056798F">
        <w:rPr>
          <w:rFonts w:eastAsia="SimSun"/>
        </w:rPr>
        <w:t>déclaré</w:t>
      </w:r>
      <w:r w:rsidR="002529A2" w:rsidRPr="0056798F">
        <w:rPr>
          <w:rFonts w:eastAsia="SimSun"/>
        </w:rPr>
        <w:t xml:space="preserve"> que les statistiques commerciales officielles n</w:t>
      </w:r>
      <w:r w:rsidR="00FB3BF3" w:rsidRPr="0056798F">
        <w:rPr>
          <w:rFonts w:eastAsia="SimSun"/>
        </w:rPr>
        <w:t xml:space="preserve">e </w:t>
      </w:r>
      <w:r w:rsidR="00A54B91" w:rsidRPr="0056798F">
        <w:rPr>
          <w:rFonts w:eastAsia="SimSun"/>
        </w:rPr>
        <w:t>faisaient état d</w:t>
      </w:r>
      <w:r w:rsidR="00EA4125" w:rsidRPr="0056798F">
        <w:rPr>
          <w:rFonts w:eastAsia="SimSun"/>
        </w:rPr>
        <w:t>’</w:t>
      </w:r>
      <w:r w:rsidR="008E5032" w:rsidRPr="0056798F">
        <w:rPr>
          <w:rFonts w:eastAsia="SimSun"/>
        </w:rPr>
        <w:t>aucune importation de mercure élémentaire en Indonésie au cours des dernières années. Or,</w:t>
      </w:r>
      <w:r w:rsidR="004459D7" w:rsidRPr="0056798F">
        <w:rPr>
          <w:rFonts w:eastAsia="SimSun"/>
        </w:rPr>
        <w:t> </w:t>
      </w:r>
      <w:r w:rsidR="001A7EE8" w:rsidRPr="0056798F">
        <w:rPr>
          <w:rFonts w:eastAsia="SimSun"/>
        </w:rPr>
        <w:t>les</w:t>
      </w:r>
      <w:r w:rsidR="004459D7" w:rsidRPr="0056798F">
        <w:rPr>
          <w:rFonts w:eastAsia="SimSun"/>
        </w:rPr>
        <w:t> </w:t>
      </w:r>
      <w:r w:rsidR="001A7EE8" w:rsidRPr="0056798F">
        <w:rPr>
          <w:rFonts w:eastAsia="SimSun"/>
        </w:rPr>
        <w:t xml:space="preserve">estimations figurant dans </w:t>
      </w:r>
      <w:r w:rsidR="008E5032" w:rsidRPr="0056798F">
        <w:rPr>
          <w:rFonts w:eastAsia="SimSun"/>
        </w:rPr>
        <w:t>son évaluation initiale prévue par la Convention de</w:t>
      </w:r>
      <w:r w:rsidR="006D13AB" w:rsidRPr="0056798F">
        <w:rPr>
          <w:rFonts w:eastAsia="SimSun"/>
        </w:rPr>
        <w:t> </w:t>
      </w:r>
      <w:r w:rsidR="008E5032" w:rsidRPr="0056798F">
        <w:rPr>
          <w:rFonts w:eastAsia="SimSun"/>
        </w:rPr>
        <w:t>Minamata</w:t>
      </w:r>
      <w:r w:rsidR="001A7EE8" w:rsidRPr="0056798F">
        <w:rPr>
          <w:rFonts w:eastAsia="SimSun"/>
        </w:rPr>
        <w:t xml:space="preserve"> </w:t>
      </w:r>
      <w:r w:rsidR="00FB3BF3" w:rsidRPr="0056798F">
        <w:rPr>
          <w:rFonts w:eastAsia="SimSun"/>
        </w:rPr>
        <w:t xml:space="preserve">indiquaient </w:t>
      </w:r>
      <w:r w:rsidR="001A7EE8" w:rsidRPr="0056798F">
        <w:rPr>
          <w:rFonts w:eastAsia="SimSun"/>
        </w:rPr>
        <w:t xml:space="preserve">une utilisation importante de mercure </w:t>
      </w:r>
      <w:r w:rsidR="00FB3BF3" w:rsidRPr="0056798F">
        <w:rPr>
          <w:rFonts w:eastAsia="SimSun"/>
        </w:rPr>
        <w:t>pour</w:t>
      </w:r>
      <w:r w:rsidR="001A7EE8" w:rsidRPr="0056798F">
        <w:t xml:space="preserve"> l</w:t>
      </w:r>
      <w:r w:rsidR="00EA4125" w:rsidRPr="0056798F">
        <w:t>’</w:t>
      </w:r>
      <w:r w:rsidR="001A7EE8" w:rsidRPr="0056798F">
        <w:rPr>
          <w:rFonts w:eastAsia="SimSun"/>
        </w:rPr>
        <w:t>extraction minière artisanale et à petite échelle d</w:t>
      </w:r>
      <w:r w:rsidR="00EA4125" w:rsidRPr="0056798F">
        <w:rPr>
          <w:rFonts w:eastAsia="SimSun"/>
        </w:rPr>
        <w:t>’</w:t>
      </w:r>
      <w:r w:rsidR="001A7EE8" w:rsidRPr="0056798F">
        <w:rPr>
          <w:rFonts w:eastAsia="SimSun"/>
        </w:rPr>
        <w:t>or, ce qui rév</w:t>
      </w:r>
      <w:r w:rsidR="00A54B91" w:rsidRPr="0056798F">
        <w:rPr>
          <w:rFonts w:eastAsia="SimSun"/>
        </w:rPr>
        <w:t>é</w:t>
      </w:r>
      <w:r w:rsidR="001A7EE8" w:rsidRPr="0056798F">
        <w:rPr>
          <w:rFonts w:eastAsia="SimSun"/>
        </w:rPr>
        <w:t>l</w:t>
      </w:r>
      <w:r w:rsidR="00A54B91" w:rsidRPr="0056798F">
        <w:rPr>
          <w:rFonts w:eastAsia="SimSun"/>
        </w:rPr>
        <w:t>ait</w:t>
      </w:r>
      <w:r w:rsidR="001A7EE8" w:rsidRPr="0056798F">
        <w:rPr>
          <w:rFonts w:eastAsia="SimSun"/>
        </w:rPr>
        <w:t xml:space="preserve"> un écart entre les importations déclarées et l</w:t>
      </w:r>
      <w:r w:rsidR="00EA4125" w:rsidRPr="0056798F">
        <w:rPr>
          <w:rFonts w:eastAsia="SimSun"/>
        </w:rPr>
        <w:t>’</w:t>
      </w:r>
      <w:r w:rsidR="001A7EE8" w:rsidRPr="0056798F">
        <w:rPr>
          <w:rFonts w:eastAsia="SimSun"/>
        </w:rPr>
        <w:t xml:space="preserve">utilisation réelle. La même </w:t>
      </w:r>
      <w:r w:rsidR="00AA3E00" w:rsidRPr="0056798F">
        <w:rPr>
          <w:rFonts w:eastAsia="SimSun"/>
        </w:rPr>
        <w:t>P</w:t>
      </w:r>
      <w:r w:rsidR="001A7EE8" w:rsidRPr="0056798F">
        <w:rPr>
          <w:rFonts w:eastAsia="SimSun"/>
        </w:rPr>
        <w:t>artie a</w:t>
      </w:r>
      <w:r w:rsidR="00AA3E00" w:rsidRPr="0056798F">
        <w:rPr>
          <w:rFonts w:eastAsia="SimSun"/>
        </w:rPr>
        <w:t>vait</w:t>
      </w:r>
      <w:r w:rsidR="001A7EE8" w:rsidRPr="0056798F">
        <w:rPr>
          <w:rFonts w:eastAsia="SimSun"/>
        </w:rPr>
        <w:t xml:space="preserve"> également souligné que </w:t>
      </w:r>
      <w:r w:rsidR="00FB3BF3" w:rsidRPr="0056798F">
        <w:rPr>
          <w:rFonts w:eastAsia="SimSun"/>
        </w:rPr>
        <w:t>c</w:t>
      </w:r>
      <w:r w:rsidR="001A7EE8" w:rsidRPr="0056798F">
        <w:rPr>
          <w:rFonts w:eastAsia="SimSun"/>
        </w:rPr>
        <w:t xml:space="preserve">ette divergence </w:t>
      </w:r>
      <w:r w:rsidR="00AA3E00" w:rsidRPr="0056798F">
        <w:rPr>
          <w:rFonts w:eastAsia="SimSun"/>
        </w:rPr>
        <w:t>trahissait</w:t>
      </w:r>
      <w:r w:rsidR="001A7EE8" w:rsidRPr="0056798F">
        <w:rPr>
          <w:rFonts w:eastAsia="SimSun"/>
        </w:rPr>
        <w:t xml:space="preserve"> l</w:t>
      </w:r>
      <w:r w:rsidR="00EA4125" w:rsidRPr="0056798F">
        <w:rPr>
          <w:rFonts w:eastAsia="SimSun"/>
        </w:rPr>
        <w:t>’</w:t>
      </w:r>
      <w:r w:rsidR="001A7EE8" w:rsidRPr="0056798F">
        <w:rPr>
          <w:rFonts w:eastAsia="SimSun"/>
        </w:rPr>
        <w:t>existence d</w:t>
      </w:r>
      <w:r w:rsidR="00EA4125" w:rsidRPr="0056798F">
        <w:rPr>
          <w:rFonts w:eastAsia="SimSun"/>
        </w:rPr>
        <w:t>’</w:t>
      </w:r>
      <w:r w:rsidR="001A7EE8" w:rsidRPr="0056798F">
        <w:rPr>
          <w:rFonts w:eastAsia="SimSun"/>
        </w:rPr>
        <w:t xml:space="preserve">un commerce de mercure non déclaré et illicite. Une autre </w:t>
      </w:r>
      <w:r w:rsidR="00AA3E00" w:rsidRPr="0056798F">
        <w:rPr>
          <w:rFonts w:eastAsia="SimSun"/>
        </w:rPr>
        <w:t>P</w:t>
      </w:r>
      <w:r w:rsidR="001A7EE8" w:rsidRPr="0056798F">
        <w:rPr>
          <w:rFonts w:eastAsia="SimSun"/>
        </w:rPr>
        <w:t>artie (Burkina Faso) a</w:t>
      </w:r>
      <w:r w:rsidR="00243FE7" w:rsidRPr="0056798F">
        <w:rPr>
          <w:rFonts w:eastAsia="SimSun"/>
        </w:rPr>
        <w:t>vait</w:t>
      </w:r>
      <w:r w:rsidR="001A7EE8" w:rsidRPr="0056798F">
        <w:rPr>
          <w:rFonts w:eastAsia="SimSun"/>
        </w:rPr>
        <w:t xml:space="preserve"> soumis des informations sur l</w:t>
      </w:r>
      <w:r w:rsidR="00EA4125" w:rsidRPr="0056798F">
        <w:rPr>
          <w:rFonts w:eastAsia="SimSun"/>
        </w:rPr>
        <w:t>’</w:t>
      </w:r>
      <w:r w:rsidR="001A7EE8" w:rsidRPr="0056798F">
        <w:rPr>
          <w:rFonts w:eastAsia="SimSun"/>
        </w:rPr>
        <w:t xml:space="preserve">existence </w:t>
      </w:r>
      <w:r w:rsidR="00902E0E" w:rsidRPr="0056798F">
        <w:rPr>
          <w:rFonts w:eastAsia="SimSun"/>
        </w:rPr>
        <w:t>d</w:t>
      </w:r>
      <w:r w:rsidR="00EA4125" w:rsidRPr="0056798F">
        <w:rPr>
          <w:rFonts w:eastAsia="SimSun"/>
        </w:rPr>
        <w:t>’</w:t>
      </w:r>
      <w:r w:rsidR="00902E0E" w:rsidRPr="0056798F">
        <w:rPr>
          <w:rFonts w:eastAsia="SimSun"/>
        </w:rPr>
        <w:t xml:space="preserve">un commerce illicite et non déclaré </w:t>
      </w:r>
      <w:r w:rsidR="00FE01CB" w:rsidRPr="0056798F">
        <w:rPr>
          <w:rFonts w:eastAsia="SimSun"/>
        </w:rPr>
        <w:t xml:space="preserve">en </w:t>
      </w:r>
      <w:r w:rsidR="00902E0E" w:rsidRPr="0056798F">
        <w:rPr>
          <w:rFonts w:eastAsia="SimSun"/>
        </w:rPr>
        <w:t>provenan</w:t>
      </w:r>
      <w:r w:rsidR="00FE01CB" w:rsidRPr="0056798F">
        <w:rPr>
          <w:rFonts w:eastAsia="SimSun"/>
        </w:rPr>
        <w:t>ce</w:t>
      </w:r>
      <w:r w:rsidR="00902E0E" w:rsidRPr="0056798F">
        <w:rPr>
          <w:rFonts w:eastAsia="SimSun"/>
        </w:rPr>
        <w:t xml:space="preserve"> d</w:t>
      </w:r>
      <w:r w:rsidR="00EA4125" w:rsidRPr="0056798F">
        <w:rPr>
          <w:rFonts w:eastAsia="SimSun"/>
        </w:rPr>
        <w:t>’</w:t>
      </w:r>
      <w:r w:rsidR="00902E0E" w:rsidRPr="0056798F">
        <w:rPr>
          <w:rFonts w:eastAsia="SimSun"/>
        </w:rPr>
        <w:t xml:space="preserve">une autre </w:t>
      </w:r>
      <w:r w:rsidR="00243FE7" w:rsidRPr="0056798F">
        <w:rPr>
          <w:rFonts w:eastAsia="SimSun"/>
        </w:rPr>
        <w:t>P</w:t>
      </w:r>
      <w:r w:rsidR="00902E0E" w:rsidRPr="0056798F">
        <w:rPr>
          <w:rFonts w:eastAsia="SimSun"/>
        </w:rPr>
        <w:t>artie</w:t>
      </w:r>
      <w:r w:rsidR="00A939A3" w:rsidRPr="0056798F">
        <w:rPr>
          <w:rFonts w:eastAsia="SimSun"/>
        </w:rPr>
        <w:t>,</w:t>
      </w:r>
      <w:r w:rsidR="00902E0E" w:rsidRPr="0056798F">
        <w:rPr>
          <w:rFonts w:eastAsia="SimSun"/>
        </w:rPr>
        <w:t xml:space="preserve"> ainsi que d</w:t>
      </w:r>
      <w:r w:rsidR="00EA4125" w:rsidRPr="0056798F">
        <w:rPr>
          <w:rFonts w:eastAsia="SimSun"/>
        </w:rPr>
        <w:t>’</w:t>
      </w:r>
      <w:r w:rsidR="00902E0E" w:rsidRPr="0056798F">
        <w:rPr>
          <w:rFonts w:eastAsia="SimSun"/>
        </w:rPr>
        <w:t xml:space="preserve">une réexportation illicite de mercure </w:t>
      </w:r>
      <w:r w:rsidR="00243FE7" w:rsidRPr="0056798F">
        <w:rPr>
          <w:rFonts w:eastAsia="SimSun"/>
        </w:rPr>
        <w:t xml:space="preserve">vers </w:t>
      </w:r>
      <w:r w:rsidR="00902E0E" w:rsidRPr="0056798F">
        <w:rPr>
          <w:rFonts w:eastAsia="SimSun"/>
        </w:rPr>
        <w:t>d</w:t>
      </w:r>
      <w:r w:rsidR="00EA4125" w:rsidRPr="0056798F">
        <w:rPr>
          <w:rFonts w:eastAsia="SimSun"/>
        </w:rPr>
        <w:t>’</w:t>
      </w:r>
      <w:r w:rsidR="00902E0E" w:rsidRPr="0056798F">
        <w:rPr>
          <w:rFonts w:eastAsia="SimSun"/>
        </w:rPr>
        <w:t xml:space="preserve">autres </w:t>
      </w:r>
      <w:r w:rsidR="00243FE7" w:rsidRPr="0056798F">
        <w:rPr>
          <w:rFonts w:eastAsia="SimSun"/>
        </w:rPr>
        <w:t>P</w:t>
      </w:r>
      <w:r w:rsidR="00902E0E" w:rsidRPr="0056798F">
        <w:rPr>
          <w:rFonts w:eastAsia="SimSun"/>
        </w:rPr>
        <w:t xml:space="preserve">arties dans la région </w:t>
      </w:r>
      <w:r w:rsidR="000A3EBE" w:rsidRPr="0056798F">
        <w:rPr>
          <w:rFonts w:eastAsia="SimSun"/>
        </w:rPr>
        <w:t>en vue de son</w:t>
      </w:r>
      <w:r w:rsidR="00902E0E" w:rsidRPr="0056798F">
        <w:rPr>
          <w:rFonts w:eastAsia="SimSun"/>
        </w:rPr>
        <w:t xml:space="preserve"> utilisation dans l</w:t>
      </w:r>
      <w:r w:rsidR="00EA4125" w:rsidRPr="0056798F">
        <w:rPr>
          <w:rFonts w:eastAsia="SimSun"/>
        </w:rPr>
        <w:t>’</w:t>
      </w:r>
      <w:r w:rsidR="00902E0E" w:rsidRPr="0056798F">
        <w:rPr>
          <w:rFonts w:eastAsia="SimSun"/>
        </w:rPr>
        <w:t>extraction minière artisanale et à petite échelle d</w:t>
      </w:r>
      <w:r w:rsidR="00EA4125" w:rsidRPr="0056798F">
        <w:rPr>
          <w:rFonts w:eastAsia="SimSun"/>
        </w:rPr>
        <w:t>’</w:t>
      </w:r>
      <w:r w:rsidR="00902E0E" w:rsidRPr="0056798F">
        <w:rPr>
          <w:rFonts w:eastAsia="SimSun"/>
        </w:rPr>
        <w:t>or</w:t>
      </w:r>
      <w:r w:rsidR="005B46EA" w:rsidRPr="0056798F">
        <w:rPr>
          <w:rFonts w:eastAsia="SimSun"/>
        </w:rPr>
        <w:t xml:space="preserve">. </w:t>
      </w:r>
    </w:p>
    <w:p w14:paraId="136C8263" w14:textId="6604B92B" w:rsidR="006D441A" w:rsidRPr="0056798F" w:rsidRDefault="006D441A" w:rsidP="00585DBD">
      <w:pPr>
        <w:pStyle w:val="Normalnumber"/>
      </w:pPr>
      <w:r w:rsidRPr="0056798F">
        <w:t xml:space="preserve">Une </w:t>
      </w:r>
      <w:r w:rsidR="00697A7A" w:rsidRPr="0056798F">
        <w:t>P</w:t>
      </w:r>
      <w:r w:rsidRPr="0056798F">
        <w:t>artie</w:t>
      </w:r>
      <w:r w:rsidR="00712004" w:rsidRPr="0056798F">
        <w:t xml:space="preserve"> (</w:t>
      </w:r>
      <w:r w:rsidR="00712004" w:rsidRPr="0056798F">
        <w:rPr>
          <w:rFonts w:eastAsia="SimSun"/>
        </w:rPr>
        <w:t>Indon</w:t>
      </w:r>
      <w:r w:rsidRPr="0056798F">
        <w:rPr>
          <w:rFonts w:eastAsia="SimSun"/>
        </w:rPr>
        <w:t>ésie</w:t>
      </w:r>
      <w:r w:rsidR="00712004" w:rsidRPr="0056798F">
        <w:rPr>
          <w:rFonts w:eastAsia="SimSun"/>
        </w:rPr>
        <w:t xml:space="preserve">) </w:t>
      </w:r>
      <w:r w:rsidRPr="0056798F">
        <w:rPr>
          <w:rFonts w:eastAsia="SimSun"/>
        </w:rPr>
        <w:t>a fourni des</w:t>
      </w:r>
      <w:r w:rsidR="00712004" w:rsidRPr="0056798F">
        <w:t xml:space="preserve"> information</w:t>
      </w:r>
      <w:r w:rsidRPr="0056798F">
        <w:t>s sur des activités illicites d</w:t>
      </w:r>
      <w:r w:rsidR="00EA4125" w:rsidRPr="0056798F">
        <w:t>’</w:t>
      </w:r>
      <w:r w:rsidRPr="0056798F">
        <w:t>extraction primaire</w:t>
      </w:r>
      <w:r w:rsidR="007D6861" w:rsidRPr="0056798F">
        <w:t xml:space="preserve"> </w:t>
      </w:r>
      <w:r w:rsidRPr="0056798F">
        <w:t xml:space="preserve">constatées sur son territoire </w:t>
      </w:r>
      <w:r w:rsidR="00697A7A" w:rsidRPr="0056798F">
        <w:t>qui constituait</w:t>
      </w:r>
      <w:r w:rsidRPr="0056798F">
        <w:t xml:space="preserve"> une source potentielle de mercure et un obstacle à la mise en œuvre de l</w:t>
      </w:r>
      <w:r w:rsidR="00EA4125" w:rsidRPr="0056798F">
        <w:t>’</w:t>
      </w:r>
      <w:r w:rsidRPr="0056798F">
        <w:t>article</w:t>
      </w:r>
      <w:r w:rsidR="006D13AB" w:rsidRPr="0056798F">
        <w:t> </w:t>
      </w:r>
      <w:r w:rsidRPr="0056798F">
        <w:t xml:space="preserve">3. </w:t>
      </w:r>
      <w:r w:rsidR="005B46EA" w:rsidRPr="0056798F">
        <w:t>L</w:t>
      </w:r>
      <w:r w:rsidR="00347D98" w:rsidRPr="0056798F">
        <w:t>a Partie a</w:t>
      </w:r>
      <w:r w:rsidR="005B46EA" w:rsidRPr="0056798F">
        <w:t xml:space="preserve"> également </w:t>
      </w:r>
      <w:r w:rsidR="00347D98" w:rsidRPr="0056798F">
        <w:t xml:space="preserve">rendu compte </w:t>
      </w:r>
      <w:r w:rsidR="005B46EA" w:rsidRPr="0056798F">
        <w:t xml:space="preserve">des efforts </w:t>
      </w:r>
      <w:r w:rsidR="00347D98" w:rsidRPr="0056798F">
        <w:t xml:space="preserve">de son </w:t>
      </w:r>
      <w:r w:rsidR="004C777C" w:rsidRPr="0056798F">
        <w:t xml:space="preserve">gouvernement </w:t>
      </w:r>
      <w:r w:rsidR="00347D98" w:rsidRPr="0056798F">
        <w:t xml:space="preserve">et </w:t>
      </w:r>
      <w:r w:rsidR="00F76B99" w:rsidRPr="0056798F">
        <w:t xml:space="preserve">de ses forces de police </w:t>
      </w:r>
      <w:r w:rsidR="005B46EA" w:rsidRPr="0056798F">
        <w:t>pour contrôler l</w:t>
      </w:r>
      <w:r w:rsidR="00EA4125" w:rsidRPr="0056798F">
        <w:t>’</w:t>
      </w:r>
      <w:r w:rsidR="005B46EA" w:rsidRPr="0056798F">
        <w:t xml:space="preserve">extraction minière illicite de cinabre </w:t>
      </w:r>
      <w:r w:rsidR="00F76B99" w:rsidRPr="0056798F">
        <w:t>en vue de son élimination</w:t>
      </w:r>
      <w:r w:rsidR="005B46EA" w:rsidRPr="0056798F">
        <w:t>.</w:t>
      </w:r>
    </w:p>
    <w:p w14:paraId="19CA9927" w14:textId="58198FAC" w:rsidR="00031373" w:rsidRPr="0056798F" w:rsidRDefault="004A30B5" w:rsidP="002533BD">
      <w:pPr>
        <w:pStyle w:val="Normalnumber"/>
        <w:keepNext/>
        <w:keepLines/>
      </w:pPr>
      <w:r w:rsidRPr="0056798F">
        <w:lastRenderedPageBreak/>
        <w:t xml:space="preserve">Les </w:t>
      </w:r>
      <w:r w:rsidR="005912BF" w:rsidRPr="0056798F">
        <w:t xml:space="preserve">Parties </w:t>
      </w:r>
      <w:r w:rsidRPr="0056798F">
        <w:t xml:space="preserve">ont également </w:t>
      </w:r>
      <w:r w:rsidR="00FE7915" w:rsidRPr="0056798F">
        <w:t>fait part de leur</w:t>
      </w:r>
      <w:r w:rsidR="005912BF" w:rsidRPr="0056798F">
        <w:t xml:space="preserve"> exp</w:t>
      </w:r>
      <w:r w:rsidR="00FE7915" w:rsidRPr="0056798F">
        <w:t>é</w:t>
      </w:r>
      <w:r w:rsidR="005912BF" w:rsidRPr="0056798F">
        <w:t xml:space="preserve">rience </w:t>
      </w:r>
      <w:r w:rsidRPr="0056798F">
        <w:t>sur l</w:t>
      </w:r>
      <w:r w:rsidR="009650F2" w:rsidRPr="0056798F">
        <w:t>es</w:t>
      </w:r>
      <w:r w:rsidRPr="0056798F">
        <w:t xml:space="preserve"> manière</w:t>
      </w:r>
      <w:r w:rsidR="009650F2" w:rsidRPr="0056798F">
        <w:t>s</w:t>
      </w:r>
      <w:r w:rsidRPr="0056798F">
        <w:t xml:space="preserve"> dont </w:t>
      </w:r>
      <w:r w:rsidR="009650F2" w:rsidRPr="0056798F">
        <w:t>elle</w:t>
      </w:r>
      <w:r w:rsidRPr="0056798F">
        <w:t>s appu</w:t>
      </w:r>
      <w:r w:rsidR="00FE7915" w:rsidRPr="0056798F">
        <w:t>yai</w:t>
      </w:r>
      <w:r w:rsidRPr="0056798F">
        <w:t>ent la mise en œuvre de l</w:t>
      </w:r>
      <w:r w:rsidR="00EA4125" w:rsidRPr="0056798F">
        <w:t>’</w:t>
      </w:r>
      <w:r w:rsidR="00A5716C" w:rsidRPr="0056798F">
        <w:t>article</w:t>
      </w:r>
      <w:r w:rsidR="006D13AB" w:rsidRPr="0056798F">
        <w:t> </w:t>
      </w:r>
      <w:r w:rsidR="003C737B" w:rsidRPr="0056798F">
        <w:t xml:space="preserve">3, </w:t>
      </w:r>
      <w:r w:rsidRPr="0056798F">
        <w:t>notamment </w:t>
      </w:r>
      <w:r w:rsidR="00031373" w:rsidRPr="0056798F">
        <w:t>:</w:t>
      </w:r>
    </w:p>
    <w:p w14:paraId="0C623E9E" w14:textId="53CDCDFA" w:rsidR="00C600B8" w:rsidRPr="0056798F" w:rsidRDefault="00F4586F" w:rsidP="00BE7443">
      <w:pPr>
        <w:pStyle w:val="Normalnumber"/>
        <w:keepNext/>
        <w:keepLines/>
        <w:numPr>
          <w:ilvl w:val="0"/>
          <w:numId w:val="0"/>
        </w:numPr>
        <w:tabs>
          <w:tab w:val="clear" w:pos="1814"/>
          <w:tab w:val="clear" w:pos="2495"/>
        </w:tabs>
        <w:ind w:left="1274" w:firstLine="560"/>
      </w:pPr>
      <w:r w:rsidRPr="0056798F">
        <w:t>a)</w:t>
      </w:r>
      <w:r w:rsidRPr="0056798F">
        <w:tab/>
      </w:r>
      <w:r w:rsidR="00532DB5" w:rsidRPr="0056798F">
        <w:t>D</w:t>
      </w:r>
      <w:r w:rsidR="00C8534D" w:rsidRPr="0056798F">
        <w:t xml:space="preserve">es législations et réglementations nationales </w:t>
      </w:r>
      <w:r w:rsidR="00532DB5" w:rsidRPr="0056798F">
        <w:t>pour</w:t>
      </w:r>
      <w:r w:rsidR="00C8534D" w:rsidRPr="0056798F">
        <w:t xml:space="preserve"> contrôler le commerce, adoptées conformément à l</w:t>
      </w:r>
      <w:r w:rsidR="00EA4125" w:rsidRPr="0056798F">
        <w:t>’</w:t>
      </w:r>
      <w:r w:rsidR="00C600B8" w:rsidRPr="0056798F">
        <w:t>article 3</w:t>
      </w:r>
      <w:r w:rsidR="00C8534D" w:rsidRPr="0056798F">
        <w:t> </w:t>
      </w:r>
      <w:r w:rsidR="009467DE" w:rsidRPr="0056798F">
        <w:t>;</w:t>
      </w:r>
    </w:p>
    <w:p w14:paraId="3008F7E2" w14:textId="2A58A21E" w:rsidR="009467DE" w:rsidRPr="0056798F" w:rsidRDefault="00F4586F" w:rsidP="005508F3">
      <w:pPr>
        <w:pStyle w:val="Normalnumber"/>
        <w:numPr>
          <w:ilvl w:val="0"/>
          <w:numId w:val="0"/>
        </w:numPr>
        <w:tabs>
          <w:tab w:val="clear" w:pos="1814"/>
          <w:tab w:val="clear" w:pos="2495"/>
        </w:tabs>
        <w:ind w:left="1274" w:firstLine="560"/>
      </w:pPr>
      <w:r w:rsidRPr="0056798F">
        <w:t>b)</w:t>
      </w:r>
      <w:r w:rsidRPr="0056798F">
        <w:tab/>
      </w:r>
      <w:r w:rsidR="00532DB5" w:rsidRPr="0056798F">
        <w:t>D</w:t>
      </w:r>
      <w:r w:rsidR="00E8753C" w:rsidRPr="0056798F">
        <w:t>es</w:t>
      </w:r>
      <w:r w:rsidR="009467DE" w:rsidRPr="0056798F">
        <w:t xml:space="preserve"> initi</w:t>
      </w:r>
      <w:r w:rsidR="00790309" w:rsidRPr="0056798F">
        <w:t>a</w:t>
      </w:r>
      <w:r w:rsidR="009467DE" w:rsidRPr="0056798F">
        <w:t xml:space="preserve">tives </w:t>
      </w:r>
      <w:r w:rsidR="00E8753C" w:rsidRPr="0056798F">
        <w:t xml:space="preserve">nationales </w:t>
      </w:r>
      <w:r w:rsidR="00532DB5" w:rsidRPr="0056798F">
        <w:t>pour</w:t>
      </w:r>
      <w:r w:rsidR="00E8753C" w:rsidRPr="0056798F">
        <w:t xml:space="preserve"> remédier au problème du commerce illicite de mercure</w:t>
      </w:r>
      <w:r w:rsidR="009467DE" w:rsidRPr="0056798F">
        <w:t xml:space="preserve">, </w:t>
      </w:r>
      <w:r w:rsidR="00E8753C" w:rsidRPr="0056798F">
        <w:t>y</w:t>
      </w:r>
      <w:r w:rsidR="00C16E37" w:rsidRPr="0056798F">
        <w:t> </w:t>
      </w:r>
      <w:r w:rsidR="00E8753C" w:rsidRPr="0056798F">
        <w:t xml:space="preserve">compris </w:t>
      </w:r>
      <w:r w:rsidR="00532DB5" w:rsidRPr="0056798F">
        <w:t>le</w:t>
      </w:r>
      <w:r w:rsidR="00E8753C" w:rsidRPr="0056798F">
        <w:t xml:space="preserve"> commerce en ligne </w:t>
      </w:r>
      <w:r w:rsidR="009467DE" w:rsidRPr="0056798F">
        <w:t xml:space="preserve">; </w:t>
      </w:r>
    </w:p>
    <w:p w14:paraId="631A73B0" w14:textId="283A37DF" w:rsidR="00C600B8" w:rsidRPr="0056798F" w:rsidRDefault="00F4586F" w:rsidP="005508F3">
      <w:pPr>
        <w:pStyle w:val="Normalnumber"/>
        <w:numPr>
          <w:ilvl w:val="0"/>
          <w:numId w:val="0"/>
        </w:numPr>
        <w:tabs>
          <w:tab w:val="clear" w:pos="1814"/>
          <w:tab w:val="clear" w:pos="2495"/>
        </w:tabs>
        <w:ind w:left="1274" w:firstLine="560"/>
      </w:pPr>
      <w:r w:rsidRPr="0056798F">
        <w:t>c)</w:t>
      </w:r>
      <w:r w:rsidRPr="0056798F">
        <w:tab/>
      </w:r>
      <w:r w:rsidR="00532DB5" w:rsidRPr="0056798F">
        <w:t>D</w:t>
      </w:r>
      <w:r w:rsidR="008C1610" w:rsidRPr="0056798F">
        <w:t>es projets existants financés par le F</w:t>
      </w:r>
      <w:r w:rsidR="00532DB5" w:rsidRPr="0056798F">
        <w:t>EM</w:t>
      </w:r>
      <w:r w:rsidR="00E50B45" w:rsidRPr="0056798F">
        <w:t xml:space="preserve">, </w:t>
      </w:r>
      <w:r w:rsidR="008C1610" w:rsidRPr="0056798F">
        <w:t xml:space="preserve">tels que </w:t>
      </w:r>
      <w:proofErr w:type="spellStart"/>
      <w:r w:rsidR="00E50B45" w:rsidRPr="0056798F">
        <w:t>planetGOLD</w:t>
      </w:r>
      <w:proofErr w:type="spellEnd"/>
      <w:r w:rsidR="00F91D68" w:rsidRPr="0056798F">
        <w:t xml:space="preserve"> </w:t>
      </w:r>
      <w:r w:rsidR="008C1610" w:rsidRPr="0056798F">
        <w:t>et le Programme international spécifique</w:t>
      </w:r>
      <w:r w:rsidR="00BB4559" w:rsidRPr="0056798F">
        <w:rPr>
          <w:b/>
          <w:bCs/>
        </w:rPr>
        <w:t> </w:t>
      </w:r>
      <w:r w:rsidR="00013720" w:rsidRPr="0056798F">
        <w:t>;</w:t>
      </w:r>
      <w:r w:rsidR="00031373" w:rsidRPr="0056798F">
        <w:t xml:space="preserve"> </w:t>
      </w:r>
    </w:p>
    <w:p w14:paraId="08D517EF" w14:textId="6B291C47" w:rsidR="00B73911" w:rsidRPr="0056798F" w:rsidRDefault="00721E6C" w:rsidP="005508F3">
      <w:pPr>
        <w:pStyle w:val="Normalnumber"/>
        <w:numPr>
          <w:ilvl w:val="0"/>
          <w:numId w:val="0"/>
        </w:numPr>
        <w:tabs>
          <w:tab w:val="clear" w:pos="1814"/>
          <w:tab w:val="clear" w:pos="2495"/>
        </w:tabs>
        <w:ind w:left="1274" w:firstLine="560"/>
      </w:pPr>
      <w:r w:rsidRPr="0056798F">
        <w:t>d)</w:t>
      </w:r>
      <w:r w:rsidRPr="0056798F">
        <w:tab/>
      </w:r>
      <w:r w:rsidR="00532DB5" w:rsidRPr="0056798F">
        <w:t>D</w:t>
      </w:r>
      <w:r w:rsidR="00BB4559" w:rsidRPr="0056798F">
        <w:t>es projets pertinents financés, entre autres, par l</w:t>
      </w:r>
      <w:r w:rsidR="00EA4125" w:rsidRPr="0056798F">
        <w:t>’</w:t>
      </w:r>
      <w:r w:rsidR="00FE58F1" w:rsidRPr="0056798F">
        <w:t>organisation</w:t>
      </w:r>
      <w:r w:rsidR="00BB4559" w:rsidRPr="0056798F">
        <w:t xml:space="preserve"> </w:t>
      </w:r>
      <w:r w:rsidR="00D01BCC" w:rsidRPr="0056798F">
        <w:t>Artisanal Gold Council</w:t>
      </w:r>
      <w:r w:rsidR="00BB4559" w:rsidRPr="0056798F">
        <w:rPr>
          <w:b/>
          <w:bCs/>
        </w:rPr>
        <w:t> </w:t>
      </w:r>
      <w:r w:rsidR="00391EA1" w:rsidRPr="0056798F">
        <w:t>;</w:t>
      </w:r>
    </w:p>
    <w:p w14:paraId="7203DC00" w14:textId="4FCFBC02" w:rsidR="00757C34" w:rsidRPr="0056798F" w:rsidRDefault="00721E6C" w:rsidP="005508F3">
      <w:pPr>
        <w:pStyle w:val="Normalnumber"/>
        <w:numPr>
          <w:ilvl w:val="0"/>
          <w:numId w:val="0"/>
        </w:numPr>
        <w:tabs>
          <w:tab w:val="clear" w:pos="1814"/>
          <w:tab w:val="clear" w:pos="2495"/>
        </w:tabs>
        <w:ind w:left="1274" w:firstLine="560"/>
      </w:pPr>
      <w:r w:rsidRPr="0056798F">
        <w:t>e)</w:t>
      </w:r>
      <w:r w:rsidRPr="0056798F">
        <w:tab/>
      </w:r>
      <w:r w:rsidR="00532DB5" w:rsidRPr="0056798F">
        <w:t>D</w:t>
      </w:r>
      <w:r w:rsidR="00BB4559" w:rsidRPr="0056798F">
        <w:t xml:space="preserve">es </w:t>
      </w:r>
      <w:r w:rsidR="003E58A2" w:rsidRPr="0056798F">
        <w:t>e</w:t>
      </w:r>
      <w:r w:rsidR="00B73911" w:rsidRPr="0056798F">
        <w:t>x</w:t>
      </w:r>
      <w:r w:rsidR="00BB4559" w:rsidRPr="0056798F">
        <w:t>e</w:t>
      </w:r>
      <w:r w:rsidR="00B73911" w:rsidRPr="0056798F">
        <w:t>mpl</w:t>
      </w:r>
      <w:r w:rsidR="00792E5B" w:rsidRPr="0056798F">
        <w:t>e</w:t>
      </w:r>
      <w:r w:rsidR="00B73911" w:rsidRPr="0056798F">
        <w:t>s</w:t>
      </w:r>
      <w:r w:rsidR="00FE58F1" w:rsidRPr="0056798F">
        <w:t xml:space="preserve"> de mesures de répression</w:t>
      </w:r>
      <w:r w:rsidR="00B73911" w:rsidRPr="0056798F">
        <w:t xml:space="preserve"> </w:t>
      </w:r>
      <w:r w:rsidR="00532DB5" w:rsidRPr="0056798F">
        <w:t xml:space="preserve">relatives </w:t>
      </w:r>
      <w:r w:rsidR="00BB4559" w:rsidRPr="0056798F">
        <w:t>à des cas de commerce de mercure illicite ou non déclaré</w:t>
      </w:r>
      <w:r w:rsidR="00757C34" w:rsidRPr="0056798F">
        <w:t>.</w:t>
      </w:r>
    </w:p>
    <w:p w14:paraId="75BD180A" w14:textId="133716E1" w:rsidR="00382E35" w:rsidRPr="0056798F" w:rsidRDefault="00F04167" w:rsidP="00585DBD">
      <w:pPr>
        <w:pStyle w:val="Normalnumber"/>
      </w:pPr>
      <w:r w:rsidRPr="0056798F">
        <w:t xml:space="preserve">En outre, les </w:t>
      </w:r>
      <w:r w:rsidR="000D57C8" w:rsidRPr="0056798F">
        <w:t>P</w:t>
      </w:r>
      <w:r w:rsidRPr="0056798F">
        <w:t xml:space="preserve">arties ont fourni des informations sur les activités entreprises dans le cadre de la Déclaration de Bali. Le </w:t>
      </w:r>
      <w:bookmarkStart w:id="10" w:name="_Hlk206755731"/>
      <w:proofErr w:type="gramStart"/>
      <w:r w:rsidRPr="0056798F">
        <w:t>Ministère de l</w:t>
      </w:r>
      <w:r w:rsidR="00EA4125" w:rsidRPr="0056798F">
        <w:t>’</w:t>
      </w:r>
      <w:r w:rsidRPr="0056798F">
        <w:t>environnement</w:t>
      </w:r>
      <w:bookmarkEnd w:id="10"/>
      <w:proofErr w:type="gramEnd"/>
      <w:r w:rsidRPr="0056798F">
        <w:t xml:space="preserve"> de la République d</w:t>
      </w:r>
      <w:r w:rsidR="00EA4125" w:rsidRPr="0056798F">
        <w:t>’</w:t>
      </w:r>
      <w:r w:rsidRPr="0056798F">
        <w:t>Indonésie et le Ministère de l</w:t>
      </w:r>
      <w:r w:rsidR="00EA4125" w:rsidRPr="0056798F">
        <w:t>’</w:t>
      </w:r>
      <w:r w:rsidRPr="0056798F">
        <w:t>environnement du Japon ont organisé conjointement deux</w:t>
      </w:r>
      <w:r w:rsidR="0014566E" w:rsidRPr="0056798F">
        <w:t> </w:t>
      </w:r>
      <w:r w:rsidRPr="0056798F">
        <w:t xml:space="preserve">groupes de discussion </w:t>
      </w:r>
      <w:r w:rsidR="000D79BF" w:rsidRPr="0056798F">
        <w:t xml:space="preserve">ciblée </w:t>
      </w:r>
      <w:r w:rsidRPr="0056798F">
        <w:t>sur les difficultés rencontrées dans la lutte contre le commerce illicite de mercure en Indonésie et les bonnes pratiques en la matière. Les participant</w:t>
      </w:r>
      <w:r w:rsidR="00411CB9" w:rsidRPr="0056798F">
        <w:t>(e)</w:t>
      </w:r>
      <w:r w:rsidRPr="0056798F">
        <w:t>s</w:t>
      </w:r>
      <w:r w:rsidR="00411CB9" w:rsidRPr="0056798F">
        <w:t>,</w:t>
      </w:r>
      <w:r w:rsidR="009650F2" w:rsidRPr="0056798F">
        <w:t> qui comptaient</w:t>
      </w:r>
      <w:r w:rsidRPr="0056798F">
        <w:t xml:space="preserve"> des représentant</w:t>
      </w:r>
      <w:r w:rsidR="00411CB9" w:rsidRPr="0056798F">
        <w:t>(e)</w:t>
      </w:r>
      <w:r w:rsidRPr="0056798F">
        <w:t>s des ministères concernés, des autorités douanières et de</w:t>
      </w:r>
      <w:r w:rsidR="002F1292" w:rsidRPr="0056798F">
        <w:t>s</w:t>
      </w:r>
      <w:r w:rsidRPr="0056798F">
        <w:t xml:space="preserve"> services </w:t>
      </w:r>
      <w:r w:rsidR="00125F42" w:rsidRPr="0056798F">
        <w:t xml:space="preserve">chargés </w:t>
      </w:r>
      <w:r w:rsidRPr="0056798F">
        <w:t xml:space="preserve">de </w:t>
      </w:r>
      <w:r w:rsidR="00125F42" w:rsidRPr="0056798F">
        <w:t>l</w:t>
      </w:r>
      <w:r w:rsidR="00EA4125" w:rsidRPr="0056798F">
        <w:t>’</w:t>
      </w:r>
      <w:r w:rsidR="00125F42" w:rsidRPr="0056798F">
        <w:t>application de la loi</w:t>
      </w:r>
      <w:r w:rsidR="009650F2" w:rsidRPr="0056798F">
        <w:t>, ainsi que des</w:t>
      </w:r>
      <w:r w:rsidRPr="0056798F">
        <w:t xml:space="preserve"> observateur</w:t>
      </w:r>
      <w:r w:rsidR="00125F42" w:rsidRPr="0056798F">
        <w:t>(</w:t>
      </w:r>
      <w:proofErr w:type="spellStart"/>
      <w:r w:rsidR="00125F42" w:rsidRPr="0056798F">
        <w:t>rice</w:t>
      </w:r>
      <w:proofErr w:type="spellEnd"/>
      <w:r w:rsidR="00125F42" w:rsidRPr="0056798F">
        <w:t>)</w:t>
      </w:r>
      <w:r w:rsidRPr="0056798F">
        <w:t>s</w:t>
      </w:r>
      <w:r w:rsidR="00125F42" w:rsidRPr="0056798F">
        <w:t>,</w:t>
      </w:r>
      <w:r w:rsidRPr="0056798F">
        <w:t xml:space="preserve"> </w:t>
      </w:r>
      <w:r w:rsidR="009650F2" w:rsidRPr="0056798F">
        <w:t>s</w:t>
      </w:r>
      <w:r w:rsidRPr="0056798F">
        <w:t>ont convenu</w:t>
      </w:r>
      <w:r w:rsidR="00125F42" w:rsidRPr="0056798F">
        <w:t>(e)</w:t>
      </w:r>
      <w:r w:rsidR="009650F2" w:rsidRPr="0056798F">
        <w:t>s</w:t>
      </w:r>
      <w:r w:rsidRPr="0056798F">
        <w:t xml:space="preserve"> de nouvelles mesures devant être prises pour lutter contre le commerce </w:t>
      </w:r>
      <w:r w:rsidR="009650F2" w:rsidRPr="0056798F">
        <w:t xml:space="preserve">illicite </w:t>
      </w:r>
      <w:r w:rsidRPr="0056798F">
        <w:t>de mercure, en tenant compte de la Déclaration de Bali</w:t>
      </w:r>
      <w:r w:rsidRPr="0056798F">
        <w:rPr>
          <w:rStyle w:val="FootnoteReference"/>
        </w:rPr>
        <w:footnoteReference w:id="7"/>
      </w:r>
      <w:r w:rsidRPr="0056798F">
        <w:t xml:space="preserve">. Parmi les informations communiquées </w:t>
      </w:r>
      <w:r w:rsidR="00F73DC4" w:rsidRPr="0056798F">
        <w:t>en réponse</w:t>
      </w:r>
      <w:r w:rsidRPr="0056798F">
        <w:t xml:space="preserve"> au paragraphe 4 de la décision</w:t>
      </w:r>
      <w:r w:rsidR="0014566E" w:rsidRPr="0056798F">
        <w:t> </w:t>
      </w:r>
      <w:r w:rsidRPr="0056798F">
        <w:t>MC-5/2</w:t>
      </w:r>
      <w:r w:rsidRPr="0056798F">
        <w:rPr>
          <w:rStyle w:val="FootnoteReference"/>
        </w:rPr>
        <w:footnoteReference w:id="8"/>
      </w:r>
      <w:r w:rsidRPr="0056798F">
        <w:t>, l</w:t>
      </w:r>
      <w:r w:rsidR="00EA4125" w:rsidRPr="0056798F">
        <w:t>’</w:t>
      </w:r>
      <w:r w:rsidRPr="0056798F">
        <w:t xml:space="preserve">Indonésie a partagé une série de recommandations formulées par </w:t>
      </w:r>
      <w:proofErr w:type="gramStart"/>
      <w:r w:rsidRPr="0056798F">
        <w:t>les participant</w:t>
      </w:r>
      <w:proofErr w:type="gramEnd"/>
      <w:r w:rsidR="00125F42" w:rsidRPr="0056798F">
        <w:t>(e)</w:t>
      </w:r>
      <w:r w:rsidRPr="0056798F">
        <w:t xml:space="preserve">s aux discussions de groupe, pour guider les </w:t>
      </w:r>
      <w:r w:rsidR="00125F42" w:rsidRPr="0056798F">
        <w:t>P</w:t>
      </w:r>
      <w:r w:rsidRPr="0056798F">
        <w:t xml:space="preserve">arties concernées dans la </w:t>
      </w:r>
      <w:r w:rsidR="00CF55B5" w:rsidRPr="0056798F">
        <w:t>mise en œuvre</w:t>
      </w:r>
      <w:r w:rsidRPr="0056798F">
        <w:t xml:space="preserve"> de la Déclaration de Bali. Les recommandations comprennent des </w:t>
      </w:r>
      <w:r w:rsidR="00125F42" w:rsidRPr="0056798F">
        <w:t xml:space="preserve">mesures </w:t>
      </w:r>
      <w:r w:rsidRPr="0056798F">
        <w:t>nationales, régionales et mondiales pour renforcer les efforts de lutte contre le commerce illicite du mercure.</w:t>
      </w:r>
    </w:p>
    <w:p w14:paraId="1B4428AD" w14:textId="27CC7248" w:rsidR="00F04167" w:rsidRPr="0056798F" w:rsidRDefault="00F04167" w:rsidP="00585DBD">
      <w:pPr>
        <w:pStyle w:val="Normalnumber"/>
      </w:pPr>
      <w:r w:rsidRPr="0056798F">
        <w:t>Dix</w:t>
      </w:r>
      <w:r w:rsidR="00B66B31" w:rsidRPr="0056798F">
        <w:t> </w:t>
      </w:r>
      <w:r w:rsidR="004E19B5" w:rsidRPr="0056798F">
        <w:t>P</w:t>
      </w:r>
      <w:r w:rsidRPr="0056798F">
        <w:t xml:space="preserve">arties ont également soulevé le problème du trafic, du commerce illicite ou de la contrebande de mercure dans leurs deuxièmes rapports nationaux </w:t>
      </w:r>
      <w:r w:rsidR="00E558A8" w:rsidRPr="0056798F">
        <w:t>abrégés</w:t>
      </w:r>
      <w:r w:rsidRPr="0056798F">
        <w:t>, ainsi que lors de cycles antérieurs</w:t>
      </w:r>
      <w:r w:rsidR="00042029" w:rsidRPr="0056798F">
        <w:t xml:space="preserve"> </w:t>
      </w:r>
      <w:r w:rsidR="00E33CF1" w:rsidRPr="0056798F">
        <w:t>d</w:t>
      </w:r>
      <w:r w:rsidR="00EA4125" w:rsidRPr="0056798F">
        <w:t>’</w:t>
      </w:r>
      <w:r w:rsidR="00E33CF1" w:rsidRPr="0056798F">
        <w:t>établissement</w:t>
      </w:r>
      <w:r w:rsidR="00042029" w:rsidRPr="0056798F">
        <w:t xml:space="preserve"> de</w:t>
      </w:r>
      <w:r w:rsidR="00E33CF1" w:rsidRPr="0056798F">
        <w:t>s</w:t>
      </w:r>
      <w:r w:rsidR="00042029" w:rsidRPr="0056798F">
        <w:t xml:space="preserve"> rapports</w:t>
      </w:r>
      <w:r w:rsidRPr="0056798F">
        <w:t>, y</w:t>
      </w:r>
      <w:r w:rsidR="00504F1C" w:rsidRPr="0056798F">
        <w:t> </w:t>
      </w:r>
      <w:r w:rsidRPr="0056798F">
        <w:t xml:space="preserve">compris le commerce illicite de mercure </w:t>
      </w:r>
      <w:r w:rsidR="00DD660D" w:rsidRPr="0056798F">
        <w:t>en vue de son utilisation</w:t>
      </w:r>
      <w:r w:rsidR="006A6EBE" w:rsidRPr="0056798F">
        <w:t xml:space="preserve"> pour</w:t>
      </w:r>
      <w:r w:rsidRPr="0056798F">
        <w:t xml:space="preserve"> l</w:t>
      </w:r>
      <w:r w:rsidR="00EA4125" w:rsidRPr="0056798F">
        <w:t>’</w:t>
      </w:r>
      <w:r w:rsidRPr="0056798F">
        <w:t>extraction minière artisanale et à petite échelle d</w:t>
      </w:r>
      <w:r w:rsidR="00EA4125" w:rsidRPr="0056798F">
        <w:t>’</w:t>
      </w:r>
      <w:r w:rsidRPr="0056798F">
        <w:t>or. Par exemple, le Burkina Faso a</w:t>
      </w:r>
      <w:r w:rsidR="0099562A" w:rsidRPr="0056798F">
        <w:t> </w:t>
      </w:r>
      <w:r w:rsidR="009E2B80" w:rsidRPr="0056798F">
        <w:t>fait état d</w:t>
      </w:r>
      <w:r w:rsidR="00EA4125" w:rsidRPr="0056798F">
        <w:t>’</w:t>
      </w:r>
      <w:r w:rsidRPr="0056798F">
        <w:t>un commerce de mercure</w:t>
      </w:r>
      <w:r w:rsidR="00DD660D" w:rsidRPr="0056798F">
        <w:t xml:space="preserve"> intérieur</w:t>
      </w:r>
      <w:r w:rsidRPr="0056798F">
        <w:t xml:space="preserve"> illicite dans son deuxième rapport national </w:t>
      </w:r>
      <w:r w:rsidR="00DD660D" w:rsidRPr="0056798F">
        <w:t>abrégé</w:t>
      </w:r>
      <w:r w:rsidRPr="0056798F">
        <w:t xml:space="preserve">, </w:t>
      </w:r>
      <w:r w:rsidR="00154FB0" w:rsidRPr="0056798F">
        <w:t>bien</w:t>
      </w:r>
      <w:r w:rsidR="0099562A" w:rsidRPr="0056798F">
        <w:t> </w:t>
      </w:r>
      <w:r w:rsidRPr="0056798F">
        <w:t>qu</w:t>
      </w:r>
      <w:r w:rsidR="00EA4125" w:rsidRPr="0056798F">
        <w:t>’</w:t>
      </w:r>
      <w:r w:rsidRPr="0056798F">
        <w:t>il n</w:t>
      </w:r>
      <w:r w:rsidR="00EA4125" w:rsidRPr="0056798F">
        <w:t>’</w:t>
      </w:r>
      <w:r w:rsidRPr="0056798F">
        <w:t>ait indiqué aucun stock de mercure, aucune</w:t>
      </w:r>
      <w:r w:rsidR="00154FB0" w:rsidRPr="0056798F">
        <w:t xml:space="preserve"> activité</w:t>
      </w:r>
      <w:r w:rsidRPr="0056798F">
        <w:t xml:space="preserve"> </w:t>
      </w:r>
      <w:r w:rsidR="00154FB0" w:rsidRPr="0056798F">
        <w:t>d</w:t>
      </w:r>
      <w:r w:rsidR="00EA4125" w:rsidRPr="0056798F">
        <w:t>’</w:t>
      </w:r>
      <w:r w:rsidRPr="0056798F">
        <w:t>extraction primaire, ni aucun consentement à l</w:t>
      </w:r>
      <w:r w:rsidR="00EA4125" w:rsidRPr="0056798F">
        <w:t>’</w:t>
      </w:r>
      <w:r w:rsidRPr="0056798F">
        <w:t xml:space="preserve">importation de mercure depuis le </w:t>
      </w:r>
      <w:r w:rsidR="002B5DE1" w:rsidRPr="0056798F">
        <w:t xml:space="preserve">premier cycle </w:t>
      </w:r>
      <w:r w:rsidR="00154FB0" w:rsidRPr="0056798F">
        <w:t>d</w:t>
      </w:r>
      <w:r w:rsidR="00EA4125" w:rsidRPr="0056798F">
        <w:t>’</w:t>
      </w:r>
      <w:r w:rsidR="00154FB0" w:rsidRPr="0056798F">
        <w:t>établissement</w:t>
      </w:r>
      <w:r w:rsidR="002B5DE1" w:rsidRPr="0056798F">
        <w:t xml:space="preserve"> de</w:t>
      </w:r>
      <w:r w:rsidR="00154FB0" w:rsidRPr="0056798F">
        <w:t>s</w:t>
      </w:r>
      <w:r w:rsidR="002B5DE1" w:rsidRPr="0056798F">
        <w:t xml:space="preserve"> rapports</w:t>
      </w:r>
      <w:r w:rsidRPr="0056798F">
        <w:t>. Cette</w:t>
      </w:r>
      <w:r w:rsidR="00351E87" w:rsidRPr="0056798F">
        <w:t> </w:t>
      </w:r>
      <w:r w:rsidRPr="0056798F">
        <w:t>divergence concorde avec l</w:t>
      </w:r>
      <w:r w:rsidR="000D6018" w:rsidRPr="0056798F">
        <w:t xml:space="preserve">e signalement par </w:t>
      </w:r>
      <w:r w:rsidR="00911EB9" w:rsidRPr="0056798F">
        <w:t>la Partie</w:t>
      </w:r>
      <w:r w:rsidRPr="0056798F">
        <w:t xml:space="preserve"> de cas d</w:t>
      </w:r>
      <w:r w:rsidR="00EA4125" w:rsidRPr="0056798F">
        <w:t>’</w:t>
      </w:r>
      <w:r w:rsidRPr="0056798F">
        <w:t xml:space="preserve">importations de mercure illicites et non déclarées. Une autre </w:t>
      </w:r>
      <w:r w:rsidR="00911EB9" w:rsidRPr="0056798F">
        <w:t>P</w:t>
      </w:r>
      <w:r w:rsidRPr="0056798F">
        <w:t xml:space="preserve">artie (Philippines) a </w:t>
      </w:r>
      <w:r w:rsidR="003A28C7" w:rsidRPr="0056798F">
        <w:t>mentionn</w:t>
      </w:r>
      <w:r w:rsidRPr="0056798F">
        <w:t xml:space="preserve">é la poursuite du commerce illicite de mercure </w:t>
      </w:r>
      <w:r w:rsidR="00911EB9" w:rsidRPr="0056798F">
        <w:t>en vue de son</w:t>
      </w:r>
      <w:r w:rsidR="000D6018" w:rsidRPr="0056798F">
        <w:t xml:space="preserve"> utilis</w:t>
      </w:r>
      <w:r w:rsidR="00911EB9" w:rsidRPr="0056798F">
        <w:t>ation</w:t>
      </w:r>
      <w:r w:rsidR="000D6018" w:rsidRPr="0056798F">
        <w:t xml:space="preserve"> pour</w:t>
      </w:r>
      <w:r w:rsidRPr="0056798F">
        <w:t xml:space="preserve"> l</w:t>
      </w:r>
      <w:r w:rsidR="00EA4125" w:rsidRPr="0056798F">
        <w:t>’</w:t>
      </w:r>
      <w:r w:rsidRPr="0056798F">
        <w:t>extraction minière artisanale et à petite échelle d</w:t>
      </w:r>
      <w:r w:rsidR="00EA4125" w:rsidRPr="0056798F">
        <w:t>’</w:t>
      </w:r>
      <w:r w:rsidRPr="0056798F">
        <w:t xml:space="preserve">or, </w:t>
      </w:r>
      <w:r w:rsidR="001E0691" w:rsidRPr="0056798F">
        <w:t>que</w:t>
      </w:r>
      <w:r w:rsidRPr="0056798F">
        <w:t xml:space="preserve"> les cliniques dentaires</w:t>
      </w:r>
      <w:r w:rsidR="001E0691" w:rsidRPr="0056798F">
        <w:t xml:space="preserve"> vendent aux mineur(se)s</w:t>
      </w:r>
      <w:r w:rsidRPr="0056798F">
        <w:t>. Une autre partie (Ouganda) a signalé que du mercure de contrebande provenant d</w:t>
      </w:r>
      <w:r w:rsidR="00EA4125" w:rsidRPr="0056798F">
        <w:t>’</w:t>
      </w:r>
      <w:r w:rsidRPr="0056798F">
        <w:t>un autre pays s</w:t>
      </w:r>
      <w:r w:rsidR="00EA4125" w:rsidRPr="0056798F">
        <w:t>’</w:t>
      </w:r>
      <w:r w:rsidRPr="0056798F">
        <w:t>était retrouvé dans son secteur de l</w:t>
      </w:r>
      <w:r w:rsidR="00EA4125" w:rsidRPr="0056798F">
        <w:t>’</w:t>
      </w:r>
      <w:r w:rsidRPr="0056798F">
        <w:t>extraction minière artisanale et à petite échelle d</w:t>
      </w:r>
      <w:r w:rsidR="00EA4125" w:rsidRPr="0056798F">
        <w:t>’</w:t>
      </w:r>
      <w:r w:rsidRPr="0056798F">
        <w:t>or. Dans son examen des réponses portant sur</w:t>
      </w:r>
      <w:r w:rsidR="003A28C7" w:rsidRPr="0056798F">
        <w:t xml:space="preserve"> le</w:t>
      </w:r>
      <w:r w:rsidRPr="0056798F">
        <w:t xml:space="preserve"> commerce non conforme </w:t>
      </w:r>
      <w:r w:rsidR="003A28C7" w:rsidRPr="0056798F">
        <w:t>à</w:t>
      </w:r>
      <w:r w:rsidRPr="0056798F">
        <w:t xml:space="preserve"> l</w:t>
      </w:r>
      <w:r w:rsidR="00EA4125" w:rsidRPr="0056798F">
        <w:t>’</w:t>
      </w:r>
      <w:r w:rsidRPr="0056798F">
        <w:t>article</w:t>
      </w:r>
      <w:r w:rsidR="00C73E00" w:rsidRPr="0056798F">
        <w:t> </w:t>
      </w:r>
      <w:r w:rsidRPr="0056798F">
        <w:t xml:space="preserve">3 ou </w:t>
      </w:r>
      <w:r w:rsidR="003A28C7" w:rsidRPr="0056798F">
        <w:t>sur le</w:t>
      </w:r>
      <w:r w:rsidRPr="0056798F">
        <w:t xml:space="preserve"> commerce illicite pour les </w:t>
      </w:r>
      <w:r w:rsidR="00273EDA" w:rsidRPr="0056798F">
        <w:t>cycles antérieurs d</w:t>
      </w:r>
      <w:r w:rsidR="00EA4125" w:rsidRPr="0056798F">
        <w:t>’</w:t>
      </w:r>
      <w:r w:rsidR="001E0691" w:rsidRPr="0056798F">
        <w:t>établissement</w:t>
      </w:r>
      <w:r w:rsidR="00273EDA" w:rsidRPr="0056798F">
        <w:t xml:space="preserve"> de</w:t>
      </w:r>
      <w:r w:rsidR="001E0691" w:rsidRPr="0056798F">
        <w:t>s</w:t>
      </w:r>
      <w:r w:rsidR="00273EDA" w:rsidRPr="0056798F">
        <w:t xml:space="preserve"> rapports</w:t>
      </w:r>
      <w:r w:rsidRPr="0056798F">
        <w:t xml:space="preserve">, le secrétariat a </w:t>
      </w:r>
      <w:r w:rsidR="003A28C7" w:rsidRPr="0056798F">
        <w:t>r</w:t>
      </w:r>
      <w:r w:rsidRPr="0056798F">
        <w:t xml:space="preserve">ecensé neuf </w:t>
      </w:r>
      <w:r w:rsidR="001E0691" w:rsidRPr="0056798F">
        <w:t>P</w:t>
      </w:r>
      <w:r w:rsidRPr="0056798F">
        <w:t xml:space="preserve">arties au total qui </w:t>
      </w:r>
      <w:r w:rsidR="001E0691" w:rsidRPr="0056798F">
        <w:t>avaie</w:t>
      </w:r>
      <w:r w:rsidRPr="0056798F">
        <w:t xml:space="preserve">nt </w:t>
      </w:r>
      <w:r w:rsidR="001E0691" w:rsidRPr="0056798F">
        <w:t xml:space="preserve">signalé </w:t>
      </w:r>
      <w:r w:rsidRPr="0056798F">
        <w:t>un commerce illicite ou un commerce non conforme à la Convention, ou l</w:t>
      </w:r>
      <w:r w:rsidR="00EA4125" w:rsidRPr="0056798F">
        <w:t>’</w:t>
      </w:r>
      <w:r w:rsidR="001E0691" w:rsidRPr="0056798F">
        <w:t>avaie</w:t>
      </w:r>
      <w:r w:rsidRPr="0056798F">
        <w:t xml:space="preserve">nt mentionné comme constituant un </w:t>
      </w:r>
      <w:r w:rsidR="003A28C7" w:rsidRPr="0056798F">
        <w:t>obstacle à</w:t>
      </w:r>
      <w:r w:rsidRPr="0056798F">
        <w:t xml:space="preserve"> la mise en œuvre de la Convention. Pour de plus amples informations, voir l</w:t>
      </w:r>
      <w:r w:rsidR="00EA4125" w:rsidRPr="0056798F">
        <w:t>’</w:t>
      </w:r>
      <w:r w:rsidR="001E0691" w:rsidRPr="0056798F">
        <w:t>alinéa c) du</w:t>
      </w:r>
      <w:r w:rsidRPr="0056798F">
        <w:t xml:space="preserve"> paragraphe</w:t>
      </w:r>
      <w:r w:rsidR="00B54E59" w:rsidRPr="0056798F">
        <w:t> </w:t>
      </w:r>
      <w:r w:rsidR="00E4450E" w:rsidRPr="0056798F">
        <w:t>22</w:t>
      </w:r>
      <w:r w:rsidRPr="0056798F">
        <w:t xml:space="preserve"> du document UNEP/MC/COP.6/INF/20</w:t>
      </w:r>
      <w:r w:rsidR="003A28C7" w:rsidRPr="0056798F">
        <w:t>.</w:t>
      </w:r>
    </w:p>
    <w:p w14:paraId="72443D5D" w14:textId="066EF389" w:rsidR="001C63CF" w:rsidRPr="0056798F" w:rsidRDefault="00AC37ED" w:rsidP="00585DBD">
      <w:pPr>
        <w:pStyle w:val="Normalnumber"/>
      </w:pPr>
      <w:r w:rsidRPr="0056798F">
        <w:t>À l</w:t>
      </w:r>
      <w:r w:rsidR="00EA4125" w:rsidRPr="0056798F">
        <w:t>’</w:t>
      </w:r>
      <w:r w:rsidRPr="0056798F">
        <w:t>alinéa a) d</w:t>
      </w:r>
      <w:r w:rsidR="001C63CF" w:rsidRPr="0056798F">
        <w:t>u</w:t>
      </w:r>
      <w:r w:rsidR="00572D96" w:rsidRPr="0056798F">
        <w:t xml:space="preserve"> paragraph</w:t>
      </w:r>
      <w:r w:rsidR="001C63CF" w:rsidRPr="0056798F">
        <w:t>e </w:t>
      </w:r>
      <w:r w:rsidR="00572D96" w:rsidRPr="0056798F">
        <w:t xml:space="preserve">5 </w:t>
      </w:r>
      <w:r w:rsidR="001C63CF" w:rsidRPr="0056798F">
        <w:t>de l</w:t>
      </w:r>
      <w:r w:rsidR="00EA4125" w:rsidRPr="0056798F">
        <w:t>’</w:t>
      </w:r>
      <w:r w:rsidRPr="0056798F">
        <w:t>examen des questions de respect et de mise en œuvre qui figure dans l</w:t>
      </w:r>
      <w:r w:rsidR="00EA4125" w:rsidRPr="0056798F">
        <w:t>’</w:t>
      </w:r>
      <w:r w:rsidR="001C63CF" w:rsidRPr="0056798F">
        <w:t xml:space="preserve">annexe </w:t>
      </w:r>
      <w:r w:rsidRPr="0056798F">
        <w:t>d</w:t>
      </w:r>
      <w:r w:rsidR="001C63CF" w:rsidRPr="0056798F">
        <w:t>u rapport sur ses travaux</w:t>
      </w:r>
      <w:r w:rsidR="00572D96" w:rsidRPr="0056798F">
        <w:t xml:space="preserve"> (UNEP/MC/COP.6/14),</w:t>
      </w:r>
      <w:r w:rsidR="001C63CF" w:rsidRPr="0056798F">
        <w:t xml:space="preserve"> le Comité de mise en œuvre et du respect des obligations a fait part de ses préoccupations quant à la question du trafic, du commerce illicite et de la contrebande de mercure soulevée par certaines Parties dans leurs rapports nationaux et a souligné l</w:t>
      </w:r>
      <w:r w:rsidR="00EA4125" w:rsidRPr="0056798F">
        <w:t>’</w:t>
      </w:r>
      <w:r w:rsidR="001C63CF" w:rsidRPr="0056798F">
        <w:t>importance de la mise en œuvre et du respect des dispositions relatives au commerce contenues dans l</w:t>
      </w:r>
      <w:r w:rsidR="00EA4125" w:rsidRPr="0056798F">
        <w:t>’</w:t>
      </w:r>
      <w:r w:rsidR="001C63CF" w:rsidRPr="0056798F">
        <w:t>article</w:t>
      </w:r>
      <w:r w:rsidR="00CA3297" w:rsidRPr="0056798F">
        <w:t> </w:t>
      </w:r>
      <w:r w:rsidR="001C63CF" w:rsidRPr="0056798F">
        <w:t>3 de la Convention. Le Comité a en outre décidé de réexaminer cette question à sa réunion suivante à la lumière des informations compilées par le secrétariat conformément au paragraphe 4 de la décision</w:t>
      </w:r>
      <w:r w:rsidR="00CA3297" w:rsidRPr="0056798F">
        <w:t> </w:t>
      </w:r>
      <w:r w:rsidR="001C63CF" w:rsidRPr="0056798F">
        <w:t>MC-5/2</w:t>
      </w:r>
      <w:r w:rsidR="00D52452" w:rsidRPr="0056798F">
        <w:t>.</w:t>
      </w:r>
      <w:r w:rsidR="00572D96" w:rsidRPr="0056798F">
        <w:t xml:space="preserve"> </w:t>
      </w:r>
    </w:p>
    <w:p w14:paraId="455D671B" w14:textId="4100A5A7" w:rsidR="004A77D7" w:rsidRPr="0056798F" w:rsidRDefault="00792E5B" w:rsidP="00EA6D70">
      <w:pPr>
        <w:pStyle w:val="CH2"/>
      </w:pPr>
      <w:r w:rsidRPr="0056798F">
        <w:lastRenderedPageBreak/>
        <w:tab/>
      </w:r>
      <w:r w:rsidR="00EA6D70" w:rsidRPr="0056798F">
        <w:t>E.</w:t>
      </w:r>
      <w:r w:rsidR="007803A7" w:rsidRPr="0056798F">
        <w:tab/>
      </w:r>
      <w:r w:rsidRPr="0056798F">
        <w:t>Version mise à jour des actuelles orientations relatives aux stocks adoptées dans la décision</w:t>
      </w:r>
      <w:r w:rsidR="0047262A" w:rsidRPr="0056798F">
        <w:t> </w:t>
      </w:r>
      <w:r w:rsidRPr="0056798F">
        <w:t>MC-1/2, et orientations pour aider les Parties à dépister, gérer et réduire les échanges commerciaux de mercure issu de l</w:t>
      </w:r>
      <w:r w:rsidR="00EA4125" w:rsidRPr="0056798F">
        <w:t>’</w:t>
      </w:r>
      <w:r w:rsidRPr="0056798F">
        <w:t>extraction primaire (décision</w:t>
      </w:r>
      <w:r w:rsidR="0047262A" w:rsidRPr="0056798F">
        <w:t> </w:t>
      </w:r>
      <w:r w:rsidRPr="0056798F">
        <w:t xml:space="preserve">MC-5/2, </w:t>
      </w:r>
      <w:r w:rsidR="00DC3E8F" w:rsidRPr="0056798F">
        <w:t>alinéas a) et e) du paragraphe</w:t>
      </w:r>
      <w:r w:rsidR="0047262A" w:rsidRPr="0056798F">
        <w:t> </w:t>
      </w:r>
      <w:r w:rsidR="00DC3E8F" w:rsidRPr="0056798F">
        <w:t>5 et paragraphe</w:t>
      </w:r>
      <w:r w:rsidR="0047262A" w:rsidRPr="0056798F">
        <w:t> </w:t>
      </w:r>
      <w:r w:rsidR="00DC3E8F" w:rsidRPr="0056798F">
        <w:t>6</w:t>
      </w:r>
      <w:r w:rsidRPr="0056798F">
        <w:t>)</w:t>
      </w:r>
    </w:p>
    <w:p w14:paraId="2B495BD0" w14:textId="057C01AA" w:rsidR="000243AD" w:rsidRPr="0056798F" w:rsidRDefault="008B6332" w:rsidP="00585DBD">
      <w:pPr>
        <w:pStyle w:val="Normalnumber"/>
      </w:pPr>
      <w:r w:rsidRPr="0056798F">
        <w:t>À l</w:t>
      </w:r>
      <w:r w:rsidR="00EA4125" w:rsidRPr="0056798F">
        <w:t>’</w:t>
      </w:r>
      <w:r w:rsidRPr="0056798F">
        <w:t>alinéa a) d</w:t>
      </w:r>
      <w:r w:rsidR="00463957" w:rsidRPr="0056798F">
        <w:t xml:space="preserve">u paragraphe 5  de </w:t>
      </w:r>
      <w:r w:rsidRPr="0056798F">
        <w:t>s</w:t>
      </w:r>
      <w:r w:rsidR="00463957" w:rsidRPr="0056798F">
        <w:t>a décision</w:t>
      </w:r>
      <w:r w:rsidR="00107964" w:rsidRPr="0056798F">
        <w:t> </w:t>
      </w:r>
      <w:r w:rsidR="00463957" w:rsidRPr="0056798F">
        <w:t xml:space="preserve">MC-5/2, la Conférence des Parties a prié le secrétariat, sous réserve de la disponibilité de ressources, </w:t>
      </w:r>
      <w:r w:rsidR="00C83356" w:rsidRPr="0056798F">
        <w:t>d</w:t>
      </w:r>
      <w:r w:rsidR="00EA4125" w:rsidRPr="0056798F">
        <w:t>’</w:t>
      </w:r>
      <w:r w:rsidR="00463957" w:rsidRPr="0056798F">
        <w:t>établir une version mise à jour des actuelles orientations relatives aux stocks</w:t>
      </w:r>
      <w:r w:rsidR="008B2FA8" w:rsidRPr="0056798F">
        <w:rPr>
          <w:rStyle w:val="FootnoteReference"/>
          <w:lang w:eastAsia="en-GB"/>
        </w:rPr>
        <w:footnoteReference w:id="9"/>
      </w:r>
      <w:r w:rsidR="008B2FA8" w:rsidRPr="0056798F">
        <w:t> </w:t>
      </w:r>
      <w:r w:rsidR="00463957" w:rsidRPr="0056798F">
        <w:t>adoptées dans la décision MC-1/2 afin d</w:t>
      </w:r>
      <w:r w:rsidR="00EA4125" w:rsidRPr="0056798F">
        <w:t>’</w:t>
      </w:r>
      <w:r w:rsidR="00463957" w:rsidRPr="0056798F">
        <w:t>y inclure les types de mesures qui pourraient être prises pour s</w:t>
      </w:r>
      <w:r w:rsidR="00EA4125" w:rsidRPr="0056798F">
        <w:t>’</w:t>
      </w:r>
      <w:r w:rsidR="00463957" w:rsidRPr="0056798F">
        <w:t>acquitter de l</w:t>
      </w:r>
      <w:r w:rsidR="00EA4125" w:rsidRPr="0056798F">
        <w:t>’</w:t>
      </w:r>
      <w:r w:rsidR="00463957" w:rsidRPr="0056798F">
        <w:t>obligation de s</w:t>
      </w:r>
      <w:r w:rsidR="00EA4125" w:rsidRPr="0056798F">
        <w:t>’</w:t>
      </w:r>
      <w:r w:rsidR="00463957" w:rsidRPr="0056798F">
        <w:t>efforcer de manière continue, comme demandé au paragraphe 3 de la décision MC-4/8, de recenser les stocks et sources, conformément à l</w:t>
      </w:r>
      <w:r w:rsidR="00EA4125" w:rsidRPr="0056798F">
        <w:t>’</w:t>
      </w:r>
      <w:r w:rsidR="00463957" w:rsidRPr="0056798F">
        <w:t>alinéa a) du paragraphe 5 de l</w:t>
      </w:r>
      <w:r w:rsidR="00EA4125" w:rsidRPr="0056798F">
        <w:t>’</w:t>
      </w:r>
      <w:r w:rsidR="00463957" w:rsidRPr="0056798F">
        <w:t>article 3 de la Convention, pour qu</w:t>
      </w:r>
      <w:r w:rsidR="00EA4125" w:rsidRPr="0056798F">
        <w:t>’</w:t>
      </w:r>
      <w:r w:rsidR="00463957" w:rsidRPr="0056798F">
        <w:t>elle l</w:t>
      </w:r>
      <w:r w:rsidR="00EA4125" w:rsidRPr="0056798F">
        <w:t>’</w:t>
      </w:r>
      <w:r w:rsidR="00463957" w:rsidRPr="0056798F">
        <w:t>examine à sa sixième réunion</w:t>
      </w:r>
      <w:r w:rsidRPr="0056798F">
        <w:t>.</w:t>
      </w:r>
      <w:r w:rsidR="005211D5" w:rsidRPr="0056798F">
        <w:t xml:space="preserve"> </w:t>
      </w:r>
    </w:p>
    <w:p w14:paraId="38540EB5" w14:textId="03642A1A" w:rsidR="008715CD" w:rsidRPr="0056798F" w:rsidRDefault="00065D5D" w:rsidP="008645EB">
      <w:pPr>
        <w:pStyle w:val="Normalnumber"/>
      </w:pPr>
      <w:r w:rsidRPr="0056798F">
        <w:t>Pour donner suite à la demande ci-dessus et élaborer les projets de version mise à jour des orientations actuelles, le secrétariat, grâce aux ressources financières apportées par le Canada et l</w:t>
      </w:r>
      <w:r w:rsidR="00EA4125" w:rsidRPr="0056798F">
        <w:t>’</w:t>
      </w:r>
      <w:r w:rsidRPr="0056798F">
        <w:t>Espagne, a examiné les évaluations initiales prévues par la Convention de Minamata, les plans d</w:t>
      </w:r>
      <w:r w:rsidR="00EA4125" w:rsidRPr="0056798F">
        <w:t>’</w:t>
      </w:r>
      <w:r w:rsidRPr="0056798F">
        <w:t>action nationaux en matière d</w:t>
      </w:r>
      <w:r w:rsidR="00EA4125" w:rsidRPr="0056798F">
        <w:t>’</w:t>
      </w:r>
      <w:r w:rsidRPr="0056798F">
        <w:t>extraction minière artisanale et à petite échelle d</w:t>
      </w:r>
      <w:r w:rsidR="00EA4125" w:rsidRPr="0056798F">
        <w:t>’</w:t>
      </w:r>
      <w:r w:rsidRPr="0056798F">
        <w:t>or</w:t>
      </w:r>
      <w:r w:rsidR="00770130" w:rsidRPr="0056798F">
        <w:t>, les rapports nationaux et d</w:t>
      </w:r>
      <w:r w:rsidR="00EA4125" w:rsidRPr="0056798F">
        <w:t>’</w:t>
      </w:r>
      <w:r w:rsidR="00770130" w:rsidRPr="0056798F">
        <w:t xml:space="preserve">autres </w:t>
      </w:r>
      <w:r w:rsidR="00120DD3" w:rsidRPr="0056798F">
        <w:t>s</w:t>
      </w:r>
      <w:r w:rsidR="00770130" w:rsidRPr="0056798F">
        <w:t xml:space="preserve">ources, et a conduit une étude du 11 février au 28 mars 2025 pour recueillir des informations auprès des parties concernées et </w:t>
      </w:r>
      <w:r w:rsidR="000E5718" w:rsidRPr="0056798F">
        <w:t>d</w:t>
      </w:r>
      <w:r w:rsidR="00EA4125" w:rsidRPr="0056798F">
        <w:t>’</w:t>
      </w:r>
      <w:r w:rsidR="00770130" w:rsidRPr="0056798F">
        <w:t>expert</w:t>
      </w:r>
      <w:r w:rsidR="000E5718" w:rsidRPr="0056798F">
        <w:t>(e)</w:t>
      </w:r>
      <w:r w:rsidR="00770130" w:rsidRPr="0056798F">
        <w:t xml:space="preserve">s </w:t>
      </w:r>
      <w:r w:rsidR="00120DD3" w:rsidRPr="0056798F">
        <w:t>du</w:t>
      </w:r>
      <w:r w:rsidR="00655CB3" w:rsidRPr="0056798F">
        <w:t xml:space="preserve"> </w:t>
      </w:r>
      <w:r w:rsidR="00120DD3" w:rsidRPr="0056798F">
        <w:t xml:space="preserve">domaine de partenariat </w:t>
      </w:r>
      <w:r w:rsidR="00655CB3" w:rsidRPr="0056798F">
        <w:t>concernant l</w:t>
      </w:r>
      <w:r w:rsidR="00EA4125" w:rsidRPr="0056798F">
        <w:t>’</w:t>
      </w:r>
      <w:r w:rsidR="000E5718" w:rsidRPr="0056798F">
        <w:t>approvisionnement et l</w:t>
      </w:r>
      <w:r w:rsidR="00655CB3" w:rsidRPr="0056798F">
        <w:t>e</w:t>
      </w:r>
      <w:r w:rsidR="00120DD3" w:rsidRPr="0056798F">
        <w:t xml:space="preserve"> stockage du</w:t>
      </w:r>
      <w:r w:rsidR="00770130" w:rsidRPr="0056798F">
        <w:t xml:space="preserve"> </w:t>
      </w:r>
      <w:bookmarkStart w:id="11" w:name="_Hlk207107394"/>
      <w:r w:rsidR="00770130" w:rsidRPr="0056798F">
        <w:t>Partenariat mondial sur le mercure</w:t>
      </w:r>
      <w:bookmarkEnd w:id="11"/>
      <w:r w:rsidR="00770130" w:rsidRPr="0056798F">
        <w:t xml:space="preserve"> sur les types de mesures qui pourraient être prises pour remplir l</w:t>
      </w:r>
      <w:r w:rsidR="00EA4125" w:rsidRPr="0056798F">
        <w:t>’</w:t>
      </w:r>
      <w:r w:rsidR="00770130" w:rsidRPr="0056798F">
        <w:t>obligation permanente de s</w:t>
      </w:r>
      <w:r w:rsidR="00EA4125" w:rsidRPr="0056798F">
        <w:t>’</w:t>
      </w:r>
      <w:r w:rsidR="00770130" w:rsidRPr="0056798F">
        <w:t xml:space="preserve">efforcer de recenser les stocks et les sources de mercure. Sur la base de </w:t>
      </w:r>
      <w:r w:rsidR="00AC1B9F" w:rsidRPr="0056798F">
        <w:t>ces</w:t>
      </w:r>
      <w:r w:rsidR="00770130" w:rsidRPr="0056798F">
        <w:t xml:space="preserve"> travaux, le secrétariat a élaboré des projets de</w:t>
      </w:r>
      <w:r w:rsidR="00AC1B9F" w:rsidRPr="0056798F">
        <w:t xml:space="preserve"> </w:t>
      </w:r>
      <w:r w:rsidR="00770130" w:rsidRPr="0056798F">
        <w:t>version mise à jour des orientations, ainsi qu</w:t>
      </w:r>
      <w:r w:rsidR="00EA4125" w:rsidRPr="0056798F">
        <w:t>’</w:t>
      </w:r>
      <w:r w:rsidR="00770130" w:rsidRPr="0056798F">
        <w:t xml:space="preserve">un document </w:t>
      </w:r>
      <w:r w:rsidR="00F86046" w:rsidRPr="0056798F">
        <w:t>contenant des informations supplémentaires</w:t>
      </w:r>
      <w:r w:rsidR="00770130" w:rsidRPr="0056798F">
        <w:t xml:space="preserve">, </w:t>
      </w:r>
      <w:r w:rsidR="00F86046" w:rsidRPr="0056798F">
        <w:t>y</w:t>
      </w:r>
      <w:r w:rsidR="007F48FA" w:rsidRPr="0056798F">
        <w:t> </w:t>
      </w:r>
      <w:r w:rsidR="00F86046" w:rsidRPr="0056798F">
        <w:t>compris</w:t>
      </w:r>
      <w:r w:rsidR="00770130" w:rsidRPr="0056798F">
        <w:t xml:space="preserve"> des méthodes de calcul pour les inventaires</w:t>
      </w:r>
      <w:r w:rsidR="00F86046" w:rsidRPr="0056798F">
        <w:t>,</w:t>
      </w:r>
      <w:r w:rsidR="00770130" w:rsidRPr="0056798F">
        <w:t xml:space="preserve"> </w:t>
      </w:r>
      <w:r w:rsidR="00F86046" w:rsidRPr="0056798F">
        <w:t>comme</w:t>
      </w:r>
      <w:r w:rsidR="00770130" w:rsidRPr="0056798F">
        <w:t xml:space="preserve"> demand</w:t>
      </w:r>
      <w:r w:rsidR="00F86046" w:rsidRPr="0056798F">
        <w:t>é par le</w:t>
      </w:r>
      <w:r w:rsidR="00770130" w:rsidRPr="0056798F">
        <w:t xml:space="preserve"> Comité </w:t>
      </w:r>
      <w:r w:rsidR="00AC1B9F" w:rsidRPr="0056798F">
        <w:t xml:space="preserve">de mise en œuvre et du respect des obligations </w:t>
      </w:r>
      <w:r w:rsidR="00770130" w:rsidRPr="0056798F">
        <w:t>à sa cinquième réunion en mars 2023.</w:t>
      </w:r>
      <w:r w:rsidR="004F1AD9" w:rsidRPr="0056798F">
        <w:t xml:space="preserve"> Les projets de version mise à jour ont été publiés sur le site </w:t>
      </w:r>
      <w:r w:rsidR="00F86046" w:rsidRPr="0056798F">
        <w:t xml:space="preserve">Web </w:t>
      </w:r>
      <w:r w:rsidR="004F1AD9" w:rsidRPr="0056798F">
        <w:t>de la Convention du 24 juin au 24 juillet 2025 en vue de recueillir des observations.</w:t>
      </w:r>
      <w:r w:rsidR="00560626" w:rsidRPr="0056798F">
        <w:t xml:space="preserve"> </w:t>
      </w:r>
      <w:r w:rsidR="00F86046" w:rsidRPr="0056798F">
        <w:t>Deux P</w:t>
      </w:r>
      <w:r w:rsidR="00560626" w:rsidRPr="0056798F">
        <w:t>artie</w:t>
      </w:r>
      <w:r w:rsidR="00F86046" w:rsidRPr="0056798F">
        <w:t>s</w:t>
      </w:r>
      <w:r w:rsidR="00560626" w:rsidRPr="0056798F">
        <w:t xml:space="preserve"> et une organisation non gouvernementale ont formulé des </w:t>
      </w:r>
      <w:r w:rsidR="00F86046" w:rsidRPr="0056798F">
        <w:t xml:space="preserve">observations </w:t>
      </w:r>
      <w:r w:rsidR="00E651D3" w:rsidRPr="0056798F">
        <w:t>à cet égard, dont il a été tenu compte pour élaborer</w:t>
      </w:r>
      <w:r w:rsidR="00560626" w:rsidRPr="0056798F">
        <w:t xml:space="preserve"> les projets de version mise à jour des orientations qui figu</w:t>
      </w:r>
      <w:r w:rsidR="00FB75C9" w:rsidRPr="0056798F">
        <w:t>r</w:t>
      </w:r>
      <w:r w:rsidR="00560626" w:rsidRPr="0056798F">
        <w:t>e</w:t>
      </w:r>
      <w:r w:rsidR="00E651D3" w:rsidRPr="0056798F">
        <w:t>nt dans</w:t>
      </w:r>
      <w:r w:rsidR="00560626" w:rsidRPr="0056798F">
        <w:t xml:space="preserve"> l</w:t>
      </w:r>
      <w:r w:rsidR="00EA4125" w:rsidRPr="0056798F">
        <w:t>’</w:t>
      </w:r>
      <w:r w:rsidR="00560626" w:rsidRPr="0056798F">
        <w:t>annexe II</w:t>
      </w:r>
      <w:r w:rsidR="00677088" w:rsidRPr="0056798F">
        <w:t xml:space="preserve"> </w:t>
      </w:r>
      <w:r w:rsidR="009E664A" w:rsidRPr="0056798F">
        <w:t>de</w:t>
      </w:r>
      <w:r w:rsidR="00677088" w:rsidRPr="0056798F">
        <w:t xml:space="preserve"> la présente note.</w:t>
      </w:r>
      <w:r w:rsidR="008645EB" w:rsidRPr="0056798F">
        <w:t xml:space="preserve"> Le document </w:t>
      </w:r>
      <w:r w:rsidR="005D53F5" w:rsidRPr="0056798F">
        <w:t>contenant des i</w:t>
      </w:r>
      <w:r w:rsidR="008645EB" w:rsidRPr="0056798F">
        <w:t>nformations supplémentaires sur les types de mesures qui pourraient être prises pour remplir l</w:t>
      </w:r>
      <w:r w:rsidR="00EA4125" w:rsidRPr="0056798F">
        <w:t>’</w:t>
      </w:r>
      <w:r w:rsidR="008645EB" w:rsidRPr="0056798F">
        <w:t xml:space="preserve">obligation permanente des Parties de recenser les stocks individuels et les sources de mercure ou </w:t>
      </w:r>
      <w:r w:rsidR="00303CAE" w:rsidRPr="0056798F">
        <w:t xml:space="preserve">de </w:t>
      </w:r>
      <w:r w:rsidR="008645EB" w:rsidRPr="0056798F">
        <w:t xml:space="preserve">composés du mercure </w:t>
      </w:r>
      <w:r w:rsidR="005D53F5" w:rsidRPr="0056798F">
        <w:t xml:space="preserve">est reproduit </w:t>
      </w:r>
      <w:r w:rsidR="008645EB" w:rsidRPr="0056798F">
        <w:t>dans le document </w:t>
      </w:r>
      <w:r w:rsidR="007F379D" w:rsidRPr="0056798F">
        <w:t>UNEP/</w:t>
      </w:r>
      <w:r w:rsidR="008645EB" w:rsidRPr="0056798F">
        <w:rPr>
          <w:lang w:eastAsia="en-GB"/>
        </w:rPr>
        <w:t>MC/COP.6/INF/7</w:t>
      </w:r>
      <w:r w:rsidR="00C165BF" w:rsidRPr="0056798F">
        <w:rPr>
          <w:lang w:eastAsia="en-GB"/>
        </w:rPr>
        <w:t>.</w:t>
      </w:r>
    </w:p>
    <w:p w14:paraId="0BC50EEC" w14:textId="01165623" w:rsidR="00DE57C7" w:rsidRPr="0056798F" w:rsidRDefault="001D2334" w:rsidP="00585DBD">
      <w:pPr>
        <w:pStyle w:val="Normalnumber"/>
      </w:pPr>
      <w:r w:rsidRPr="0056798F">
        <w:t>À sa septième</w:t>
      </w:r>
      <w:r w:rsidR="00107964" w:rsidRPr="0056798F">
        <w:t> </w:t>
      </w:r>
      <w:r w:rsidRPr="0056798F">
        <w:t>réunion</w:t>
      </w:r>
      <w:r w:rsidR="0022016B" w:rsidRPr="0056798F">
        <w:t>, tenue</w:t>
      </w:r>
      <w:r w:rsidRPr="0056798F">
        <w:t xml:space="preserve"> en février</w:t>
      </w:r>
      <w:r w:rsidR="00891569" w:rsidRPr="0056798F">
        <w:t xml:space="preserve"> 2025, </w:t>
      </w:r>
      <w:r w:rsidR="00200FE9" w:rsidRPr="0056798F">
        <w:t>le Comité de mise en œuvre et du respect des obligations</w:t>
      </w:r>
      <w:r w:rsidR="00DE57C7" w:rsidRPr="0056798F">
        <w:t xml:space="preserve"> </w:t>
      </w:r>
      <w:r w:rsidR="00200FE9" w:rsidRPr="0056798F">
        <w:t xml:space="preserve">a </w:t>
      </w:r>
      <w:r w:rsidR="00891569" w:rsidRPr="0056798F">
        <w:t>not</w:t>
      </w:r>
      <w:r w:rsidR="00200FE9" w:rsidRPr="0056798F">
        <w:t>é</w:t>
      </w:r>
      <w:r w:rsidR="00572D96" w:rsidRPr="0056798F">
        <w:t xml:space="preserve">, </w:t>
      </w:r>
      <w:r w:rsidR="00B428F1" w:rsidRPr="0056798F">
        <w:t>à l</w:t>
      </w:r>
      <w:r w:rsidR="00EA4125" w:rsidRPr="0056798F">
        <w:t>’</w:t>
      </w:r>
      <w:r w:rsidR="00B428F1" w:rsidRPr="0056798F">
        <w:t>alinéa a) d</w:t>
      </w:r>
      <w:r w:rsidR="00200FE9" w:rsidRPr="0056798F">
        <w:t>u</w:t>
      </w:r>
      <w:r w:rsidR="00572D96" w:rsidRPr="0056798F">
        <w:t xml:space="preserve"> paragraph</w:t>
      </w:r>
      <w:r w:rsidR="00200FE9" w:rsidRPr="0056798F">
        <w:t>e </w:t>
      </w:r>
      <w:r w:rsidR="00572D96" w:rsidRPr="0056798F">
        <w:t>3</w:t>
      </w:r>
      <w:r w:rsidR="00200FE9" w:rsidRPr="0056798F">
        <w:t> de l</w:t>
      </w:r>
      <w:r w:rsidR="00EA4125" w:rsidRPr="0056798F">
        <w:t>’</w:t>
      </w:r>
      <w:r w:rsidR="00572D96" w:rsidRPr="0056798F">
        <w:t>annex</w:t>
      </w:r>
      <w:r w:rsidR="00200FE9" w:rsidRPr="0056798F">
        <w:t>e au rapport sur ses travaux</w:t>
      </w:r>
      <w:r w:rsidR="00572D96" w:rsidRPr="0056798F">
        <w:t xml:space="preserve"> (UNEP/MC/COP.6/14)</w:t>
      </w:r>
      <w:r w:rsidR="00891569" w:rsidRPr="0056798F">
        <w:t xml:space="preserve"> </w:t>
      </w:r>
      <w:r w:rsidR="00200FE9" w:rsidRPr="0056798F">
        <w:t>que les Parties qui s</w:t>
      </w:r>
      <w:r w:rsidR="00EA4125" w:rsidRPr="0056798F">
        <w:t>’</w:t>
      </w:r>
      <w:r w:rsidR="00200FE9" w:rsidRPr="0056798F">
        <w:t>appuient uniquement sur les résultats de leur évaluation initiale prévue par la Convention de Minamata pourraient trouver utile de se tourner vers des sources d</w:t>
      </w:r>
      <w:r w:rsidR="00EA4125" w:rsidRPr="0056798F">
        <w:t>’</w:t>
      </w:r>
      <w:r w:rsidR="00200FE9" w:rsidRPr="0056798F">
        <w:t>information plus récentes</w:t>
      </w:r>
      <w:r w:rsidR="00891569" w:rsidRPr="0056798F">
        <w:t xml:space="preserve"> </w:t>
      </w:r>
      <w:r w:rsidR="00454340" w:rsidRPr="0056798F">
        <w:t>et</w:t>
      </w:r>
      <w:r w:rsidR="00891569" w:rsidRPr="0056798F">
        <w:t xml:space="preserve"> </w:t>
      </w:r>
      <w:r w:rsidR="00200FE9" w:rsidRPr="0056798F">
        <w:t>a décidé de réexaminer cette question après la sixième réunion de la</w:t>
      </w:r>
      <w:r w:rsidR="00FC3D44" w:rsidRPr="0056798F">
        <w:t> </w:t>
      </w:r>
      <w:r w:rsidR="00200FE9" w:rsidRPr="0056798F">
        <w:t>Conférence des Parties, à la lumière des orientations révisées relatives aux stocks demandées à</w:t>
      </w:r>
      <w:r w:rsidR="00FC3D44" w:rsidRPr="0056798F">
        <w:t> </w:t>
      </w:r>
      <w:r w:rsidR="00200FE9" w:rsidRPr="0056798F">
        <w:t>l</w:t>
      </w:r>
      <w:r w:rsidR="00EA4125" w:rsidRPr="0056798F">
        <w:t>’</w:t>
      </w:r>
      <w:r w:rsidR="00200FE9" w:rsidRPr="0056798F">
        <w:t>alinéa a) du paragraphe 5 de la décision MC-5/2</w:t>
      </w:r>
      <w:r w:rsidR="00572D96" w:rsidRPr="0056798F">
        <w:t>.</w:t>
      </w:r>
    </w:p>
    <w:p w14:paraId="79BF00F3" w14:textId="7739D685" w:rsidR="00737435" w:rsidRPr="0056798F" w:rsidRDefault="001C1CCD" w:rsidP="00585DBD">
      <w:pPr>
        <w:pStyle w:val="Normalnumber"/>
      </w:pPr>
      <w:r w:rsidRPr="0056798F">
        <w:t>À l</w:t>
      </w:r>
      <w:r w:rsidR="00EA4125" w:rsidRPr="0056798F">
        <w:t>’</w:t>
      </w:r>
      <w:r w:rsidRPr="0056798F">
        <w:t>alinéa e) d</w:t>
      </w:r>
      <w:r w:rsidR="00463957" w:rsidRPr="0056798F">
        <w:t>u</w:t>
      </w:r>
      <w:r w:rsidR="007D62B0" w:rsidRPr="0056798F">
        <w:t xml:space="preserve"> paragraph</w:t>
      </w:r>
      <w:r w:rsidR="00463957" w:rsidRPr="0056798F">
        <w:t>e</w:t>
      </w:r>
      <w:r w:rsidR="007D62B0" w:rsidRPr="0056798F">
        <w:t xml:space="preserve"> 5 </w:t>
      </w:r>
      <w:r w:rsidR="00463957" w:rsidRPr="0056798F">
        <w:t xml:space="preserve">de </w:t>
      </w:r>
      <w:r w:rsidRPr="0056798F">
        <w:t>s</w:t>
      </w:r>
      <w:r w:rsidR="00463957" w:rsidRPr="0056798F">
        <w:t>a décision MC-5/2, la Conférence des Parties</w:t>
      </w:r>
      <w:r w:rsidR="007D62B0" w:rsidRPr="0056798F">
        <w:t xml:space="preserve"> </w:t>
      </w:r>
      <w:r w:rsidR="00463957" w:rsidRPr="0056798F">
        <w:t>a prié le secrétariat, sous réserve de la disponibilité de ressources</w:t>
      </w:r>
      <w:r w:rsidR="007D62B0" w:rsidRPr="0056798F">
        <w:t xml:space="preserve">, </w:t>
      </w:r>
      <w:r w:rsidR="00804EDE" w:rsidRPr="0056798F">
        <w:t>d</w:t>
      </w:r>
      <w:r w:rsidR="00EA4125" w:rsidRPr="0056798F">
        <w:t>’</w:t>
      </w:r>
      <w:r w:rsidR="00463957" w:rsidRPr="0056798F">
        <w:t>élaborer des orientations pour aider les Parties à dépister, gérer et réduire les échanges commerciaux de mercure issu de l</w:t>
      </w:r>
      <w:r w:rsidR="00EA4125" w:rsidRPr="0056798F">
        <w:t>’</w:t>
      </w:r>
      <w:r w:rsidR="00463957" w:rsidRPr="0056798F">
        <w:t>extraction primaire</w:t>
      </w:r>
      <w:r w:rsidR="007D62B0" w:rsidRPr="0056798F">
        <w:t xml:space="preserve">. </w:t>
      </w:r>
      <w:r w:rsidR="00737435" w:rsidRPr="0056798F">
        <w:t>Grâce à des ressources financières octroyées par l</w:t>
      </w:r>
      <w:r w:rsidR="00EA4125" w:rsidRPr="0056798F">
        <w:t>’</w:t>
      </w:r>
      <w:r w:rsidR="00737435" w:rsidRPr="0056798F">
        <w:t>Union européenne</w:t>
      </w:r>
      <w:r w:rsidR="007D62B0" w:rsidRPr="0056798F">
        <w:t xml:space="preserve">, </w:t>
      </w:r>
      <w:r w:rsidR="00737435" w:rsidRPr="0056798F">
        <w:t xml:space="preserve">le secrétariat a réalisé une étude </w:t>
      </w:r>
      <w:r w:rsidR="00730FB6" w:rsidRPr="0056798F">
        <w:t xml:space="preserve">de cadrage </w:t>
      </w:r>
      <w:r w:rsidR="00737435" w:rsidRPr="0056798F">
        <w:t xml:space="preserve">sur le contrôle du commerce </w:t>
      </w:r>
      <w:r w:rsidR="00BC14AA" w:rsidRPr="0056798F">
        <w:t>du mercure provenant d</w:t>
      </w:r>
      <w:r w:rsidR="00EA4125" w:rsidRPr="0056798F">
        <w:t>’</w:t>
      </w:r>
      <w:r w:rsidR="00730FB6" w:rsidRPr="0056798F">
        <w:t>activités</w:t>
      </w:r>
      <w:r w:rsidR="00BC14AA" w:rsidRPr="0056798F">
        <w:t xml:space="preserve"> </w:t>
      </w:r>
      <w:r w:rsidR="00730FB6" w:rsidRPr="0056798F">
        <w:t>d</w:t>
      </w:r>
      <w:r w:rsidR="00EA4125" w:rsidRPr="0056798F">
        <w:t>’</w:t>
      </w:r>
      <w:r w:rsidR="00BC14AA" w:rsidRPr="0056798F">
        <w:t>extraction primaire</w:t>
      </w:r>
      <w:r w:rsidR="00CB6015" w:rsidRPr="0056798F">
        <w:t>. Notant qu</w:t>
      </w:r>
      <w:r w:rsidR="00EA4125" w:rsidRPr="0056798F">
        <w:t>’</w:t>
      </w:r>
      <w:r w:rsidR="00CB6015" w:rsidRPr="0056798F">
        <w:t>il est déjà requis, dans les formulaires et les orientations existantes</w:t>
      </w:r>
      <w:r w:rsidR="00CB6015" w:rsidRPr="0056798F">
        <w:rPr>
          <w:vertAlign w:val="superscript"/>
        </w:rPr>
        <w:footnoteReference w:id="10"/>
      </w:r>
      <w:r w:rsidR="00CB6015" w:rsidRPr="0056798F">
        <w:t xml:space="preserve"> sur le commerce du mercure adoptées dans la décision MC</w:t>
      </w:r>
      <w:r w:rsidR="002E1760" w:rsidRPr="0056798F">
        <w:rPr>
          <w:vertAlign w:val="subscript"/>
        </w:rPr>
        <w:t>-</w:t>
      </w:r>
      <w:r w:rsidR="00CB6015" w:rsidRPr="0056798F">
        <w:t>1/2, que les Parties exportat</w:t>
      </w:r>
      <w:r w:rsidR="00CC2520" w:rsidRPr="0056798F">
        <w:t>rice</w:t>
      </w:r>
      <w:r w:rsidR="00CB6015" w:rsidRPr="0056798F">
        <w:t xml:space="preserve">s indiquent </w:t>
      </w:r>
      <w:r w:rsidR="006E7B72" w:rsidRPr="0056798F">
        <w:t xml:space="preserve">sur les formulaires </w:t>
      </w:r>
      <w:r w:rsidR="00730FB6" w:rsidRPr="0056798F">
        <w:t xml:space="preserve">de consentement au </w:t>
      </w:r>
      <w:r w:rsidR="006E7B72" w:rsidRPr="0056798F">
        <w:t>commerc</w:t>
      </w:r>
      <w:r w:rsidR="00730FB6" w:rsidRPr="0056798F">
        <w:t>e</w:t>
      </w:r>
      <w:r w:rsidR="00205B54" w:rsidRPr="0056798F">
        <w:t xml:space="preserve"> si le mercure a été obtenu par extraction minière primaire</w:t>
      </w:r>
      <w:r w:rsidR="00CB6015" w:rsidRPr="0056798F">
        <w:t xml:space="preserve"> et que les Parties importat</w:t>
      </w:r>
      <w:r w:rsidR="00CC2520" w:rsidRPr="0056798F">
        <w:t>rices</w:t>
      </w:r>
      <w:r w:rsidR="00CB6015" w:rsidRPr="0056798F">
        <w:t xml:space="preserve"> indiquent </w:t>
      </w:r>
      <w:r w:rsidR="00205B54" w:rsidRPr="0056798F">
        <w:t xml:space="preserve">sur </w:t>
      </w:r>
      <w:r w:rsidR="00730FB6" w:rsidRPr="0056798F">
        <w:t>c</w:t>
      </w:r>
      <w:r w:rsidR="00205B54" w:rsidRPr="0056798F">
        <w:t xml:space="preserve">e formulaire </w:t>
      </w:r>
      <w:r w:rsidR="00F613C6" w:rsidRPr="0056798F">
        <w:t>si l</w:t>
      </w:r>
      <w:r w:rsidR="00EA4125" w:rsidRPr="0056798F">
        <w:t>’</w:t>
      </w:r>
      <w:r w:rsidR="00F613C6" w:rsidRPr="0056798F">
        <w:t xml:space="preserve">importation est </w:t>
      </w:r>
      <w:r w:rsidR="00804EDE" w:rsidRPr="0056798F">
        <w:t xml:space="preserve">destinée à </w:t>
      </w:r>
      <w:r w:rsidR="00F613C6" w:rsidRPr="0056798F">
        <w:t>une utilisation permise à une Partie dans le cadre de la Convention</w:t>
      </w:r>
      <w:r w:rsidR="0045180F" w:rsidRPr="0056798F">
        <w:t>, le secrétariat a établi des projets de version mise à jour des</w:t>
      </w:r>
      <w:r w:rsidR="002B0E4E" w:rsidRPr="0056798F">
        <w:t> </w:t>
      </w:r>
      <w:r w:rsidR="0045180F" w:rsidRPr="0056798F">
        <w:t>orientations sur l</w:t>
      </w:r>
      <w:r w:rsidR="00EA4125" w:rsidRPr="0056798F">
        <w:t>’</w:t>
      </w:r>
      <w:r w:rsidR="0045180F" w:rsidRPr="0056798F">
        <w:t>utilisation des formulaires</w:t>
      </w:r>
      <w:r w:rsidR="00730FB6" w:rsidRPr="0056798F">
        <w:t xml:space="preserve"> de consentement au</w:t>
      </w:r>
      <w:r w:rsidR="0045180F" w:rsidRPr="0056798F">
        <w:t xml:space="preserve"> commerc</w:t>
      </w:r>
      <w:r w:rsidR="00730FB6" w:rsidRPr="0056798F">
        <w:t>e</w:t>
      </w:r>
      <w:r w:rsidR="0045180F" w:rsidRPr="0056798F">
        <w:t xml:space="preserve"> et les a publiés sur le site</w:t>
      </w:r>
      <w:r w:rsidR="002B0E4E" w:rsidRPr="0056798F">
        <w:t> </w:t>
      </w:r>
      <w:r w:rsidR="00730FB6" w:rsidRPr="0056798F">
        <w:t xml:space="preserve">Web </w:t>
      </w:r>
      <w:r w:rsidR="0045180F" w:rsidRPr="0056798F">
        <w:t>de la Convention du 24</w:t>
      </w:r>
      <w:r w:rsidR="00804EDE" w:rsidRPr="0056798F">
        <w:t> </w:t>
      </w:r>
      <w:r w:rsidR="0045180F" w:rsidRPr="0056798F">
        <w:t xml:space="preserve">juin au 24 juillet 2025. </w:t>
      </w:r>
      <w:r w:rsidR="002507D7" w:rsidRPr="0056798F">
        <w:t>Une Partie a formulé une demande d</w:t>
      </w:r>
      <w:r w:rsidR="00EA4125" w:rsidRPr="0056798F">
        <w:t>’</w:t>
      </w:r>
      <w:r w:rsidR="002507D7" w:rsidRPr="0056798F">
        <w:t xml:space="preserve">éclaircissements. </w:t>
      </w:r>
      <w:r w:rsidR="0045180F" w:rsidRPr="0056798F">
        <w:t xml:space="preserve">Une organisation non </w:t>
      </w:r>
      <w:r w:rsidR="007B1504" w:rsidRPr="0056798F">
        <w:t>gouvernementale</w:t>
      </w:r>
      <w:r w:rsidR="0045180F" w:rsidRPr="0056798F">
        <w:t xml:space="preserve"> </w:t>
      </w:r>
      <w:r w:rsidR="007B1504" w:rsidRPr="0056798F">
        <w:t xml:space="preserve">a formulé des observations sur les projets de version mise à jour et demandé à ce que les dispositions </w:t>
      </w:r>
      <w:r w:rsidR="004C5567" w:rsidRPr="0056798F">
        <w:t xml:space="preserve">relatives à la vérification par les </w:t>
      </w:r>
      <w:r w:rsidR="00CC2520" w:rsidRPr="0056798F">
        <w:t>P</w:t>
      </w:r>
      <w:r w:rsidR="004C5567" w:rsidRPr="0056798F">
        <w:t>arties importat</w:t>
      </w:r>
      <w:r w:rsidR="00CC2520" w:rsidRPr="0056798F">
        <w:t>rice</w:t>
      </w:r>
      <w:r w:rsidR="004C5567" w:rsidRPr="0056798F">
        <w:t>s des sources de mercure, y</w:t>
      </w:r>
      <w:r w:rsidR="007F48FA" w:rsidRPr="0056798F">
        <w:t> </w:t>
      </w:r>
      <w:r w:rsidR="004C5567" w:rsidRPr="0056798F">
        <w:t>compris l</w:t>
      </w:r>
      <w:r w:rsidR="00EA4125" w:rsidRPr="0056798F">
        <w:t>’</w:t>
      </w:r>
      <w:r w:rsidR="004C5567" w:rsidRPr="0056798F">
        <w:t>extraction minière informelle ou illicite,</w:t>
      </w:r>
      <w:r w:rsidR="007B1504" w:rsidRPr="0056798F">
        <w:t xml:space="preserve"> soient plus détaillées</w:t>
      </w:r>
      <w:r w:rsidR="004C5567" w:rsidRPr="0056798F">
        <w:t>.</w:t>
      </w:r>
      <w:r w:rsidR="00825FFA" w:rsidRPr="0056798F">
        <w:t xml:space="preserve"> L</w:t>
      </w:r>
      <w:r w:rsidR="002507D7" w:rsidRPr="0056798F">
        <w:t>es</w:t>
      </w:r>
      <w:r w:rsidR="00825FFA" w:rsidRPr="0056798F">
        <w:t xml:space="preserve"> </w:t>
      </w:r>
      <w:r w:rsidR="002507D7" w:rsidRPr="0056798F">
        <w:t xml:space="preserve">projets de </w:t>
      </w:r>
      <w:r w:rsidR="00825FFA" w:rsidRPr="0056798F">
        <w:t xml:space="preserve">version mise à jour </w:t>
      </w:r>
      <w:r w:rsidR="002507D7" w:rsidRPr="0056798F">
        <w:t>sont reproduits dans</w:t>
      </w:r>
      <w:r w:rsidR="00825FFA" w:rsidRPr="0056798F">
        <w:t xml:space="preserve"> l</w:t>
      </w:r>
      <w:r w:rsidR="00EA4125" w:rsidRPr="0056798F">
        <w:t>’</w:t>
      </w:r>
      <w:r w:rsidR="00825FFA" w:rsidRPr="0056798F">
        <w:t>annexe III de la présente note.</w:t>
      </w:r>
    </w:p>
    <w:p w14:paraId="49FF4A34" w14:textId="381BF2BD" w:rsidR="003835DA" w:rsidRPr="0056798F" w:rsidRDefault="007803A7" w:rsidP="0033229A">
      <w:pPr>
        <w:pStyle w:val="CH2"/>
      </w:pPr>
      <w:r w:rsidRPr="0056798F">
        <w:lastRenderedPageBreak/>
        <w:tab/>
      </w:r>
      <w:r w:rsidR="0033229A" w:rsidRPr="0056798F">
        <w:t>F.</w:t>
      </w:r>
      <w:r w:rsidR="00792E5B" w:rsidRPr="0056798F">
        <w:tab/>
        <w:t>Demandes faites au secrétariat d</w:t>
      </w:r>
      <w:r w:rsidR="00EA4125" w:rsidRPr="0056798F">
        <w:t>’</w:t>
      </w:r>
      <w:r w:rsidR="00792E5B" w:rsidRPr="0056798F">
        <w:t>aider les Parties à mieux comprendre les</w:t>
      </w:r>
      <w:r w:rsidR="00FA69A4" w:rsidRPr="0056798F">
        <w:t> </w:t>
      </w:r>
      <w:r w:rsidR="00792E5B" w:rsidRPr="0056798F">
        <w:t>dispositions relatives au commerce</w:t>
      </w:r>
      <w:r w:rsidR="002B0BBE" w:rsidRPr="0056798F">
        <w:t> </w:t>
      </w:r>
      <w:r w:rsidR="00792E5B" w:rsidRPr="0056798F">
        <w:t>; de mener des activités de</w:t>
      </w:r>
      <w:r w:rsidR="00FA69A4" w:rsidRPr="0056798F">
        <w:t> </w:t>
      </w:r>
      <w:r w:rsidR="00792E5B" w:rsidRPr="0056798F">
        <w:t>sensibilisation aux dispositions de la Convention</w:t>
      </w:r>
      <w:r w:rsidR="002B0BBE" w:rsidRPr="0056798F">
        <w:t> </w:t>
      </w:r>
      <w:r w:rsidR="00792E5B" w:rsidRPr="0056798F">
        <w:t>; d</w:t>
      </w:r>
      <w:r w:rsidR="00EA4125" w:rsidRPr="0056798F">
        <w:t>’</w:t>
      </w:r>
      <w:r w:rsidR="00792E5B" w:rsidRPr="0056798F">
        <w:t>élargir la coopération avec les secrétariats d</w:t>
      </w:r>
      <w:r w:rsidR="00EA4125" w:rsidRPr="0056798F">
        <w:t>’</w:t>
      </w:r>
      <w:r w:rsidR="00792E5B" w:rsidRPr="0056798F">
        <w:t>autres accords multilatéraux sur l</w:t>
      </w:r>
      <w:r w:rsidR="00EA4125" w:rsidRPr="0056798F">
        <w:t>’</w:t>
      </w:r>
      <w:r w:rsidR="00792E5B" w:rsidRPr="0056798F">
        <w:t>environnement</w:t>
      </w:r>
      <w:r w:rsidR="002B0BBE" w:rsidRPr="0056798F">
        <w:t> </w:t>
      </w:r>
      <w:r w:rsidR="00792E5B" w:rsidRPr="0056798F">
        <w:t>; de</w:t>
      </w:r>
      <w:r w:rsidR="00FA69A4" w:rsidRPr="0056798F">
        <w:t> </w:t>
      </w:r>
      <w:r w:rsidR="00792E5B" w:rsidRPr="0056798F">
        <w:t>faciliter la circulation des informations ayant trait aux échanges commerciaux (décision</w:t>
      </w:r>
      <w:r w:rsidR="00FA69A4" w:rsidRPr="0056798F">
        <w:t> </w:t>
      </w:r>
      <w:r w:rsidR="00792E5B" w:rsidRPr="0056798F">
        <w:t xml:space="preserve">MC-5/2, </w:t>
      </w:r>
      <w:r w:rsidR="00877011" w:rsidRPr="0056798F">
        <w:t xml:space="preserve">alinéas b), c), d) et f) du </w:t>
      </w:r>
      <w:r w:rsidR="00792E5B" w:rsidRPr="0056798F">
        <w:t>par</w:t>
      </w:r>
      <w:r w:rsidR="00CD311D" w:rsidRPr="0056798F">
        <w:t>agraphe </w:t>
      </w:r>
      <w:r w:rsidR="00792E5B" w:rsidRPr="0056798F">
        <w:t>5)</w:t>
      </w:r>
    </w:p>
    <w:p w14:paraId="61CE77BE" w14:textId="395DBAD4" w:rsidR="00634A21" w:rsidRPr="0056798F" w:rsidRDefault="008108A2" w:rsidP="005C3FE1">
      <w:pPr>
        <w:pStyle w:val="Normalnumber"/>
      </w:pPr>
      <w:r w:rsidRPr="0056798F">
        <w:t>Aux</w:t>
      </w:r>
      <w:r w:rsidR="00A95861" w:rsidRPr="0056798F">
        <w:t xml:space="preserve"> alinéas b), c), d) et f) du</w:t>
      </w:r>
      <w:r w:rsidR="00696E38" w:rsidRPr="0056798F">
        <w:t xml:space="preserve"> paragraph</w:t>
      </w:r>
      <w:r w:rsidRPr="0056798F">
        <w:t>e</w:t>
      </w:r>
      <w:r w:rsidR="00696E38" w:rsidRPr="0056798F">
        <w:t xml:space="preserve"> </w:t>
      </w:r>
      <w:r w:rsidR="002E14C3" w:rsidRPr="0056798F">
        <w:t>5</w:t>
      </w:r>
      <w:r w:rsidRPr="0056798F">
        <w:t> </w:t>
      </w:r>
      <w:r w:rsidR="002E14C3" w:rsidRPr="0056798F">
        <w:t xml:space="preserve"> </w:t>
      </w:r>
      <w:r w:rsidRPr="0056798F">
        <w:t xml:space="preserve">de </w:t>
      </w:r>
      <w:r w:rsidR="00832C77" w:rsidRPr="0056798F">
        <w:t>s</w:t>
      </w:r>
      <w:r w:rsidRPr="0056798F">
        <w:t>a</w:t>
      </w:r>
      <w:r w:rsidR="002E14C3" w:rsidRPr="0056798F">
        <w:t xml:space="preserve"> d</w:t>
      </w:r>
      <w:r w:rsidRPr="0056798F">
        <w:t>é</w:t>
      </w:r>
      <w:r w:rsidR="002E14C3" w:rsidRPr="0056798F">
        <w:t xml:space="preserve">cision MC-5/2, </w:t>
      </w:r>
      <w:r w:rsidRPr="0056798F">
        <w:t>la</w:t>
      </w:r>
      <w:r w:rsidR="002E14C3" w:rsidRPr="0056798F">
        <w:t xml:space="preserve"> </w:t>
      </w:r>
      <w:r w:rsidRPr="0056798F">
        <w:t>Conférence</w:t>
      </w:r>
      <w:r w:rsidR="002E14C3" w:rsidRPr="0056798F">
        <w:t xml:space="preserve"> </w:t>
      </w:r>
      <w:r w:rsidRPr="0056798F">
        <w:t>des</w:t>
      </w:r>
      <w:r w:rsidR="002E14C3" w:rsidRPr="0056798F">
        <w:t xml:space="preserve"> Parties </w:t>
      </w:r>
      <w:r w:rsidRPr="0056798F">
        <w:t>a</w:t>
      </w:r>
      <w:r w:rsidR="00D27B92" w:rsidRPr="0056798F">
        <w:t> </w:t>
      </w:r>
      <w:r w:rsidRPr="0056798F">
        <w:t>prié le secrétariat, sous réserve de la disponibilité de ressources</w:t>
      </w:r>
      <w:r w:rsidR="00905496" w:rsidRPr="0056798F">
        <w:rPr>
          <w:lang w:eastAsia="en-GB"/>
        </w:rPr>
        <w:t>,</w:t>
      </w:r>
      <w:r w:rsidR="009C2C39" w:rsidRPr="0056798F">
        <w:t xml:space="preserve"> </w:t>
      </w:r>
      <w:r w:rsidR="00A1570E" w:rsidRPr="0056798F">
        <w:t>d</w:t>
      </w:r>
      <w:r w:rsidR="00EA4125" w:rsidRPr="0056798F">
        <w:t>’</w:t>
      </w:r>
      <w:r w:rsidR="003A72F8" w:rsidRPr="0056798F">
        <w:t>aider les Parties à mieux comprendre les dispositions relatives au commerce, leurs relations avec d</w:t>
      </w:r>
      <w:r w:rsidR="00EA4125" w:rsidRPr="0056798F">
        <w:t>’</w:t>
      </w:r>
      <w:r w:rsidR="003A72F8" w:rsidRPr="0056798F">
        <w:t>autres articles de la Convention et l</w:t>
      </w:r>
      <w:r w:rsidR="00EA4125" w:rsidRPr="0056798F">
        <w:t>’</w:t>
      </w:r>
      <w:r w:rsidR="003A72F8" w:rsidRPr="0056798F">
        <w:t>utilisation des formulaires de consentement au commerce qu</w:t>
      </w:r>
      <w:r w:rsidR="00EA4125" w:rsidRPr="0056798F">
        <w:t>’</w:t>
      </w:r>
      <w:r w:rsidR="003A72F8" w:rsidRPr="0056798F">
        <w:t>elle a adoptés, en particulier en ce qui concerne les importations en provenance de non-Parties</w:t>
      </w:r>
      <w:r w:rsidR="002554C6" w:rsidRPr="0056798F">
        <w:t xml:space="preserve">, </w:t>
      </w:r>
      <w:r w:rsidR="00A1570E" w:rsidRPr="0056798F">
        <w:t>d</w:t>
      </w:r>
      <w:r w:rsidR="003A72F8" w:rsidRPr="0056798F">
        <w:t>e mener des activités de sensibilisation aux dispositions de la Convention concernant les utilisations et les sources autorisées de mercure afin d</w:t>
      </w:r>
      <w:r w:rsidR="00EA4125" w:rsidRPr="0056798F">
        <w:t>’</w:t>
      </w:r>
      <w:r w:rsidR="003A72F8" w:rsidRPr="0056798F">
        <w:t>aider les Parties à respecter les exigences de l</w:t>
      </w:r>
      <w:r w:rsidR="00EA4125" w:rsidRPr="0056798F">
        <w:t>’</w:t>
      </w:r>
      <w:r w:rsidR="003A72F8" w:rsidRPr="0056798F">
        <w:t>article</w:t>
      </w:r>
      <w:r w:rsidR="00D30C05" w:rsidRPr="0056798F">
        <w:t> </w:t>
      </w:r>
      <w:r w:rsidR="003A72F8" w:rsidRPr="0056798F">
        <w:t>3</w:t>
      </w:r>
      <w:r w:rsidR="00AB53B6" w:rsidRPr="0056798F">
        <w:t xml:space="preserve">, </w:t>
      </w:r>
      <w:r w:rsidR="00A1570E" w:rsidRPr="0056798F">
        <w:t>d</w:t>
      </w:r>
      <w:r w:rsidR="00EA4125" w:rsidRPr="0056798F">
        <w:t>’</w:t>
      </w:r>
      <w:r w:rsidR="003A72F8" w:rsidRPr="0056798F">
        <w:t>élargir la coopération avec les secrétariats d</w:t>
      </w:r>
      <w:r w:rsidR="00EA4125" w:rsidRPr="0056798F">
        <w:t>’</w:t>
      </w:r>
      <w:r w:rsidR="003A72F8" w:rsidRPr="0056798F">
        <w:t>autres accords multilatéraux sur l</w:t>
      </w:r>
      <w:r w:rsidR="00EA4125" w:rsidRPr="0056798F">
        <w:t>’</w:t>
      </w:r>
      <w:r w:rsidR="003A72F8" w:rsidRPr="0056798F">
        <w:t>environnement</w:t>
      </w:r>
      <w:r w:rsidR="00634A21" w:rsidRPr="0056798F">
        <w:t xml:space="preserve"> </w:t>
      </w:r>
      <w:r w:rsidR="003A72F8" w:rsidRPr="0056798F">
        <w:t xml:space="preserve">et </w:t>
      </w:r>
      <w:r w:rsidR="00A1570E" w:rsidRPr="0056798F">
        <w:t>d</w:t>
      </w:r>
      <w:r w:rsidR="003A72F8" w:rsidRPr="0056798F">
        <w:t>e faciliter la circulation de toutes les informations ayant trait aux échanges commerciaux que le secrétariat reçoit des Parties par suite du paragraphe</w:t>
      </w:r>
      <w:r w:rsidR="00D30C05" w:rsidRPr="0056798F">
        <w:t> </w:t>
      </w:r>
      <w:r w:rsidR="003A72F8" w:rsidRPr="0056798F">
        <w:t>6 de l</w:t>
      </w:r>
      <w:r w:rsidR="00EA4125" w:rsidRPr="0056798F">
        <w:t>’</w:t>
      </w:r>
      <w:r w:rsidR="003A72F8" w:rsidRPr="0056798F">
        <w:t>article</w:t>
      </w:r>
      <w:r w:rsidR="00D30C05" w:rsidRPr="0056798F">
        <w:t> </w:t>
      </w:r>
      <w:r w:rsidR="003A72F8" w:rsidRPr="0056798F">
        <w:t>3 et que les parties concernées ne sont pas opposées à partager avec d</w:t>
      </w:r>
      <w:r w:rsidR="00EA4125" w:rsidRPr="0056798F">
        <w:t>’</w:t>
      </w:r>
      <w:r w:rsidR="003A72F8" w:rsidRPr="0056798F">
        <w:t>autres</w:t>
      </w:r>
      <w:r w:rsidR="00A1570E" w:rsidRPr="0056798F">
        <w:t>.</w:t>
      </w:r>
    </w:p>
    <w:p w14:paraId="20ACDDC0" w14:textId="4F410583" w:rsidR="0050411E" w:rsidRPr="0056798F" w:rsidRDefault="0050411E" w:rsidP="005C3FE1">
      <w:pPr>
        <w:pStyle w:val="Normalnumber"/>
      </w:pPr>
      <w:r w:rsidRPr="0056798F">
        <w:t>Pour donner suite à ces demandes, le</w:t>
      </w:r>
      <w:r w:rsidR="00F5381F" w:rsidRPr="0056798F">
        <w:t xml:space="preserve"> </w:t>
      </w:r>
      <w:r w:rsidRPr="0056798F">
        <w:t>secrétariat</w:t>
      </w:r>
      <w:r w:rsidR="00E422CF" w:rsidRPr="0056798F">
        <w:t xml:space="preserve"> </w:t>
      </w:r>
      <w:r w:rsidR="004B4B19" w:rsidRPr="0056798F">
        <w:t>a élaboré d</w:t>
      </w:r>
      <w:r w:rsidR="00256943" w:rsidRPr="0056798F">
        <w:t>es outils de formation</w:t>
      </w:r>
      <w:r w:rsidR="004B4B19" w:rsidRPr="0056798F">
        <w:t xml:space="preserve"> pour aider les </w:t>
      </w:r>
      <w:r w:rsidR="00832C77" w:rsidRPr="0056798F">
        <w:t>P</w:t>
      </w:r>
      <w:r w:rsidR="004B4B19" w:rsidRPr="0056798F">
        <w:t>arties à mieux comprendre les dispositions relatives au commerce</w:t>
      </w:r>
      <w:r w:rsidR="00256943" w:rsidRPr="0056798F">
        <w:t xml:space="preserve">, leur </w:t>
      </w:r>
      <w:r w:rsidR="00832C77" w:rsidRPr="0056798F">
        <w:t xml:space="preserve">relation </w:t>
      </w:r>
      <w:r w:rsidR="00256943" w:rsidRPr="0056798F">
        <w:t>avec d</w:t>
      </w:r>
      <w:r w:rsidR="00EA4125" w:rsidRPr="0056798F">
        <w:t>’</w:t>
      </w:r>
      <w:r w:rsidR="004B4B19" w:rsidRPr="0056798F">
        <w:t>autres articles de la Convention, et l</w:t>
      </w:r>
      <w:r w:rsidR="00EA4125" w:rsidRPr="0056798F">
        <w:t>’</w:t>
      </w:r>
      <w:r w:rsidR="004B4B19" w:rsidRPr="0056798F">
        <w:t xml:space="preserve">utilisation des formulaires </w:t>
      </w:r>
      <w:r w:rsidR="00256943" w:rsidRPr="0056798F">
        <w:t>de consentement au commerce</w:t>
      </w:r>
      <w:r w:rsidR="004B4B19" w:rsidRPr="0056798F">
        <w:t xml:space="preserve"> adoptés par la Conférence des Parties. Le secrétariat a </w:t>
      </w:r>
      <w:r w:rsidR="00256943" w:rsidRPr="0056798F">
        <w:t xml:space="preserve">aussi </w:t>
      </w:r>
      <w:r w:rsidR="004B4B19" w:rsidRPr="0056798F">
        <w:t>organisé deux sessions</w:t>
      </w:r>
      <w:r w:rsidR="00655CB3" w:rsidRPr="0056798F">
        <w:t xml:space="preserve"> de</w:t>
      </w:r>
      <w:r w:rsidR="004B4B19" w:rsidRPr="0056798F">
        <w:t xml:space="preserve"> Minamata Online, l</w:t>
      </w:r>
      <w:r w:rsidR="00EA4125" w:rsidRPr="0056798F">
        <w:t>’</w:t>
      </w:r>
      <w:r w:rsidR="004B4B19" w:rsidRPr="0056798F">
        <w:t xml:space="preserve">une </w:t>
      </w:r>
      <w:r w:rsidR="00256943" w:rsidRPr="0056798F">
        <w:t>sur</w:t>
      </w:r>
      <w:r w:rsidR="004B4B19" w:rsidRPr="0056798F">
        <w:t xml:space="preserve"> </w:t>
      </w:r>
      <w:hyperlink r:id="rId14" w:history="1">
        <w:r w:rsidR="004B4B19" w:rsidRPr="0056798F">
          <w:rPr>
            <w:rStyle w:val="Hyperlink"/>
          </w:rPr>
          <w:t>la mise en œuvre des dispositions relatives au commerce</w:t>
        </w:r>
      </w:hyperlink>
      <w:r w:rsidR="00256943" w:rsidRPr="0056798F">
        <w:t>,</w:t>
      </w:r>
      <w:r w:rsidR="004B4B19" w:rsidRPr="0056798F">
        <w:t xml:space="preserve"> le 26 juin 2024, et l</w:t>
      </w:r>
      <w:r w:rsidR="00EA4125" w:rsidRPr="0056798F">
        <w:t>’</w:t>
      </w:r>
      <w:r w:rsidR="004B4B19" w:rsidRPr="0056798F">
        <w:t xml:space="preserve">autre sur </w:t>
      </w:r>
      <w:hyperlink r:id="rId15" w:history="1">
        <w:r w:rsidR="004B4B19" w:rsidRPr="0056798F">
          <w:rPr>
            <w:rStyle w:val="Hyperlink"/>
          </w:rPr>
          <w:t>les sources d</w:t>
        </w:r>
        <w:r w:rsidR="00EA4125" w:rsidRPr="0056798F">
          <w:rPr>
            <w:rStyle w:val="Hyperlink"/>
          </w:rPr>
          <w:t>’</w:t>
        </w:r>
        <w:r w:rsidR="004B4B19" w:rsidRPr="0056798F">
          <w:rPr>
            <w:rStyle w:val="Hyperlink"/>
          </w:rPr>
          <w:t>approvisionnement en mercure et le commerce</w:t>
        </w:r>
        <w:r w:rsidR="00A27C32" w:rsidRPr="0056798F">
          <w:rPr>
            <w:rStyle w:val="Hyperlink"/>
          </w:rPr>
          <w:t xml:space="preserve"> du mercure</w:t>
        </w:r>
      </w:hyperlink>
      <w:r w:rsidR="00256943" w:rsidRPr="0056798F">
        <w:t>,</w:t>
      </w:r>
      <w:r w:rsidR="004B4B19" w:rsidRPr="0056798F">
        <w:t xml:space="preserve"> le 11</w:t>
      </w:r>
      <w:r w:rsidR="00D30C05" w:rsidRPr="0056798F">
        <w:t> </w:t>
      </w:r>
      <w:r w:rsidR="004B4B19" w:rsidRPr="0056798F">
        <w:t>mars 2025.</w:t>
      </w:r>
      <w:r w:rsidR="00E90745" w:rsidRPr="0056798F">
        <w:t xml:space="preserve"> Grâce à la contribution financière de l</w:t>
      </w:r>
      <w:r w:rsidR="00EA4125" w:rsidRPr="0056798F">
        <w:t>’</w:t>
      </w:r>
      <w:r w:rsidR="00E90745" w:rsidRPr="0056798F">
        <w:t xml:space="preserve">Union européenne, </w:t>
      </w:r>
      <w:r w:rsidR="000C3755" w:rsidRPr="0056798F">
        <w:t>d</w:t>
      </w:r>
      <w:r w:rsidR="00E90745" w:rsidRPr="0056798F">
        <w:t xml:space="preserve">es modules de formation sur </w:t>
      </w:r>
      <w:r w:rsidR="000C3755" w:rsidRPr="0056798F">
        <w:t>les sources d</w:t>
      </w:r>
      <w:r w:rsidR="00EA4125" w:rsidRPr="0056798F">
        <w:t>’</w:t>
      </w:r>
      <w:r w:rsidR="00E90745" w:rsidRPr="0056798F">
        <w:t xml:space="preserve">approvisionnement et le commerce ont été </w:t>
      </w:r>
      <w:r w:rsidR="000C3755" w:rsidRPr="0056798F">
        <w:t>mis au point</w:t>
      </w:r>
      <w:r w:rsidR="00E90745" w:rsidRPr="0056798F">
        <w:t>, en collaboration avec l</w:t>
      </w:r>
      <w:r w:rsidR="00EA4125" w:rsidRPr="0056798F">
        <w:t>’</w:t>
      </w:r>
      <w:r w:rsidR="00E90745" w:rsidRPr="0056798F">
        <w:t>École des cadres du système des Nations</w:t>
      </w:r>
      <w:r w:rsidR="00E078E2" w:rsidRPr="0056798F">
        <w:t> </w:t>
      </w:r>
      <w:r w:rsidR="00E90745" w:rsidRPr="0056798F">
        <w:t xml:space="preserve">Unies, dans le cadre de </w:t>
      </w:r>
      <w:hyperlink r:id="rId16" w:history="1">
        <w:r w:rsidR="00031278" w:rsidRPr="0056798F">
          <w:rPr>
            <w:rStyle w:val="Hyperlink"/>
          </w:rPr>
          <w:t>la plateforme d</w:t>
        </w:r>
        <w:r w:rsidR="00EA4125" w:rsidRPr="0056798F">
          <w:rPr>
            <w:rStyle w:val="Hyperlink"/>
          </w:rPr>
          <w:t>’</w:t>
        </w:r>
        <w:r w:rsidR="00031278" w:rsidRPr="0056798F">
          <w:rPr>
            <w:rStyle w:val="Hyperlink"/>
          </w:rPr>
          <w:t>apprentissage en ligne Minamata Tool</w:t>
        </w:r>
        <w:r w:rsidR="000C3755" w:rsidRPr="0056798F">
          <w:rPr>
            <w:rStyle w:val="Hyperlink"/>
          </w:rPr>
          <w:t>s</w:t>
        </w:r>
      </w:hyperlink>
      <w:r w:rsidR="00031278" w:rsidRPr="0056798F">
        <w:t>.</w:t>
      </w:r>
    </w:p>
    <w:p w14:paraId="61B6C159" w14:textId="13A43FF4" w:rsidR="00DF24FE" w:rsidRPr="0056798F" w:rsidRDefault="00DF24FE" w:rsidP="005C3FE1">
      <w:pPr>
        <w:pStyle w:val="Normalnumber"/>
      </w:pPr>
      <w:r w:rsidRPr="0056798F">
        <w:t xml:space="preserve">Une </w:t>
      </w:r>
      <w:r w:rsidR="000E27CE" w:rsidRPr="0056798F">
        <w:t xml:space="preserve">session de </w:t>
      </w:r>
      <w:r w:rsidRPr="0056798F">
        <w:t>formation sur la Convention de</w:t>
      </w:r>
      <w:r w:rsidR="00B61406" w:rsidRPr="0056798F">
        <w:t> </w:t>
      </w:r>
      <w:r w:rsidRPr="0056798F">
        <w:t xml:space="preserve">Minamata </w:t>
      </w:r>
      <w:r w:rsidR="000417B8" w:rsidRPr="0056798F">
        <w:t xml:space="preserve">sur le mercure </w:t>
      </w:r>
      <w:r w:rsidR="001C77A1" w:rsidRPr="0056798F">
        <w:t>est en cours d</w:t>
      </w:r>
      <w:r w:rsidR="00EA4125" w:rsidRPr="0056798F">
        <w:t>’</w:t>
      </w:r>
      <w:r w:rsidR="001C77A1" w:rsidRPr="0056798F">
        <w:t>élaboration en coopération avec l</w:t>
      </w:r>
      <w:r w:rsidR="00EA4125" w:rsidRPr="0056798F">
        <w:t>’</w:t>
      </w:r>
      <w:r w:rsidR="001C77A1" w:rsidRPr="0056798F">
        <w:t xml:space="preserve">Organisation mondiale des douanes </w:t>
      </w:r>
      <w:r w:rsidR="000E27CE" w:rsidRPr="0056798F">
        <w:t>et sera</w:t>
      </w:r>
      <w:r w:rsidR="001C77A1" w:rsidRPr="0056798F">
        <w:t xml:space="preserve"> publiée sur la plateforme d</w:t>
      </w:r>
      <w:r w:rsidR="00EA4125" w:rsidRPr="0056798F">
        <w:t>’</w:t>
      </w:r>
      <w:r w:rsidR="001C77A1" w:rsidRPr="0056798F">
        <w:t xml:space="preserve">apprentissage </w:t>
      </w:r>
      <w:proofErr w:type="spellStart"/>
      <w:proofErr w:type="gramStart"/>
      <w:r w:rsidR="001C77A1" w:rsidRPr="0056798F">
        <w:t>CLiKC</w:t>
      </w:r>
      <w:proofErr w:type="spellEnd"/>
      <w:r w:rsidR="001C77A1" w:rsidRPr="0056798F">
        <w:t>!</w:t>
      </w:r>
      <w:proofErr w:type="gramEnd"/>
      <w:r w:rsidR="001C77A1" w:rsidRPr="0056798F">
        <w:t xml:space="preserve"> </w:t>
      </w:r>
      <w:r w:rsidR="002A5867" w:rsidRPr="0056798F">
        <w:t>à l</w:t>
      </w:r>
      <w:r w:rsidR="00EA4125" w:rsidRPr="0056798F">
        <w:t>’</w:t>
      </w:r>
      <w:r w:rsidR="002A5867" w:rsidRPr="0056798F">
        <w:t>intention d</w:t>
      </w:r>
      <w:r w:rsidR="001C77A1" w:rsidRPr="0056798F">
        <w:t>es</w:t>
      </w:r>
      <w:r w:rsidR="000E27CE" w:rsidRPr="0056798F">
        <w:t xml:space="preserve"> agent(e)s des</w:t>
      </w:r>
      <w:r w:rsidR="001C77A1" w:rsidRPr="0056798F">
        <w:t xml:space="preserve"> douan</w:t>
      </w:r>
      <w:r w:rsidR="000E27CE" w:rsidRPr="0056798F">
        <w:t>e</w:t>
      </w:r>
      <w:r w:rsidR="001C77A1" w:rsidRPr="0056798F">
        <w:t>s.</w:t>
      </w:r>
      <w:r w:rsidR="0050020D" w:rsidRPr="0056798F">
        <w:t xml:space="preserve"> </w:t>
      </w:r>
      <w:r w:rsidR="00453D28" w:rsidRPr="0056798F">
        <w:t>Le</w:t>
      </w:r>
      <w:r w:rsidR="0050020D" w:rsidRPr="0056798F">
        <w:t xml:space="preserve"> secrétariat a également </w:t>
      </w:r>
      <w:r w:rsidR="000E3448" w:rsidRPr="0056798F">
        <w:t>particip</w:t>
      </w:r>
      <w:r w:rsidR="00453D28" w:rsidRPr="0056798F">
        <w:t>é</w:t>
      </w:r>
      <w:r w:rsidR="000E3448" w:rsidRPr="0056798F">
        <w:t xml:space="preserve"> à l</w:t>
      </w:r>
      <w:r w:rsidR="00EA4125" w:rsidRPr="0056798F">
        <w:t>’</w:t>
      </w:r>
      <w:r w:rsidR="000E3448" w:rsidRPr="0056798F">
        <w:t>initiative «</w:t>
      </w:r>
      <w:r w:rsidR="00453D28" w:rsidRPr="0056798F">
        <w:t> </w:t>
      </w:r>
      <w:r w:rsidR="000E3448" w:rsidRPr="0056798F">
        <w:t>Douanes vertes</w:t>
      </w:r>
      <w:r w:rsidR="00453D28" w:rsidRPr="0056798F">
        <w:t> </w:t>
      </w:r>
      <w:r w:rsidR="000E3448" w:rsidRPr="0056798F">
        <w:t>» coordonnée par le P</w:t>
      </w:r>
      <w:r w:rsidR="002A5867" w:rsidRPr="0056798F">
        <w:t>NUE</w:t>
      </w:r>
      <w:r w:rsidR="000E3448" w:rsidRPr="0056798F">
        <w:t>, qui vise à renforcer la capacité des agent</w:t>
      </w:r>
      <w:r w:rsidR="00C46DEB" w:rsidRPr="0056798F">
        <w:t>(e)</w:t>
      </w:r>
      <w:r w:rsidR="000E3448" w:rsidRPr="0056798F">
        <w:t>s des douanes et des contrôles aux frontières à faire respecter les conventions liées au commerce, les accords multilatéraux sur l</w:t>
      </w:r>
      <w:r w:rsidR="00EA4125" w:rsidRPr="0056798F">
        <w:t>’</w:t>
      </w:r>
      <w:r w:rsidR="000E3448" w:rsidRPr="0056798F">
        <w:t>environnement et la législation nationale correspondante, et à en favoriser la mise en œuvre</w:t>
      </w:r>
      <w:r w:rsidR="00DE23DE" w:rsidRPr="0056798F">
        <w:t xml:space="preserve">. Le secrétariat a </w:t>
      </w:r>
      <w:r w:rsidR="008029DB" w:rsidRPr="0056798F">
        <w:t xml:space="preserve">élaboré une version </w:t>
      </w:r>
      <w:r w:rsidR="00DE23DE" w:rsidRPr="0056798F">
        <w:t>mis</w:t>
      </w:r>
      <w:r w:rsidR="008029DB" w:rsidRPr="0056798F">
        <w:t>e</w:t>
      </w:r>
      <w:r w:rsidR="00DE23DE" w:rsidRPr="0056798F">
        <w:t xml:space="preserve"> à jour </w:t>
      </w:r>
      <w:r w:rsidR="008029DB" w:rsidRPr="0056798F">
        <w:t>d</w:t>
      </w:r>
      <w:r w:rsidR="00EA4125" w:rsidRPr="0056798F">
        <w:t>’</w:t>
      </w:r>
      <w:r w:rsidR="008029DB" w:rsidRPr="0056798F">
        <w:t xml:space="preserve">un chapitre </w:t>
      </w:r>
      <w:r w:rsidR="00DE23DE" w:rsidRPr="0056798F">
        <w:t>sur la Convention de Minamata</w:t>
      </w:r>
      <w:r w:rsidR="00C46DEB" w:rsidRPr="0056798F">
        <w:t xml:space="preserve"> sur le mercure</w:t>
      </w:r>
      <w:r w:rsidR="00DE23DE" w:rsidRPr="0056798F">
        <w:t xml:space="preserve"> pour l</w:t>
      </w:r>
      <w:r w:rsidR="00EA4125" w:rsidRPr="0056798F">
        <w:t>’</w:t>
      </w:r>
      <w:r w:rsidR="00DE23DE" w:rsidRPr="0056798F">
        <w:t xml:space="preserve">inclure dans la </w:t>
      </w:r>
      <w:r w:rsidR="008029DB" w:rsidRPr="0056798F">
        <w:t xml:space="preserve">dernière </w:t>
      </w:r>
      <w:r w:rsidR="00DE23DE" w:rsidRPr="0056798F">
        <w:t>version du Guide de l</w:t>
      </w:r>
      <w:r w:rsidR="00EA4125" w:rsidRPr="0056798F">
        <w:t>’</w:t>
      </w:r>
      <w:r w:rsidR="00C46DEB" w:rsidRPr="0056798F">
        <w:t>i</w:t>
      </w:r>
      <w:r w:rsidR="00DE23DE" w:rsidRPr="0056798F">
        <w:t>nitiative «</w:t>
      </w:r>
      <w:r w:rsidR="00C46DEB" w:rsidRPr="0056798F">
        <w:t> </w:t>
      </w:r>
      <w:r w:rsidR="00DE23DE" w:rsidRPr="0056798F">
        <w:t>Douanes vertes</w:t>
      </w:r>
      <w:r w:rsidR="00C46DEB" w:rsidRPr="0056798F">
        <w:t> </w:t>
      </w:r>
      <w:r w:rsidR="00DE23DE" w:rsidRPr="0056798F">
        <w:t>» pour les accords multilatéraux sur l</w:t>
      </w:r>
      <w:r w:rsidR="00EA4125" w:rsidRPr="0056798F">
        <w:t>’</w:t>
      </w:r>
      <w:r w:rsidR="00DE23DE" w:rsidRPr="0056798F">
        <w:t>environnement.</w:t>
      </w:r>
    </w:p>
    <w:p w14:paraId="54FA4CB3" w14:textId="0FD00435" w:rsidR="00B30F14" w:rsidRPr="0056798F" w:rsidRDefault="00D52362" w:rsidP="005C3FE1">
      <w:pPr>
        <w:pStyle w:val="Normalnumber"/>
      </w:pPr>
      <w:r w:rsidRPr="0056798F">
        <w:t>L</w:t>
      </w:r>
      <w:r w:rsidR="005B28A2" w:rsidRPr="0056798F">
        <w:t xml:space="preserve">e </w:t>
      </w:r>
      <w:r w:rsidR="008D249A" w:rsidRPr="0056798F">
        <w:t>secrétariat</w:t>
      </w:r>
      <w:r w:rsidR="005B28A2" w:rsidRPr="0056798F">
        <w:t xml:space="preserve"> </w:t>
      </w:r>
      <w:r w:rsidRPr="0056798F">
        <w:t>a également mené des activités de sensibilisation aux dispositions de la Convention relatives aux utilisations et aux sources autorisées de mercure, afin d</w:t>
      </w:r>
      <w:r w:rsidR="00EA4125" w:rsidRPr="0056798F">
        <w:t>’</w:t>
      </w:r>
      <w:r w:rsidRPr="0056798F">
        <w:t>aider les Parties à se conformer aux exigences de l</w:t>
      </w:r>
      <w:r w:rsidR="00EA4125" w:rsidRPr="0056798F">
        <w:t>’</w:t>
      </w:r>
      <w:r w:rsidRPr="0056798F">
        <w:t>article</w:t>
      </w:r>
      <w:r w:rsidR="00B61406" w:rsidRPr="0056798F">
        <w:t> </w:t>
      </w:r>
      <w:r w:rsidRPr="0056798F">
        <w:t>3</w:t>
      </w:r>
      <w:r w:rsidR="00057499" w:rsidRPr="0056798F">
        <w:t xml:space="preserve">. </w:t>
      </w:r>
      <w:r w:rsidR="00C46DEB" w:rsidRPr="0056798F">
        <w:t>L</w:t>
      </w:r>
      <w:r w:rsidRPr="0056798F">
        <w:t>a contribution financière de l</w:t>
      </w:r>
      <w:r w:rsidR="00EA4125" w:rsidRPr="0056798F">
        <w:t>’</w:t>
      </w:r>
      <w:r w:rsidRPr="0056798F">
        <w:t>Union européenne</w:t>
      </w:r>
      <w:r w:rsidR="00C46DEB" w:rsidRPr="0056798F">
        <w:t xml:space="preserve"> a permis au</w:t>
      </w:r>
      <w:r w:rsidR="00F5381F" w:rsidRPr="0056798F">
        <w:t xml:space="preserve"> </w:t>
      </w:r>
      <w:r w:rsidR="00F3234F" w:rsidRPr="0056798F">
        <w:t>secrétariat</w:t>
      </w:r>
      <w:r w:rsidR="00F5381F" w:rsidRPr="0056798F">
        <w:t xml:space="preserve"> </w:t>
      </w:r>
      <w:r w:rsidR="00C46DEB" w:rsidRPr="0056798F">
        <w:t>d</w:t>
      </w:r>
      <w:r w:rsidR="00EA4125" w:rsidRPr="0056798F">
        <w:t>’</w:t>
      </w:r>
      <w:r w:rsidR="00F20959" w:rsidRPr="0056798F">
        <w:t>établi</w:t>
      </w:r>
      <w:r w:rsidR="00C46DEB" w:rsidRPr="0056798F">
        <w:t>r</w:t>
      </w:r>
      <w:r w:rsidR="00F20959" w:rsidRPr="0056798F">
        <w:t xml:space="preserve"> une fiche d</w:t>
      </w:r>
      <w:r w:rsidR="00EA4125" w:rsidRPr="0056798F">
        <w:t>’</w:t>
      </w:r>
      <w:r w:rsidR="00F20959" w:rsidRPr="0056798F">
        <w:t>information sur le commerce du mercure</w:t>
      </w:r>
      <w:r w:rsidR="00605DAC" w:rsidRPr="0056798F">
        <w:rPr>
          <w:rStyle w:val="FootnoteReference"/>
        </w:rPr>
        <w:footnoteReference w:id="11"/>
      </w:r>
      <w:r w:rsidR="0078757B" w:rsidRPr="0056798F">
        <w:t>.</w:t>
      </w:r>
      <w:r w:rsidR="00F5381F" w:rsidRPr="0056798F">
        <w:t xml:space="preserve"> </w:t>
      </w:r>
      <w:r w:rsidR="00F20959" w:rsidRPr="0056798F">
        <w:t>Le</w:t>
      </w:r>
      <w:r w:rsidR="6A3A1A01" w:rsidRPr="0056798F">
        <w:t xml:space="preserve"> 6</w:t>
      </w:r>
      <w:r w:rsidR="00F20959" w:rsidRPr="0056798F">
        <w:t> juin</w:t>
      </w:r>
      <w:r w:rsidR="6A3A1A01" w:rsidRPr="0056798F">
        <w:t xml:space="preserve"> 2024, </w:t>
      </w:r>
      <w:r w:rsidR="00F20959" w:rsidRPr="0056798F">
        <w:t>l</w:t>
      </w:r>
      <w:r w:rsidR="6A3A1A01" w:rsidRPr="0056798F">
        <w:t xml:space="preserve">e </w:t>
      </w:r>
      <w:r w:rsidR="006E061B" w:rsidRPr="0056798F">
        <w:t>secrétariat</w:t>
      </w:r>
      <w:r w:rsidR="6A3A1A01" w:rsidRPr="0056798F">
        <w:t xml:space="preserve"> </w:t>
      </w:r>
      <w:r w:rsidR="00F20959" w:rsidRPr="0056798F">
        <w:t xml:space="preserve">a </w:t>
      </w:r>
      <w:r w:rsidR="00385D1D" w:rsidRPr="0056798F">
        <w:t xml:space="preserve">tenu </w:t>
      </w:r>
      <w:r w:rsidR="00F20959" w:rsidRPr="0056798F">
        <w:t xml:space="preserve">un atelier sur le commerce du mercure en marge du Forum </w:t>
      </w:r>
      <w:r w:rsidR="006E061B" w:rsidRPr="0056798F">
        <w:t>mondial organisé par</w:t>
      </w:r>
      <w:r w:rsidR="6A3A1A01" w:rsidRPr="0056798F">
        <w:t xml:space="preserve"> </w:t>
      </w:r>
      <w:proofErr w:type="spellStart"/>
      <w:r w:rsidR="6A3A1A01" w:rsidRPr="0056798F">
        <w:t>planetGOLD</w:t>
      </w:r>
      <w:proofErr w:type="spellEnd"/>
      <w:r w:rsidR="6A3A1A01" w:rsidRPr="0056798F">
        <w:t xml:space="preserve"> </w:t>
      </w:r>
      <w:r w:rsidR="006E061B" w:rsidRPr="0056798F">
        <w:t>aux Philippines sur l</w:t>
      </w:r>
      <w:r w:rsidR="00EA4125" w:rsidRPr="0056798F">
        <w:t>’</w:t>
      </w:r>
      <w:r w:rsidR="006E061B" w:rsidRPr="0056798F">
        <w:t>extraction minière artisanale et à petite échelle d</w:t>
      </w:r>
      <w:r w:rsidR="00EA4125" w:rsidRPr="0056798F">
        <w:t>’</w:t>
      </w:r>
      <w:r w:rsidR="006E061B" w:rsidRPr="0056798F">
        <w:t>or</w:t>
      </w:r>
      <w:r w:rsidR="6A3A1A01" w:rsidRPr="0056798F">
        <w:t>.</w:t>
      </w:r>
      <w:r w:rsidR="00180CCE" w:rsidRPr="0056798F">
        <w:t xml:space="preserve"> </w:t>
      </w:r>
    </w:p>
    <w:p w14:paraId="215D4892" w14:textId="38E96D8B" w:rsidR="002075B6" w:rsidRPr="0056798F" w:rsidRDefault="009C6A14" w:rsidP="005C3FE1">
      <w:pPr>
        <w:pStyle w:val="Normalnumber"/>
      </w:pPr>
      <w:r w:rsidRPr="0056798F">
        <w:t xml:space="preserve">Un projet du FEM a été lancé en Amérique latine </w:t>
      </w:r>
      <w:r w:rsidR="00385D1D" w:rsidRPr="0056798F">
        <w:t>pour</w:t>
      </w:r>
      <w:r w:rsidRPr="0056798F">
        <w:t xml:space="preserve"> accélérer l</w:t>
      </w:r>
      <w:r w:rsidR="00EA4125" w:rsidRPr="0056798F">
        <w:t>’</w:t>
      </w:r>
      <w:r w:rsidR="00D62EF4" w:rsidRPr="0056798F">
        <w:t>application de</w:t>
      </w:r>
      <w:r w:rsidRPr="0056798F">
        <w:t xml:space="preserve"> la Convention de</w:t>
      </w:r>
      <w:r w:rsidR="00114DC6" w:rsidRPr="0056798F">
        <w:t xml:space="preserve"> Minamata</w:t>
      </w:r>
      <w:r w:rsidR="00D62EF4" w:rsidRPr="0056798F">
        <w:t xml:space="preserve"> sur le mercure</w:t>
      </w:r>
      <w:r w:rsidR="00114DC6" w:rsidRPr="0056798F">
        <w:t xml:space="preserve"> </w:t>
      </w:r>
      <w:r w:rsidR="00F3234F" w:rsidRPr="0056798F">
        <w:t>en améliorant la compréhension et le</w:t>
      </w:r>
      <w:r w:rsidR="00114DC6" w:rsidRPr="0056798F">
        <w:t xml:space="preserve"> </w:t>
      </w:r>
      <w:r w:rsidR="006E7453" w:rsidRPr="0056798F">
        <w:t>contrôle</w:t>
      </w:r>
      <w:r w:rsidR="00114DC6" w:rsidRPr="0056798F">
        <w:t xml:space="preserve"> </w:t>
      </w:r>
      <w:r w:rsidR="00F3234F" w:rsidRPr="0056798F">
        <w:t>du commerce du mercure</w:t>
      </w:r>
      <w:r w:rsidR="00605DAC" w:rsidRPr="0056798F">
        <w:rPr>
          <w:rStyle w:val="FootnoteReference"/>
        </w:rPr>
        <w:footnoteReference w:id="12"/>
      </w:r>
      <w:r w:rsidR="003E5AAE" w:rsidRPr="0056798F">
        <w:t xml:space="preserve">. </w:t>
      </w:r>
      <w:r w:rsidR="00F3234F" w:rsidRPr="0056798F">
        <w:t>Les</w:t>
      </w:r>
      <w:r w:rsidR="001F5651" w:rsidRPr="0056798F">
        <w:t xml:space="preserve"> 11 </w:t>
      </w:r>
      <w:r w:rsidR="00F3234F" w:rsidRPr="0056798F">
        <w:t>et</w:t>
      </w:r>
      <w:r w:rsidR="001F5651" w:rsidRPr="0056798F">
        <w:t xml:space="preserve"> 12</w:t>
      </w:r>
      <w:r w:rsidR="00F3234F" w:rsidRPr="0056798F">
        <w:t> mars</w:t>
      </w:r>
      <w:r w:rsidR="003530E8" w:rsidRPr="0056798F">
        <w:t xml:space="preserve"> 2025, </w:t>
      </w:r>
      <w:r w:rsidR="00F3234F" w:rsidRPr="0056798F">
        <w:t>l</w:t>
      </w:r>
      <w:r w:rsidR="002A5D93" w:rsidRPr="0056798F">
        <w:t xml:space="preserve">e </w:t>
      </w:r>
      <w:r w:rsidR="00983421" w:rsidRPr="0056798F">
        <w:t>secrétariat</w:t>
      </w:r>
      <w:r w:rsidR="002A5D93" w:rsidRPr="0056798F">
        <w:t xml:space="preserve"> </w:t>
      </w:r>
      <w:r w:rsidR="00F3234F" w:rsidRPr="0056798F">
        <w:t xml:space="preserve">a </w:t>
      </w:r>
      <w:r w:rsidR="002A5D93" w:rsidRPr="0056798F">
        <w:t>contribu</w:t>
      </w:r>
      <w:r w:rsidR="00F3234F" w:rsidRPr="0056798F">
        <w:t>é</w:t>
      </w:r>
      <w:r w:rsidR="006E7453" w:rsidRPr="0056798F">
        <w:t xml:space="preserve"> </w:t>
      </w:r>
      <w:r w:rsidR="00F3234F" w:rsidRPr="0056798F">
        <w:t>à l</w:t>
      </w:r>
      <w:r w:rsidR="00EA4125" w:rsidRPr="0056798F">
        <w:t>’</w:t>
      </w:r>
      <w:r w:rsidR="00F3234F" w:rsidRPr="0056798F">
        <w:t xml:space="preserve">atelier de lancement </w:t>
      </w:r>
      <w:r w:rsidR="00662EBE" w:rsidRPr="0056798F">
        <w:t xml:space="preserve">du projet, tenu à </w:t>
      </w:r>
      <w:r w:rsidR="0046442E" w:rsidRPr="0056798F">
        <w:t>Bogota</w:t>
      </w:r>
      <w:r w:rsidR="00662EBE" w:rsidRPr="0056798F">
        <w:t>.</w:t>
      </w:r>
      <w:r w:rsidR="0046442E" w:rsidRPr="0056798F">
        <w:t xml:space="preserve"> </w:t>
      </w:r>
      <w:r w:rsidR="00662EBE" w:rsidRPr="0056798F">
        <w:t>L</w:t>
      </w:r>
      <w:r w:rsidR="00EA4125" w:rsidRPr="0056798F">
        <w:t>’</w:t>
      </w:r>
      <w:r w:rsidR="00662EBE" w:rsidRPr="0056798F">
        <w:t>atelier a réuni des rep</w:t>
      </w:r>
      <w:r w:rsidR="00983421" w:rsidRPr="0056798F">
        <w:t>r</w:t>
      </w:r>
      <w:r w:rsidR="00662EBE" w:rsidRPr="0056798F">
        <w:t>ésentant</w:t>
      </w:r>
      <w:r w:rsidR="00D85880" w:rsidRPr="0056798F">
        <w:t>(e)</w:t>
      </w:r>
      <w:r w:rsidR="00662EBE" w:rsidRPr="0056798F">
        <w:t>s de</w:t>
      </w:r>
      <w:r w:rsidR="00A17C06" w:rsidRPr="0056798F">
        <w:t xml:space="preserve"> </w:t>
      </w:r>
      <w:r w:rsidR="00D85880" w:rsidRPr="0056798F">
        <w:t xml:space="preserve">la </w:t>
      </w:r>
      <w:r w:rsidR="00DA0702" w:rsidRPr="0056798F">
        <w:t>Bolivi</w:t>
      </w:r>
      <w:r w:rsidR="00662EBE" w:rsidRPr="0056798F">
        <w:t>e</w:t>
      </w:r>
      <w:r w:rsidR="00DA0702" w:rsidRPr="0056798F">
        <w:t xml:space="preserve">, </w:t>
      </w:r>
      <w:r w:rsidR="00662EBE" w:rsidRPr="0056798F">
        <w:t xml:space="preserve">de </w:t>
      </w:r>
      <w:r w:rsidR="00D85880" w:rsidRPr="0056798F">
        <w:t xml:space="preserve">la </w:t>
      </w:r>
      <w:r w:rsidR="00DA0702" w:rsidRPr="0056798F">
        <w:t>Colombi</w:t>
      </w:r>
      <w:r w:rsidR="00662EBE" w:rsidRPr="0056798F">
        <w:t>e</w:t>
      </w:r>
      <w:r w:rsidR="00DA0702" w:rsidRPr="0056798F">
        <w:t xml:space="preserve">, </w:t>
      </w:r>
      <w:r w:rsidR="00662EBE" w:rsidRPr="0056798F">
        <w:t>de l</w:t>
      </w:r>
      <w:r w:rsidR="00EA4125" w:rsidRPr="0056798F">
        <w:t>’</w:t>
      </w:r>
      <w:r w:rsidR="00662EBE" w:rsidRPr="0056798F">
        <w:t>Équateur</w:t>
      </w:r>
      <w:r w:rsidR="00DA0702" w:rsidRPr="0056798F">
        <w:t xml:space="preserve">, </w:t>
      </w:r>
      <w:r w:rsidR="00662EBE" w:rsidRPr="0056798F">
        <w:t xml:space="preserve">du </w:t>
      </w:r>
      <w:r w:rsidR="00DA0702" w:rsidRPr="0056798F">
        <w:t xml:space="preserve">Honduras, </w:t>
      </w:r>
      <w:r w:rsidR="00662EBE" w:rsidRPr="0056798F">
        <w:t xml:space="preserve">du </w:t>
      </w:r>
      <w:r w:rsidR="00DA0702" w:rsidRPr="0056798F">
        <w:t>Mexi</w:t>
      </w:r>
      <w:r w:rsidR="00662EBE" w:rsidRPr="0056798F">
        <w:t>que et du</w:t>
      </w:r>
      <w:r w:rsidR="00A462AC" w:rsidRPr="0056798F">
        <w:t xml:space="preserve"> P</w:t>
      </w:r>
      <w:r w:rsidR="00662EBE" w:rsidRPr="0056798F">
        <w:t>é</w:t>
      </w:r>
      <w:r w:rsidR="00A462AC" w:rsidRPr="0056798F">
        <w:t>r</w:t>
      </w:r>
      <w:r w:rsidR="00662EBE" w:rsidRPr="0056798F">
        <w:t>o</w:t>
      </w:r>
      <w:r w:rsidR="00A462AC" w:rsidRPr="0056798F">
        <w:t xml:space="preserve">u, </w:t>
      </w:r>
      <w:r w:rsidR="00662EBE" w:rsidRPr="0056798F">
        <w:t xml:space="preserve">ainsi que des </w:t>
      </w:r>
      <w:r w:rsidR="00983421" w:rsidRPr="0056798F">
        <w:t>organismes d</w:t>
      </w:r>
      <w:r w:rsidR="00EA4125" w:rsidRPr="0056798F">
        <w:t>’</w:t>
      </w:r>
      <w:r w:rsidR="00983421" w:rsidRPr="0056798F">
        <w:t>exécution</w:t>
      </w:r>
      <w:r w:rsidR="006E7453" w:rsidRPr="0056798F">
        <w:t>,</w:t>
      </w:r>
      <w:r w:rsidR="00662EBE" w:rsidRPr="0056798F">
        <w:t xml:space="preserve"> </w:t>
      </w:r>
      <w:r w:rsidR="00534B61" w:rsidRPr="0056798F">
        <w:t xml:space="preserve">afin de </w:t>
      </w:r>
      <w:r w:rsidR="0064691A" w:rsidRPr="0056798F">
        <w:t>valider un plan de</w:t>
      </w:r>
      <w:r w:rsidR="0011753D" w:rsidRPr="0056798F">
        <w:t xml:space="preserve"> </w:t>
      </w:r>
      <w:r w:rsidR="0064691A" w:rsidRPr="0056798F">
        <w:t xml:space="preserve">travail pour </w:t>
      </w:r>
      <w:r w:rsidR="0011753D" w:rsidRPr="0056798F">
        <w:t>la première</w:t>
      </w:r>
      <w:r w:rsidR="001762D7" w:rsidRPr="0056798F">
        <w:t> </w:t>
      </w:r>
      <w:r w:rsidR="0064691A" w:rsidRPr="0056798F">
        <w:t xml:space="preserve">année de mise en œuvre du projet et </w:t>
      </w:r>
      <w:r w:rsidR="00534B61" w:rsidRPr="0056798F">
        <w:t xml:space="preserve">de </w:t>
      </w:r>
      <w:r w:rsidR="0064691A" w:rsidRPr="0056798F">
        <w:t xml:space="preserve">définir conjointement des orientations </w:t>
      </w:r>
      <w:r w:rsidR="00534B61" w:rsidRPr="0056798F">
        <w:t xml:space="preserve">pour </w:t>
      </w:r>
      <w:r w:rsidR="0064691A" w:rsidRPr="0056798F">
        <w:t>la</w:t>
      </w:r>
      <w:r w:rsidR="003B0972" w:rsidRPr="0056798F">
        <w:t xml:space="preserve"> </w:t>
      </w:r>
      <w:r w:rsidR="0093752E" w:rsidRPr="0056798F">
        <w:t>préparation</w:t>
      </w:r>
      <w:r w:rsidR="003B0972" w:rsidRPr="0056798F">
        <w:t xml:space="preserve"> </w:t>
      </w:r>
      <w:r w:rsidR="0064691A" w:rsidRPr="0056798F">
        <w:t>d</w:t>
      </w:r>
      <w:r w:rsidR="00EA4125" w:rsidRPr="0056798F">
        <w:t>’</w:t>
      </w:r>
      <w:r w:rsidR="0064691A" w:rsidRPr="0056798F">
        <w:t>études nationales sur les sources d</w:t>
      </w:r>
      <w:r w:rsidR="00EA4125" w:rsidRPr="0056798F">
        <w:t>’</w:t>
      </w:r>
      <w:r w:rsidR="0064691A" w:rsidRPr="0056798F">
        <w:t>approvisionnement en mercure</w:t>
      </w:r>
      <w:r w:rsidR="00AD7FD7" w:rsidRPr="0056798F">
        <w:t xml:space="preserve">, </w:t>
      </w:r>
      <w:r w:rsidR="0064691A" w:rsidRPr="0056798F">
        <w:t>les flux commerciaux licites et illicites de mercure et les</w:t>
      </w:r>
      <w:r w:rsidR="006B2008" w:rsidRPr="0056798F">
        <w:t xml:space="preserve"> </w:t>
      </w:r>
      <w:r w:rsidR="0064691A" w:rsidRPr="0056798F">
        <w:t>besoins connexes en matière de renforcement des capacités</w:t>
      </w:r>
      <w:r w:rsidR="0060377A" w:rsidRPr="0056798F">
        <w:t>.</w:t>
      </w:r>
      <w:r w:rsidR="00216134" w:rsidRPr="0056798F">
        <w:t xml:space="preserve"> </w:t>
      </w:r>
      <w:r w:rsidR="0064691A" w:rsidRPr="0056798F">
        <w:t>La mise en œuvre du projet du FEM peut apporter à la</w:t>
      </w:r>
      <w:r w:rsidR="00B11ACD" w:rsidRPr="0056798F">
        <w:t xml:space="preserve"> </w:t>
      </w:r>
      <w:r w:rsidR="00F25801" w:rsidRPr="0056798F">
        <w:t>Conférence</w:t>
      </w:r>
      <w:r w:rsidR="00B11ACD" w:rsidRPr="0056798F">
        <w:t xml:space="preserve"> </w:t>
      </w:r>
      <w:r w:rsidR="0064691A" w:rsidRPr="0056798F">
        <w:t>des</w:t>
      </w:r>
      <w:r w:rsidR="00B11ACD" w:rsidRPr="0056798F">
        <w:t xml:space="preserve"> Parties </w:t>
      </w:r>
      <w:r w:rsidR="0064691A" w:rsidRPr="0056798F">
        <w:t>des informations pertinentes sur la mise en œuvre de l</w:t>
      </w:r>
      <w:r w:rsidR="00EA4125" w:rsidRPr="0056798F">
        <w:t>’</w:t>
      </w:r>
      <w:r w:rsidR="0064691A" w:rsidRPr="0056798F">
        <w:t>article </w:t>
      </w:r>
      <w:r w:rsidR="00B11ACD" w:rsidRPr="0056798F">
        <w:t xml:space="preserve">3 </w:t>
      </w:r>
      <w:r w:rsidR="0064691A" w:rsidRPr="0056798F">
        <w:t>de la</w:t>
      </w:r>
      <w:r w:rsidR="00CB10BF" w:rsidRPr="0056798F">
        <w:t xml:space="preserve"> Convention</w:t>
      </w:r>
      <w:r w:rsidR="0064691A" w:rsidRPr="0056798F">
        <w:t xml:space="preserve"> dans la région de l</w:t>
      </w:r>
      <w:r w:rsidR="00EA4125" w:rsidRPr="0056798F">
        <w:t>’</w:t>
      </w:r>
      <w:r w:rsidR="0064691A" w:rsidRPr="0056798F">
        <w:t>Amérique latine</w:t>
      </w:r>
      <w:r w:rsidR="00CB10BF" w:rsidRPr="0056798F">
        <w:t>.</w:t>
      </w:r>
    </w:p>
    <w:p w14:paraId="12B5BED7" w14:textId="45DC52A2" w:rsidR="00B30F14" w:rsidRPr="0056798F" w:rsidRDefault="0043362F" w:rsidP="00A3328D">
      <w:pPr>
        <w:pStyle w:val="Normalnumber"/>
      </w:pPr>
      <w:r w:rsidRPr="0056798F">
        <w:t>L</w:t>
      </w:r>
      <w:r w:rsidR="001A6AAD" w:rsidRPr="0056798F">
        <w:t>e</w:t>
      </w:r>
      <w:r w:rsidRPr="0056798F">
        <w:t xml:space="preserve"> rapport conjoint sur la coopération et la coordination entre le Secrétariat des conventions de Bâle</w:t>
      </w:r>
      <w:r w:rsidR="00524E92" w:rsidRPr="0056798F">
        <w:t xml:space="preserve"> sur le contrôle des mouvements transfrontières de déchets dangereux et de leur élimination, de la Convention de Rotterdam sur la procédure de consentement préalable en connaissance de cause applicable à certains produits chimiques et pesticides dangereux qui font l’objet d’un commerce international et de la Convention de Stockholm sur les polluants organiques persistants </w:t>
      </w:r>
      <w:r w:rsidRPr="0056798F">
        <w:t xml:space="preserve">et le secrétariat </w:t>
      </w:r>
      <w:r w:rsidRPr="0056798F">
        <w:lastRenderedPageBreak/>
        <w:t xml:space="preserve">de la Convention de Minamata sur le mercure donne de plus amples informations </w:t>
      </w:r>
      <w:r w:rsidR="007B6BCE" w:rsidRPr="0056798F">
        <w:t xml:space="preserve">sur </w:t>
      </w:r>
      <w:r w:rsidRPr="0056798F">
        <w:t xml:space="preserve">la coopération et la coordination entre les deux secrétariats </w:t>
      </w:r>
      <w:r w:rsidR="007B6BCE" w:rsidRPr="0056798F">
        <w:t>en matière de</w:t>
      </w:r>
      <w:r w:rsidRPr="0056798F">
        <w:t xml:space="preserve"> contrôle du commerce du mercure élémentaire (document</w:t>
      </w:r>
      <w:r w:rsidR="00994123" w:rsidRPr="0056798F">
        <w:t> </w:t>
      </w:r>
      <w:r w:rsidR="00376700" w:rsidRPr="0056798F">
        <w:t>UNEP/MC/COP.5/INF/28</w:t>
      </w:r>
      <w:r w:rsidR="00994123" w:rsidRPr="0056798F">
        <w:t>, par</w:t>
      </w:r>
      <w:r w:rsidR="006E5C75" w:rsidRPr="0056798F">
        <w:t xml:space="preserve">. </w:t>
      </w:r>
      <w:r w:rsidR="00994123" w:rsidRPr="0056798F">
        <w:t>23 et 24</w:t>
      </w:r>
      <w:r w:rsidR="006618B0" w:rsidRPr="0056798F">
        <w:t>)</w:t>
      </w:r>
      <w:r w:rsidR="00B93CE0" w:rsidRPr="0056798F">
        <w:t>.</w:t>
      </w:r>
    </w:p>
    <w:p w14:paraId="6167019D" w14:textId="6A40FF51" w:rsidR="00344E3B" w:rsidRPr="0056798F" w:rsidRDefault="0010380C" w:rsidP="005C3FE1">
      <w:pPr>
        <w:pStyle w:val="Normalnumber"/>
      </w:pPr>
      <w:r w:rsidRPr="0056798F">
        <w:t>Enfin</w:t>
      </w:r>
      <w:r w:rsidR="00681959" w:rsidRPr="0056798F">
        <w:t xml:space="preserve">, </w:t>
      </w:r>
      <w:r w:rsidRPr="0056798F">
        <w:t>en réponse à l</w:t>
      </w:r>
      <w:r w:rsidR="00EA4125" w:rsidRPr="0056798F">
        <w:t>’</w:t>
      </w:r>
      <w:r w:rsidRPr="0056798F">
        <w:t>alinéa f) du paragraphe</w:t>
      </w:r>
      <w:r w:rsidR="00C92628" w:rsidRPr="0056798F">
        <w:t> </w:t>
      </w:r>
      <w:r w:rsidRPr="0056798F">
        <w:t>5 de la décision</w:t>
      </w:r>
      <w:r w:rsidR="00C92628" w:rsidRPr="0056798F">
        <w:t> </w:t>
      </w:r>
      <w:r w:rsidRPr="0056798F">
        <w:t>MC-5/2, le secrétariat a compilé</w:t>
      </w:r>
      <w:r w:rsidR="007B6BCE" w:rsidRPr="0056798F">
        <w:t xml:space="preserve"> dans une base de données</w:t>
      </w:r>
      <w:r w:rsidRPr="0056798F">
        <w:t xml:space="preserve"> les informations </w:t>
      </w:r>
      <w:r w:rsidR="007B6BCE" w:rsidRPr="0056798F">
        <w:t>tirées</w:t>
      </w:r>
      <w:r w:rsidRPr="0056798F">
        <w:t xml:space="preserve"> </w:t>
      </w:r>
      <w:r w:rsidR="007B6BCE" w:rsidRPr="0056798F">
        <w:t>d</w:t>
      </w:r>
      <w:r w:rsidRPr="0056798F">
        <w:t xml:space="preserve">es formulaires commerciaux reçus des </w:t>
      </w:r>
      <w:r w:rsidR="007B6BCE" w:rsidRPr="0056798F">
        <w:t>P</w:t>
      </w:r>
      <w:r w:rsidRPr="0056798F">
        <w:t>arties conformément au paragraphe 6 de l</w:t>
      </w:r>
      <w:r w:rsidR="00EA4125" w:rsidRPr="0056798F">
        <w:t>’</w:t>
      </w:r>
      <w:r w:rsidRPr="0056798F">
        <w:t xml:space="preserve">article 3, qui est </w:t>
      </w:r>
      <w:r w:rsidR="007B6BCE" w:rsidRPr="0056798F">
        <w:t xml:space="preserve">consultable </w:t>
      </w:r>
      <w:r w:rsidRPr="0056798F">
        <w:t xml:space="preserve">sur le </w:t>
      </w:r>
      <w:hyperlink r:id="rId17" w:history="1">
        <w:r w:rsidRPr="0056798F">
          <w:rPr>
            <w:rStyle w:val="Hyperlink"/>
          </w:rPr>
          <w:t xml:space="preserve">site </w:t>
        </w:r>
        <w:r w:rsidR="007B6BCE" w:rsidRPr="0056798F">
          <w:rPr>
            <w:rStyle w:val="Hyperlink"/>
          </w:rPr>
          <w:t>Web</w:t>
        </w:r>
      </w:hyperlink>
      <w:r w:rsidR="007B6BCE" w:rsidRPr="0056798F">
        <w:rPr>
          <w:color w:val="0000FF"/>
        </w:rPr>
        <w:t xml:space="preserve"> </w:t>
      </w:r>
      <w:r w:rsidRPr="0056798F">
        <w:t>de la Convention</w:t>
      </w:r>
      <w:r w:rsidR="003230DA" w:rsidRPr="0056798F">
        <w:t xml:space="preserve">. </w:t>
      </w:r>
    </w:p>
    <w:p w14:paraId="47B5D720" w14:textId="14BFED24" w:rsidR="00344E3B" w:rsidRPr="0056798F" w:rsidRDefault="00344E3B" w:rsidP="0058103E">
      <w:pPr>
        <w:pStyle w:val="CH1"/>
      </w:pPr>
      <w:r w:rsidRPr="0056798F">
        <w:tab/>
      </w:r>
      <w:r w:rsidR="00E25A52" w:rsidRPr="0056798F">
        <w:rPr>
          <w:bCs/>
        </w:rPr>
        <w:t>III.</w:t>
      </w:r>
      <w:r w:rsidR="007803A7" w:rsidRPr="0056798F">
        <w:tab/>
      </w:r>
      <w:r w:rsidRPr="0056798F">
        <w:rPr>
          <w:bCs/>
        </w:rPr>
        <w:t>Mesure proposée</w:t>
      </w:r>
    </w:p>
    <w:p w14:paraId="260AC077" w14:textId="6CDD8388" w:rsidR="00344E3B" w:rsidRPr="0056798F" w:rsidRDefault="00345F7F" w:rsidP="00585DBD">
      <w:pPr>
        <w:pStyle w:val="Normalnumber"/>
      </w:pPr>
      <w:r w:rsidRPr="0056798F">
        <w:t>À</w:t>
      </w:r>
      <w:r w:rsidR="002E1521" w:rsidRPr="0056798F">
        <w:t xml:space="preserve"> </w:t>
      </w:r>
      <w:r w:rsidRPr="0056798F">
        <w:t xml:space="preserve">la lumière des informations </w:t>
      </w:r>
      <w:r w:rsidR="00ED0021" w:rsidRPr="0056798F">
        <w:t>expos</w:t>
      </w:r>
      <w:r w:rsidRPr="0056798F">
        <w:t xml:space="preserve">ées dans la présente note, la Conférence des Parties souhaitera peut-être examiner et adopter </w:t>
      </w:r>
      <w:r w:rsidR="009E4777" w:rsidRPr="0056798F">
        <w:t xml:space="preserve">une </w:t>
      </w:r>
      <w:r w:rsidRPr="0056798F">
        <w:t xml:space="preserve">décision </w:t>
      </w:r>
      <w:r w:rsidR="009E4777" w:rsidRPr="0056798F">
        <w:t>libellée conformément au projet figurant dans</w:t>
      </w:r>
      <w:r w:rsidR="003129E2" w:rsidRPr="0056798F">
        <w:t xml:space="preserve"> l</w:t>
      </w:r>
      <w:r w:rsidR="00EA4125" w:rsidRPr="0056798F">
        <w:t>’</w:t>
      </w:r>
      <w:r w:rsidRPr="0056798F">
        <w:t>annexe</w:t>
      </w:r>
      <w:r w:rsidR="003E3355" w:rsidRPr="0056798F">
        <w:t> </w:t>
      </w:r>
      <w:r w:rsidR="008166BC" w:rsidRPr="0056798F">
        <w:t>I</w:t>
      </w:r>
      <w:r w:rsidR="00AC6712" w:rsidRPr="0056798F">
        <w:t xml:space="preserve"> ci-après</w:t>
      </w:r>
      <w:r w:rsidRPr="0056798F">
        <w:t>. L</w:t>
      </w:r>
      <w:r w:rsidR="008166BC" w:rsidRPr="0056798F">
        <w:t>a</w:t>
      </w:r>
      <w:r w:rsidRPr="0056798F">
        <w:t xml:space="preserve"> recommandation</w:t>
      </w:r>
      <w:r w:rsidR="008166BC" w:rsidRPr="0056798F">
        <w:t xml:space="preserve"> pertinente</w:t>
      </w:r>
      <w:r w:rsidRPr="0056798F">
        <w:t xml:space="preserve"> du Comité de mise en œuvre et du respect des obligations</w:t>
      </w:r>
      <w:r w:rsidR="008166BC" w:rsidRPr="0056798F">
        <w:t xml:space="preserve"> </w:t>
      </w:r>
      <w:r w:rsidR="009E4777" w:rsidRPr="0056798F">
        <w:t>est</w:t>
      </w:r>
      <w:r w:rsidRPr="0056798F">
        <w:t xml:space="preserve"> reproduite dans </w:t>
      </w:r>
      <w:r w:rsidR="008166BC" w:rsidRPr="0056798F">
        <w:t>une</w:t>
      </w:r>
      <w:r w:rsidRPr="0056798F">
        <w:t xml:space="preserve"> note de bas de page du </w:t>
      </w:r>
      <w:r w:rsidR="0043305D" w:rsidRPr="0056798F">
        <w:t>projet de décision</w:t>
      </w:r>
      <w:r w:rsidR="00344E3B" w:rsidRPr="0056798F">
        <w:t>.</w:t>
      </w:r>
    </w:p>
    <w:p w14:paraId="18D41DF1" w14:textId="77777777" w:rsidR="006C0509" w:rsidRPr="0056798F" w:rsidRDefault="006C0509">
      <w:pPr>
        <w:tabs>
          <w:tab w:val="clear" w:pos="1247"/>
          <w:tab w:val="clear" w:pos="1814"/>
          <w:tab w:val="clear" w:pos="2381"/>
          <w:tab w:val="clear" w:pos="2948"/>
          <w:tab w:val="clear" w:pos="3515"/>
        </w:tabs>
        <w:sectPr w:rsidR="006C0509" w:rsidRPr="0056798F" w:rsidSect="007C6054">
          <w:headerReference w:type="even" r:id="rId18"/>
          <w:headerReference w:type="default" r:id="rId19"/>
          <w:footerReference w:type="even" r:id="rId20"/>
          <w:footerReference w:type="default" r:id="rId21"/>
          <w:footerReference w:type="first" r:id="rId22"/>
          <w:footnotePr>
            <w:numRestart w:val="eachSect"/>
          </w:footnotePr>
          <w:pgSz w:w="11907" w:h="16839" w:code="9"/>
          <w:pgMar w:top="907" w:right="992" w:bottom="1418" w:left="1418" w:header="539" w:footer="975" w:gutter="0"/>
          <w:cols w:space="539"/>
          <w:titlePg/>
          <w:docGrid w:linePitch="360"/>
        </w:sectPr>
      </w:pPr>
    </w:p>
    <w:p w14:paraId="058666E8" w14:textId="77777777" w:rsidR="00143446" w:rsidRPr="0056798F" w:rsidRDefault="004C3081">
      <w:pPr>
        <w:tabs>
          <w:tab w:val="clear" w:pos="1247"/>
          <w:tab w:val="clear" w:pos="1814"/>
          <w:tab w:val="clear" w:pos="2381"/>
          <w:tab w:val="clear" w:pos="2948"/>
          <w:tab w:val="clear" w:pos="3515"/>
        </w:tabs>
      </w:pPr>
      <w:r w:rsidRPr="0056798F">
        <w:br w:type="page"/>
      </w:r>
    </w:p>
    <w:p w14:paraId="10268550" w14:textId="77777777" w:rsidR="00344E3B" w:rsidRPr="0056798F" w:rsidRDefault="00344E3B" w:rsidP="00E27022">
      <w:pPr>
        <w:pStyle w:val="ZZAnxheader"/>
      </w:pPr>
      <w:r w:rsidRPr="0056798F">
        <w:lastRenderedPageBreak/>
        <w:t>Annexe I</w:t>
      </w:r>
    </w:p>
    <w:p w14:paraId="6EE565B1" w14:textId="386AB962" w:rsidR="00296F99" w:rsidRPr="0056798F" w:rsidRDefault="00296F99" w:rsidP="00296F99">
      <w:pPr>
        <w:pStyle w:val="ZZAnxtitle"/>
      </w:pPr>
      <w:r w:rsidRPr="0056798F">
        <w:t>Projet de décision</w:t>
      </w:r>
      <w:r w:rsidR="00393029" w:rsidRPr="0056798F">
        <w:t> </w:t>
      </w:r>
      <w:r w:rsidRPr="0056798F">
        <w:t>MC-6</w:t>
      </w:r>
      <w:proofErr w:type="gramStart"/>
      <w:r w:rsidRPr="0056798F">
        <w:t>/[</w:t>
      </w:r>
      <w:proofErr w:type="gramEnd"/>
      <w:r w:rsidRPr="0056798F">
        <w:t>--]</w:t>
      </w:r>
      <w:r w:rsidR="00257380" w:rsidRPr="0056798F">
        <w:t> </w:t>
      </w:r>
      <w:r w:rsidRPr="0056798F">
        <w:t>: Sources d</w:t>
      </w:r>
      <w:r w:rsidR="00EA4125" w:rsidRPr="0056798F">
        <w:t>’</w:t>
      </w:r>
      <w:r w:rsidRPr="0056798F">
        <w:t>approvisionnement</w:t>
      </w:r>
      <w:r w:rsidR="00AF44F1" w:rsidRPr="0056798F">
        <w:t xml:space="preserve"> en</w:t>
      </w:r>
      <w:r w:rsidR="003044BD" w:rsidRPr="0056798F">
        <w:t> </w:t>
      </w:r>
      <w:r w:rsidR="00AF44F1" w:rsidRPr="0056798F">
        <w:t>mercure</w:t>
      </w:r>
      <w:r w:rsidRPr="0056798F">
        <w:t xml:space="preserve"> et commerce</w:t>
      </w:r>
      <w:r w:rsidR="00AF44F1" w:rsidRPr="0056798F">
        <w:t xml:space="preserve"> du mercure</w:t>
      </w:r>
    </w:p>
    <w:p w14:paraId="74EB50D9" w14:textId="77777777" w:rsidR="00344E3B" w:rsidRPr="0056798F" w:rsidRDefault="00344E3B" w:rsidP="00421216">
      <w:pPr>
        <w:pStyle w:val="Normal-pool"/>
        <w:tabs>
          <w:tab w:val="clear" w:pos="1247"/>
          <w:tab w:val="clear" w:pos="1871"/>
          <w:tab w:val="clear" w:pos="2495"/>
          <w:tab w:val="clear" w:pos="3119"/>
          <w:tab w:val="clear" w:pos="3742"/>
          <w:tab w:val="clear" w:pos="4366"/>
        </w:tabs>
        <w:spacing w:after="120"/>
        <w:ind w:left="1247" w:firstLine="624"/>
        <w:rPr>
          <w:i/>
          <w:iCs/>
        </w:rPr>
      </w:pPr>
      <w:r w:rsidRPr="0056798F">
        <w:rPr>
          <w:i/>
          <w:iCs/>
        </w:rPr>
        <w:t>La Conférence des Parties</w:t>
      </w:r>
      <w:r w:rsidRPr="0056798F">
        <w:t>,</w:t>
      </w:r>
    </w:p>
    <w:p w14:paraId="0289872D" w14:textId="4DB20141" w:rsidR="00025CA9" w:rsidRPr="0056798F" w:rsidRDefault="00296F99" w:rsidP="00025CA9">
      <w:pPr>
        <w:pStyle w:val="Normal-pool"/>
        <w:tabs>
          <w:tab w:val="clear" w:pos="1247"/>
          <w:tab w:val="clear" w:pos="1871"/>
          <w:tab w:val="clear" w:pos="2495"/>
          <w:tab w:val="clear" w:pos="3119"/>
          <w:tab w:val="clear" w:pos="3742"/>
          <w:tab w:val="clear" w:pos="4366"/>
        </w:tabs>
        <w:spacing w:after="120"/>
        <w:ind w:left="1247" w:firstLine="624"/>
      </w:pPr>
      <w:r w:rsidRPr="0056798F">
        <w:rPr>
          <w:i/>
          <w:iCs/>
        </w:rPr>
        <w:t>Remerciant</w:t>
      </w:r>
      <w:r w:rsidR="003A41CD" w:rsidRPr="0056798F">
        <w:t xml:space="preserve"> </w:t>
      </w:r>
      <w:r w:rsidRPr="0056798F">
        <w:t>les Parties d</w:t>
      </w:r>
      <w:r w:rsidR="00EA4125" w:rsidRPr="0056798F">
        <w:t>’</w:t>
      </w:r>
      <w:r w:rsidRPr="0056798F">
        <w:t>avoir communiqué des informations sur les expériences et les difficultés rencontrées dans l</w:t>
      </w:r>
      <w:r w:rsidR="00EA4125" w:rsidRPr="0056798F">
        <w:t>’</w:t>
      </w:r>
      <w:r w:rsidRPr="0056798F">
        <w:t>application de l</w:t>
      </w:r>
      <w:r w:rsidR="00EA4125" w:rsidRPr="0056798F">
        <w:t>’</w:t>
      </w:r>
      <w:r w:rsidRPr="0056798F">
        <w:t>article</w:t>
      </w:r>
      <w:r w:rsidR="003044BD" w:rsidRPr="0056798F">
        <w:t> </w:t>
      </w:r>
      <w:r w:rsidRPr="0056798F">
        <w:t xml:space="preserve">3 </w:t>
      </w:r>
      <w:r w:rsidR="005B1AE8" w:rsidRPr="0056798F">
        <w:t>de la Convention de</w:t>
      </w:r>
      <w:r w:rsidR="003044BD" w:rsidRPr="0056798F">
        <w:t> </w:t>
      </w:r>
      <w:r w:rsidR="005B1AE8" w:rsidRPr="0056798F">
        <w:t xml:space="preserve">Minamata sur le mercure </w:t>
      </w:r>
      <w:r w:rsidRPr="0056798F">
        <w:t>ainsi que des informations sur les activités entreprises dans le cadre de la Déclaration de Bali sur la lutte contre le commerce illicite</w:t>
      </w:r>
      <w:r w:rsidR="005B1AE8" w:rsidRPr="0056798F">
        <w:t xml:space="preserve"> de mercure</w:t>
      </w:r>
      <w:r w:rsidRPr="0056798F">
        <w:t xml:space="preserve"> en réponse au paragraphe</w:t>
      </w:r>
      <w:r w:rsidR="003044BD" w:rsidRPr="0056798F">
        <w:t> </w:t>
      </w:r>
      <w:r w:rsidRPr="0056798F">
        <w:t>4 de la décision</w:t>
      </w:r>
      <w:r w:rsidR="003044BD" w:rsidRPr="0056798F">
        <w:t> </w:t>
      </w:r>
      <w:r w:rsidRPr="0056798F">
        <w:t>MC-5/2</w:t>
      </w:r>
      <w:r w:rsidR="00025CA9" w:rsidRPr="0056798F">
        <w:t>,</w:t>
      </w:r>
    </w:p>
    <w:p w14:paraId="71138404" w14:textId="558C7FC7" w:rsidR="00EE1706" w:rsidRPr="0056798F" w:rsidRDefault="004E103C" w:rsidP="1AE65596">
      <w:pPr>
        <w:pStyle w:val="Normal-pool"/>
        <w:tabs>
          <w:tab w:val="clear" w:pos="1247"/>
          <w:tab w:val="clear" w:pos="1871"/>
          <w:tab w:val="clear" w:pos="2495"/>
          <w:tab w:val="clear" w:pos="3119"/>
          <w:tab w:val="clear" w:pos="3742"/>
          <w:tab w:val="clear" w:pos="4366"/>
        </w:tabs>
        <w:spacing w:after="120" w:line="259" w:lineRule="auto"/>
        <w:ind w:left="1247" w:firstLine="624"/>
      </w:pPr>
      <w:r w:rsidRPr="0056798F">
        <w:rPr>
          <w:i/>
          <w:iCs/>
        </w:rPr>
        <w:t>Not</w:t>
      </w:r>
      <w:r w:rsidR="00296F99" w:rsidRPr="0056798F">
        <w:rPr>
          <w:i/>
          <w:iCs/>
        </w:rPr>
        <w:t>ant</w:t>
      </w:r>
      <w:r w:rsidR="00296F99" w:rsidRPr="0056798F">
        <w:t xml:space="preserve"> que </w:t>
      </w:r>
      <w:r w:rsidR="007A57EC" w:rsidRPr="0056798F">
        <w:t>d</w:t>
      </w:r>
      <w:r w:rsidR="00296F99" w:rsidRPr="0056798F">
        <w:t>es Parties ont signalé la présence d</w:t>
      </w:r>
      <w:r w:rsidR="00EA4125" w:rsidRPr="0056798F">
        <w:t>’</w:t>
      </w:r>
      <w:r w:rsidR="00296F99" w:rsidRPr="0056798F">
        <w:t>activités informelles</w:t>
      </w:r>
      <w:r w:rsidR="00CD4E77" w:rsidRPr="0056798F">
        <w:t xml:space="preserve"> ou illicites</w:t>
      </w:r>
      <w:r w:rsidR="00296F99" w:rsidRPr="0056798F">
        <w:t xml:space="preserve"> d</w:t>
      </w:r>
      <w:r w:rsidR="00EA4125" w:rsidRPr="0056798F">
        <w:t>’</w:t>
      </w:r>
      <w:r w:rsidR="00296F99" w:rsidRPr="0056798F">
        <w:t xml:space="preserve">extraction </w:t>
      </w:r>
      <w:r w:rsidR="002F5F74" w:rsidRPr="0056798F">
        <w:t xml:space="preserve">primaire </w:t>
      </w:r>
      <w:r w:rsidR="00296F99" w:rsidRPr="0056798F">
        <w:t>de mercure sur leur territoire</w:t>
      </w:r>
      <w:r w:rsidR="003F17E2" w:rsidRPr="0056798F">
        <w:t xml:space="preserve"> et</w:t>
      </w:r>
      <w:r w:rsidR="00296F99" w:rsidRPr="0056798F">
        <w:t xml:space="preserve"> des cas de commerce d</w:t>
      </w:r>
      <w:r w:rsidR="007A57EC" w:rsidRPr="0056798F">
        <w:t>u</w:t>
      </w:r>
      <w:r w:rsidR="00296F99" w:rsidRPr="0056798F">
        <w:t xml:space="preserve"> mercure non conformes à la Convention, </w:t>
      </w:r>
      <w:r w:rsidR="003F17E2" w:rsidRPr="0056798F">
        <w:t>ainsi que d</w:t>
      </w:r>
      <w:r w:rsidR="007A57EC" w:rsidRPr="0056798F">
        <w:t>es cas de</w:t>
      </w:r>
      <w:r w:rsidR="00296F99" w:rsidRPr="0056798F">
        <w:t xml:space="preserve"> trafic, d</w:t>
      </w:r>
      <w:r w:rsidR="007A57EC" w:rsidRPr="0056798F">
        <w:t>e</w:t>
      </w:r>
      <w:r w:rsidR="00296F99" w:rsidRPr="0056798F">
        <w:t xml:space="preserve"> commerce illicite ou de</w:t>
      </w:r>
      <w:r w:rsidR="003F17E2" w:rsidRPr="0056798F">
        <w:t xml:space="preserve"> </w:t>
      </w:r>
      <w:r w:rsidR="00296F99" w:rsidRPr="0056798F">
        <w:t>contrebande de mercure, en particulier en vue d</w:t>
      </w:r>
      <w:r w:rsidR="007A57EC" w:rsidRPr="0056798F">
        <w:t>e son</w:t>
      </w:r>
      <w:r w:rsidR="00296F99" w:rsidRPr="0056798F">
        <w:t xml:space="preserve"> utilisation dans l</w:t>
      </w:r>
      <w:r w:rsidR="00EA4125" w:rsidRPr="0056798F">
        <w:t>’</w:t>
      </w:r>
      <w:r w:rsidR="00296F99" w:rsidRPr="0056798F">
        <w:t>extraction minière artisanale et à petite échelle d</w:t>
      </w:r>
      <w:r w:rsidR="00EA4125" w:rsidRPr="0056798F">
        <w:t>’</w:t>
      </w:r>
      <w:r w:rsidR="00296F99" w:rsidRPr="0056798F">
        <w:t>or, dans leurs rapports nationaux présentés en application de l</w:t>
      </w:r>
      <w:r w:rsidR="00EA4125" w:rsidRPr="0056798F">
        <w:t>’</w:t>
      </w:r>
      <w:r w:rsidR="00296F99" w:rsidRPr="0056798F">
        <w:t>article</w:t>
      </w:r>
      <w:r w:rsidR="00ED4D5D" w:rsidRPr="0056798F">
        <w:t> </w:t>
      </w:r>
      <w:r w:rsidR="00296F99" w:rsidRPr="0056798F">
        <w:t>21 et dans les informations soumises en réponse au paragraphe 4 de la décision</w:t>
      </w:r>
      <w:r w:rsidR="00ED4D5D" w:rsidRPr="0056798F">
        <w:t> </w:t>
      </w:r>
      <w:r w:rsidR="00296F99" w:rsidRPr="0056798F">
        <w:t>MC-5/2</w:t>
      </w:r>
      <w:r w:rsidR="00350459" w:rsidRPr="0056798F">
        <w:t>,</w:t>
      </w:r>
    </w:p>
    <w:p w14:paraId="14BC6FEA" w14:textId="3364B53B" w:rsidR="00A10993" w:rsidRPr="0056798F" w:rsidRDefault="0050625A" w:rsidP="1AE65596">
      <w:pPr>
        <w:pStyle w:val="Normal-pool"/>
        <w:tabs>
          <w:tab w:val="clear" w:pos="1247"/>
          <w:tab w:val="clear" w:pos="1871"/>
          <w:tab w:val="clear" w:pos="2495"/>
          <w:tab w:val="clear" w:pos="3119"/>
          <w:tab w:val="clear" w:pos="3742"/>
          <w:tab w:val="clear" w:pos="4366"/>
        </w:tabs>
        <w:spacing w:after="120" w:line="259" w:lineRule="auto"/>
        <w:ind w:left="1247" w:firstLine="624"/>
      </w:pPr>
      <w:r w:rsidRPr="0056798F">
        <w:rPr>
          <w:i/>
          <w:iCs/>
        </w:rPr>
        <w:t>R</w:t>
      </w:r>
      <w:r w:rsidR="74A841FA" w:rsidRPr="0056798F">
        <w:rPr>
          <w:i/>
          <w:iCs/>
        </w:rPr>
        <w:t>eco</w:t>
      </w:r>
      <w:r w:rsidR="009D2462" w:rsidRPr="0056798F">
        <w:rPr>
          <w:i/>
          <w:iCs/>
        </w:rPr>
        <w:t>nnaissant</w:t>
      </w:r>
      <w:r w:rsidR="74A841FA" w:rsidRPr="0056798F">
        <w:t xml:space="preserve"> </w:t>
      </w:r>
      <w:r w:rsidR="009D2462" w:rsidRPr="0056798F">
        <w:t>que l</w:t>
      </w:r>
      <w:r w:rsidR="00EA4125" w:rsidRPr="0056798F">
        <w:t>’</w:t>
      </w:r>
      <w:r w:rsidR="009D2462" w:rsidRPr="0056798F">
        <w:t>extraction primaire et le commerce</w:t>
      </w:r>
      <w:r w:rsidR="007A57EC" w:rsidRPr="0056798F">
        <w:t xml:space="preserve"> du mercure</w:t>
      </w:r>
      <w:r w:rsidR="009D2462" w:rsidRPr="0056798F">
        <w:t xml:space="preserve"> constituent un obstacle à</w:t>
      </w:r>
      <w:r w:rsidR="00E047D2" w:rsidRPr="0056798F">
        <w:t> </w:t>
      </w:r>
      <w:r w:rsidR="009D2462" w:rsidRPr="0056798F">
        <w:t>la mise en œuvre du paragraphe</w:t>
      </w:r>
      <w:r w:rsidR="00ED4D5D" w:rsidRPr="0056798F">
        <w:t> </w:t>
      </w:r>
      <w:r w:rsidR="009D2462" w:rsidRPr="0056798F">
        <w:t>3 de l</w:t>
      </w:r>
      <w:r w:rsidR="00EA4125" w:rsidRPr="0056798F">
        <w:t>’</w:t>
      </w:r>
      <w:r w:rsidR="009D2462" w:rsidRPr="0056798F">
        <w:t>article</w:t>
      </w:r>
      <w:r w:rsidR="00ED4D5D" w:rsidRPr="0056798F">
        <w:t> </w:t>
      </w:r>
      <w:r w:rsidR="009D2462" w:rsidRPr="0056798F">
        <w:t>3 de la Convention</w:t>
      </w:r>
      <w:r w:rsidR="2DA30175" w:rsidRPr="0056798F">
        <w:t>,</w:t>
      </w:r>
      <w:r w:rsidR="60154D92" w:rsidRPr="0056798F">
        <w:t xml:space="preserve"> </w:t>
      </w:r>
    </w:p>
    <w:p w14:paraId="1C1E2220" w14:textId="66420DDB" w:rsidR="00000683" w:rsidRPr="0056798F" w:rsidRDefault="001D0769" w:rsidP="3434C3B2">
      <w:pPr>
        <w:pStyle w:val="Normal-pool"/>
        <w:tabs>
          <w:tab w:val="clear" w:pos="1247"/>
          <w:tab w:val="clear" w:pos="1871"/>
          <w:tab w:val="clear" w:pos="2495"/>
          <w:tab w:val="clear" w:pos="3119"/>
          <w:tab w:val="clear" w:pos="3742"/>
          <w:tab w:val="clear" w:pos="4366"/>
        </w:tabs>
        <w:spacing w:after="120"/>
        <w:ind w:left="1247" w:firstLine="624"/>
      </w:pPr>
      <w:r w:rsidRPr="0056798F">
        <w:rPr>
          <w:i/>
          <w:iCs/>
        </w:rPr>
        <w:t xml:space="preserve">Tenant compte </w:t>
      </w:r>
      <w:r w:rsidRPr="0056798F">
        <w:t>de</w:t>
      </w:r>
      <w:r w:rsidR="003F17E2" w:rsidRPr="0056798F">
        <w:t xml:space="preserve"> la</w:t>
      </w:r>
      <w:r w:rsidRPr="0056798F">
        <w:t xml:space="preserve"> recommandation que le Comité de mise en œuvre et du respect des obligations </w:t>
      </w:r>
      <w:r w:rsidR="003C7673" w:rsidRPr="0056798F">
        <w:t xml:space="preserve">de la Convention </w:t>
      </w:r>
      <w:r w:rsidRPr="0056798F">
        <w:t>lui a adressée à sa sixième</w:t>
      </w:r>
      <w:r w:rsidR="00ED4D5D" w:rsidRPr="0056798F">
        <w:t> </w:t>
      </w:r>
      <w:r w:rsidRPr="0056798F">
        <w:t>réunion</w:t>
      </w:r>
      <w:r w:rsidR="003F17E2" w:rsidRPr="0056798F">
        <w:rPr>
          <w:rStyle w:val="FootnoteReference"/>
          <w:rFonts w:eastAsia="SimSun"/>
        </w:rPr>
        <w:footnoteReference w:id="13"/>
      </w:r>
      <w:r w:rsidR="00CE0F5D" w:rsidRPr="0056798F">
        <w:t>,</w:t>
      </w:r>
    </w:p>
    <w:p w14:paraId="4B0FEF5B" w14:textId="4746A627" w:rsidR="00000683" w:rsidRPr="0056798F" w:rsidRDefault="001D0769" w:rsidP="3434C3B2">
      <w:pPr>
        <w:pStyle w:val="Normal-pool"/>
        <w:tabs>
          <w:tab w:val="clear" w:pos="1247"/>
          <w:tab w:val="clear" w:pos="1871"/>
          <w:tab w:val="clear" w:pos="2495"/>
          <w:tab w:val="clear" w:pos="3119"/>
          <w:tab w:val="clear" w:pos="3742"/>
          <w:tab w:val="clear" w:pos="4366"/>
        </w:tabs>
        <w:spacing w:after="120"/>
        <w:ind w:left="1247" w:firstLine="624"/>
      </w:pPr>
      <w:r w:rsidRPr="0056798F">
        <w:rPr>
          <w:i/>
          <w:iCs/>
        </w:rPr>
        <w:t>Notant</w:t>
      </w:r>
      <w:r w:rsidRPr="0056798F">
        <w:t xml:space="preserve"> que, malgré les progrès réalisés à ce jour, les Parties </w:t>
      </w:r>
      <w:r w:rsidR="007A2453" w:rsidRPr="0056798F">
        <w:t>avaie</w:t>
      </w:r>
      <w:r w:rsidRPr="0056798F">
        <w:t>nt exprimé le besoin de renforcer la collaboration et de recevoir un soutien et une assistance supplémentaires pour renforcer l</w:t>
      </w:r>
      <w:r w:rsidR="00EA4125" w:rsidRPr="0056798F">
        <w:t>’</w:t>
      </w:r>
      <w:r w:rsidRPr="0056798F">
        <w:t>application de l</w:t>
      </w:r>
      <w:r w:rsidR="00EA4125" w:rsidRPr="0056798F">
        <w:t>’</w:t>
      </w:r>
      <w:r w:rsidRPr="0056798F">
        <w:t>article</w:t>
      </w:r>
      <w:r w:rsidR="00ED4D5D" w:rsidRPr="0056798F">
        <w:t> </w:t>
      </w:r>
      <w:r w:rsidRPr="0056798F">
        <w:t>3</w:t>
      </w:r>
      <w:r w:rsidR="00100192" w:rsidRPr="0056798F">
        <w:t>,</w:t>
      </w:r>
      <w:r w:rsidRPr="0056798F">
        <w:t xml:space="preserve"> et reconnaissant le rôle du Fonds pour l</w:t>
      </w:r>
      <w:r w:rsidR="00EA4125" w:rsidRPr="0056798F">
        <w:t>’</w:t>
      </w:r>
      <w:r w:rsidRPr="0056798F">
        <w:t>environnement mondial dans l</w:t>
      </w:r>
      <w:r w:rsidR="00EA4125" w:rsidRPr="0056798F">
        <w:t>’</w:t>
      </w:r>
      <w:r w:rsidRPr="0056798F">
        <w:t>apport d</w:t>
      </w:r>
      <w:r w:rsidR="00EA4125" w:rsidRPr="0056798F">
        <w:t>’</w:t>
      </w:r>
      <w:r w:rsidRPr="0056798F">
        <w:t>un tel soutien</w:t>
      </w:r>
      <w:r w:rsidR="00453CD8" w:rsidRPr="0056798F">
        <w:rPr>
          <w:rStyle w:val="FootnoteReference"/>
          <w:rFonts w:eastAsia="SimSun"/>
        </w:rPr>
        <w:footnoteReference w:id="14"/>
      </w:r>
      <w:r w:rsidR="00357CB5" w:rsidRPr="0056798F">
        <w:t>,</w:t>
      </w:r>
    </w:p>
    <w:p w14:paraId="3D5E45B5" w14:textId="531509C2" w:rsidR="00CF75E8" w:rsidRPr="0056798F" w:rsidRDefault="00D12E0B" w:rsidP="00DF1064">
      <w:pPr>
        <w:pStyle w:val="Normal-pool"/>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t>Adopte</w:t>
      </w:r>
      <w:r w:rsidRPr="0056798F">
        <w:t xml:space="preserve"> la version mise à jour des </w:t>
      </w:r>
      <w:r w:rsidR="00144519" w:rsidRPr="0056798F">
        <w:t>orientations sur le recensement des stocks individuels de mercure ou composés du mercure de plus de 50</w:t>
      </w:r>
      <w:r w:rsidR="00ED4D5D" w:rsidRPr="0056798F">
        <w:t> </w:t>
      </w:r>
      <w:r w:rsidR="00144519" w:rsidRPr="0056798F">
        <w:t>tonnes métriques ainsi que des sources d</w:t>
      </w:r>
      <w:r w:rsidR="00EA4125" w:rsidRPr="0056798F">
        <w:t>’</w:t>
      </w:r>
      <w:r w:rsidR="00144519" w:rsidRPr="0056798F">
        <w:t>approvisionnement en mercure produisant des stocks de plus de 10</w:t>
      </w:r>
      <w:r w:rsidR="00ED4D5D" w:rsidRPr="0056798F">
        <w:t> </w:t>
      </w:r>
      <w:r w:rsidR="00144519" w:rsidRPr="0056798F">
        <w:t>tonnes métriques par an</w:t>
      </w:r>
      <w:r w:rsidR="00144519" w:rsidRPr="0056798F">
        <w:rPr>
          <w:rStyle w:val="FootnoteReference"/>
          <w:rFonts w:eastAsia="SimSun"/>
        </w:rPr>
        <w:footnoteReference w:id="15"/>
      </w:r>
      <w:r w:rsidR="00144519" w:rsidRPr="0056798F">
        <w:t> </w:t>
      </w:r>
      <w:r w:rsidR="007A2453" w:rsidRPr="0056798F">
        <w:t xml:space="preserve">qui </w:t>
      </w:r>
      <w:r w:rsidR="00144519" w:rsidRPr="0056798F">
        <w:t>f</w:t>
      </w:r>
      <w:r w:rsidRPr="0056798F">
        <w:t>igur</w:t>
      </w:r>
      <w:r w:rsidR="007A2453" w:rsidRPr="0056798F">
        <w:t>e</w:t>
      </w:r>
      <w:r w:rsidRPr="0056798F">
        <w:t xml:space="preserve">nt </w:t>
      </w:r>
      <w:r w:rsidR="007A2453" w:rsidRPr="0056798F">
        <w:t xml:space="preserve">dans </w:t>
      </w:r>
      <w:r w:rsidRPr="0056798F">
        <w:t>l</w:t>
      </w:r>
      <w:r w:rsidR="00EA4125" w:rsidRPr="0056798F">
        <w:t>’</w:t>
      </w:r>
      <w:r w:rsidRPr="0056798F">
        <w:t>annexe II du document UNEP/MC/COP.6/5</w:t>
      </w:r>
      <w:r w:rsidR="00144519" w:rsidRPr="0056798F">
        <w:t> </w:t>
      </w:r>
      <w:r w:rsidR="00CF75E8" w:rsidRPr="0056798F">
        <w:t>;</w:t>
      </w:r>
    </w:p>
    <w:p w14:paraId="64A50DD0" w14:textId="2EEE7223" w:rsidR="00CF75E8" w:rsidRPr="0056798F" w:rsidRDefault="00D12E0B" w:rsidP="00DF1064">
      <w:pPr>
        <w:pStyle w:val="Normal-pool"/>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t>Adopte</w:t>
      </w:r>
      <w:r w:rsidR="008E2E83" w:rsidRPr="0056798F">
        <w:rPr>
          <w:i/>
          <w:iCs/>
        </w:rPr>
        <w:t xml:space="preserve"> </w:t>
      </w:r>
      <w:r w:rsidR="0073790D" w:rsidRPr="0056798F">
        <w:rPr>
          <w:i/>
          <w:iCs/>
        </w:rPr>
        <w:t>également</w:t>
      </w:r>
      <w:r w:rsidRPr="0056798F">
        <w:rPr>
          <w:i/>
          <w:iCs/>
        </w:rPr>
        <w:t xml:space="preserve"> </w:t>
      </w:r>
      <w:r w:rsidRPr="0056798F">
        <w:t>la version mise à jour des orientations sur l</w:t>
      </w:r>
      <w:r w:rsidR="00EA4125" w:rsidRPr="0056798F">
        <w:t>’</w:t>
      </w:r>
      <w:r w:rsidRPr="0056798F">
        <w:t>utilisation des formulaires relatifs à l</w:t>
      </w:r>
      <w:r w:rsidR="00EA4125" w:rsidRPr="0056798F">
        <w:t>’</w:t>
      </w:r>
      <w:r w:rsidRPr="0056798F">
        <w:t xml:space="preserve">importation et </w:t>
      </w:r>
      <w:r w:rsidR="0007183A" w:rsidRPr="0056798F">
        <w:t xml:space="preserve">à </w:t>
      </w:r>
      <w:r w:rsidRPr="0056798F">
        <w:t>l</w:t>
      </w:r>
      <w:r w:rsidR="00EA4125" w:rsidRPr="0056798F">
        <w:t>’</w:t>
      </w:r>
      <w:r w:rsidRPr="0056798F">
        <w:t>exportation de mercure</w:t>
      </w:r>
      <w:r w:rsidR="00436053" w:rsidRPr="0056798F">
        <w:rPr>
          <w:rStyle w:val="FootnoteReference"/>
          <w:rFonts w:eastAsia="SimSun"/>
        </w:rPr>
        <w:footnoteReference w:id="16"/>
      </w:r>
      <w:r w:rsidR="0073790D" w:rsidRPr="0056798F">
        <w:t xml:space="preserve"> qui</w:t>
      </w:r>
      <w:r w:rsidR="00CF75E8" w:rsidRPr="0056798F">
        <w:t xml:space="preserve"> </w:t>
      </w:r>
      <w:r w:rsidRPr="0056798F">
        <w:t>figur</w:t>
      </w:r>
      <w:r w:rsidR="0073790D" w:rsidRPr="0056798F">
        <w:t>e</w:t>
      </w:r>
      <w:r w:rsidRPr="0056798F">
        <w:t xml:space="preserve">nt </w:t>
      </w:r>
      <w:r w:rsidR="0073790D" w:rsidRPr="0056798F">
        <w:t xml:space="preserve">dans </w:t>
      </w:r>
      <w:r w:rsidRPr="0056798F">
        <w:t>l</w:t>
      </w:r>
      <w:r w:rsidR="00EA4125" w:rsidRPr="0056798F">
        <w:t>’</w:t>
      </w:r>
      <w:r w:rsidRPr="0056798F">
        <w:t>annexe</w:t>
      </w:r>
      <w:r w:rsidR="000E1944" w:rsidRPr="0056798F">
        <w:t> </w:t>
      </w:r>
      <w:r w:rsidRPr="0056798F">
        <w:t>II</w:t>
      </w:r>
      <w:r w:rsidR="00144519" w:rsidRPr="0056798F">
        <w:t>I</w:t>
      </w:r>
      <w:r w:rsidRPr="0056798F">
        <w:t xml:space="preserve"> du document UNEP/MC/COP.6/5, pour aider les Parties à dépister, gérer et réduire les échanges commerciaux de mercure issu de l</w:t>
      </w:r>
      <w:r w:rsidR="00EA4125" w:rsidRPr="0056798F">
        <w:t>’</w:t>
      </w:r>
      <w:r w:rsidRPr="0056798F">
        <w:t>extraction primaire </w:t>
      </w:r>
      <w:r w:rsidR="00CF75E8" w:rsidRPr="0056798F">
        <w:t>;</w:t>
      </w:r>
    </w:p>
    <w:p w14:paraId="2B0FD555" w14:textId="64CBD03A" w:rsidR="006C1134" w:rsidRPr="0056798F" w:rsidRDefault="00D12E0B" w:rsidP="00DF1064">
      <w:pPr>
        <w:pStyle w:val="Normal-pool"/>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t>Invite</w:t>
      </w:r>
      <w:r w:rsidRPr="0056798F">
        <w:t xml:space="preserve"> les </w:t>
      </w:r>
      <w:r w:rsidR="00AD31E9" w:rsidRPr="0056798F">
        <w:t>P</w:t>
      </w:r>
      <w:r w:rsidRPr="0056798F">
        <w:t>arties qui ont fait état, dans leurs rapports nationaux au titre de l</w:t>
      </w:r>
      <w:r w:rsidR="00EA4125" w:rsidRPr="0056798F">
        <w:t>’</w:t>
      </w:r>
      <w:r w:rsidRPr="0056798F">
        <w:t>article</w:t>
      </w:r>
      <w:r w:rsidR="000E1944" w:rsidRPr="0056798F">
        <w:t> </w:t>
      </w:r>
      <w:r w:rsidRPr="0056798F">
        <w:t>21, d</w:t>
      </w:r>
      <w:r w:rsidR="00EA4125" w:rsidRPr="0056798F">
        <w:t>’</w:t>
      </w:r>
      <w:r w:rsidRPr="0056798F">
        <w:t>expériences et de difficultés rencontrées dans la mise en œuvre du paragraphe</w:t>
      </w:r>
      <w:r w:rsidR="000E1944" w:rsidRPr="0056798F">
        <w:t> </w:t>
      </w:r>
      <w:r w:rsidRPr="0056798F">
        <w:t>3 de l</w:t>
      </w:r>
      <w:r w:rsidR="00EA4125" w:rsidRPr="0056798F">
        <w:t>’</w:t>
      </w:r>
      <w:r w:rsidRPr="0056798F">
        <w:t>article</w:t>
      </w:r>
      <w:r w:rsidR="000E1944" w:rsidRPr="0056798F">
        <w:t> </w:t>
      </w:r>
      <w:r w:rsidRPr="0056798F">
        <w:t>3 relatif à l</w:t>
      </w:r>
      <w:r w:rsidR="00EA4125" w:rsidRPr="0056798F">
        <w:t>’</w:t>
      </w:r>
      <w:r w:rsidRPr="0056798F">
        <w:t>extraction primaire de mercure, à fournir des informations supplémentaires au secrétariat en vue de le</w:t>
      </w:r>
      <w:r w:rsidR="00AD31E9" w:rsidRPr="0056798F">
        <w:t>ur</w:t>
      </w:r>
      <w:r w:rsidRPr="0056798F">
        <w:t xml:space="preserve"> communi</w:t>
      </w:r>
      <w:r w:rsidR="00AD31E9" w:rsidRPr="0056798F">
        <w:t>cation</w:t>
      </w:r>
      <w:r w:rsidRPr="0056798F">
        <w:t xml:space="preserve"> au Comité </w:t>
      </w:r>
      <w:r w:rsidR="008E2E83" w:rsidRPr="0056798F">
        <w:t xml:space="preserve">de mise en œuvre et du respect des obligations </w:t>
      </w:r>
      <w:r w:rsidRPr="0056798F">
        <w:t>pour un examen plus approfondi</w:t>
      </w:r>
      <w:r w:rsidR="006C1134" w:rsidRPr="0056798F">
        <w:rPr>
          <w:vertAlign w:val="superscript"/>
        </w:rPr>
        <w:footnoteReference w:id="17"/>
      </w:r>
      <w:r w:rsidRPr="0056798F">
        <w:t> ;</w:t>
      </w:r>
      <w:r w:rsidR="006C1134" w:rsidRPr="0056798F">
        <w:t xml:space="preserve">  </w:t>
      </w:r>
    </w:p>
    <w:p w14:paraId="1977DF85" w14:textId="3BBF4587" w:rsidR="00114823" w:rsidRPr="0056798F" w:rsidRDefault="00D12E0B" w:rsidP="00DF1064">
      <w:pPr>
        <w:pStyle w:val="Normal-pool"/>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t>En</w:t>
      </w:r>
      <w:r w:rsidR="00B13848" w:rsidRPr="0056798F">
        <w:rPr>
          <w:i/>
          <w:iCs/>
        </w:rPr>
        <w:t>g</w:t>
      </w:r>
      <w:r w:rsidRPr="0056798F">
        <w:rPr>
          <w:i/>
          <w:iCs/>
        </w:rPr>
        <w:t>age</w:t>
      </w:r>
      <w:r w:rsidRPr="0056798F">
        <w:t xml:space="preserve"> les </w:t>
      </w:r>
      <w:r w:rsidR="00B13848" w:rsidRPr="0056798F">
        <w:t>P</w:t>
      </w:r>
      <w:r w:rsidRPr="0056798F">
        <w:t>arties, y</w:t>
      </w:r>
      <w:r w:rsidR="007F48FA" w:rsidRPr="0056798F">
        <w:t> </w:t>
      </w:r>
      <w:r w:rsidRPr="0056798F">
        <w:t>compris celles qui bénéficient des projets en cours du Fonds pour l</w:t>
      </w:r>
      <w:r w:rsidR="00EA4125" w:rsidRPr="0056798F">
        <w:t>’</w:t>
      </w:r>
      <w:r w:rsidRPr="0056798F">
        <w:t xml:space="preserve">environnement mondial, à continuer de communiquer des informations au secrétariat sur leurs expériences </w:t>
      </w:r>
      <w:r w:rsidR="00B13848" w:rsidRPr="0056798F">
        <w:t>en matière de</w:t>
      </w:r>
      <w:r w:rsidRPr="0056798F">
        <w:t xml:space="preserve"> prévention et </w:t>
      </w:r>
      <w:r w:rsidR="00B13848" w:rsidRPr="0056798F">
        <w:t xml:space="preserve">de </w:t>
      </w:r>
      <w:r w:rsidRPr="0056798F">
        <w:t>répression du commerce illicite de mercure, y</w:t>
      </w:r>
      <w:r w:rsidR="007F48FA" w:rsidRPr="0056798F">
        <w:t> </w:t>
      </w:r>
      <w:r w:rsidRPr="0056798F">
        <w:t>compris en ce qui concerne l</w:t>
      </w:r>
      <w:r w:rsidR="00EA4125" w:rsidRPr="0056798F">
        <w:t>’</w:t>
      </w:r>
      <w:r w:rsidRPr="0056798F">
        <w:t>utilisation des formulaires relatifs à l</w:t>
      </w:r>
      <w:r w:rsidR="00EA4125" w:rsidRPr="0056798F">
        <w:t>’</w:t>
      </w:r>
      <w:r w:rsidRPr="0056798F">
        <w:t>article 3 sur le commerce du mercure</w:t>
      </w:r>
      <w:r w:rsidR="00684698" w:rsidRPr="0056798F">
        <w:t> ;</w:t>
      </w:r>
    </w:p>
    <w:p w14:paraId="26C6A94A" w14:textId="56949D69" w:rsidR="00AC52DA" w:rsidRPr="0056798F" w:rsidRDefault="00B13848" w:rsidP="002478CB">
      <w:pPr>
        <w:pStyle w:val="Normal-pool"/>
        <w:keepNext/>
        <w:keepLines/>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lastRenderedPageBreak/>
        <w:t>Prie</w:t>
      </w:r>
      <w:r w:rsidRPr="0056798F">
        <w:t xml:space="preserve"> le</w:t>
      </w:r>
      <w:r w:rsidR="00240BD5" w:rsidRPr="0056798F">
        <w:t xml:space="preserve"> secrétariat d</w:t>
      </w:r>
      <w:r w:rsidR="00EA4125" w:rsidRPr="0056798F">
        <w:t>’</w:t>
      </w:r>
      <w:r w:rsidR="00240BD5" w:rsidRPr="0056798F">
        <w:t xml:space="preserve">élaborer, en collaboration avec les </w:t>
      </w:r>
      <w:r w:rsidRPr="0056798F">
        <w:t>P</w:t>
      </w:r>
      <w:r w:rsidR="00240BD5" w:rsidRPr="0056798F">
        <w:t>arties et sous réserve de la disponibilité de ressources, des études de cas sur les meilleures pratiques en matière de prévention et de répression du trafic, du commerce illicite et de la contrebande de mercure, et ce faisant </w:t>
      </w:r>
      <w:r w:rsidR="7C0B23D2" w:rsidRPr="0056798F">
        <w:t>:</w:t>
      </w:r>
    </w:p>
    <w:p w14:paraId="2E5949A9" w14:textId="6FFD50EA" w:rsidR="00AC52DA" w:rsidRPr="0056798F" w:rsidRDefault="00756A75" w:rsidP="002478CB">
      <w:pPr>
        <w:pStyle w:val="Normalnumber"/>
        <w:keepNext/>
        <w:keepLines/>
        <w:numPr>
          <w:ilvl w:val="0"/>
          <w:numId w:val="0"/>
        </w:numPr>
        <w:tabs>
          <w:tab w:val="clear" w:pos="2495"/>
        </w:tabs>
        <w:ind w:left="1871"/>
      </w:pPr>
      <w:r w:rsidRPr="0056798F">
        <w:t>a)</w:t>
      </w:r>
      <w:r w:rsidRPr="0056798F">
        <w:tab/>
      </w:r>
      <w:r w:rsidR="00684698" w:rsidRPr="0056798F">
        <w:t>D</w:t>
      </w:r>
      <w:r w:rsidR="00EA4125" w:rsidRPr="0056798F">
        <w:t>’</w:t>
      </w:r>
      <w:r w:rsidR="00684698" w:rsidRPr="0056798F">
        <w:t>utiliser</w:t>
      </w:r>
      <w:r w:rsidR="7AFE026A" w:rsidRPr="0056798F">
        <w:t xml:space="preserve"> </w:t>
      </w:r>
      <w:r w:rsidR="00240BD5" w:rsidRPr="0056798F">
        <w:t xml:space="preserve">les informations </w:t>
      </w:r>
      <w:r w:rsidR="00B13848" w:rsidRPr="0056798F">
        <w:t>reçues</w:t>
      </w:r>
      <w:r w:rsidR="00240BD5" w:rsidRPr="0056798F">
        <w:t xml:space="preserve"> des </w:t>
      </w:r>
      <w:r w:rsidR="00B13848" w:rsidRPr="0056798F">
        <w:t>P</w:t>
      </w:r>
      <w:r w:rsidR="00240BD5" w:rsidRPr="0056798F">
        <w:t>arties</w:t>
      </w:r>
      <w:r w:rsidR="00B42409" w:rsidRPr="0056798F">
        <w:t> </w:t>
      </w:r>
      <w:r w:rsidR="00AC52DA" w:rsidRPr="0056798F">
        <w:t>;</w:t>
      </w:r>
    </w:p>
    <w:p w14:paraId="326BA0B4" w14:textId="4B0C660B" w:rsidR="00AC52DA" w:rsidRPr="0056798F" w:rsidRDefault="00541B2A" w:rsidP="008346A8">
      <w:pPr>
        <w:pStyle w:val="Normalnumber"/>
        <w:numPr>
          <w:ilvl w:val="0"/>
          <w:numId w:val="0"/>
        </w:numPr>
        <w:tabs>
          <w:tab w:val="clear" w:pos="2495"/>
        </w:tabs>
        <w:ind w:left="1247" w:firstLine="624"/>
        <w:rPr>
          <w:color w:val="000000" w:themeColor="text1"/>
        </w:rPr>
      </w:pPr>
      <w:r w:rsidRPr="0056798F">
        <w:t>b)</w:t>
      </w:r>
      <w:r w:rsidR="00D536E0" w:rsidRPr="0056798F">
        <w:tab/>
      </w:r>
      <w:r w:rsidR="00684698" w:rsidRPr="0056798F">
        <w:t>De</w:t>
      </w:r>
      <w:r w:rsidR="293D0F88" w:rsidRPr="0056798F">
        <w:t xml:space="preserve"> </w:t>
      </w:r>
      <w:r w:rsidR="00B42409" w:rsidRPr="0056798F">
        <w:t>t</w:t>
      </w:r>
      <w:r w:rsidR="00240BD5" w:rsidRPr="0056798F">
        <w:t xml:space="preserve">enir compte des informations sur les stratégies visant à empêcher le détournement </w:t>
      </w:r>
      <w:r w:rsidR="00240BD5" w:rsidRPr="0056798F">
        <w:rPr>
          <w:color w:val="000000" w:themeColor="text1"/>
        </w:rPr>
        <w:t xml:space="preserve">de mercure </w:t>
      </w:r>
      <w:r w:rsidR="00240BD5" w:rsidRPr="0056798F">
        <w:t>provenant</w:t>
      </w:r>
      <w:r w:rsidR="00240BD5" w:rsidRPr="0056798F">
        <w:rPr>
          <w:color w:val="000000" w:themeColor="text1"/>
        </w:rPr>
        <w:t xml:space="preserve"> de sources étrangères et nationales destiné à être utilisé pour l</w:t>
      </w:r>
      <w:r w:rsidR="00EA4125" w:rsidRPr="0056798F">
        <w:rPr>
          <w:color w:val="000000" w:themeColor="text1"/>
        </w:rPr>
        <w:t>’</w:t>
      </w:r>
      <w:r w:rsidR="00240BD5" w:rsidRPr="0056798F">
        <w:rPr>
          <w:color w:val="000000" w:themeColor="text1"/>
        </w:rPr>
        <w:t>extraction minière et la transformation artisanales et à petite échelle d</w:t>
      </w:r>
      <w:r w:rsidR="00EA4125" w:rsidRPr="0056798F">
        <w:rPr>
          <w:color w:val="000000" w:themeColor="text1"/>
        </w:rPr>
        <w:t>’</w:t>
      </w:r>
      <w:r w:rsidR="00240BD5" w:rsidRPr="0056798F">
        <w:rPr>
          <w:color w:val="000000" w:themeColor="text1"/>
        </w:rPr>
        <w:t>or, telles qu</w:t>
      </w:r>
      <w:r w:rsidR="00EA4125" w:rsidRPr="0056798F">
        <w:rPr>
          <w:color w:val="000000" w:themeColor="text1"/>
        </w:rPr>
        <w:t>’</w:t>
      </w:r>
      <w:r w:rsidR="00240BD5" w:rsidRPr="0056798F">
        <w:rPr>
          <w:color w:val="000000" w:themeColor="text1"/>
        </w:rPr>
        <w:t>elles figurent dans les plans d</w:t>
      </w:r>
      <w:r w:rsidR="00EA4125" w:rsidRPr="0056798F">
        <w:rPr>
          <w:color w:val="000000" w:themeColor="text1"/>
        </w:rPr>
        <w:t>’</w:t>
      </w:r>
      <w:r w:rsidR="00240BD5" w:rsidRPr="0056798F">
        <w:rPr>
          <w:color w:val="000000" w:themeColor="text1"/>
        </w:rPr>
        <w:t>action nationaux sur l</w:t>
      </w:r>
      <w:r w:rsidR="00EA4125" w:rsidRPr="0056798F">
        <w:rPr>
          <w:color w:val="000000" w:themeColor="text1"/>
        </w:rPr>
        <w:t>’</w:t>
      </w:r>
      <w:r w:rsidR="00240BD5" w:rsidRPr="0056798F">
        <w:rPr>
          <w:color w:val="000000" w:themeColor="text1"/>
        </w:rPr>
        <w:t>extraction minière artisanale et à petite échelle d</w:t>
      </w:r>
      <w:r w:rsidR="00EA4125" w:rsidRPr="0056798F">
        <w:rPr>
          <w:color w:val="000000" w:themeColor="text1"/>
        </w:rPr>
        <w:t>’</w:t>
      </w:r>
      <w:r w:rsidR="00240BD5" w:rsidRPr="0056798F">
        <w:rPr>
          <w:color w:val="000000" w:themeColor="text1"/>
        </w:rPr>
        <w:t xml:space="preserve">or soumis par les </w:t>
      </w:r>
      <w:r w:rsidR="00B13848" w:rsidRPr="0056798F">
        <w:rPr>
          <w:color w:val="000000" w:themeColor="text1"/>
        </w:rPr>
        <w:t>P</w:t>
      </w:r>
      <w:r w:rsidR="00240BD5" w:rsidRPr="0056798F">
        <w:rPr>
          <w:color w:val="000000" w:themeColor="text1"/>
        </w:rPr>
        <w:t>arties conformément à l</w:t>
      </w:r>
      <w:r w:rsidR="00EA4125" w:rsidRPr="0056798F">
        <w:rPr>
          <w:color w:val="000000" w:themeColor="text1"/>
        </w:rPr>
        <w:t>’</w:t>
      </w:r>
      <w:r w:rsidR="00240BD5" w:rsidRPr="0056798F">
        <w:rPr>
          <w:color w:val="000000" w:themeColor="text1"/>
        </w:rPr>
        <w:t>alinéa b) du paragraphe</w:t>
      </w:r>
      <w:r w:rsidR="0007099B" w:rsidRPr="0056798F">
        <w:rPr>
          <w:color w:val="000000" w:themeColor="text1"/>
        </w:rPr>
        <w:t> </w:t>
      </w:r>
      <w:r w:rsidR="00240BD5" w:rsidRPr="0056798F">
        <w:rPr>
          <w:color w:val="000000" w:themeColor="text1"/>
        </w:rPr>
        <w:t>3 de l</w:t>
      </w:r>
      <w:r w:rsidR="00EA4125" w:rsidRPr="0056798F">
        <w:rPr>
          <w:color w:val="000000" w:themeColor="text1"/>
        </w:rPr>
        <w:t>’</w:t>
      </w:r>
      <w:r w:rsidR="00240BD5" w:rsidRPr="0056798F">
        <w:rPr>
          <w:color w:val="000000" w:themeColor="text1"/>
        </w:rPr>
        <w:t>article 7</w:t>
      </w:r>
      <w:r w:rsidR="00B42409" w:rsidRPr="0056798F">
        <w:rPr>
          <w:color w:val="000000" w:themeColor="text1"/>
        </w:rPr>
        <w:t> </w:t>
      </w:r>
      <w:r w:rsidR="18A5B045" w:rsidRPr="0056798F">
        <w:rPr>
          <w:color w:val="000000" w:themeColor="text1"/>
        </w:rPr>
        <w:t>;</w:t>
      </w:r>
    </w:p>
    <w:p w14:paraId="6600D7BB" w14:textId="0D13E5EB" w:rsidR="00AC52DA" w:rsidRPr="0056798F" w:rsidRDefault="00623781" w:rsidP="00623781">
      <w:pPr>
        <w:pStyle w:val="Normalnumber"/>
        <w:numPr>
          <w:ilvl w:val="0"/>
          <w:numId w:val="0"/>
        </w:numPr>
        <w:tabs>
          <w:tab w:val="clear" w:pos="2495"/>
        </w:tabs>
        <w:ind w:left="1247" w:firstLine="624"/>
      </w:pPr>
      <w:r w:rsidRPr="0056798F">
        <w:t>c)</w:t>
      </w:r>
      <w:r w:rsidRPr="0056798F">
        <w:tab/>
      </w:r>
      <w:r w:rsidR="00684698" w:rsidRPr="0056798F">
        <w:t>D</w:t>
      </w:r>
      <w:r w:rsidR="00EA4125" w:rsidRPr="0056798F">
        <w:t>’</w:t>
      </w:r>
      <w:r w:rsidR="00B42409" w:rsidRPr="0056798F">
        <w:t>inviter l</w:t>
      </w:r>
      <w:r w:rsidR="00EA4125" w:rsidRPr="0056798F">
        <w:t>’</w:t>
      </w:r>
      <w:r w:rsidR="00B42409" w:rsidRPr="0056798F">
        <w:t>Office des Nations</w:t>
      </w:r>
      <w:r w:rsidR="00E078E2" w:rsidRPr="0056798F">
        <w:t> </w:t>
      </w:r>
      <w:r w:rsidR="00B42409" w:rsidRPr="0056798F">
        <w:t>Unies contre la drogue et le crime, l</w:t>
      </w:r>
      <w:r w:rsidR="00EA4125" w:rsidRPr="0056798F">
        <w:t>’</w:t>
      </w:r>
      <w:r w:rsidR="00B42409" w:rsidRPr="0056798F">
        <w:t xml:space="preserve">Organisation </w:t>
      </w:r>
      <w:r w:rsidR="00B42409" w:rsidRPr="0056798F">
        <w:rPr>
          <w:color w:val="000000" w:themeColor="text1"/>
        </w:rPr>
        <w:t>mondiale des douanes et les réseaux mondiaux et régionaux chargés de la répression à apporter</w:t>
      </w:r>
      <w:r w:rsidR="00B42409" w:rsidRPr="0056798F">
        <w:t xml:space="preserve"> </w:t>
      </w:r>
      <w:r w:rsidR="00B13848" w:rsidRPr="0056798F">
        <w:t xml:space="preserve">des </w:t>
      </w:r>
      <w:r w:rsidR="00B42409" w:rsidRPr="0056798F">
        <w:t>contribution</w:t>
      </w:r>
      <w:r w:rsidR="00B13848" w:rsidRPr="0056798F">
        <w:t>s</w:t>
      </w:r>
      <w:r w:rsidR="00B42409" w:rsidRPr="0056798F">
        <w:t xml:space="preserve">, </w:t>
      </w:r>
      <w:r w:rsidR="00B13848" w:rsidRPr="0056798F">
        <w:t>selon que de besoin</w:t>
      </w:r>
      <w:r w:rsidR="00684698" w:rsidRPr="0056798F">
        <w:t> ;</w:t>
      </w:r>
    </w:p>
    <w:p w14:paraId="4960FF91" w14:textId="2C7F38D2" w:rsidR="00436B0D" w:rsidRPr="0056798F" w:rsidDel="001D6D3D" w:rsidRDefault="00B42409" w:rsidP="00D11012">
      <w:pPr>
        <w:pStyle w:val="Normal-pool"/>
        <w:numPr>
          <w:ilvl w:val="0"/>
          <w:numId w:val="14"/>
        </w:numPr>
        <w:tabs>
          <w:tab w:val="clear" w:pos="1247"/>
          <w:tab w:val="clear" w:pos="1871"/>
          <w:tab w:val="clear" w:pos="2495"/>
          <w:tab w:val="clear" w:pos="3119"/>
          <w:tab w:val="clear" w:pos="3742"/>
          <w:tab w:val="clear" w:pos="4366"/>
          <w:tab w:val="left" w:pos="2410"/>
        </w:tabs>
        <w:spacing w:after="120"/>
        <w:ind w:left="1247" w:firstLine="624"/>
      </w:pPr>
      <w:r w:rsidRPr="0056798F">
        <w:rPr>
          <w:i/>
          <w:iCs/>
        </w:rPr>
        <w:t xml:space="preserve">Prie </w:t>
      </w:r>
      <w:r w:rsidR="00AE6F24" w:rsidRPr="0056798F">
        <w:rPr>
          <w:i/>
          <w:iCs/>
        </w:rPr>
        <w:t>également</w:t>
      </w:r>
      <w:r w:rsidRPr="0056798F">
        <w:t xml:space="preserve"> le secrétariat de </w:t>
      </w:r>
      <w:r w:rsidR="00A45C0B" w:rsidRPr="0056798F">
        <w:t xml:space="preserve">lui </w:t>
      </w:r>
      <w:r w:rsidRPr="0056798F">
        <w:t>soumettre les études de cas afin qu</w:t>
      </w:r>
      <w:r w:rsidR="00EA4125" w:rsidRPr="0056798F">
        <w:t>’</w:t>
      </w:r>
      <w:r w:rsidRPr="0056798F">
        <w:t>elle puisse les examiner à sa septième réunion </w:t>
      </w:r>
      <w:r w:rsidR="6729092E" w:rsidRPr="0056798F">
        <w:t>;</w:t>
      </w:r>
    </w:p>
    <w:p w14:paraId="29394754" w14:textId="26F92970" w:rsidR="00D46356" w:rsidRPr="0056798F" w:rsidRDefault="00B42409" w:rsidP="00D11012">
      <w:pPr>
        <w:pStyle w:val="Normal-pool"/>
        <w:numPr>
          <w:ilvl w:val="0"/>
          <w:numId w:val="14"/>
        </w:numPr>
        <w:tabs>
          <w:tab w:val="clear" w:pos="1247"/>
          <w:tab w:val="clear" w:pos="1871"/>
          <w:tab w:val="clear" w:pos="2495"/>
          <w:tab w:val="clear" w:pos="3119"/>
          <w:tab w:val="clear" w:pos="3742"/>
          <w:tab w:val="clear" w:pos="4366"/>
          <w:tab w:val="left" w:pos="2410"/>
        </w:tabs>
        <w:spacing w:after="120"/>
        <w:ind w:left="1247" w:firstLine="624"/>
      </w:pPr>
      <w:r w:rsidRPr="0056798F">
        <w:rPr>
          <w:i/>
          <w:iCs/>
        </w:rPr>
        <w:t xml:space="preserve">Prie </w:t>
      </w:r>
      <w:r w:rsidRPr="0056798F">
        <w:t>le Comité de mise en œuvre et du respect des obligations </w:t>
      </w:r>
      <w:r w:rsidR="00A8548F" w:rsidRPr="0056798F">
        <w:t>:</w:t>
      </w:r>
    </w:p>
    <w:p w14:paraId="15721957" w14:textId="174F36F1" w:rsidR="008936FC" w:rsidRPr="0056798F" w:rsidRDefault="00E23F34" w:rsidP="00E23F34">
      <w:pPr>
        <w:pStyle w:val="Normalnumber"/>
        <w:numPr>
          <w:ilvl w:val="0"/>
          <w:numId w:val="0"/>
        </w:numPr>
        <w:tabs>
          <w:tab w:val="clear" w:pos="2495"/>
        </w:tabs>
        <w:ind w:left="1247" w:firstLine="624"/>
      </w:pPr>
      <w:r w:rsidRPr="0056798F">
        <w:t>a)</w:t>
      </w:r>
      <w:r w:rsidRPr="0056798F">
        <w:tab/>
      </w:r>
      <w:r w:rsidR="007C6104" w:rsidRPr="0056798F">
        <w:t>D</w:t>
      </w:r>
      <w:r w:rsidR="00EA4125" w:rsidRPr="0056798F">
        <w:t>’</w:t>
      </w:r>
      <w:r w:rsidR="007C6104" w:rsidRPr="0056798F">
        <w:t>analyser</w:t>
      </w:r>
      <w:r w:rsidR="00B42409" w:rsidRPr="0056798F">
        <w:t xml:space="preserve"> les raisons pour lesquelles les </w:t>
      </w:r>
      <w:r w:rsidR="00A45C0B" w:rsidRPr="0056798F">
        <w:t>P</w:t>
      </w:r>
      <w:r w:rsidR="00B42409" w:rsidRPr="0056798F">
        <w:t xml:space="preserve">arties </w:t>
      </w:r>
      <w:r w:rsidR="00D67D66" w:rsidRPr="0056798F">
        <w:t>rencontr</w:t>
      </w:r>
      <w:r w:rsidR="00B42409" w:rsidRPr="0056798F">
        <w:t>ent des difficultés à mettre en œuvre les dispositions relatives au commerce prévues par l</w:t>
      </w:r>
      <w:r w:rsidR="00EA4125" w:rsidRPr="0056798F">
        <w:t>’</w:t>
      </w:r>
      <w:r w:rsidR="00B42409" w:rsidRPr="0056798F">
        <w:t>article</w:t>
      </w:r>
      <w:r w:rsidR="00ED3FEA" w:rsidRPr="0056798F">
        <w:t> </w:t>
      </w:r>
      <w:r w:rsidR="00B42409" w:rsidRPr="0056798F">
        <w:t xml:space="preserve">3 et </w:t>
      </w:r>
      <w:r w:rsidR="00A45C0B" w:rsidRPr="0056798F">
        <w:t>d</w:t>
      </w:r>
      <w:r w:rsidR="00EA4125" w:rsidRPr="0056798F">
        <w:t>’</w:t>
      </w:r>
      <w:r w:rsidR="00A45C0B" w:rsidRPr="0056798F">
        <w:t xml:space="preserve">envisager </w:t>
      </w:r>
      <w:r w:rsidR="00B42409" w:rsidRPr="0056798F">
        <w:t xml:space="preserve">les recommandations qui pourraient </w:t>
      </w:r>
      <w:r w:rsidR="00A45C0B" w:rsidRPr="0056798F">
        <w:t xml:space="preserve">lui </w:t>
      </w:r>
      <w:r w:rsidR="00B42409" w:rsidRPr="0056798F">
        <w:t xml:space="preserve">être faites pour améliorer la mise en œuvre </w:t>
      </w:r>
      <w:r w:rsidR="00A45C0B" w:rsidRPr="0056798F">
        <w:t>et</w:t>
      </w:r>
      <w:r w:rsidR="00B42409" w:rsidRPr="0056798F">
        <w:t xml:space="preserve"> les rapports</w:t>
      </w:r>
      <w:r w:rsidR="00ED3FEA" w:rsidRPr="0056798F">
        <w:t> </w:t>
      </w:r>
      <w:r w:rsidR="00B42409" w:rsidRPr="0056798F">
        <w:t>nationaux soumis en application de l</w:t>
      </w:r>
      <w:r w:rsidR="00EA4125" w:rsidRPr="0056798F">
        <w:t>’</w:t>
      </w:r>
      <w:r w:rsidR="00B42409" w:rsidRPr="0056798F">
        <w:t>article 21 </w:t>
      </w:r>
      <w:r w:rsidR="008936FC" w:rsidRPr="0056798F">
        <w:rPr>
          <w:lang w:eastAsia="zh-CN"/>
        </w:rPr>
        <w:t>;</w:t>
      </w:r>
    </w:p>
    <w:p w14:paraId="5542DE72" w14:textId="33EC8E48" w:rsidR="0084402A" w:rsidRPr="0056798F" w:rsidRDefault="00FC5516" w:rsidP="00FC5516">
      <w:pPr>
        <w:pStyle w:val="Normalnumber"/>
        <w:numPr>
          <w:ilvl w:val="0"/>
          <w:numId w:val="0"/>
        </w:numPr>
        <w:tabs>
          <w:tab w:val="clear" w:pos="2495"/>
        </w:tabs>
        <w:ind w:left="1247" w:firstLine="624"/>
      </w:pPr>
      <w:r w:rsidRPr="0056798F">
        <w:t>b)</w:t>
      </w:r>
      <w:r w:rsidRPr="0056798F">
        <w:tab/>
      </w:r>
      <w:r w:rsidR="007C6104" w:rsidRPr="0056798F">
        <w:t>D</w:t>
      </w:r>
      <w:r w:rsidR="00EA4125" w:rsidRPr="0056798F">
        <w:t>’</w:t>
      </w:r>
      <w:r w:rsidR="007C6104" w:rsidRPr="0056798F">
        <w:t>engager</w:t>
      </w:r>
      <w:r w:rsidR="00B42409" w:rsidRPr="0056798F">
        <w:t xml:space="preserve"> un dialogue avec les organisations internationales compétentes et de coopérer avec les organismes de contrôle du respect d</w:t>
      </w:r>
      <w:r w:rsidR="00EA4125" w:rsidRPr="0056798F">
        <w:t>’</w:t>
      </w:r>
      <w:r w:rsidR="00B42409" w:rsidRPr="0056798F">
        <w:t>autres accords multilatéraux sur l</w:t>
      </w:r>
      <w:r w:rsidR="00EA4125" w:rsidRPr="0056798F">
        <w:t>’</w:t>
      </w:r>
      <w:r w:rsidR="00B42409" w:rsidRPr="0056798F">
        <w:t>environnement dans le cadre de</w:t>
      </w:r>
      <w:r w:rsidR="00C94796" w:rsidRPr="0056798F">
        <w:t xml:space="preserve"> leur</w:t>
      </w:r>
      <w:r w:rsidR="00B42409" w:rsidRPr="0056798F">
        <w:t>s activités</w:t>
      </w:r>
      <w:r w:rsidR="00C94796" w:rsidRPr="0056798F">
        <w:t>, afin d</w:t>
      </w:r>
      <w:r w:rsidR="00EA4125" w:rsidRPr="0056798F">
        <w:t>’</w:t>
      </w:r>
      <w:r w:rsidR="00B42409" w:rsidRPr="0056798F">
        <w:t>aider les Parties à prévenir et réprimer le commerce illicite</w:t>
      </w:r>
      <w:r w:rsidR="00A45C0B" w:rsidRPr="0056798F">
        <w:t xml:space="preserve"> du mercure</w:t>
      </w:r>
      <w:r w:rsidR="00BF2A85" w:rsidRPr="0056798F">
        <w:t> ;</w:t>
      </w:r>
      <w:r w:rsidR="00B91A9A" w:rsidRPr="0056798F">
        <w:t xml:space="preserve"> </w:t>
      </w:r>
    </w:p>
    <w:p w14:paraId="015C8BF7" w14:textId="693A2846" w:rsidR="004D68ED" w:rsidRPr="0056798F" w:rsidRDefault="00B42409" w:rsidP="00214509">
      <w:pPr>
        <w:pStyle w:val="Normal-pool"/>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t>Engage</w:t>
      </w:r>
      <w:r w:rsidRPr="0056798F">
        <w:t xml:space="preserve"> l</w:t>
      </w:r>
      <w:r w:rsidR="00EA4125" w:rsidRPr="0056798F">
        <w:t>’</w:t>
      </w:r>
      <w:r w:rsidRPr="0056798F">
        <w:t>Office des Nations</w:t>
      </w:r>
      <w:r w:rsidR="00E078E2" w:rsidRPr="0056798F">
        <w:t> </w:t>
      </w:r>
      <w:r w:rsidR="00AF110B" w:rsidRPr="0056798F">
        <w:t>U</w:t>
      </w:r>
      <w:r w:rsidRPr="0056798F">
        <w:t>nies contre la drogue et le crime, l</w:t>
      </w:r>
      <w:r w:rsidR="00EA4125" w:rsidRPr="0056798F">
        <w:t>’</w:t>
      </w:r>
      <w:r w:rsidRPr="0056798F">
        <w:t>Organisation mondiale des douanes, l</w:t>
      </w:r>
      <w:r w:rsidR="00EA4125" w:rsidRPr="0056798F">
        <w:t>’</w:t>
      </w:r>
      <w:r w:rsidRPr="0056798F">
        <w:t xml:space="preserve">Organisation internationale de police criminelle, les organisations membres du Programme </w:t>
      </w:r>
      <w:proofErr w:type="spellStart"/>
      <w:r w:rsidRPr="0056798F">
        <w:t>interorganisations</w:t>
      </w:r>
      <w:proofErr w:type="spellEnd"/>
      <w:r w:rsidRPr="0056798F">
        <w:t xml:space="preserve"> pour la gestion rationnelle des produits chimiques</w:t>
      </w:r>
      <w:r w:rsidR="00A45C0B" w:rsidRPr="0056798F">
        <w:t xml:space="preserve"> et</w:t>
      </w:r>
      <w:r w:rsidRPr="0056798F">
        <w:t xml:space="preserve"> le Secrétariat de</w:t>
      </w:r>
      <w:r w:rsidR="00A45C0B" w:rsidRPr="0056798F">
        <w:t xml:space="preserve"> la</w:t>
      </w:r>
      <w:r w:rsidRPr="0056798F">
        <w:t xml:space="preserve"> Convention de</w:t>
      </w:r>
      <w:r w:rsidR="00ED3FEA" w:rsidRPr="0056798F">
        <w:t> </w:t>
      </w:r>
      <w:r w:rsidRPr="0056798F">
        <w:t>Bâle</w:t>
      </w:r>
      <w:r w:rsidR="00A45C0B" w:rsidRPr="0056798F">
        <w:t xml:space="preserve"> sur le contrôle des mouvements transfrontières de déchets dangereux et de leur élimination</w:t>
      </w:r>
      <w:r w:rsidRPr="0056798F">
        <w:t xml:space="preserve">, de </w:t>
      </w:r>
      <w:r w:rsidR="00A45C0B" w:rsidRPr="0056798F">
        <w:t xml:space="preserve">la Convention de </w:t>
      </w:r>
      <w:r w:rsidRPr="0056798F">
        <w:t xml:space="preserve">Rotterdam </w:t>
      </w:r>
      <w:r w:rsidR="00A45C0B" w:rsidRPr="0056798F">
        <w:t>sur la procédure de consentement préalable en connaissance de cause applicable à certains produits chimiques et pesticides dangereux qui font l</w:t>
      </w:r>
      <w:r w:rsidR="00EA4125" w:rsidRPr="0056798F">
        <w:t>’</w:t>
      </w:r>
      <w:r w:rsidR="00A45C0B" w:rsidRPr="0056798F">
        <w:t>objet d</w:t>
      </w:r>
      <w:r w:rsidR="00EA4125" w:rsidRPr="0056798F">
        <w:t>’</w:t>
      </w:r>
      <w:r w:rsidR="00A45C0B" w:rsidRPr="0056798F">
        <w:t xml:space="preserve">un commerce international </w:t>
      </w:r>
      <w:r w:rsidRPr="0056798F">
        <w:t>et de</w:t>
      </w:r>
      <w:r w:rsidR="00A45C0B" w:rsidRPr="0056798F">
        <w:t xml:space="preserve"> la Convention de</w:t>
      </w:r>
      <w:r w:rsidRPr="0056798F">
        <w:t xml:space="preserve"> Stockholm</w:t>
      </w:r>
      <w:r w:rsidR="00A45C0B" w:rsidRPr="0056798F">
        <w:t xml:space="preserve"> sur les polluants organiques persistants</w:t>
      </w:r>
      <w:r w:rsidRPr="0056798F">
        <w:t xml:space="preserve">, ainsi que les réseaux mondiaux et régionaux chargés de la répression à aider les </w:t>
      </w:r>
      <w:r w:rsidR="00A45C0B" w:rsidRPr="0056798F">
        <w:t>P</w:t>
      </w:r>
      <w:r w:rsidRPr="0056798F">
        <w:t xml:space="preserve">arties à prévenir et à </w:t>
      </w:r>
      <w:r w:rsidR="00A45C0B" w:rsidRPr="0056798F">
        <w:t xml:space="preserve">réprimer </w:t>
      </w:r>
      <w:r w:rsidRPr="0056798F">
        <w:t>le commerce illicite du mercure </w:t>
      </w:r>
      <w:r w:rsidR="007C4168" w:rsidRPr="0056798F">
        <w:t>;</w:t>
      </w:r>
      <w:r w:rsidR="00524A74" w:rsidRPr="0056798F">
        <w:t xml:space="preserve"> </w:t>
      </w:r>
    </w:p>
    <w:p w14:paraId="56724052" w14:textId="1234F2C5" w:rsidR="00A21BD2" w:rsidRPr="0056798F" w:rsidRDefault="00201311" w:rsidP="000750E5">
      <w:pPr>
        <w:pStyle w:val="Normal-pool"/>
        <w:numPr>
          <w:ilvl w:val="0"/>
          <w:numId w:val="14"/>
        </w:numPr>
        <w:tabs>
          <w:tab w:val="clear" w:pos="1247"/>
          <w:tab w:val="clear" w:pos="1871"/>
          <w:tab w:val="clear" w:pos="2495"/>
          <w:tab w:val="clear" w:pos="3119"/>
          <w:tab w:val="clear" w:pos="3742"/>
          <w:tab w:val="clear" w:pos="4366"/>
        </w:tabs>
        <w:spacing w:after="120"/>
        <w:ind w:left="1247" w:firstLine="624"/>
      </w:pPr>
      <w:r w:rsidRPr="0056798F">
        <w:rPr>
          <w:i/>
          <w:iCs/>
        </w:rPr>
        <w:t xml:space="preserve">Prie </w:t>
      </w:r>
      <w:r w:rsidRPr="0056798F">
        <w:t xml:space="preserve">le </w:t>
      </w:r>
      <w:r w:rsidR="00CE5AA4" w:rsidRPr="0056798F">
        <w:t>s</w:t>
      </w:r>
      <w:r w:rsidRPr="0056798F">
        <w:t>ecrétariat, sous réserve de la disponibilité de ressources, de continuer à fournir des conseils et à mener des activités de sensibilisation et d</w:t>
      </w:r>
      <w:r w:rsidR="00EA4125" w:rsidRPr="0056798F">
        <w:t>’</w:t>
      </w:r>
      <w:r w:rsidRPr="0056798F">
        <w:t>assistance technique afin de renforcer l</w:t>
      </w:r>
      <w:r w:rsidR="00F063B0" w:rsidRPr="0056798F">
        <w:t>es</w:t>
      </w:r>
      <w:r w:rsidRPr="0056798F">
        <w:t xml:space="preserve"> capacité</w:t>
      </w:r>
      <w:r w:rsidR="00F063B0" w:rsidRPr="0056798F">
        <w:t>s</w:t>
      </w:r>
      <w:r w:rsidRPr="0056798F">
        <w:t xml:space="preserve"> des </w:t>
      </w:r>
      <w:r w:rsidR="00F063B0" w:rsidRPr="0056798F">
        <w:t>P</w:t>
      </w:r>
      <w:r w:rsidRPr="0056798F">
        <w:t>arties à s</w:t>
      </w:r>
      <w:r w:rsidR="00EA4125" w:rsidRPr="0056798F">
        <w:t>’</w:t>
      </w:r>
      <w:r w:rsidRPr="0056798F">
        <w:t>acquitter de leurs obligations</w:t>
      </w:r>
      <w:r w:rsidR="00F063B0" w:rsidRPr="0056798F">
        <w:t xml:space="preserve"> relatives </w:t>
      </w:r>
      <w:r w:rsidRPr="0056798F">
        <w:t>au commerce du mercure prévues par l</w:t>
      </w:r>
      <w:r w:rsidR="00EA4125" w:rsidRPr="0056798F">
        <w:t>’</w:t>
      </w:r>
      <w:r w:rsidRPr="0056798F">
        <w:t>article 3 </w:t>
      </w:r>
      <w:r w:rsidR="007C4168" w:rsidRPr="0056798F">
        <w:t>;</w:t>
      </w:r>
    </w:p>
    <w:p w14:paraId="4EDA38A3" w14:textId="0FDA7D55" w:rsidR="005B5E59" w:rsidRPr="0056798F" w:rsidRDefault="00201311" w:rsidP="000750E5">
      <w:pPr>
        <w:pStyle w:val="Normal-pool"/>
        <w:numPr>
          <w:ilvl w:val="0"/>
          <w:numId w:val="14"/>
        </w:numPr>
        <w:tabs>
          <w:tab w:val="clear" w:pos="1247"/>
          <w:tab w:val="clear" w:pos="1871"/>
          <w:tab w:val="clear" w:pos="2495"/>
          <w:tab w:val="clear" w:pos="3119"/>
          <w:tab w:val="clear" w:pos="3742"/>
          <w:tab w:val="clear" w:pos="4366"/>
        </w:tabs>
        <w:spacing w:after="120"/>
        <w:ind w:left="1247" w:firstLine="624"/>
        <w:rPr>
          <w:color w:val="000000" w:themeColor="text1"/>
        </w:rPr>
        <w:sectPr w:rsidR="005B5E59" w:rsidRPr="0056798F" w:rsidSect="006C0509">
          <w:footnotePr>
            <w:numRestart w:val="eachSect"/>
          </w:footnotePr>
          <w:type w:val="continuous"/>
          <w:pgSz w:w="11907" w:h="16839" w:code="9"/>
          <w:pgMar w:top="907" w:right="992" w:bottom="1418" w:left="1418" w:header="539" w:footer="975" w:gutter="0"/>
          <w:cols w:space="539"/>
          <w:titlePg/>
          <w:docGrid w:linePitch="360"/>
        </w:sectPr>
      </w:pPr>
      <w:r w:rsidRPr="0056798F">
        <w:rPr>
          <w:i/>
          <w:iCs/>
        </w:rPr>
        <w:t xml:space="preserve">Prie </w:t>
      </w:r>
      <w:r w:rsidR="00F063B0" w:rsidRPr="0056798F">
        <w:rPr>
          <w:i/>
          <w:iCs/>
        </w:rPr>
        <w:t>également</w:t>
      </w:r>
      <w:r w:rsidRPr="0056798F">
        <w:t xml:space="preserve"> le </w:t>
      </w:r>
      <w:r w:rsidR="00CE5AA4" w:rsidRPr="0056798F">
        <w:t>s</w:t>
      </w:r>
      <w:r w:rsidRPr="0056798F">
        <w:t>ecrétariat de lui faire rapport sur l</w:t>
      </w:r>
      <w:r w:rsidR="00EA4125" w:rsidRPr="0056798F">
        <w:t>’</w:t>
      </w:r>
      <w:r w:rsidRPr="0056798F">
        <w:t>application de la présente décision à sa prochaine réunion</w:t>
      </w:r>
      <w:r w:rsidR="00C82F75" w:rsidRPr="0056798F">
        <w:rPr>
          <w:color w:val="000000" w:themeColor="text1"/>
        </w:rPr>
        <w:t>.</w:t>
      </w:r>
    </w:p>
    <w:p w14:paraId="2966CA4C" w14:textId="77777777" w:rsidR="00461884" w:rsidRPr="0056798F" w:rsidRDefault="00986B10">
      <w:pPr>
        <w:tabs>
          <w:tab w:val="clear" w:pos="1247"/>
          <w:tab w:val="clear" w:pos="1814"/>
          <w:tab w:val="clear" w:pos="2381"/>
          <w:tab w:val="clear" w:pos="2948"/>
          <w:tab w:val="clear" w:pos="3515"/>
        </w:tabs>
        <w:rPr>
          <w:color w:val="000000" w:themeColor="text1"/>
        </w:rPr>
      </w:pPr>
      <w:r w:rsidRPr="0056798F">
        <w:rPr>
          <w:color w:val="000000" w:themeColor="text1"/>
        </w:rPr>
        <w:br w:type="page"/>
      </w:r>
    </w:p>
    <w:p w14:paraId="676B9EEC" w14:textId="55478A5A" w:rsidR="00461884" w:rsidRPr="0056798F" w:rsidRDefault="00461884" w:rsidP="00461884">
      <w:pPr>
        <w:pStyle w:val="ZZAnxheader"/>
      </w:pPr>
      <w:r w:rsidRPr="0056798F">
        <w:lastRenderedPageBreak/>
        <w:t>Annex</w:t>
      </w:r>
      <w:r w:rsidR="00506AE6" w:rsidRPr="0056798F">
        <w:t>e </w:t>
      </w:r>
      <w:r w:rsidRPr="0056798F">
        <w:t>II</w:t>
      </w:r>
    </w:p>
    <w:p w14:paraId="26BCB15B" w14:textId="2438B673" w:rsidR="00C13886" w:rsidRPr="0056798F" w:rsidRDefault="009363C1" w:rsidP="00585DBD">
      <w:pPr>
        <w:pStyle w:val="ZZAnxtitle"/>
        <w:spacing w:after="360"/>
      </w:pPr>
      <w:r w:rsidRPr="0056798F">
        <w:t>Projet de version mise à jour des orientations sur le recensement des</w:t>
      </w:r>
      <w:r w:rsidR="00C6396F" w:rsidRPr="0056798F">
        <w:t> </w:t>
      </w:r>
      <w:r w:rsidRPr="0056798F">
        <w:t>stocks individuels de mercure ou composés du mercure de plus de</w:t>
      </w:r>
      <w:r w:rsidR="00731C2A" w:rsidRPr="0056798F">
        <w:t> </w:t>
      </w:r>
      <w:r w:rsidRPr="0056798F">
        <w:t>50 tonnes métriques ainsi que des sources d</w:t>
      </w:r>
      <w:r w:rsidR="00EA4125" w:rsidRPr="0056798F">
        <w:t>’</w:t>
      </w:r>
      <w:r w:rsidRPr="0056798F">
        <w:t>approvisionnement en mercure produisant des stocks de plus de 10</w:t>
      </w:r>
      <w:r w:rsidR="00C6396F" w:rsidRPr="0056798F">
        <w:t> </w:t>
      </w:r>
      <w:r w:rsidRPr="0056798F">
        <w:t>tonnes métriques par</w:t>
      </w:r>
      <w:r w:rsidR="00C6396F" w:rsidRPr="0056798F">
        <w:t> </w:t>
      </w:r>
      <w:r w:rsidRPr="0056798F">
        <w:t>an</w:t>
      </w:r>
      <w:r w:rsidR="004C3081" w:rsidRPr="0056798F">
        <w:rPr>
          <w:vertAlign w:val="superscript"/>
        </w:rPr>
        <w:footnoteReference w:id="18"/>
      </w:r>
      <w:bookmarkStart w:id="13" w:name="_Hlk204697316"/>
    </w:p>
    <w:bookmarkEnd w:id="13"/>
    <w:p w14:paraId="2FECBFEF" w14:textId="3DDB582A" w:rsidR="008963DF" w:rsidRPr="0056798F" w:rsidRDefault="003723AE" w:rsidP="00585DBD">
      <w:pPr>
        <w:pStyle w:val="paragraph"/>
        <w:spacing w:before="0" w:beforeAutospacing="0" w:after="120" w:afterAutospacing="0"/>
        <w:ind w:left="1247"/>
        <w:rPr>
          <w:sz w:val="20"/>
          <w:szCs w:val="20"/>
          <w:u w:val="single"/>
        </w:rPr>
      </w:pPr>
      <w:r w:rsidRPr="0056798F">
        <w:rPr>
          <w:rStyle w:val="normaltextrun"/>
          <w:rFonts w:eastAsiaTheme="majorEastAsia"/>
          <w:sz w:val="20"/>
          <w:szCs w:val="20"/>
        </w:rPr>
        <w:t>Il est proposé d</w:t>
      </w:r>
      <w:r w:rsidR="00EA4125" w:rsidRPr="0056798F">
        <w:rPr>
          <w:rStyle w:val="normaltextrun"/>
          <w:rFonts w:eastAsiaTheme="majorEastAsia"/>
          <w:sz w:val="20"/>
          <w:szCs w:val="20"/>
        </w:rPr>
        <w:t>’</w:t>
      </w:r>
      <w:r w:rsidRPr="0056798F">
        <w:rPr>
          <w:rStyle w:val="normaltextrun"/>
          <w:rFonts w:eastAsiaTheme="majorEastAsia"/>
          <w:sz w:val="20"/>
          <w:szCs w:val="20"/>
        </w:rPr>
        <w:t>ajouter l</w:t>
      </w:r>
      <w:r w:rsidR="00F93E13" w:rsidRPr="0056798F">
        <w:rPr>
          <w:rStyle w:val="normaltextrun"/>
          <w:rFonts w:eastAsiaTheme="majorEastAsia"/>
          <w:sz w:val="20"/>
          <w:szCs w:val="20"/>
        </w:rPr>
        <w:t>es</w:t>
      </w:r>
      <w:r w:rsidR="008963DF" w:rsidRPr="0056798F">
        <w:rPr>
          <w:rStyle w:val="normaltextrun"/>
          <w:rFonts w:eastAsiaTheme="majorEastAsia"/>
          <w:sz w:val="20"/>
          <w:szCs w:val="20"/>
        </w:rPr>
        <w:t xml:space="preserve"> </w:t>
      </w:r>
      <w:r w:rsidR="00F93E13" w:rsidRPr="0056798F">
        <w:rPr>
          <w:sz w:val="20"/>
          <w:szCs w:val="20"/>
        </w:rPr>
        <w:t xml:space="preserve">paragraphes </w:t>
      </w:r>
      <w:r w:rsidRPr="0056798F">
        <w:rPr>
          <w:sz w:val="20"/>
          <w:szCs w:val="20"/>
        </w:rPr>
        <w:t>ci-après</w:t>
      </w:r>
      <w:r w:rsidR="00F93E13" w:rsidRPr="0056798F">
        <w:rPr>
          <w:sz w:val="20"/>
          <w:szCs w:val="20"/>
        </w:rPr>
        <w:t xml:space="preserve"> à la section</w:t>
      </w:r>
      <w:r w:rsidRPr="0056798F">
        <w:rPr>
          <w:sz w:val="20"/>
          <w:szCs w:val="20"/>
        </w:rPr>
        <w:t xml:space="preserve"> intitulée</w:t>
      </w:r>
      <w:r w:rsidR="00F93E13" w:rsidRPr="0056798F">
        <w:rPr>
          <w:sz w:val="20"/>
          <w:szCs w:val="20"/>
        </w:rPr>
        <w:t xml:space="preserve"> </w:t>
      </w:r>
      <w:r w:rsidR="00277200" w:rsidRPr="0056798F">
        <w:rPr>
          <w:sz w:val="20"/>
          <w:szCs w:val="20"/>
        </w:rPr>
        <w:t>« </w:t>
      </w:r>
      <w:r w:rsidR="00F93E13" w:rsidRPr="0056798F">
        <w:rPr>
          <w:sz w:val="20"/>
          <w:szCs w:val="20"/>
        </w:rPr>
        <w:t>Contexte</w:t>
      </w:r>
      <w:r w:rsidR="00277200" w:rsidRPr="0056798F">
        <w:rPr>
          <w:sz w:val="20"/>
          <w:szCs w:val="20"/>
        </w:rPr>
        <w:t> »</w:t>
      </w:r>
      <w:r w:rsidR="00F93E13" w:rsidRPr="0056798F">
        <w:rPr>
          <w:sz w:val="20"/>
          <w:szCs w:val="20"/>
        </w:rPr>
        <w:t>, comme suit </w:t>
      </w:r>
      <w:r w:rsidR="00852ABD" w:rsidRPr="0056798F">
        <w:rPr>
          <w:rStyle w:val="normaltextrun"/>
          <w:rFonts w:eastAsiaTheme="majorEastAsia"/>
          <w:sz w:val="20"/>
          <w:szCs w:val="20"/>
        </w:rPr>
        <w:t>:</w:t>
      </w:r>
    </w:p>
    <w:p w14:paraId="288BFF6E" w14:textId="382E7B64" w:rsidR="00E8105D" w:rsidRPr="0056798F" w:rsidRDefault="00F93E13" w:rsidP="005C3FE1">
      <w:pPr>
        <w:pStyle w:val="paragraph"/>
        <w:numPr>
          <w:ilvl w:val="0"/>
          <w:numId w:val="15"/>
        </w:numPr>
        <w:suppressLineNumbers/>
        <w:spacing w:before="0" w:beforeAutospacing="0" w:after="120" w:afterAutospacing="0"/>
        <w:ind w:left="1247" w:firstLine="0"/>
        <w:rPr>
          <w:u w:val="single"/>
        </w:rPr>
      </w:pPr>
      <w:r w:rsidRPr="0056798F">
        <w:rPr>
          <w:sz w:val="20"/>
          <w:szCs w:val="20"/>
          <w:u w:val="single"/>
        </w:rPr>
        <w:t>La Conférence des Parties, au paragraphe</w:t>
      </w:r>
      <w:r w:rsidR="00B71B3F" w:rsidRPr="0056798F">
        <w:rPr>
          <w:sz w:val="20"/>
          <w:szCs w:val="20"/>
          <w:u w:val="single"/>
        </w:rPr>
        <w:t> </w:t>
      </w:r>
      <w:r w:rsidRPr="0056798F">
        <w:rPr>
          <w:sz w:val="20"/>
          <w:szCs w:val="20"/>
          <w:u w:val="single"/>
        </w:rPr>
        <w:t>3 de sa décision</w:t>
      </w:r>
      <w:r w:rsidR="00B71B3F" w:rsidRPr="0056798F">
        <w:rPr>
          <w:sz w:val="20"/>
          <w:szCs w:val="20"/>
          <w:u w:val="single"/>
        </w:rPr>
        <w:t> </w:t>
      </w:r>
      <w:r w:rsidRPr="0056798F">
        <w:rPr>
          <w:sz w:val="20"/>
          <w:szCs w:val="20"/>
          <w:u w:val="single"/>
        </w:rPr>
        <w:t>MC-4/8, a prié les Parties de poursuivre les efforts en cours pour s</w:t>
      </w:r>
      <w:r w:rsidR="00EA4125" w:rsidRPr="0056798F">
        <w:rPr>
          <w:sz w:val="20"/>
          <w:szCs w:val="20"/>
          <w:u w:val="single"/>
        </w:rPr>
        <w:t>’</w:t>
      </w:r>
      <w:r w:rsidRPr="0056798F">
        <w:rPr>
          <w:sz w:val="20"/>
          <w:szCs w:val="20"/>
          <w:u w:val="single"/>
        </w:rPr>
        <w:t>efforcer de recenser les différents stocks et sources de mercure, conformément au paragraphe</w:t>
      </w:r>
      <w:r w:rsidR="003E67FD" w:rsidRPr="0056798F">
        <w:rPr>
          <w:sz w:val="20"/>
          <w:szCs w:val="20"/>
          <w:u w:val="single"/>
        </w:rPr>
        <w:t> </w:t>
      </w:r>
      <w:r w:rsidRPr="0056798F">
        <w:rPr>
          <w:sz w:val="20"/>
          <w:szCs w:val="20"/>
          <w:u w:val="single"/>
        </w:rPr>
        <w:t>5 de l</w:t>
      </w:r>
      <w:r w:rsidR="00EA4125" w:rsidRPr="0056798F">
        <w:rPr>
          <w:sz w:val="20"/>
          <w:szCs w:val="20"/>
          <w:u w:val="single"/>
        </w:rPr>
        <w:t>’</w:t>
      </w:r>
      <w:r w:rsidRPr="0056798F">
        <w:rPr>
          <w:sz w:val="20"/>
          <w:szCs w:val="20"/>
          <w:u w:val="single"/>
        </w:rPr>
        <w:t>article</w:t>
      </w:r>
      <w:r w:rsidR="003E67FD" w:rsidRPr="0056798F">
        <w:rPr>
          <w:sz w:val="20"/>
          <w:szCs w:val="20"/>
          <w:u w:val="single"/>
        </w:rPr>
        <w:t> </w:t>
      </w:r>
      <w:r w:rsidRPr="0056798F">
        <w:rPr>
          <w:sz w:val="20"/>
          <w:szCs w:val="20"/>
          <w:u w:val="single"/>
        </w:rPr>
        <w:t>3 de la Convention</w:t>
      </w:r>
      <w:r w:rsidRPr="0056798F">
        <w:rPr>
          <w:sz w:val="20"/>
          <w:szCs w:val="20"/>
        </w:rPr>
        <w:t>.</w:t>
      </w:r>
    </w:p>
    <w:p w14:paraId="1DD2DD01" w14:textId="0F3BFDF1" w:rsidR="00E8105D" w:rsidRPr="0056798F" w:rsidRDefault="00184211" w:rsidP="005C3FE1">
      <w:pPr>
        <w:pStyle w:val="paragraph"/>
        <w:numPr>
          <w:ilvl w:val="0"/>
          <w:numId w:val="15"/>
        </w:numPr>
        <w:spacing w:before="0" w:beforeAutospacing="0" w:after="120" w:afterAutospacing="0"/>
        <w:ind w:left="1247" w:firstLine="0"/>
        <w:rPr>
          <w:u w:val="single"/>
        </w:rPr>
      </w:pPr>
      <w:r w:rsidRPr="0056798F">
        <w:rPr>
          <w:sz w:val="20"/>
          <w:szCs w:val="20"/>
          <w:u w:val="single"/>
        </w:rPr>
        <w:t>À l</w:t>
      </w:r>
      <w:r w:rsidR="00EA4125" w:rsidRPr="0056798F">
        <w:rPr>
          <w:sz w:val="20"/>
          <w:szCs w:val="20"/>
          <w:u w:val="single"/>
        </w:rPr>
        <w:t>’</w:t>
      </w:r>
      <w:r w:rsidRPr="0056798F">
        <w:rPr>
          <w:sz w:val="20"/>
          <w:szCs w:val="20"/>
          <w:u w:val="single"/>
        </w:rPr>
        <w:t>alinéa a) d</w:t>
      </w:r>
      <w:r w:rsidR="00F93E13" w:rsidRPr="0056798F">
        <w:rPr>
          <w:sz w:val="20"/>
          <w:szCs w:val="20"/>
          <w:u w:val="single"/>
        </w:rPr>
        <w:t>u paragraphe</w:t>
      </w:r>
      <w:r w:rsidR="003E67FD" w:rsidRPr="0056798F">
        <w:rPr>
          <w:sz w:val="20"/>
          <w:szCs w:val="20"/>
          <w:u w:val="single"/>
        </w:rPr>
        <w:t> </w:t>
      </w:r>
      <w:r w:rsidR="00F93E13" w:rsidRPr="0056798F">
        <w:rPr>
          <w:sz w:val="20"/>
          <w:szCs w:val="20"/>
          <w:u w:val="single"/>
        </w:rPr>
        <w:t xml:space="preserve">5 de </w:t>
      </w:r>
      <w:r w:rsidR="00E3245E" w:rsidRPr="0056798F">
        <w:rPr>
          <w:sz w:val="20"/>
          <w:szCs w:val="20"/>
          <w:u w:val="single"/>
        </w:rPr>
        <w:t>s</w:t>
      </w:r>
      <w:r w:rsidR="00F93E13" w:rsidRPr="0056798F">
        <w:rPr>
          <w:sz w:val="20"/>
          <w:szCs w:val="20"/>
          <w:u w:val="single"/>
        </w:rPr>
        <w:t>a décision</w:t>
      </w:r>
      <w:r w:rsidR="003E67FD" w:rsidRPr="0056798F">
        <w:rPr>
          <w:sz w:val="20"/>
          <w:szCs w:val="20"/>
          <w:u w:val="single"/>
        </w:rPr>
        <w:t> </w:t>
      </w:r>
      <w:r w:rsidR="00F93E13" w:rsidRPr="0056798F">
        <w:rPr>
          <w:sz w:val="20"/>
          <w:szCs w:val="20"/>
          <w:u w:val="single"/>
        </w:rPr>
        <w:t>MC-5/2, la Conférence des Parties a prié le secrétariat d</w:t>
      </w:r>
      <w:r w:rsidR="00EA4125" w:rsidRPr="0056798F">
        <w:rPr>
          <w:sz w:val="20"/>
          <w:szCs w:val="20"/>
          <w:u w:val="single"/>
        </w:rPr>
        <w:t>’</w:t>
      </w:r>
      <w:r w:rsidR="00F93E13" w:rsidRPr="0056798F">
        <w:rPr>
          <w:sz w:val="20"/>
          <w:szCs w:val="20"/>
          <w:u w:val="single"/>
        </w:rPr>
        <w:t>établir une version mise à jour des actuelles orientations relatives aux stocks adoptées dans la décision</w:t>
      </w:r>
      <w:r w:rsidR="003E67FD" w:rsidRPr="0056798F">
        <w:rPr>
          <w:sz w:val="20"/>
          <w:szCs w:val="20"/>
          <w:u w:val="single"/>
        </w:rPr>
        <w:t> </w:t>
      </w:r>
      <w:r w:rsidR="00F93E13" w:rsidRPr="0056798F">
        <w:rPr>
          <w:sz w:val="20"/>
          <w:szCs w:val="20"/>
          <w:u w:val="single"/>
        </w:rPr>
        <w:t>MC-1/2 afin d</w:t>
      </w:r>
      <w:r w:rsidR="00EA4125" w:rsidRPr="0056798F">
        <w:rPr>
          <w:sz w:val="20"/>
          <w:szCs w:val="20"/>
          <w:u w:val="single"/>
        </w:rPr>
        <w:t>’</w:t>
      </w:r>
      <w:r w:rsidR="00F93E13" w:rsidRPr="0056798F">
        <w:rPr>
          <w:sz w:val="20"/>
          <w:szCs w:val="20"/>
          <w:u w:val="single"/>
        </w:rPr>
        <w:t>y inclure les types de mesures qui pourraient être prises pour s</w:t>
      </w:r>
      <w:r w:rsidR="00EA4125" w:rsidRPr="0056798F">
        <w:rPr>
          <w:sz w:val="20"/>
          <w:szCs w:val="20"/>
          <w:u w:val="single"/>
        </w:rPr>
        <w:t>’</w:t>
      </w:r>
      <w:r w:rsidR="00F93E13" w:rsidRPr="0056798F">
        <w:rPr>
          <w:sz w:val="20"/>
          <w:szCs w:val="20"/>
          <w:u w:val="single"/>
        </w:rPr>
        <w:t>acquitter de l</w:t>
      </w:r>
      <w:r w:rsidR="00EA4125" w:rsidRPr="0056798F">
        <w:rPr>
          <w:sz w:val="20"/>
          <w:szCs w:val="20"/>
          <w:u w:val="single"/>
        </w:rPr>
        <w:t>’</w:t>
      </w:r>
      <w:r w:rsidR="00F93E13" w:rsidRPr="0056798F">
        <w:rPr>
          <w:sz w:val="20"/>
          <w:szCs w:val="20"/>
          <w:u w:val="single"/>
        </w:rPr>
        <w:t>obligation de s</w:t>
      </w:r>
      <w:r w:rsidR="00EA4125" w:rsidRPr="0056798F">
        <w:rPr>
          <w:sz w:val="20"/>
          <w:szCs w:val="20"/>
          <w:u w:val="single"/>
        </w:rPr>
        <w:t>’</w:t>
      </w:r>
      <w:r w:rsidR="00F93E13" w:rsidRPr="0056798F">
        <w:rPr>
          <w:sz w:val="20"/>
          <w:szCs w:val="20"/>
          <w:u w:val="single"/>
        </w:rPr>
        <w:t>efforcer de manière continue de recenser les stocks et sources, conformément à l</w:t>
      </w:r>
      <w:r w:rsidR="00EA4125" w:rsidRPr="0056798F">
        <w:rPr>
          <w:sz w:val="20"/>
          <w:szCs w:val="20"/>
          <w:u w:val="single"/>
        </w:rPr>
        <w:t>’</w:t>
      </w:r>
      <w:r w:rsidR="00F93E13" w:rsidRPr="0056798F">
        <w:rPr>
          <w:sz w:val="20"/>
          <w:szCs w:val="20"/>
          <w:u w:val="single"/>
        </w:rPr>
        <w:t>alinéa a) du paragraphe</w:t>
      </w:r>
      <w:r w:rsidR="003E67FD" w:rsidRPr="0056798F">
        <w:rPr>
          <w:sz w:val="20"/>
          <w:szCs w:val="20"/>
          <w:u w:val="single"/>
        </w:rPr>
        <w:t> </w:t>
      </w:r>
      <w:r w:rsidR="00F93E13" w:rsidRPr="0056798F">
        <w:rPr>
          <w:sz w:val="20"/>
          <w:szCs w:val="20"/>
          <w:u w:val="single"/>
        </w:rPr>
        <w:t>5 de l</w:t>
      </w:r>
      <w:r w:rsidR="00EA4125" w:rsidRPr="0056798F">
        <w:rPr>
          <w:sz w:val="20"/>
          <w:szCs w:val="20"/>
          <w:u w:val="single"/>
        </w:rPr>
        <w:t>’</w:t>
      </w:r>
      <w:r w:rsidR="00F93E13" w:rsidRPr="0056798F">
        <w:rPr>
          <w:sz w:val="20"/>
          <w:szCs w:val="20"/>
          <w:u w:val="single"/>
        </w:rPr>
        <w:t>article</w:t>
      </w:r>
      <w:r w:rsidR="003E67FD" w:rsidRPr="0056798F">
        <w:rPr>
          <w:sz w:val="20"/>
          <w:szCs w:val="20"/>
          <w:u w:val="single"/>
        </w:rPr>
        <w:t> </w:t>
      </w:r>
      <w:r w:rsidR="00F93E13" w:rsidRPr="0056798F">
        <w:rPr>
          <w:sz w:val="20"/>
          <w:szCs w:val="20"/>
          <w:u w:val="single"/>
        </w:rPr>
        <w:t>3 de la Convention</w:t>
      </w:r>
      <w:r w:rsidR="00E8105D" w:rsidRPr="0056798F">
        <w:rPr>
          <w:sz w:val="20"/>
          <w:szCs w:val="20"/>
        </w:rPr>
        <w:t>.</w:t>
      </w:r>
    </w:p>
    <w:p w14:paraId="3AB7279C" w14:textId="1CE6B799" w:rsidR="00184211" w:rsidRPr="0056798F" w:rsidRDefault="00184211" w:rsidP="00585DBD">
      <w:pPr>
        <w:spacing w:before="360" w:after="120"/>
        <w:ind w:left="1247"/>
      </w:pPr>
      <w:r w:rsidRPr="0056798F">
        <w:rPr>
          <w:rStyle w:val="normaltextrun"/>
          <w:rFonts w:eastAsiaTheme="majorEastAsia"/>
        </w:rPr>
        <w:t>Il est proposé d</w:t>
      </w:r>
      <w:r w:rsidR="00EA4125" w:rsidRPr="0056798F">
        <w:rPr>
          <w:rStyle w:val="normaltextrun"/>
          <w:rFonts w:eastAsiaTheme="majorEastAsia"/>
        </w:rPr>
        <w:t>’</w:t>
      </w:r>
      <w:r w:rsidRPr="0056798F">
        <w:rPr>
          <w:rStyle w:val="normaltextrun"/>
          <w:rFonts w:eastAsiaTheme="majorEastAsia"/>
        </w:rPr>
        <w:t>ajouter</w:t>
      </w:r>
      <w:r w:rsidRPr="0056798F">
        <w:t xml:space="preserve"> la</w:t>
      </w:r>
      <w:r w:rsidR="00F5303F" w:rsidRPr="0056798F">
        <w:t xml:space="preserve"> section </w:t>
      </w:r>
      <w:r w:rsidRPr="0056798F">
        <w:t>ci-après à la suite du paragraphe 16 </w:t>
      </w:r>
      <w:r w:rsidR="00F5303F" w:rsidRPr="0056798F">
        <w:t xml:space="preserve">: </w:t>
      </w:r>
    </w:p>
    <w:p w14:paraId="5410C965" w14:textId="0CEB7435" w:rsidR="00E8105D" w:rsidRPr="0056798F" w:rsidRDefault="00F5303F" w:rsidP="00F5303F">
      <w:pPr>
        <w:spacing w:after="120"/>
        <w:ind w:left="1247"/>
        <w:rPr>
          <w:u w:val="single"/>
        </w:rPr>
      </w:pPr>
      <w:r w:rsidRPr="0056798F">
        <w:rPr>
          <w:b/>
          <w:bCs/>
          <w:u w:val="single"/>
        </w:rPr>
        <w:t>Mesures pour remplir l</w:t>
      </w:r>
      <w:r w:rsidR="00EA4125" w:rsidRPr="0056798F">
        <w:rPr>
          <w:b/>
          <w:bCs/>
          <w:u w:val="single"/>
        </w:rPr>
        <w:t>’</w:t>
      </w:r>
      <w:r w:rsidRPr="0056798F">
        <w:rPr>
          <w:b/>
          <w:bCs/>
          <w:u w:val="single"/>
        </w:rPr>
        <w:t>obligation permanente de recenser les stocks individuels de mercure ou</w:t>
      </w:r>
      <w:r w:rsidR="000C6191" w:rsidRPr="0056798F">
        <w:rPr>
          <w:b/>
          <w:bCs/>
          <w:u w:val="single"/>
        </w:rPr>
        <w:t> </w:t>
      </w:r>
      <w:r w:rsidRPr="0056798F">
        <w:rPr>
          <w:b/>
          <w:bCs/>
          <w:u w:val="single"/>
        </w:rPr>
        <w:t>composés du mercure de plus de 50 tonnes métriques ainsi que les sources d</w:t>
      </w:r>
      <w:r w:rsidR="00EA4125" w:rsidRPr="0056798F">
        <w:rPr>
          <w:b/>
          <w:bCs/>
          <w:u w:val="single"/>
        </w:rPr>
        <w:t>’</w:t>
      </w:r>
      <w:r w:rsidRPr="0056798F">
        <w:rPr>
          <w:b/>
          <w:bCs/>
          <w:u w:val="single"/>
        </w:rPr>
        <w:t>approvisionnement en mercure produisant des stocks de plus de 10</w:t>
      </w:r>
      <w:r w:rsidR="000C6191" w:rsidRPr="0056798F">
        <w:rPr>
          <w:b/>
          <w:bCs/>
          <w:u w:val="single"/>
        </w:rPr>
        <w:t> </w:t>
      </w:r>
      <w:r w:rsidRPr="0056798F">
        <w:rPr>
          <w:b/>
          <w:bCs/>
          <w:u w:val="single"/>
        </w:rPr>
        <w:t>tonnes métriques par an</w:t>
      </w:r>
    </w:p>
    <w:p w14:paraId="230B0461" w14:textId="3294212A" w:rsidR="00E8105D" w:rsidRPr="0056798F" w:rsidRDefault="00F5303F" w:rsidP="005C3FE1">
      <w:pPr>
        <w:pStyle w:val="paragraph"/>
        <w:numPr>
          <w:ilvl w:val="0"/>
          <w:numId w:val="16"/>
        </w:numPr>
        <w:spacing w:before="0" w:beforeAutospacing="0" w:after="120" w:afterAutospacing="0" w:line="276" w:lineRule="auto"/>
        <w:ind w:left="1247" w:firstLine="0"/>
        <w:textAlignment w:val="baseline"/>
        <w:rPr>
          <w:sz w:val="20"/>
          <w:szCs w:val="20"/>
        </w:rPr>
      </w:pPr>
      <w:r w:rsidRPr="0056798F">
        <w:rPr>
          <w:sz w:val="20"/>
          <w:szCs w:val="20"/>
          <w:u w:val="single"/>
        </w:rPr>
        <w:t xml:space="preserve">Les types </w:t>
      </w:r>
      <w:r w:rsidR="00555B38" w:rsidRPr="0056798F">
        <w:rPr>
          <w:sz w:val="20"/>
          <w:szCs w:val="20"/>
          <w:u w:val="single"/>
        </w:rPr>
        <w:t xml:space="preserve">de mesures </w:t>
      </w:r>
      <w:r w:rsidRPr="0056798F">
        <w:rPr>
          <w:sz w:val="20"/>
          <w:szCs w:val="20"/>
          <w:u w:val="single"/>
        </w:rPr>
        <w:t>qui peuvent être prises pour remplir l</w:t>
      </w:r>
      <w:r w:rsidR="00EA4125" w:rsidRPr="0056798F">
        <w:rPr>
          <w:sz w:val="20"/>
          <w:szCs w:val="20"/>
          <w:u w:val="single"/>
        </w:rPr>
        <w:t>’</w:t>
      </w:r>
      <w:r w:rsidRPr="0056798F">
        <w:rPr>
          <w:sz w:val="20"/>
          <w:szCs w:val="20"/>
          <w:u w:val="single"/>
        </w:rPr>
        <w:t xml:space="preserve">obligation permanente de recenser les stocks et les sources de mercure une fois les premières mesures prises </w:t>
      </w:r>
      <w:r w:rsidR="00555B38" w:rsidRPr="0056798F">
        <w:rPr>
          <w:sz w:val="20"/>
          <w:szCs w:val="20"/>
          <w:u w:val="single"/>
        </w:rPr>
        <w:t>sont</w:t>
      </w:r>
      <w:r w:rsidRPr="0056798F">
        <w:rPr>
          <w:sz w:val="20"/>
          <w:szCs w:val="20"/>
          <w:u w:val="single"/>
        </w:rPr>
        <w:t xml:space="preserve"> les suivants</w:t>
      </w:r>
      <w:r w:rsidRPr="0056798F">
        <w:rPr>
          <w:sz w:val="20"/>
          <w:szCs w:val="20"/>
        </w:rPr>
        <w:t> </w:t>
      </w:r>
      <w:r w:rsidR="00E8105D" w:rsidRPr="0056798F">
        <w:rPr>
          <w:rStyle w:val="normaltextrun"/>
          <w:rFonts w:eastAsiaTheme="majorEastAsia"/>
          <w:sz w:val="20"/>
          <w:szCs w:val="20"/>
        </w:rPr>
        <w:t>:</w:t>
      </w:r>
    </w:p>
    <w:p w14:paraId="78B3CB29" w14:textId="0824A177" w:rsidR="00E8105D" w:rsidRPr="0056798F" w:rsidRDefault="005940B1" w:rsidP="005165FB">
      <w:pPr>
        <w:pStyle w:val="Normalnumber"/>
        <w:numPr>
          <w:ilvl w:val="0"/>
          <w:numId w:val="17"/>
        </w:numPr>
        <w:ind w:left="1247" w:firstLine="624"/>
        <w:rPr>
          <w:u w:val="single"/>
        </w:rPr>
      </w:pPr>
      <w:r w:rsidRPr="0056798F">
        <w:rPr>
          <w:u w:val="single"/>
        </w:rPr>
        <w:t>Identification</w:t>
      </w:r>
      <w:r w:rsidR="00F5303F" w:rsidRPr="0056798F">
        <w:rPr>
          <w:u w:val="single"/>
        </w:rPr>
        <w:t xml:space="preserve"> et quantification des sources dans les réglementations nationales relatives aux substances dangereuses ou les plans de mise en œuvre prévus par l</w:t>
      </w:r>
      <w:r w:rsidR="00EA4125" w:rsidRPr="0056798F">
        <w:rPr>
          <w:u w:val="single"/>
        </w:rPr>
        <w:t>’</w:t>
      </w:r>
      <w:r w:rsidR="00F5303F" w:rsidRPr="0056798F">
        <w:rPr>
          <w:u w:val="single"/>
        </w:rPr>
        <w:t>article</w:t>
      </w:r>
      <w:r w:rsidR="004A1E3F" w:rsidRPr="0056798F">
        <w:rPr>
          <w:u w:val="single"/>
        </w:rPr>
        <w:t> </w:t>
      </w:r>
      <w:r w:rsidR="00F5303F" w:rsidRPr="0056798F">
        <w:rPr>
          <w:u w:val="single"/>
        </w:rPr>
        <w:t xml:space="preserve">20 de la </w:t>
      </w:r>
      <w:r w:rsidR="00EA7198" w:rsidRPr="0056798F">
        <w:rPr>
          <w:u w:val="single"/>
        </w:rPr>
        <w:t>C</w:t>
      </w:r>
      <w:r w:rsidR="00F5303F" w:rsidRPr="0056798F">
        <w:rPr>
          <w:u w:val="single"/>
        </w:rPr>
        <w:t>onvention</w:t>
      </w:r>
      <w:r w:rsidR="00F5303F" w:rsidRPr="0056798F">
        <w:t> </w:t>
      </w:r>
      <w:r w:rsidR="00E8105D" w:rsidRPr="0056798F">
        <w:t xml:space="preserve">; </w:t>
      </w:r>
    </w:p>
    <w:p w14:paraId="2485E081" w14:textId="60E346E9" w:rsidR="00E8105D" w:rsidRPr="0056798F" w:rsidRDefault="00F5303F" w:rsidP="005165FB">
      <w:pPr>
        <w:pStyle w:val="Normalnumber"/>
        <w:numPr>
          <w:ilvl w:val="0"/>
          <w:numId w:val="17"/>
        </w:numPr>
        <w:ind w:left="1247" w:firstLine="624"/>
      </w:pPr>
      <w:r w:rsidRPr="0056798F">
        <w:rPr>
          <w:u w:val="single"/>
        </w:rPr>
        <w:t>Mise à jour ou maintien des inventaires réalisés dans le cadre des évaluations initiales prévues par la Convention de</w:t>
      </w:r>
      <w:r w:rsidR="004A1E3F" w:rsidRPr="0056798F">
        <w:rPr>
          <w:u w:val="single"/>
        </w:rPr>
        <w:t> </w:t>
      </w:r>
      <w:r w:rsidRPr="0056798F">
        <w:rPr>
          <w:u w:val="single"/>
        </w:rPr>
        <w:t>Minamata</w:t>
      </w:r>
      <w:r w:rsidRPr="0056798F">
        <w:t> </w:t>
      </w:r>
      <w:r w:rsidR="00E8105D" w:rsidRPr="0056798F">
        <w:t>;</w:t>
      </w:r>
    </w:p>
    <w:p w14:paraId="3F026B09" w14:textId="3E4961AA" w:rsidR="00E8105D" w:rsidRPr="0056798F" w:rsidRDefault="00F5303F" w:rsidP="000739E4">
      <w:pPr>
        <w:pStyle w:val="Normalnumber"/>
        <w:numPr>
          <w:ilvl w:val="0"/>
          <w:numId w:val="17"/>
        </w:numPr>
        <w:ind w:left="1247" w:firstLine="624"/>
      </w:pPr>
      <w:r w:rsidRPr="0056798F">
        <w:rPr>
          <w:u w:val="single"/>
        </w:rPr>
        <w:t>Réalisation d</w:t>
      </w:r>
      <w:r w:rsidR="00EA4125" w:rsidRPr="0056798F">
        <w:rPr>
          <w:u w:val="single"/>
        </w:rPr>
        <w:t>’</w:t>
      </w:r>
      <w:r w:rsidRPr="0056798F">
        <w:rPr>
          <w:u w:val="single"/>
        </w:rPr>
        <w:t xml:space="preserve">études </w:t>
      </w:r>
      <w:r w:rsidR="00555B38" w:rsidRPr="0056798F">
        <w:rPr>
          <w:u w:val="single"/>
        </w:rPr>
        <w:t>spéciales relatives aux</w:t>
      </w:r>
      <w:r w:rsidRPr="0056798F">
        <w:rPr>
          <w:u w:val="single"/>
        </w:rPr>
        <w:t xml:space="preserve"> inventaires de mercure</w:t>
      </w:r>
      <w:r w:rsidRPr="0056798F">
        <w:t> </w:t>
      </w:r>
      <w:r w:rsidR="00E8105D" w:rsidRPr="0056798F">
        <w:t>;</w:t>
      </w:r>
    </w:p>
    <w:p w14:paraId="5AD11E9F" w14:textId="11764F3E" w:rsidR="00E8105D" w:rsidRPr="0056798F" w:rsidRDefault="00F5303F" w:rsidP="00DF5B1D">
      <w:pPr>
        <w:pStyle w:val="Normalnumber"/>
        <w:numPr>
          <w:ilvl w:val="0"/>
          <w:numId w:val="17"/>
        </w:numPr>
        <w:ind w:left="1247" w:firstLine="624"/>
      </w:pPr>
      <w:r w:rsidRPr="0056798F">
        <w:rPr>
          <w:u w:val="single"/>
        </w:rPr>
        <w:t>Vérification supplémentaire des informations relatives aux inventaires des stocks et des sources de mercure</w:t>
      </w:r>
      <w:r w:rsidR="00E8105D" w:rsidRPr="0056798F">
        <w:t xml:space="preserve">. </w:t>
      </w:r>
    </w:p>
    <w:p w14:paraId="23909840" w14:textId="19E9493F" w:rsidR="00E8105D" w:rsidRPr="0056798F" w:rsidRDefault="00EF178D" w:rsidP="005C3FE1">
      <w:pPr>
        <w:pStyle w:val="paragraph"/>
        <w:numPr>
          <w:ilvl w:val="0"/>
          <w:numId w:val="16"/>
        </w:numPr>
        <w:spacing w:before="0" w:beforeAutospacing="0" w:after="120" w:afterAutospacing="0" w:line="276" w:lineRule="auto"/>
        <w:ind w:left="1247" w:firstLine="0"/>
        <w:textAlignment w:val="baseline"/>
        <w:rPr>
          <w:rStyle w:val="normaltextrun"/>
          <w:rFonts w:eastAsiaTheme="majorEastAsia"/>
          <w:sz w:val="20"/>
          <w:szCs w:val="20"/>
          <w:u w:val="single"/>
        </w:rPr>
      </w:pPr>
      <w:r w:rsidRPr="0056798F">
        <w:rPr>
          <w:sz w:val="20"/>
          <w:szCs w:val="20"/>
          <w:u w:val="single"/>
        </w:rPr>
        <w:t xml:space="preserve">Les réglementations nationales relatives aux substances dangereuses peuvent contenir des dispositions qui </w:t>
      </w:r>
      <w:r w:rsidR="00974AD1" w:rsidRPr="0056798F">
        <w:rPr>
          <w:sz w:val="20"/>
          <w:szCs w:val="20"/>
          <w:u w:val="single"/>
        </w:rPr>
        <w:t>imposent une obligation permanente de r</w:t>
      </w:r>
      <w:r w:rsidRPr="0056798F">
        <w:rPr>
          <w:sz w:val="20"/>
          <w:szCs w:val="20"/>
          <w:u w:val="single"/>
        </w:rPr>
        <w:t>ecens</w:t>
      </w:r>
      <w:r w:rsidR="00974AD1" w:rsidRPr="0056798F">
        <w:rPr>
          <w:sz w:val="20"/>
          <w:szCs w:val="20"/>
          <w:u w:val="single"/>
        </w:rPr>
        <w:t>er</w:t>
      </w:r>
      <w:r w:rsidRPr="0056798F">
        <w:rPr>
          <w:sz w:val="20"/>
          <w:szCs w:val="20"/>
          <w:u w:val="single"/>
        </w:rPr>
        <w:t xml:space="preserve"> les stocks et les sources, ou qui ont trait à </w:t>
      </w:r>
      <w:r w:rsidR="00974AD1" w:rsidRPr="0056798F">
        <w:rPr>
          <w:sz w:val="20"/>
          <w:szCs w:val="20"/>
          <w:u w:val="single"/>
        </w:rPr>
        <w:t>cette obligation</w:t>
      </w:r>
      <w:r w:rsidRPr="0056798F">
        <w:rPr>
          <w:sz w:val="20"/>
          <w:szCs w:val="20"/>
          <w:u w:val="single"/>
        </w:rPr>
        <w:t xml:space="preserve">. </w:t>
      </w:r>
      <w:r w:rsidR="00974AD1" w:rsidRPr="0056798F">
        <w:rPr>
          <w:sz w:val="20"/>
          <w:szCs w:val="20"/>
          <w:u w:val="single"/>
        </w:rPr>
        <w:t>Des exemples en sont fournis ci-après</w:t>
      </w:r>
      <w:r w:rsidR="00974AD1" w:rsidRPr="0056798F">
        <w:rPr>
          <w:sz w:val="20"/>
          <w:szCs w:val="20"/>
        </w:rPr>
        <w:t> :</w:t>
      </w:r>
    </w:p>
    <w:p w14:paraId="7D2D8498" w14:textId="27EF73BF" w:rsidR="00026AF4" w:rsidRPr="0056798F" w:rsidRDefault="00667247" w:rsidP="009B4038">
      <w:pPr>
        <w:pStyle w:val="paragraph"/>
        <w:spacing w:before="0" w:beforeAutospacing="0" w:after="120" w:afterAutospacing="0" w:line="276" w:lineRule="auto"/>
        <w:ind w:left="1247" w:firstLine="624"/>
        <w:textAlignment w:val="baseline"/>
        <w:rPr>
          <w:rStyle w:val="normaltextrun"/>
          <w:rFonts w:eastAsiaTheme="majorEastAsia"/>
          <w:sz w:val="20"/>
          <w:szCs w:val="20"/>
          <w:u w:val="single"/>
        </w:rPr>
      </w:pPr>
      <w:r w:rsidRPr="0056798F">
        <w:rPr>
          <w:sz w:val="20"/>
          <w:szCs w:val="20"/>
        </w:rPr>
        <w:t>a)</w:t>
      </w:r>
      <w:r w:rsidRPr="0056798F">
        <w:rPr>
          <w:sz w:val="20"/>
          <w:szCs w:val="20"/>
        </w:rPr>
        <w:tab/>
      </w:r>
      <w:r w:rsidR="00EF178D" w:rsidRPr="0056798F">
        <w:rPr>
          <w:sz w:val="20"/>
          <w:szCs w:val="20"/>
          <w:u w:val="single"/>
        </w:rPr>
        <w:t xml:space="preserve">Les licences et permis environnementaux </w:t>
      </w:r>
      <w:r w:rsidR="00E84FC7" w:rsidRPr="0056798F">
        <w:rPr>
          <w:sz w:val="20"/>
          <w:szCs w:val="20"/>
          <w:u w:val="single"/>
        </w:rPr>
        <w:t xml:space="preserve">octroyés </w:t>
      </w:r>
      <w:r w:rsidR="00EF178D" w:rsidRPr="0056798F">
        <w:rPr>
          <w:sz w:val="20"/>
          <w:szCs w:val="20"/>
          <w:u w:val="single"/>
        </w:rPr>
        <w:t xml:space="preserve">dans le cadre des réglementations nationales relatives aux substances dangereuses ou les contrôles </w:t>
      </w:r>
      <w:r w:rsidR="00E84FC7" w:rsidRPr="0056798F">
        <w:rPr>
          <w:sz w:val="20"/>
          <w:szCs w:val="20"/>
          <w:u w:val="single"/>
        </w:rPr>
        <w:t>menés</w:t>
      </w:r>
      <w:r w:rsidR="00EF178D" w:rsidRPr="0056798F">
        <w:rPr>
          <w:sz w:val="20"/>
          <w:szCs w:val="20"/>
          <w:u w:val="single"/>
        </w:rPr>
        <w:t xml:space="preserve"> par les </w:t>
      </w:r>
      <w:r w:rsidR="003348A1" w:rsidRPr="0056798F">
        <w:rPr>
          <w:sz w:val="20"/>
          <w:szCs w:val="20"/>
          <w:u w:val="single"/>
        </w:rPr>
        <w:t>pouvoirs</w:t>
      </w:r>
      <w:r w:rsidR="00EF178D" w:rsidRPr="0056798F">
        <w:rPr>
          <w:sz w:val="20"/>
          <w:szCs w:val="20"/>
          <w:u w:val="single"/>
        </w:rPr>
        <w:t xml:space="preserve"> publics des États et des territoires peuvent comporter des dispositions qui contribuent directement </w:t>
      </w:r>
      <w:r w:rsidR="00E84FC7" w:rsidRPr="0056798F">
        <w:rPr>
          <w:sz w:val="20"/>
          <w:szCs w:val="20"/>
          <w:u w:val="single"/>
        </w:rPr>
        <w:t>à l</w:t>
      </w:r>
      <w:r w:rsidR="00EA4125" w:rsidRPr="0056798F">
        <w:rPr>
          <w:sz w:val="20"/>
          <w:szCs w:val="20"/>
          <w:u w:val="single"/>
        </w:rPr>
        <w:t>’</w:t>
      </w:r>
      <w:r w:rsidR="00E84FC7" w:rsidRPr="0056798F">
        <w:rPr>
          <w:sz w:val="20"/>
          <w:szCs w:val="20"/>
          <w:u w:val="single"/>
        </w:rPr>
        <w:t xml:space="preserve">établissement des </w:t>
      </w:r>
      <w:r w:rsidR="00EF178D" w:rsidRPr="0056798F">
        <w:rPr>
          <w:sz w:val="20"/>
          <w:szCs w:val="20"/>
          <w:u w:val="single"/>
        </w:rPr>
        <w:t xml:space="preserve">inventaires de mercure et au recensement des stocks et des sources de mercure. </w:t>
      </w:r>
      <w:r w:rsidR="00D32A58" w:rsidRPr="0056798F">
        <w:rPr>
          <w:sz w:val="20"/>
          <w:szCs w:val="20"/>
          <w:u w:val="single"/>
        </w:rPr>
        <w:t>De</w:t>
      </w:r>
      <w:r w:rsidR="00C87FB5" w:rsidRPr="0056798F">
        <w:rPr>
          <w:sz w:val="20"/>
          <w:szCs w:val="20"/>
          <w:u w:val="single"/>
        </w:rPr>
        <w:t> </w:t>
      </w:r>
      <w:r w:rsidR="00D32A58" w:rsidRPr="0056798F">
        <w:rPr>
          <w:sz w:val="20"/>
          <w:szCs w:val="20"/>
          <w:u w:val="single"/>
        </w:rPr>
        <w:t>tell</w:t>
      </w:r>
      <w:r w:rsidR="00EF178D" w:rsidRPr="0056798F">
        <w:rPr>
          <w:sz w:val="20"/>
          <w:szCs w:val="20"/>
          <w:u w:val="single"/>
        </w:rPr>
        <w:t xml:space="preserve">es dispositions, </w:t>
      </w:r>
      <w:r w:rsidR="00D32A58" w:rsidRPr="0056798F">
        <w:rPr>
          <w:sz w:val="20"/>
          <w:szCs w:val="20"/>
          <w:u w:val="single"/>
        </w:rPr>
        <w:t>comme</w:t>
      </w:r>
      <w:r w:rsidR="00EF178D" w:rsidRPr="0056798F">
        <w:rPr>
          <w:sz w:val="20"/>
          <w:szCs w:val="20"/>
          <w:u w:val="single"/>
        </w:rPr>
        <w:t xml:space="preserve"> les obligations de communication d</w:t>
      </w:r>
      <w:r w:rsidR="00EA4125" w:rsidRPr="0056798F">
        <w:rPr>
          <w:sz w:val="20"/>
          <w:szCs w:val="20"/>
          <w:u w:val="single"/>
        </w:rPr>
        <w:t>’</w:t>
      </w:r>
      <w:r w:rsidR="00EF178D" w:rsidRPr="0056798F">
        <w:rPr>
          <w:sz w:val="20"/>
          <w:szCs w:val="20"/>
          <w:u w:val="single"/>
        </w:rPr>
        <w:t xml:space="preserve">informations et les exigences en matière de surveillance, peuvent </w:t>
      </w:r>
      <w:r w:rsidR="00D32A58" w:rsidRPr="0056798F">
        <w:rPr>
          <w:sz w:val="20"/>
          <w:szCs w:val="20"/>
          <w:u w:val="single"/>
        </w:rPr>
        <w:t>permettre d</w:t>
      </w:r>
      <w:r w:rsidR="00EA4125" w:rsidRPr="0056798F">
        <w:rPr>
          <w:sz w:val="20"/>
          <w:szCs w:val="20"/>
          <w:u w:val="single"/>
        </w:rPr>
        <w:t>’</w:t>
      </w:r>
      <w:r w:rsidR="00D32A58" w:rsidRPr="0056798F">
        <w:rPr>
          <w:sz w:val="20"/>
          <w:szCs w:val="20"/>
          <w:u w:val="single"/>
        </w:rPr>
        <w:t xml:space="preserve">établir </w:t>
      </w:r>
      <w:r w:rsidR="00EF178D" w:rsidRPr="0056798F">
        <w:rPr>
          <w:sz w:val="20"/>
          <w:szCs w:val="20"/>
          <w:u w:val="single"/>
        </w:rPr>
        <w:t xml:space="preserve">un inventaire complet et </w:t>
      </w:r>
      <w:r w:rsidR="00D32A58" w:rsidRPr="0056798F">
        <w:rPr>
          <w:sz w:val="20"/>
          <w:szCs w:val="20"/>
          <w:u w:val="single"/>
        </w:rPr>
        <w:t>d</w:t>
      </w:r>
      <w:r w:rsidR="00EA4125" w:rsidRPr="0056798F">
        <w:rPr>
          <w:sz w:val="20"/>
          <w:szCs w:val="20"/>
          <w:u w:val="single"/>
        </w:rPr>
        <w:t>’</w:t>
      </w:r>
      <w:r w:rsidR="00D32A58" w:rsidRPr="0056798F">
        <w:rPr>
          <w:sz w:val="20"/>
          <w:szCs w:val="20"/>
          <w:u w:val="single"/>
        </w:rPr>
        <w:t xml:space="preserve">aider </w:t>
      </w:r>
      <w:r w:rsidR="00EF178D" w:rsidRPr="0056798F">
        <w:rPr>
          <w:sz w:val="20"/>
          <w:szCs w:val="20"/>
          <w:u w:val="single"/>
        </w:rPr>
        <w:t>au recensement des stocks de mercure et des sources d</w:t>
      </w:r>
      <w:r w:rsidR="00EA4125" w:rsidRPr="0056798F">
        <w:rPr>
          <w:sz w:val="20"/>
          <w:szCs w:val="20"/>
          <w:u w:val="single"/>
        </w:rPr>
        <w:t>’</w:t>
      </w:r>
      <w:r w:rsidR="00EF178D" w:rsidRPr="0056798F">
        <w:rPr>
          <w:sz w:val="20"/>
          <w:szCs w:val="20"/>
          <w:u w:val="single"/>
        </w:rPr>
        <w:t>approvisionnement</w:t>
      </w:r>
      <w:r w:rsidR="00E84FC7" w:rsidRPr="0056798F">
        <w:rPr>
          <w:sz w:val="20"/>
          <w:szCs w:val="20"/>
          <w:u w:val="single"/>
        </w:rPr>
        <w:t xml:space="preserve"> en mercure</w:t>
      </w:r>
      <w:r w:rsidR="00EF178D" w:rsidRPr="0056798F">
        <w:rPr>
          <w:sz w:val="20"/>
          <w:szCs w:val="20"/>
          <w:u w:val="single"/>
        </w:rPr>
        <w:t xml:space="preserve">. Par exemple, </w:t>
      </w:r>
      <w:r w:rsidR="00D32A58" w:rsidRPr="0056798F">
        <w:rPr>
          <w:sz w:val="20"/>
          <w:szCs w:val="20"/>
          <w:u w:val="single"/>
        </w:rPr>
        <w:t>en vertu de la législation d</w:t>
      </w:r>
      <w:r w:rsidR="00EA4125" w:rsidRPr="0056798F">
        <w:rPr>
          <w:sz w:val="20"/>
          <w:szCs w:val="20"/>
          <w:u w:val="single"/>
        </w:rPr>
        <w:t>’</w:t>
      </w:r>
      <w:r w:rsidR="00D32A58" w:rsidRPr="0056798F">
        <w:rPr>
          <w:sz w:val="20"/>
          <w:szCs w:val="20"/>
          <w:u w:val="single"/>
        </w:rPr>
        <w:t xml:space="preserve">une </w:t>
      </w:r>
      <w:r w:rsidR="00E84FC7" w:rsidRPr="0056798F">
        <w:rPr>
          <w:sz w:val="20"/>
          <w:szCs w:val="20"/>
          <w:u w:val="single"/>
        </w:rPr>
        <w:t>P</w:t>
      </w:r>
      <w:r w:rsidR="00D32A58" w:rsidRPr="0056798F">
        <w:rPr>
          <w:sz w:val="20"/>
          <w:szCs w:val="20"/>
          <w:u w:val="single"/>
        </w:rPr>
        <w:t xml:space="preserve">artie, </w:t>
      </w:r>
      <w:r w:rsidR="00EF178D" w:rsidRPr="0056798F">
        <w:rPr>
          <w:sz w:val="20"/>
          <w:szCs w:val="20"/>
          <w:u w:val="single"/>
        </w:rPr>
        <w:t xml:space="preserve">les fabricants qui stockent du mercure peuvent être tenus de rendre compte de leur gestion </w:t>
      </w:r>
      <w:r w:rsidR="00535F4C" w:rsidRPr="0056798F">
        <w:rPr>
          <w:sz w:val="20"/>
          <w:szCs w:val="20"/>
          <w:u w:val="single"/>
        </w:rPr>
        <w:t>de cette substance</w:t>
      </w:r>
      <w:r w:rsidR="00EF178D" w:rsidRPr="0056798F">
        <w:rPr>
          <w:sz w:val="20"/>
          <w:szCs w:val="20"/>
          <w:u w:val="single"/>
        </w:rPr>
        <w:t xml:space="preserve">. Lorsque les règles </w:t>
      </w:r>
      <w:r w:rsidR="004355C3" w:rsidRPr="0056798F">
        <w:rPr>
          <w:sz w:val="20"/>
          <w:szCs w:val="20"/>
          <w:u w:val="single"/>
        </w:rPr>
        <w:t>en matière de</w:t>
      </w:r>
      <w:r w:rsidR="00EF178D" w:rsidRPr="0056798F">
        <w:rPr>
          <w:sz w:val="20"/>
          <w:szCs w:val="20"/>
          <w:u w:val="single"/>
        </w:rPr>
        <w:t xml:space="preserve"> communication d</w:t>
      </w:r>
      <w:r w:rsidR="00EA4125" w:rsidRPr="0056798F">
        <w:rPr>
          <w:sz w:val="20"/>
          <w:szCs w:val="20"/>
          <w:u w:val="single"/>
        </w:rPr>
        <w:t>’</w:t>
      </w:r>
      <w:r w:rsidR="00EF178D" w:rsidRPr="0056798F">
        <w:rPr>
          <w:sz w:val="20"/>
          <w:szCs w:val="20"/>
          <w:u w:val="single"/>
        </w:rPr>
        <w:t xml:space="preserve">informations ou les systèmes nationaux </w:t>
      </w:r>
      <w:r w:rsidR="00535F4C" w:rsidRPr="0056798F">
        <w:rPr>
          <w:sz w:val="20"/>
          <w:szCs w:val="20"/>
          <w:u w:val="single"/>
        </w:rPr>
        <w:t>d</w:t>
      </w:r>
      <w:r w:rsidR="00EA4125" w:rsidRPr="0056798F">
        <w:rPr>
          <w:sz w:val="20"/>
          <w:szCs w:val="20"/>
          <w:u w:val="single"/>
        </w:rPr>
        <w:t>’</w:t>
      </w:r>
      <w:r w:rsidR="00535F4C" w:rsidRPr="0056798F">
        <w:rPr>
          <w:sz w:val="20"/>
          <w:szCs w:val="20"/>
          <w:u w:val="single"/>
        </w:rPr>
        <w:t xml:space="preserve">octroi de licences environnementales </w:t>
      </w:r>
      <w:r w:rsidR="00EF178D" w:rsidRPr="0056798F">
        <w:rPr>
          <w:sz w:val="20"/>
          <w:szCs w:val="20"/>
          <w:u w:val="single"/>
        </w:rPr>
        <w:t xml:space="preserve">sont inadaptés ou insuffisants, les </w:t>
      </w:r>
      <w:r w:rsidR="00535F4C" w:rsidRPr="0056798F">
        <w:rPr>
          <w:sz w:val="20"/>
          <w:szCs w:val="20"/>
          <w:u w:val="single"/>
        </w:rPr>
        <w:t>P</w:t>
      </w:r>
      <w:r w:rsidR="00EF178D" w:rsidRPr="0056798F">
        <w:rPr>
          <w:sz w:val="20"/>
          <w:szCs w:val="20"/>
          <w:u w:val="single"/>
        </w:rPr>
        <w:t>arties peuvent envisager d</w:t>
      </w:r>
      <w:r w:rsidR="00EA4125" w:rsidRPr="0056798F">
        <w:rPr>
          <w:sz w:val="20"/>
          <w:szCs w:val="20"/>
          <w:u w:val="single"/>
        </w:rPr>
        <w:t>’</w:t>
      </w:r>
      <w:r w:rsidR="00EF178D" w:rsidRPr="0056798F">
        <w:rPr>
          <w:sz w:val="20"/>
          <w:szCs w:val="20"/>
          <w:u w:val="single"/>
        </w:rPr>
        <w:t xml:space="preserve">incorporer des données provisoires sur le mercure dans les systèmes </w:t>
      </w:r>
      <w:r w:rsidR="00D32A58" w:rsidRPr="0056798F">
        <w:rPr>
          <w:sz w:val="20"/>
          <w:szCs w:val="20"/>
          <w:u w:val="single"/>
        </w:rPr>
        <w:t>existants</w:t>
      </w:r>
      <w:r w:rsidR="00EF178D" w:rsidRPr="0056798F">
        <w:rPr>
          <w:sz w:val="20"/>
          <w:szCs w:val="20"/>
          <w:u w:val="single"/>
        </w:rPr>
        <w:t xml:space="preserve">. </w:t>
      </w:r>
      <w:r w:rsidR="004355C3" w:rsidRPr="0056798F">
        <w:rPr>
          <w:sz w:val="20"/>
          <w:szCs w:val="20"/>
          <w:u w:val="single"/>
        </w:rPr>
        <w:t>Les informations ainsi communiquées</w:t>
      </w:r>
      <w:r w:rsidR="00EF178D" w:rsidRPr="0056798F">
        <w:rPr>
          <w:sz w:val="20"/>
          <w:szCs w:val="20"/>
          <w:u w:val="single"/>
        </w:rPr>
        <w:t xml:space="preserve"> peuvent révéler </w:t>
      </w:r>
      <w:r w:rsidR="004355C3" w:rsidRPr="0056798F">
        <w:rPr>
          <w:sz w:val="20"/>
          <w:szCs w:val="20"/>
          <w:u w:val="single"/>
        </w:rPr>
        <w:t>d</w:t>
      </w:r>
      <w:r w:rsidR="00EF178D" w:rsidRPr="0056798F">
        <w:rPr>
          <w:sz w:val="20"/>
          <w:szCs w:val="20"/>
          <w:u w:val="single"/>
        </w:rPr>
        <w:t>es variations dans les stocks et constituer des sources de données utiles pour le recensement et le suivi des stocks et des sources de mercure</w:t>
      </w:r>
      <w:r w:rsidR="00E4464F" w:rsidRPr="0056798F">
        <w:rPr>
          <w:sz w:val="20"/>
          <w:szCs w:val="20"/>
        </w:rPr>
        <w:t> </w:t>
      </w:r>
      <w:r w:rsidR="00E4464F" w:rsidRPr="0056798F">
        <w:rPr>
          <w:rStyle w:val="normaltextrun"/>
          <w:rFonts w:eastAsiaTheme="majorEastAsia"/>
          <w:sz w:val="20"/>
          <w:szCs w:val="20"/>
        </w:rPr>
        <w:t>;</w:t>
      </w:r>
    </w:p>
    <w:p w14:paraId="5644C802" w14:textId="1837C3BC" w:rsidR="00E8105D" w:rsidRPr="0056798F" w:rsidRDefault="00B669F9" w:rsidP="00B669F9">
      <w:pPr>
        <w:pStyle w:val="paragraph"/>
        <w:spacing w:before="0" w:beforeAutospacing="0" w:after="120" w:afterAutospacing="0" w:line="276" w:lineRule="auto"/>
        <w:ind w:left="1247" w:firstLine="624"/>
        <w:textAlignment w:val="baseline"/>
        <w:rPr>
          <w:sz w:val="20"/>
          <w:szCs w:val="20"/>
          <w:u w:val="single"/>
        </w:rPr>
      </w:pPr>
      <w:r w:rsidRPr="0056798F">
        <w:rPr>
          <w:sz w:val="20"/>
          <w:szCs w:val="20"/>
        </w:rPr>
        <w:lastRenderedPageBreak/>
        <w:t>b)</w:t>
      </w:r>
      <w:r w:rsidRPr="0056798F">
        <w:rPr>
          <w:sz w:val="20"/>
          <w:szCs w:val="20"/>
        </w:rPr>
        <w:tab/>
      </w:r>
      <w:r w:rsidR="00DE20EE" w:rsidRPr="0056798F">
        <w:rPr>
          <w:sz w:val="20"/>
          <w:szCs w:val="20"/>
          <w:u w:val="single"/>
        </w:rPr>
        <w:t xml:space="preserve">Une règle imposant la communication </w:t>
      </w:r>
      <w:r w:rsidR="008863C1" w:rsidRPr="0056798F">
        <w:rPr>
          <w:sz w:val="20"/>
          <w:szCs w:val="20"/>
          <w:u w:val="single"/>
        </w:rPr>
        <w:t>d</w:t>
      </w:r>
      <w:r w:rsidR="00EA4125" w:rsidRPr="0056798F">
        <w:rPr>
          <w:sz w:val="20"/>
          <w:szCs w:val="20"/>
          <w:u w:val="single"/>
        </w:rPr>
        <w:t>’</w:t>
      </w:r>
      <w:r w:rsidR="008863C1" w:rsidRPr="0056798F">
        <w:rPr>
          <w:sz w:val="20"/>
          <w:szCs w:val="20"/>
          <w:u w:val="single"/>
        </w:rPr>
        <w:t>informations sur l</w:t>
      </w:r>
      <w:r w:rsidR="00DE20EE" w:rsidRPr="0056798F">
        <w:rPr>
          <w:sz w:val="20"/>
          <w:szCs w:val="20"/>
          <w:u w:val="single"/>
        </w:rPr>
        <w:t xml:space="preserve">es inventaires de mercure peut fixer des exigences </w:t>
      </w:r>
      <w:r w:rsidR="008863C1" w:rsidRPr="0056798F">
        <w:rPr>
          <w:sz w:val="20"/>
          <w:szCs w:val="20"/>
          <w:u w:val="single"/>
        </w:rPr>
        <w:t>au regard</w:t>
      </w:r>
      <w:r w:rsidR="00DE20EE" w:rsidRPr="0056798F">
        <w:rPr>
          <w:sz w:val="20"/>
          <w:szCs w:val="20"/>
          <w:u w:val="single"/>
        </w:rPr>
        <w:t xml:space="preserve"> des données sur lesquelles s</w:t>
      </w:r>
      <w:r w:rsidR="00EA4125" w:rsidRPr="0056798F">
        <w:rPr>
          <w:sz w:val="20"/>
          <w:szCs w:val="20"/>
          <w:u w:val="single"/>
        </w:rPr>
        <w:t>’</w:t>
      </w:r>
      <w:r w:rsidR="00DE20EE" w:rsidRPr="0056798F">
        <w:rPr>
          <w:sz w:val="20"/>
          <w:szCs w:val="20"/>
          <w:u w:val="single"/>
        </w:rPr>
        <w:t xml:space="preserve">appuyer pour </w:t>
      </w:r>
      <w:r w:rsidR="008863C1" w:rsidRPr="0056798F">
        <w:rPr>
          <w:sz w:val="20"/>
          <w:szCs w:val="20"/>
          <w:u w:val="single"/>
        </w:rPr>
        <w:t xml:space="preserve">établir </w:t>
      </w:r>
      <w:r w:rsidR="00DE20EE" w:rsidRPr="0056798F">
        <w:rPr>
          <w:sz w:val="20"/>
          <w:szCs w:val="20"/>
          <w:u w:val="single"/>
        </w:rPr>
        <w:t>les inventaires périodiques (inventaire initial, provisoire ou permanent). Il s</w:t>
      </w:r>
      <w:r w:rsidR="00EA4125" w:rsidRPr="0056798F">
        <w:rPr>
          <w:sz w:val="20"/>
          <w:szCs w:val="20"/>
          <w:u w:val="single"/>
        </w:rPr>
        <w:t>’</w:t>
      </w:r>
      <w:r w:rsidR="00DE20EE" w:rsidRPr="0056798F">
        <w:rPr>
          <w:sz w:val="20"/>
          <w:szCs w:val="20"/>
          <w:u w:val="single"/>
        </w:rPr>
        <w:t>agit généralement de communiquer des informations sur le mercure ou les composés du mercure fabriqués, importés, stockés, utilisés, vendus ou exportés, ainsi que sur les procédés de fabrication ou les produits dans lesquels du mercure ou des composés du mercure sont utilisés ou ajoutés intentionnellement</w:t>
      </w:r>
      <w:r w:rsidR="00D54C67" w:rsidRPr="0056798F">
        <w:rPr>
          <w:sz w:val="20"/>
          <w:szCs w:val="20"/>
        </w:rPr>
        <w:t> ;</w:t>
      </w:r>
      <w:r w:rsidR="00E8105D" w:rsidRPr="0056798F">
        <w:rPr>
          <w:sz w:val="20"/>
          <w:szCs w:val="20"/>
          <w:u w:val="single"/>
        </w:rPr>
        <w:t xml:space="preserve"> </w:t>
      </w:r>
    </w:p>
    <w:p w14:paraId="27B9DA42" w14:textId="135677B5" w:rsidR="00026AF4" w:rsidRPr="0056798F" w:rsidRDefault="00FE50F7" w:rsidP="00FE50F7">
      <w:pPr>
        <w:pStyle w:val="paragraph"/>
        <w:spacing w:before="0" w:beforeAutospacing="0" w:after="120" w:afterAutospacing="0" w:line="276" w:lineRule="auto"/>
        <w:ind w:left="1247" w:firstLine="624"/>
        <w:textAlignment w:val="baseline"/>
        <w:rPr>
          <w:sz w:val="20"/>
          <w:szCs w:val="20"/>
        </w:rPr>
      </w:pPr>
      <w:r w:rsidRPr="0056798F">
        <w:rPr>
          <w:sz w:val="20"/>
          <w:szCs w:val="20"/>
        </w:rPr>
        <w:t>c)</w:t>
      </w:r>
      <w:r w:rsidRPr="0056798F">
        <w:rPr>
          <w:sz w:val="20"/>
          <w:szCs w:val="20"/>
        </w:rPr>
        <w:tab/>
      </w:r>
      <w:r w:rsidR="00DE20EE" w:rsidRPr="0056798F">
        <w:rPr>
          <w:sz w:val="20"/>
          <w:szCs w:val="20"/>
          <w:u w:val="single"/>
        </w:rPr>
        <w:t>Les informations recueillies dans le cadre de consultations tenues pendant l</w:t>
      </w:r>
      <w:r w:rsidR="00EA4125" w:rsidRPr="0056798F">
        <w:rPr>
          <w:sz w:val="20"/>
          <w:szCs w:val="20"/>
          <w:u w:val="single"/>
        </w:rPr>
        <w:t>’</w:t>
      </w:r>
      <w:r w:rsidR="00DE20EE" w:rsidRPr="0056798F">
        <w:rPr>
          <w:sz w:val="20"/>
          <w:szCs w:val="20"/>
          <w:u w:val="single"/>
        </w:rPr>
        <w:t xml:space="preserve">élaboration ou la mise en œuvre de réglementations </w:t>
      </w:r>
      <w:r w:rsidR="00B3698F" w:rsidRPr="0056798F">
        <w:rPr>
          <w:sz w:val="20"/>
          <w:szCs w:val="20"/>
          <w:u w:val="single"/>
        </w:rPr>
        <w:t xml:space="preserve">au titre </w:t>
      </w:r>
      <w:r w:rsidR="00DE20EE" w:rsidRPr="0056798F">
        <w:rPr>
          <w:sz w:val="20"/>
          <w:szCs w:val="20"/>
          <w:u w:val="single"/>
        </w:rPr>
        <w:t>de la Convention peuvent permettre d</w:t>
      </w:r>
      <w:r w:rsidR="00EA4125" w:rsidRPr="0056798F">
        <w:rPr>
          <w:sz w:val="20"/>
          <w:szCs w:val="20"/>
          <w:u w:val="single"/>
        </w:rPr>
        <w:t>’</w:t>
      </w:r>
      <w:r w:rsidR="00DE20EE" w:rsidRPr="0056798F">
        <w:rPr>
          <w:sz w:val="20"/>
          <w:szCs w:val="20"/>
          <w:u w:val="single"/>
        </w:rPr>
        <w:t xml:space="preserve">obtenir des </w:t>
      </w:r>
      <w:r w:rsidR="006754C2" w:rsidRPr="0056798F">
        <w:rPr>
          <w:sz w:val="20"/>
          <w:szCs w:val="20"/>
          <w:u w:val="single"/>
        </w:rPr>
        <w:t xml:space="preserve">données </w:t>
      </w:r>
      <w:r w:rsidR="00DE20EE" w:rsidRPr="0056798F">
        <w:rPr>
          <w:sz w:val="20"/>
          <w:szCs w:val="20"/>
          <w:u w:val="single"/>
        </w:rPr>
        <w:t xml:space="preserve">sur les stocks et les sources de mercure. </w:t>
      </w:r>
      <w:r w:rsidR="006754C2" w:rsidRPr="0056798F">
        <w:rPr>
          <w:sz w:val="20"/>
          <w:szCs w:val="20"/>
          <w:u w:val="single"/>
        </w:rPr>
        <w:t xml:space="preserve">De telles </w:t>
      </w:r>
      <w:r w:rsidR="00DE20EE" w:rsidRPr="0056798F">
        <w:rPr>
          <w:sz w:val="20"/>
          <w:szCs w:val="20"/>
          <w:u w:val="single"/>
        </w:rPr>
        <w:t xml:space="preserve">consultations </w:t>
      </w:r>
      <w:r w:rsidR="006754C2" w:rsidRPr="0056798F">
        <w:rPr>
          <w:sz w:val="20"/>
          <w:szCs w:val="20"/>
          <w:u w:val="single"/>
        </w:rPr>
        <w:t xml:space="preserve">peuvent </w:t>
      </w:r>
      <w:r w:rsidR="00DE20EE" w:rsidRPr="0056798F">
        <w:rPr>
          <w:sz w:val="20"/>
          <w:szCs w:val="20"/>
          <w:u w:val="single"/>
        </w:rPr>
        <w:t>prendre différentes formes, telles que des dialogues avec les principales parties prenantes ou des questionnaires aux fins d</w:t>
      </w:r>
      <w:r w:rsidR="00EA4125" w:rsidRPr="0056798F">
        <w:rPr>
          <w:sz w:val="20"/>
          <w:szCs w:val="20"/>
          <w:u w:val="single"/>
        </w:rPr>
        <w:t>’</w:t>
      </w:r>
      <w:r w:rsidR="00DE20EE" w:rsidRPr="0056798F">
        <w:rPr>
          <w:sz w:val="20"/>
          <w:szCs w:val="20"/>
          <w:u w:val="single"/>
        </w:rPr>
        <w:t>une consultation publique</w:t>
      </w:r>
      <w:r w:rsidR="005844C4" w:rsidRPr="0056798F">
        <w:rPr>
          <w:sz w:val="20"/>
          <w:szCs w:val="20"/>
        </w:rPr>
        <w:t> ;</w:t>
      </w:r>
    </w:p>
    <w:p w14:paraId="1FF6CE2D" w14:textId="612DACDE" w:rsidR="00026AF4" w:rsidRPr="0056798F" w:rsidRDefault="00262591" w:rsidP="00262591">
      <w:pPr>
        <w:pStyle w:val="paragraph"/>
        <w:spacing w:before="0" w:beforeAutospacing="0" w:after="120" w:afterAutospacing="0" w:line="276" w:lineRule="auto"/>
        <w:ind w:left="1247" w:firstLine="624"/>
        <w:textAlignment w:val="baseline"/>
        <w:rPr>
          <w:sz w:val="20"/>
          <w:szCs w:val="20"/>
          <w:u w:val="single"/>
        </w:rPr>
      </w:pPr>
      <w:r w:rsidRPr="0056798F">
        <w:rPr>
          <w:sz w:val="20"/>
          <w:szCs w:val="20"/>
        </w:rPr>
        <w:t>d)</w:t>
      </w:r>
      <w:r w:rsidRPr="0056798F">
        <w:rPr>
          <w:sz w:val="20"/>
          <w:szCs w:val="20"/>
        </w:rPr>
        <w:tab/>
      </w:r>
      <w:r w:rsidR="00DE20EE" w:rsidRPr="0056798F">
        <w:rPr>
          <w:sz w:val="20"/>
          <w:szCs w:val="20"/>
          <w:u w:val="single"/>
        </w:rPr>
        <w:t>Dans le cadre d</w:t>
      </w:r>
      <w:r w:rsidR="00EA4125" w:rsidRPr="0056798F">
        <w:rPr>
          <w:sz w:val="20"/>
          <w:szCs w:val="20"/>
          <w:u w:val="single"/>
        </w:rPr>
        <w:t>’</w:t>
      </w:r>
      <w:r w:rsidR="00DE20EE" w:rsidRPr="0056798F">
        <w:rPr>
          <w:sz w:val="20"/>
          <w:szCs w:val="20"/>
          <w:u w:val="single"/>
        </w:rPr>
        <w:t>un plan de mise en œuvre tel que prévu par l</w:t>
      </w:r>
      <w:r w:rsidR="00EA4125" w:rsidRPr="0056798F">
        <w:rPr>
          <w:sz w:val="20"/>
          <w:szCs w:val="20"/>
          <w:u w:val="single"/>
        </w:rPr>
        <w:t>’</w:t>
      </w:r>
      <w:r w:rsidR="00DE20EE" w:rsidRPr="0056798F">
        <w:rPr>
          <w:sz w:val="20"/>
          <w:szCs w:val="20"/>
          <w:u w:val="single"/>
        </w:rPr>
        <w:t>article</w:t>
      </w:r>
      <w:r w:rsidR="004A1E3F" w:rsidRPr="0056798F">
        <w:rPr>
          <w:sz w:val="20"/>
          <w:szCs w:val="20"/>
          <w:u w:val="single"/>
        </w:rPr>
        <w:t> </w:t>
      </w:r>
      <w:r w:rsidR="00DE20EE" w:rsidRPr="0056798F">
        <w:rPr>
          <w:sz w:val="20"/>
          <w:szCs w:val="20"/>
          <w:u w:val="single"/>
        </w:rPr>
        <w:t>20 de la Convention, un inventaire du mercure peut être inclus</w:t>
      </w:r>
      <w:r w:rsidR="00206942" w:rsidRPr="0056798F">
        <w:rPr>
          <w:sz w:val="20"/>
          <w:szCs w:val="20"/>
          <w:u w:val="single"/>
        </w:rPr>
        <w:t xml:space="preserve">, qui </w:t>
      </w:r>
      <w:r w:rsidR="00F55155" w:rsidRPr="0056798F">
        <w:rPr>
          <w:sz w:val="20"/>
          <w:szCs w:val="20"/>
          <w:u w:val="single"/>
        </w:rPr>
        <w:t xml:space="preserve">peut </w:t>
      </w:r>
      <w:r w:rsidR="00206942" w:rsidRPr="0056798F">
        <w:rPr>
          <w:sz w:val="20"/>
          <w:szCs w:val="20"/>
          <w:u w:val="single"/>
        </w:rPr>
        <w:t>comprend</w:t>
      </w:r>
      <w:r w:rsidR="00B7664A" w:rsidRPr="0056798F">
        <w:rPr>
          <w:sz w:val="20"/>
          <w:szCs w:val="20"/>
          <w:u w:val="single"/>
        </w:rPr>
        <w:t>r</w:t>
      </w:r>
      <w:r w:rsidR="00F55155" w:rsidRPr="0056798F">
        <w:rPr>
          <w:sz w:val="20"/>
          <w:szCs w:val="20"/>
          <w:u w:val="single"/>
        </w:rPr>
        <w:t>e</w:t>
      </w:r>
      <w:r w:rsidR="00206942" w:rsidRPr="0056798F">
        <w:rPr>
          <w:sz w:val="20"/>
          <w:szCs w:val="20"/>
          <w:u w:val="single"/>
        </w:rPr>
        <w:t xml:space="preserve"> par exemple</w:t>
      </w:r>
      <w:r w:rsidR="00DE20EE" w:rsidRPr="0056798F">
        <w:rPr>
          <w:sz w:val="20"/>
          <w:szCs w:val="20"/>
          <w:u w:val="single"/>
        </w:rPr>
        <w:t xml:space="preserve"> des analyses des flux commerciaux de mercure, des examens des registres de points de vente et des mécanismes d</w:t>
      </w:r>
      <w:r w:rsidR="00EA4125" w:rsidRPr="0056798F">
        <w:rPr>
          <w:sz w:val="20"/>
          <w:szCs w:val="20"/>
          <w:u w:val="single"/>
        </w:rPr>
        <w:t>’</w:t>
      </w:r>
      <w:r w:rsidR="00DE20EE" w:rsidRPr="0056798F">
        <w:rPr>
          <w:sz w:val="20"/>
          <w:szCs w:val="20"/>
          <w:u w:val="single"/>
        </w:rPr>
        <w:t>échange d</w:t>
      </w:r>
      <w:r w:rsidR="00EA4125" w:rsidRPr="0056798F">
        <w:rPr>
          <w:sz w:val="20"/>
          <w:szCs w:val="20"/>
          <w:u w:val="single"/>
        </w:rPr>
        <w:t>’</w:t>
      </w:r>
      <w:r w:rsidR="00DE20EE" w:rsidRPr="0056798F">
        <w:rPr>
          <w:sz w:val="20"/>
          <w:szCs w:val="20"/>
          <w:u w:val="single"/>
        </w:rPr>
        <w:t xml:space="preserve">informations. </w:t>
      </w:r>
      <w:r w:rsidR="00206942" w:rsidRPr="0056798F">
        <w:rPr>
          <w:sz w:val="20"/>
          <w:szCs w:val="20"/>
          <w:u w:val="single"/>
        </w:rPr>
        <w:t>Il</w:t>
      </w:r>
      <w:r w:rsidR="00DE20EE" w:rsidRPr="0056798F">
        <w:rPr>
          <w:sz w:val="20"/>
          <w:szCs w:val="20"/>
          <w:u w:val="single"/>
        </w:rPr>
        <w:t xml:space="preserve"> peu</w:t>
      </w:r>
      <w:r w:rsidR="00206942" w:rsidRPr="0056798F">
        <w:rPr>
          <w:sz w:val="20"/>
          <w:szCs w:val="20"/>
          <w:u w:val="single"/>
        </w:rPr>
        <w:t>t également s</w:t>
      </w:r>
      <w:r w:rsidR="00EA4125" w:rsidRPr="0056798F">
        <w:rPr>
          <w:sz w:val="20"/>
          <w:szCs w:val="20"/>
          <w:u w:val="single"/>
        </w:rPr>
        <w:t>’</w:t>
      </w:r>
      <w:r w:rsidR="00206942" w:rsidRPr="0056798F">
        <w:rPr>
          <w:sz w:val="20"/>
          <w:szCs w:val="20"/>
          <w:u w:val="single"/>
        </w:rPr>
        <w:t xml:space="preserve">agir </w:t>
      </w:r>
      <w:r w:rsidR="00F55155" w:rsidRPr="0056798F">
        <w:rPr>
          <w:sz w:val="20"/>
          <w:szCs w:val="20"/>
          <w:u w:val="single"/>
        </w:rPr>
        <w:t>de l</w:t>
      </w:r>
      <w:r w:rsidR="00EA4125" w:rsidRPr="0056798F">
        <w:rPr>
          <w:sz w:val="20"/>
          <w:szCs w:val="20"/>
          <w:u w:val="single"/>
        </w:rPr>
        <w:t>’</w:t>
      </w:r>
      <w:r w:rsidR="00F55155" w:rsidRPr="0056798F">
        <w:rPr>
          <w:sz w:val="20"/>
          <w:szCs w:val="20"/>
          <w:u w:val="single"/>
        </w:rPr>
        <w:t>échange</w:t>
      </w:r>
      <w:r w:rsidR="00DE20EE" w:rsidRPr="0056798F">
        <w:rPr>
          <w:sz w:val="20"/>
          <w:szCs w:val="20"/>
          <w:u w:val="single"/>
        </w:rPr>
        <w:t xml:space="preserve"> de données </w:t>
      </w:r>
      <w:r w:rsidR="00F55155" w:rsidRPr="0056798F">
        <w:rPr>
          <w:sz w:val="20"/>
          <w:szCs w:val="20"/>
          <w:u w:val="single"/>
        </w:rPr>
        <w:t xml:space="preserve">provenant </w:t>
      </w:r>
      <w:r w:rsidR="00DE20EE" w:rsidRPr="0056798F">
        <w:rPr>
          <w:sz w:val="20"/>
          <w:szCs w:val="20"/>
          <w:u w:val="single"/>
        </w:rPr>
        <w:t xml:space="preserve">du secteur public, </w:t>
      </w:r>
      <w:r w:rsidR="00F55155" w:rsidRPr="0056798F">
        <w:rPr>
          <w:sz w:val="20"/>
          <w:szCs w:val="20"/>
          <w:u w:val="single"/>
        </w:rPr>
        <w:t>d</w:t>
      </w:r>
      <w:r w:rsidR="00EA4125" w:rsidRPr="0056798F">
        <w:rPr>
          <w:sz w:val="20"/>
          <w:szCs w:val="20"/>
          <w:u w:val="single"/>
        </w:rPr>
        <w:t>’</w:t>
      </w:r>
      <w:r w:rsidR="00DE20EE" w:rsidRPr="0056798F">
        <w:rPr>
          <w:sz w:val="20"/>
          <w:szCs w:val="20"/>
          <w:u w:val="single"/>
        </w:rPr>
        <w:t xml:space="preserve">exigences </w:t>
      </w:r>
      <w:r w:rsidR="00F55155" w:rsidRPr="0056798F">
        <w:rPr>
          <w:sz w:val="20"/>
          <w:szCs w:val="20"/>
          <w:u w:val="single"/>
        </w:rPr>
        <w:t>en matière de</w:t>
      </w:r>
      <w:r w:rsidR="00DE20EE" w:rsidRPr="0056798F">
        <w:rPr>
          <w:sz w:val="20"/>
          <w:szCs w:val="20"/>
          <w:u w:val="single"/>
        </w:rPr>
        <w:t xml:space="preserve"> communication des données ou de mesures liées à la recherche, au développement et à la surveillance</w:t>
      </w:r>
      <w:r w:rsidR="00026AF4" w:rsidRPr="0056798F">
        <w:rPr>
          <w:sz w:val="20"/>
          <w:szCs w:val="20"/>
        </w:rPr>
        <w:t>.</w:t>
      </w:r>
    </w:p>
    <w:p w14:paraId="56336C10" w14:textId="64E35B8A" w:rsidR="00E8105D" w:rsidRPr="0056798F" w:rsidRDefault="006B44E9" w:rsidP="005C3FE1">
      <w:pPr>
        <w:pStyle w:val="paragraph"/>
        <w:numPr>
          <w:ilvl w:val="0"/>
          <w:numId w:val="16"/>
        </w:numPr>
        <w:spacing w:before="0" w:beforeAutospacing="0" w:after="120" w:afterAutospacing="0"/>
        <w:ind w:left="1247" w:firstLine="0"/>
        <w:textAlignment w:val="baseline"/>
        <w:rPr>
          <w:rStyle w:val="normaltextrun"/>
          <w:rFonts w:eastAsiaTheme="majorEastAsia"/>
          <w:sz w:val="20"/>
          <w:szCs w:val="20"/>
          <w:u w:val="single"/>
        </w:rPr>
      </w:pPr>
      <w:r w:rsidRPr="0056798F">
        <w:rPr>
          <w:sz w:val="20"/>
          <w:szCs w:val="20"/>
          <w:u w:val="single"/>
        </w:rPr>
        <w:t>Les évaluations initiales prévues par la Convention de</w:t>
      </w:r>
      <w:r w:rsidR="00CE402A" w:rsidRPr="0056798F">
        <w:rPr>
          <w:sz w:val="20"/>
          <w:szCs w:val="20"/>
          <w:u w:val="single"/>
        </w:rPr>
        <w:t> </w:t>
      </w:r>
      <w:r w:rsidRPr="0056798F">
        <w:rPr>
          <w:sz w:val="20"/>
          <w:szCs w:val="20"/>
          <w:u w:val="single"/>
        </w:rPr>
        <w:t>Minamata ont permis d</w:t>
      </w:r>
      <w:r w:rsidR="00EA4125" w:rsidRPr="0056798F">
        <w:rPr>
          <w:sz w:val="20"/>
          <w:szCs w:val="20"/>
          <w:u w:val="single"/>
        </w:rPr>
        <w:t>’</w:t>
      </w:r>
      <w:r w:rsidRPr="0056798F">
        <w:rPr>
          <w:sz w:val="20"/>
          <w:szCs w:val="20"/>
          <w:u w:val="single"/>
        </w:rPr>
        <w:t xml:space="preserve">établir des inventaires de mercure et une base de référence pour les </w:t>
      </w:r>
      <w:r w:rsidR="00CC6C37" w:rsidRPr="0056798F">
        <w:rPr>
          <w:sz w:val="20"/>
          <w:szCs w:val="20"/>
          <w:u w:val="single"/>
        </w:rPr>
        <w:t>P</w:t>
      </w:r>
      <w:r w:rsidRPr="0056798F">
        <w:rPr>
          <w:sz w:val="20"/>
          <w:szCs w:val="20"/>
          <w:u w:val="single"/>
        </w:rPr>
        <w:t xml:space="preserve">arties. Certaines </w:t>
      </w:r>
      <w:r w:rsidR="00CC6C37" w:rsidRPr="0056798F">
        <w:rPr>
          <w:sz w:val="20"/>
          <w:szCs w:val="20"/>
          <w:u w:val="single"/>
        </w:rPr>
        <w:t>P</w:t>
      </w:r>
      <w:r w:rsidRPr="0056798F">
        <w:rPr>
          <w:sz w:val="20"/>
          <w:szCs w:val="20"/>
          <w:u w:val="single"/>
        </w:rPr>
        <w:t xml:space="preserve">arties ont mis à jour ces inventaires et présenté les résultats dans leurs rapports nationaux. </w:t>
      </w:r>
      <w:r w:rsidR="00CC6C37" w:rsidRPr="0056798F">
        <w:rPr>
          <w:sz w:val="20"/>
          <w:szCs w:val="20"/>
          <w:u w:val="single"/>
        </w:rPr>
        <w:t xml:space="preserve">Les </w:t>
      </w:r>
      <w:r w:rsidRPr="0056798F">
        <w:rPr>
          <w:sz w:val="20"/>
          <w:szCs w:val="20"/>
          <w:u w:val="single"/>
        </w:rPr>
        <w:t xml:space="preserve">nouvelles données pour </w:t>
      </w:r>
      <w:r w:rsidR="00CC6C37" w:rsidRPr="0056798F">
        <w:rPr>
          <w:sz w:val="20"/>
          <w:szCs w:val="20"/>
          <w:u w:val="single"/>
        </w:rPr>
        <w:t xml:space="preserve">mettre à jour ces </w:t>
      </w:r>
      <w:r w:rsidRPr="0056798F">
        <w:rPr>
          <w:sz w:val="20"/>
          <w:szCs w:val="20"/>
          <w:u w:val="single"/>
        </w:rPr>
        <w:t>inventaire</w:t>
      </w:r>
      <w:r w:rsidR="00CC6C37" w:rsidRPr="0056798F">
        <w:rPr>
          <w:sz w:val="20"/>
          <w:szCs w:val="20"/>
          <w:u w:val="single"/>
        </w:rPr>
        <w:t>s</w:t>
      </w:r>
      <w:r w:rsidRPr="0056798F">
        <w:rPr>
          <w:sz w:val="20"/>
          <w:szCs w:val="20"/>
          <w:u w:val="single"/>
        </w:rPr>
        <w:t xml:space="preserve"> </w:t>
      </w:r>
      <w:r w:rsidR="00CC6C37" w:rsidRPr="0056798F">
        <w:rPr>
          <w:sz w:val="20"/>
          <w:szCs w:val="20"/>
          <w:u w:val="single"/>
        </w:rPr>
        <w:t xml:space="preserve">peuvent </w:t>
      </w:r>
      <w:r w:rsidRPr="0056798F">
        <w:rPr>
          <w:sz w:val="20"/>
          <w:szCs w:val="20"/>
          <w:u w:val="single"/>
        </w:rPr>
        <w:t>provenir de rapports soumis par des établissements, des entités</w:t>
      </w:r>
      <w:r w:rsidR="007752D1" w:rsidRPr="0056798F">
        <w:rPr>
          <w:sz w:val="20"/>
          <w:szCs w:val="20"/>
          <w:u w:val="single"/>
        </w:rPr>
        <w:t xml:space="preserve"> ou</w:t>
      </w:r>
      <w:r w:rsidRPr="0056798F">
        <w:rPr>
          <w:sz w:val="20"/>
          <w:szCs w:val="20"/>
          <w:u w:val="single"/>
        </w:rPr>
        <w:t xml:space="preserve"> des autorités territoriales</w:t>
      </w:r>
      <w:r w:rsidR="007752D1" w:rsidRPr="0056798F">
        <w:rPr>
          <w:sz w:val="20"/>
          <w:szCs w:val="20"/>
          <w:u w:val="single"/>
        </w:rPr>
        <w:t>,</w:t>
      </w:r>
      <w:r w:rsidRPr="0056798F">
        <w:rPr>
          <w:sz w:val="20"/>
          <w:szCs w:val="20"/>
          <w:u w:val="single"/>
        </w:rPr>
        <w:t xml:space="preserve"> ou de consultations </w:t>
      </w:r>
      <w:r w:rsidR="00CC6C37" w:rsidRPr="0056798F">
        <w:rPr>
          <w:sz w:val="20"/>
          <w:szCs w:val="20"/>
          <w:u w:val="single"/>
        </w:rPr>
        <w:t>avec l</w:t>
      </w:r>
      <w:r w:rsidRPr="0056798F">
        <w:rPr>
          <w:sz w:val="20"/>
          <w:szCs w:val="20"/>
          <w:u w:val="single"/>
        </w:rPr>
        <w:t>es parties prenantes</w:t>
      </w:r>
      <w:r w:rsidR="00E8105D" w:rsidRPr="0056798F">
        <w:rPr>
          <w:rStyle w:val="normaltextrun"/>
          <w:rFonts w:eastAsiaTheme="majorEastAsia"/>
          <w:sz w:val="20"/>
          <w:szCs w:val="20"/>
        </w:rPr>
        <w:t>.</w:t>
      </w:r>
      <w:r w:rsidR="00E8105D" w:rsidRPr="0056798F">
        <w:rPr>
          <w:rStyle w:val="normaltextrun"/>
          <w:rFonts w:eastAsiaTheme="majorEastAsia"/>
          <w:sz w:val="20"/>
          <w:szCs w:val="20"/>
          <w:u w:val="single"/>
        </w:rPr>
        <w:t xml:space="preserve"> </w:t>
      </w:r>
    </w:p>
    <w:p w14:paraId="6EDF110F" w14:textId="37783023" w:rsidR="006122D4" w:rsidRPr="0056798F" w:rsidRDefault="006122D4" w:rsidP="005C3FE1">
      <w:pPr>
        <w:pStyle w:val="paragraph"/>
        <w:numPr>
          <w:ilvl w:val="0"/>
          <w:numId w:val="16"/>
        </w:numPr>
        <w:spacing w:before="0" w:beforeAutospacing="0" w:after="120" w:afterAutospacing="0"/>
        <w:ind w:left="1247" w:firstLine="0"/>
        <w:textAlignment w:val="baseline"/>
        <w:rPr>
          <w:rStyle w:val="normaltextrun"/>
          <w:rFonts w:eastAsiaTheme="majorEastAsia"/>
          <w:color w:val="000000" w:themeColor="text1"/>
          <w:sz w:val="20"/>
          <w:szCs w:val="20"/>
        </w:rPr>
      </w:pPr>
      <w:r w:rsidRPr="0056798F">
        <w:rPr>
          <w:rStyle w:val="normaltextrun"/>
          <w:rFonts w:eastAsiaTheme="majorEastAsia"/>
          <w:sz w:val="20"/>
          <w:szCs w:val="20"/>
          <w:u w:val="single"/>
        </w:rPr>
        <w:t xml:space="preserve">Les inventaires </w:t>
      </w:r>
      <w:r w:rsidR="00717AC2" w:rsidRPr="0056798F">
        <w:rPr>
          <w:rStyle w:val="normaltextrun"/>
          <w:rFonts w:eastAsiaTheme="majorEastAsia"/>
          <w:sz w:val="20"/>
          <w:szCs w:val="20"/>
          <w:u w:val="single"/>
        </w:rPr>
        <w:t>et</w:t>
      </w:r>
      <w:r w:rsidRPr="0056798F">
        <w:rPr>
          <w:rStyle w:val="normaltextrun"/>
          <w:rFonts w:eastAsiaTheme="majorEastAsia"/>
          <w:sz w:val="20"/>
          <w:szCs w:val="20"/>
          <w:u w:val="single"/>
        </w:rPr>
        <w:t xml:space="preserve"> </w:t>
      </w:r>
      <w:r w:rsidR="003A53F5" w:rsidRPr="0056798F">
        <w:rPr>
          <w:rStyle w:val="normaltextrun"/>
          <w:rFonts w:eastAsiaTheme="majorEastAsia"/>
          <w:sz w:val="20"/>
          <w:szCs w:val="20"/>
          <w:u w:val="single"/>
        </w:rPr>
        <w:t>enquêtes</w:t>
      </w:r>
      <w:r w:rsidRPr="0056798F">
        <w:rPr>
          <w:rStyle w:val="normaltextrun"/>
          <w:rFonts w:eastAsiaTheme="majorEastAsia"/>
          <w:sz w:val="20"/>
          <w:szCs w:val="20"/>
          <w:u w:val="single"/>
        </w:rPr>
        <w:t xml:space="preserve"> réalisés au niveau national et mis à jour </w:t>
      </w:r>
      <w:r w:rsidR="00D145E2" w:rsidRPr="0056798F">
        <w:rPr>
          <w:rStyle w:val="normaltextrun"/>
          <w:rFonts w:eastAsiaTheme="majorEastAsia"/>
          <w:sz w:val="20"/>
          <w:szCs w:val="20"/>
          <w:u w:val="single"/>
        </w:rPr>
        <w:t xml:space="preserve">périodiquement </w:t>
      </w:r>
      <w:r w:rsidRPr="0056798F">
        <w:rPr>
          <w:rStyle w:val="normaltextrun"/>
          <w:rFonts w:eastAsiaTheme="majorEastAsia"/>
          <w:sz w:val="20"/>
          <w:szCs w:val="20"/>
          <w:u w:val="single"/>
        </w:rPr>
        <w:t>peuvent fournir une évaluation quantitative de l</w:t>
      </w:r>
      <w:r w:rsidR="00EA4125" w:rsidRPr="0056798F">
        <w:rPr>
          <w:rStyle w:val="normaltextrun"/>
          <w:rFonts w:eastAsiaTheme="majorEastAsia"/>
          <w:sz w:val="20"/>
          <w:szCs w:val="20"/>
          <w:u w:val="single"/>
        </w:rPr>
        <w:t>’</w:t>
      </w:r>
      <w:r w:rsidRPr="0056798F">
        <w:rPr>
          <w:rStyle w:val="normaltextrun"/>
          <w:rFonts w:eastAsiaTheme="majorEastAsia"/>
          <w:sz w:val="20"/>
          <w:szCs w:val="20"/>
          <w:u w:val="single"/>
        </w:rPr>
        <w:t>utilisation du mercure</w:t>
      </w:r>
      <w:r w:rsidR="00D145E2" w:rsidRPr="0056798F">
        <w:rPr>
          <w:rStyle w:val="normaltextrun"/>
          <w:rFonts w:eastAsiaTheme="majorEastAsia"/>
          <w:sz w:val="20"/>
          <w:szCs w:val="20"/>
          <w:u w:val="single"/>
        </w:rPr>
        <w:t xml:space="preserve"> et</w:t>
      </w:r>
      <w:r w:rsidRPr="0056798F">
        <w:rPr>
          <w:rStyle w:val="normaltextrun"/>
          <w:rFonts w:eastAsiaTheme="majorEastAsia"/>
          <w:sz w:val="20"/>
          <w:szCs w:val="20"/>
          <w:u w:val="single"/>
        </w:rPr>
        <w:t xml:space="preserve"> des stocks, de l</w:t>
      </w:r>
      <w:r w:rsidR="00EA4125" w:rsidRPr="0056798F">
        <w:rPr>
          <w:rStyle w:val="normaltextrun"/>
          <w:rFonts w:eastAsiaTheme="majorEastAsia"/>
          <w:sz w:val="20"/>
          <w:szCs w:val="20"/>
          <w:u w:val="single"/>
        </w:rPr>
        <w:t>’</w:t>
      </w:r>
      <w:r w:rsidRPr="0056798F">
        <w:rPr>
          <w:rStyle w:val="normaltextrun"/>
          <w:rFonts w:eastAsiaTheme="majorEastAsia"/>
          <w:sz w:val="20"/>
          <w:szCs w:val="20"/>
          <w:u w:val="single"/>
        </w:rPr>
        <w:t>approvisionnement et des flux</w:t>
      </w:r>
      <w:r w:rsidR="00D145E2" w:rsidRPr="0056798F">
        <w:rPr>
          <w:rStyle w:val="normaltextrun"/>
          <w:rFonts w:eastAsiaTheme="majorEastAsia"/>
          <w:sz w:val="20"/>
          <w:szCs w:val="20"/>
          <w:u w:val="single"/>
        </w:rPr>
        <w:t xml:space="preserve"> y relatifs,</w:t>
      </w:r>
      <w:r w:rsidRPr="0056798F">
        <w:rPr>
          <w:rStyle w:val="normaltextrun"/>
          <w:rFonts w:eastAsiaTheme="majorEastAsia"/>
          <w:sz w:val="20"/>
          <w:szCs w:val="20"/>
          <w:u w:val="single"/>
        </w:rPr>
        <w:t xml:space="preserve"> </w:t>
      </w:r>
      <w:r w:rsidR="00D145E2" w:rsidRPr="0056798F">
        <w:rPr>
          <w:rStyle w:val="normaltextrun"/>
          <w:rFonts w:eastAsiaTheme="majorEastAsia"/>
          <w:sz w:val="20"/>
          <w:szCs w:val="20"/>
          <w:u w:val="single"/>
        </w:rPr>
        <w:t xml:space="preserve">afin de </w:t>
      </w:r>
      <w:r w:rsidR="007B59EE" w:rsidRPr="0056798F">
        <w:rPr>
          <w:rStyle w:val="normaltextrun"/>
          <w:rFonts w:eastAsiaTheme="majorEastAsia"/>
          <w:sz w:val="20"/>
          <w:szCs w:val="20"/>
          <w:u w:val="single"/>
        </w:rPr>
        <w:t>faciliter les</w:t>
      </w:r>
      <w:r w:rsidRPr="0056798F">
        <w:rPr>
          <w:rStyle w:val="normaltextrun"/>
          <w:rFonts w:eastAsiaTheme="majorEastAsia"/>
          <w:sz w:val="20"/>
          <w:szCs w:val="20"/>
          <w:u w:val="single"/>
        </w:rPr>
        <w:t xml:space="preserve"> efforts de recensement des stocks</w:t>
      </w:r>
      <w:r w:rsidR="00D145E2" w:rsidRPr="0056798F">
        <w:rPr>
          <w:rStyle w:val="normaltextrun"/>
          <w:rFonts w:eastAsiaTheme="majorEastAsia"/>
          <w:sz w:val="20"/>
          <w:szCs w:val="20"/>
          <w:u w:val="single"/>
        </w:rPr>
        <w:t xml:space="preserve"> individuels</w:t>
      </w:r>
      <w:r w:rsidRPr="0056798F">
        <w:rPr>
          <w:rStyle w:val="normaltextrun"/>
          <w:rFonts w:eastAsiaTheme="majorEastAsia"/>
          <w:sz w:val="20"/>
          <w:szCs w:val="20"/>
          <w:u w:val="single"/>
        </w:rPr>
        <w:t xml:space="preserve"> et des sources.</w:t>
      </w:r>
      <w:r w:rsidR="003A53F5" w:rsidRPr="0056798F">
        <w:rPr>
          <w:rStyle w:val="normaltextrun"/>
          <w:rFonts w:eastAsiaTheme="majorEastAsia"/>
          <w:sz w:val="20"/>
          <w:szCs w:val="20"/>
          <w:u w:val="single"/>
        </w:rPr>
        <w:t xml:space="preserve"> Il peut s</w:t>
      </w:r>
      <w:r w:rsidR="00EA4125" w:rsidRPr="0056798F">
        <w:rPr>
          <w:rStyle w:val="normaltextrun"/>
          <w:rFonts w:eastAsiaTheme="majorEastAsia"/>
          <w:sz w:val="20"/>
          <w:szCs w:val="20"/>
          <w:u w:val="single"/>
        </w:rPr>
        <w:t>’</w:t>
      </w:r>
      <w:r w:rsidR="003A53F5" w:rsidRPr="0056798F">
        <w:rPr>
          <w:rStyle w:val="normaltextrun"/>
          <w:rFonts w:eastAsiaTheme="majorEastAsia"/>
          <w:sz w:val="20"/>
          <w:szCs w:val="20"/>
          <w:u w:val="single"/>
        </w:rPr>
        <w:t>agir d</w:t>
      </w:r>
      <w:r w:rsidR="00EA4125" w:rsidRPr="0056798F">
        <w:rPr>
          <w:rStyle w:val="normaltextrun"/>
          <w:rFonts w:eastAsiaTheme="majorEastAsia"/>
          <w:sz w:val="20"/>
          <w:szCs w:val="20"/>
          <w:u w:val="single"/>
        </w:rPr>
        <w:t>’</w:t>
      </w:r>
      <w:r w:rsidR="003A53F5" w:rsidRPr="0056798F">
        <w:rPr>
          <w:rStyle w:val="normaltextrun"/>
          <w:rFonts w:eastAsiaTheme="majorEastAsia"/>
          <w:sz w:val="20"/>
          <w:szCs w:val="20"/>
          <w:u w:val="single"/>
        </w:rPr>
        <w:t>analyses statistiques, d</w:t>
      </w:r>
      <w:r w:rsidR="00EA4125" w:rsidRPr="0056798F">
        <w:rPr>
          <w:rStyle w:val="normaltextrun"/>
          <w:rFonts w:eastAsiaTheme="majorEastAsia"/>
          <w:sz w:val="20"/>
          <w:szCs w:val="20"/>
          <w:u w:val="single"/>
        </w:rPr>
        <w:t>’</w:t>
      </w:r>
      <w:r w:rsidR="003A53F5" w:rsidRPr="0056798F">
        <w:rPr>
          <w:rStyle w:val="normaltextrun"/>
          <w:rFonts w:eastAsiaTheme="majorEastAsia"/>
          <w:sz w:val="20"/>
          <w:szCs w:val="20"/>
          <w:u w:val="single"/>
        </w:rPr>
        <w:t xml:space="preserve">enquêtes ciblées </w:t>
      </w:r>
      <w:r w:rsidR="00D145E2" w:rsidRPr="0056798F">
        <w:rPr>
          <w:rStyle w:val="normaltextrun"/>
          <w:rFonts w:eastAsiaTheme="majorEastAsia"/>
          <w:sz w:val="20"/>
          <w:szCs w:val="20"/>
          <w:u w:val="single"/>
        </w:rPr>
        <w:t>par</w:t>
      </w:r>
      <w:r w:rsidR="003A53F5" w:rsidRPr="0056798F">
        <w:rPr>
          <w:rStyle w:val="normaltextrun"/>
          <w:rFonts w:eastAsiaTheme="majorEastAsia"/>
          <w:sz w:val="20"/>
          <w:szCs w:val="20"/>
          <w:u w:val="single"/>
        </w:rPr>
        <w:t xml:space="preserve"> secteur ou </w:t>
      </w:r>
      <w:r w:rsidR="00D145E2" w:rsidRPr="0056798F">
        <w:rPr>
          <w:rStyle w:val="normaltextrun"/>
          <w:rFonts w:eastAsiaTheme="majorEastAsia"/>
          <w:sz w:val="20"/>
          <w:szCs w:val="20"/>
          <w:u w:val="single"/>
        </w:rPr>
        <w:t xml:space="preserve">par </w:t>
      </w:r>
      <w:r w:rsidR="003A53F5" w:rsidRPr="0056798F">
        <w:rPr>
          <w:rStyle w:val="normaltextrun"/>
          <w:rFonts w:eastAsiaTheme="majorEastAsia"/>
          <w:sz w:val="20"/>
          <w:szCs w:val="20"/>
          <w:u w:val="single"/>
        </w:rPr>
        <w:t>industrie, d</w:t>
      </w:r>
      <w:r w:rsidR="00EA4125" w:rsidRPr="0056798F">
        <w:rPr>
          <w:rStyle w:val="normaltextrun"/>
          <w:rFonts w:eastAsiaTheme="majorEastAsia"/>
          <w:sz w:val="20"/>
          <w:szCs w:val="20"/>
          <w:u w:val="single"/>
        </w:rPr>
        <w:t>’</w:t>
      </w:r>
      <w:r w:rsidR="003A53F5" w:rsidRPr="0056798F">
        <w:rPr>
          <w:rStyle w:val="normaltextrun"/>
          <w:rFonts w:eastAsiaTheme="majorEastAsia"/>
          <w:sz w:val="20"/>
          <w:szCs w:val="20"/>
          <w:u w:val="single"/>
        </w:rPr>
        <w:t xml:space="preserve">études </w:t>
      </w:r>
      <w:r w:rsidR="00D145E2" w:rsidRPr="0056798F">
        <w:rPr>
          <w:rStyle w:val="normaltextrun"/>
          <w:rFonts w:eastAsiaTheme="majorEastAsia"/>
          <w:sz w:val="20"/>
          <w:szCs w:val="20"/>
          <w:u w:val="single"/>
        </w:rPr>
        <w:t>sur l</w:t>
      </w:r>
      <w:r w:rsidR="003A53F5" w:rsidRPr="0056798F">
        <w:rPr>
          <w:rStyle w:val="normaltextrun"/>
          <w:rFonts w:eastAsiaTheme="majorEastAsia"/>
          <w:sz w:val="20"/>
          <w:szCs w:val="20"/>
          <w:u w:val="single"/>
        </w:rPr>
        <w:t xml:space="preserve">es émissions et </w:t>
      </w:r>
      <w:r w:rsidR="00D145E2" w:rsidRPr="0056798F">
        <w:rPr>
          <w:rStyle w:val="normaltextrun"/>
          <w:rFonts w:eastAsiaTheme="majorEastAsia"/>
          <w:sz w:val="20"/>
          <w:szCs w:val="20"/>
          <w:u w:val="single"/>
        </w:rPr>
        <w:t xml:space="preserve">les </w:t>
      </w:r>
      <w:r w:rsidR="003A53F5" w:rsidRPr="0056798F">
        <w:rPr>
          <w:rStyle w:val="normaltextrun"/>
          <w:rFonts w:eastAsiaTheme="majorEastAsia"/>
          <w:sz w:val="20"/>
          <w:szCs w:val="20"/>
          <w:u w:val="single"/>
        </w:rPr>
        <w:t xml:space="preserve">rejets (identification et quantification des émissions et des rejets de mercure), de </w:t>
      </w:r>
      <w:r w:rsidR="00C32A14" w:rsidRPr="0056798F">
        <w:rPr>
          <w:rStyle w:val="normaltextrun"/>
          <w:rFonts w:eastAsiaTheme="majorEastAsia"/>
          <w:sz w:val="20"/>
          <w:szCs w:val="20"/>
          <w:u w:val="single"/>
        </w:rPr>
        <w:t>s</w:t>
      </w:r>
      <w:r w:rsidR="003A53F5" w:rsidRPr="0056798F">
        <w:rPr>
          <w:rStyle w:val="normaltextrun"/>
          <w:rFonts w:eastAsiaTheme="majorEastAsia"/>
          <w:sz w:val="20"/>
          <w:szCs w:val="20"/>
          <w:u w:val="single"/>
        </w:rPr>
        <w:t xml:space="preserve">ystèmes de suivi numériques, </w:t>
      </w:r>
      <w:r w:rsidR="00196D72" w:rsidRPr="0056798F">
        <w:rPr>
          <w:rStyle w:val="normaltextrun"/>
          <w:rFonts w:eastAsiaTheme="majorEastAsia"/>
          <w:sz w:val="20"/>
          <w:szCs w:val="20"/>
          <w:u w:val="single"/>
        </w:rPr>
        <w:t>d</w:t>
      </w:r>
      <w:r w:rsidR="00EA4125" w:rsidRPr="0056798F">
        <w:rPr>
          <w:rStyle w:val="normaltextrun"/>
          <w:rFonts w:eastAsiaTheme="majorEastAsia"/>
          <w:sz w:val="20"/>
          <w:szCs w:val="20"/>
          <w:u w:val="single"/>
        </w:rPr>
        <w:t>’</w:t>
      </w:r>
      <w:r w:rsidR="00C32A14" w:rsidRPr="0056798F">
        <w:rPr>
          <w:rStyle w:val="normaltextrun"/>
          <w:rFonts w:eastAsiaTheme="majorEastAsia"/>
          <w:sz w:val="20"/>
          <w:szCs w:val="20"/>
          <w:u w:val="single"/>
        </w:rPr>
        <w:t>analyse</w:t>
      </w:r>
      <w:r w:rsidR="00196D72" w:rsidRPr="0056798F">
        <w:rPr>
          <w:rStyle w:val="normaltextrun"/>
          <w:rFonts w:eastAsiaTheme="majorEastAsia"/>
          <w:sz w:val="20"/>
          <w:szCs w:val="20"/>
          <w:u w:val="single"/>
        </w:rPr>
        <w:t>s</w:t>
      </w:r>
      <w:r w:rsidR="00C32A14" w:rsidRPr="0056798F">
        <w:rPr>
          <w:rStyle w:val="normaltextrun"/>
          <w:rFonts w:eastAsiaTheme="majorEastAsia"/>
          <w:sz w:val="20"/>
          <w:szCs w:val="20"/>
          <w:u w:val="single"/>
        </w:rPr>
        <w:t xml:space="preserve"> du commerce et de la chaîne d</w:t>
      </w:r>
      <w:r w:rsidR="00EA4125" w:rsidRPr="0056798F">
        <w:rPr>
          <w:rStyle w:val="normaltextrun"/>
          <w:rFonts w:eastAsiaTheme="majorEastAsia"/>
          <w:sz w:val="20"/>
          <w:szCs w:val="20"/>
          <w:u w:val="single"/>
        </w:rPr>
        <w:t>’</w:t>
      </w:r>
      <w:r w:rsidR="00C32A14" w:rsidRPr="0056798F">
        <w:rPr>
          <w:rStyle w:val="normaltextrun"/>
          <w:rFonts w:eastAsiaTheme="majorEastAsia"/>
          <w:sz w:val="20"/>
          <w:szCs w:val="20"/>
          <w:u w:val="single"/>
        </w:rPr>
        <w:t xml:space="preserve">approvisionnement </w:t>
      </w:r>
      <w:r w:rsidR="00196D72" w:rsidRPr="0056798F">
        <w:rPr>
          <w:rStyle w:val="normaltextrun"/>
          <w:rFonts w:eastAsiaTheme="majorEastAsia"/>
          <w:sz w:val="20"/>
          <w:szCs w:val="20"/>
          <w:u w:val="single"/>
        </w:rPr>
        <w:t>ou</w:t>
      </w:r>
      <w:r w:rsidR="00C32A14" w:rsidRPr="0056798F">
        <w:rPr>
          <w:rStyle w:val="normaltextrun"/>
          <w:rFonts w:eastAsiaTheme="majorEastAsia"/>
          <w:sz w:val="20"/>
          <w:szCs w:val="20"/>
          <w:u w:val="single"/>
        </w:rPr>
        <w:t xml:space="preserve"> </w:t>
      </w:r>
      <w:r w:rsidR="00196D72" w:rsidRPr="0056798F">
        <w:rPr>
          <w:rStyle w:val="normaltextrun"/>
          <w:rFonts w:eastAsiaTheme="majorEastAsia"/>
          <w:sz w:val="20"/>
          <w:szCs w:val="20"/>
          <w:u w:val="single"/>
        </w:rPr>
        <w:t>d</w:t>
      </w:r>
      <w:r w:rsidR="00EA4125" w:rsidRPr="0056798F">
        <w:rPr>
          <w:rStyle w:val="normaltextrun"/>
          <w:rFonts w:eastAsiaTheme="majorEastAsia"/>
          <w:sz w:val="20"/>
          <w:szCs w:val="20"/>
          <w:u w:val="single"/>
        </w:rPr>
        <w:t>’</w:t>
      </w:r>
      <w:r w:rsidR="00196D72" w:rsidRPr="0056798F">
        <w:rPr>
          <w:rStyle w:val="normaltextrun"/>
          <w:rFonts w:eastAsiaTheme="majorEastAsia"/>
          <w:sz w:val="20"/>
          <w:szCs w:val="20"/>
          <w:u w:val="single"/>
        </w:rPr>
        <w:t xml:space="preserve">une </w:t>
      </w:r>
      <w:r w:rsidR="00C32A14" w:rsidRPr="0056798F">
        <w:rPr>
          <w:rStyle w:val="normaltextrun"/>
          <w:rFonts w:eastAsiaTheme="majorEastAsia"/>
          <w:sz w:val="20"/>
          <w:szCs w:val="20"/>
          <w:u w:val="single"/>
        </w:rPr>
        <w:t>cartographie des emplacements d</w:t>
      </w:r>
      <w:r w:rsidR="00EA4125" w:rsidRPr="0056798F">
        <w:rPr>
          <w:rStyle w:val="normaltextrun"/>
          <w:rFonts w:eastAsiaTheme="majorEastAsia"/>
          <w:sz w:val="20"/>
          <w:szCs w:val="20"/>
          <w:u w:val="single"/>
        </w:rPr>
        <w:t>’</w:t>
      </w:r>
      <w:r w:rsidR="00C32A14" w:rsidRPr="0056798F">
        <w:rPr>
          <w:rStyle w:val="normaltextrun"/>
          <w:rFonts w:eastAsiaTheme="majorEastAsia"/>
          <w:sz w:val="20"/>
          <w:szCs w:val="20"/>
          <w:u w:val="single"/>
        </w:rPr>
        <w:t xml:space="preserve">institutions ou </w:t>
      </w:r>
      <w:r w:rsidR="00660703" w:rsidRPr="0056798F">
        <w:rPr>
          <w:rStyle w:val="normaltextrun"/>
          <w:rFonts w:eastAsiaTheme="majorEastAsia"/>
          <w:sz w:val="20"/>
          <w:szCs w:val="20"/>
          <w:u w:val="single"/>
        </w:rPr>
        <w:t>d</w:t>
      </w:r>
      <w:r w:rsidR="00EA4125" w:rsidRPr="0056798F">
        <w:rPr>
          <w:rStyle w:val="normaltextrun"/>
          <w:rFonts w:eastAsiaTheme="majorEastAsia"/>
          <w:sz w:val="20"/>
          <w:szCs w:val="20"/>
          <w:u w:val="single"/>
        </w:rPr>
        <w:t>’</w:t>
      </w:r>
      <w:r w:rsidR="00C32A14" w:rsidRPr="0056798F">
        <w:rPr>
          <w:rStyle w:val="normaltextrun"/>
          <w:rFonts w:eastAsiaTheme="majorEastAsia"/>
          <w:sz w:val="20"/>
          <w:szCs w:val="20"/>
          <w:u w:val="single"/>
        </w:rPr>
        <w:t xml:space="preserve">installations disposant de stocks et/ou de sources (par exemple </w:t>
      </w:r>
      <w:bookmarkStart w:id="14" w:name="_Hlk207107726"/>
      <w:r w:rsidR="00196D72" w:rsidRPr="0056798F">
        <w:rPr>
          <w:rStyle w:val="normaltextrun"/>
          <w:rFonts w:eastAsiaTheme="majorEastAsia"/>
          <w:sz w:val="20"/>
          <w:szCs w:val="20"/>
          <w:u w:val="single"/>
        </w:rPr>
        <w:t>d</w:t>
      </w:r>
      <w:r w:rsidR="00C32A14" w:rsidRPr="0056798F">
        <w:rPr>
          <w:rStyle w:val="normaltextrun"/>
          <w:rFonts w:eastAsiaTheme="majorEastAsia"/>
          <w:sz w:val="20"/>
          <w:szCs w:val="20"/>
          <w:u w:val="single"/>
        </w:rPr>
        <w:t xml:space="preserve">es </w:t>
      </w:r>
      <w:r w:rsidR="003F32E1" w:rsidRPr="0056798F">
        <w:rPr>
          <w:rStyle w:val="normaltextrun"/>
          <w:rFonts w:eastAsiaTheme="majorEastAsia"/>
          <w:sz w:val="20"/>
          <w:szCs w:val="20"/>
          <w:u w:val="single"/>
        </w:rPr>
        <w:t xml:space="preserve">ensembles de </w:t>
      </w:r>
      <w:r w:rsidR="00C32A14" w:rsidRPr="0056798F">
        <w:rPr>
          <w:rStyle w:val="normaltextrun"/>
          <w:rFonts w:eastAsiaTheme="majorEastAsia"/>
          <w:sz w:val="20"/>
          <w:szCs w:val="20"/>
          <w:u w:val="single"/>
        </w:rPr>
        <w:t>données</w:t>
      </w:r>
      <w:r w:rsidR="00C32A14" w:rsidRPr="0056798F">
        <w:rPr>
          <w:sz w:val="20"/>
          <w:szCs w:val="20"/>
          <w:u w:val="single"/>
        </w:rPr>
        <w:t xml:space="preserve"> </w:t>
      </w:r>
      <w:r w:rsidR="003F32E1" w:rsidRPr="0056798F">
        <w:rPr>
          <w:sz w:val="20"/>
          <w:szCs w:val="20"/>
          <w:u w:val="single"/>
        </w:rPr>
        <w:t>provenant de s</w:t>
      </w:r>
      <w:r w:rsidR="00C32A14" w:rsidRPr="0056798F">
        <w:rPr>
          <w:rStyle w:val="normaltextrun"/>
          <w:rFonts w:eastAsiaTheme="majorEastAsia"/>
          <w:sz w:val="20"/>
          <w:szCs w:val="20"/>
          <w:u w:val="single"/>
        </w:rPr>
        <w:t>ystème</w:t>
      </w:r>
      <w:r w:rsidR="003F32E1" w:rsidRPr="0056798F">
        <w:rPr>
          <w:rStyle w:val="normaltextrun"/>
          <w:rFonts w:eastAsiaTheme="majorEastAsia"/>
          <w:sz w:val="20"/>
          <w:szCs w:val="20"/>
          <w:u w:val="single"/>
        </w:rPr>
        <w:t>s</w:t>
      </w:r>
      <w:r w:rsidR="00C32A14" w:rsidRPr="0056798F">
        <w:rPr>
          <w:rStyle w:val="normaltextrun"/>
          <w:rFonts w:eastAsiaTheme="majorEastAsia"/>
          <w:sz w:val="20"/>
          <w:szCs w:val="20"/>
          <w:u w:val="single"/>
        </w:rPr>
        <w:t xml:space="preserve"> d</w:t>
      </w:r>
      <w:r w:rsidR="00EA4125" w:rsidRPr="0056798F">
        <w:rPr>
          <w:rStyle w:val="normaltextrun"/>
          <w:rFonts w:eastAsiaTheme="majorEastAsia"/>
          <w:sz w:val="20"/>
          <w:szCs w:val="20"/>
          <w:u w:val="single"/>
        </w:rPr>
        <w:t>’</w:t>
      </w:r>
      <w:r w:rsidR="00C32A14" w:rsidRPr="0056798F">
        <w:rPr>
          <w:rStyle w:val="normaltextrun"/>
          <w:rFonts w:eastAsiaTheme="majorEastAsia"/>
          <w:sz w:val="20"/>
          <w:szCs w:val="20"/>
          <w:u w:val="single"/>
        </w:rPr>
        <w:t xml:space="preserve">information géographique, </w:t>
      </w:r>
      <w:r w:rsidR="00196D72" w:rsidRPr="0056798F">
        <w:rPr>
          <w:rStyle w:val="normaltextrun"/>
          <w:rFonts w:eastAsiaTheme="majorEastAsia"/>
          <w:sz w:val="20"/>
          <w:szCs w:val="20"/>
          <w:u w:val="single"/>
        </w:rPr>
        <w:t>d</w:t>
      </w:r>
      <w:r w:rsidR="00C32A14" w:rsidRPr="0056798F">
        <w:rPr>
          <w:rStyle w:val="normaltextrun"/>
          <w:rFonts w:eastAsiaTheme="majorEastAsia"/>
          <w:sz w:val="20"/>
          <w:szCs w:val="20"/>
          <w:u w:val="single"/>
        </w:rPr>
        <w:t xml:space="preserve">es rapports </w:t>
      </w:r>
      <w:r w:rsidR="003F32E1" w:rsidRPr="0056798F">
        <w:rPr>
          <w:rStyle w:val="normaltextrun"/>
          <w:rFonts w:eastAsiaTheme="majorEastAsia"/>
          <w:sz w:val="20"/>
          <w:szCs w:val="20"/>
          <w:u w:val="single"/>
        </w:rPr>
        <w:t>établis à partir de base</w:t>
      </w:r>
      <w:r w:rsidR="00196D72" w:rsidRPr="0056798F">
        <w:rPr>
          <w:rStyle w:val="normaltextrun"/>
          <w:rFonts w:eastAsiaTheme="majorEastAsia"/>
          <w:sz w:val="20"/>
          <w:szCs w:val="20"/>
          <w:u w:val="single"/>
        </w:rPr>
        <w:t>s</w:t>
      </w:r>
      <w:r w:rsidR="003F32E1" w:rsidRPr="0056798F">
        <w:rPr>
          <w:rStyle w:val="normaltextrun"/>
          <w:rFonts w:eastAsiaTheme="majorEastAsia"/>
          <w:sz w:val="20"/>
          <w:szCs w:val="20"/>
          <w:u w:val="single"/>
        </w:rPr>
        <w:t xml:space="preserve"> de données et </w:t>
      </w:r>
      <w:r w:rsidR="00196D72" w:rsidRPr="0056798F">
        <w:rPr>
          <w:rStyle w:val="normaltextrun"/>
          <w:rFonts w:eastAsiaTheme="majorEastAsia"/>
          <w:sz w:val="20"/>
          <w:szCs w:val="20"/>
          <w:u w:val="single"/>
        </w:rPr>
        <w:t>d</w:t>
      </w:r>
      <w:r w:rsidR="00EA4125"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autres ressources géographiques</w:t>
      </w:r>
      <w:bookmarkEnd w:id="14"/>
      <w:r w:rsidR="00603A60"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 xml:space="preserve">. </w:t>
      </w:r>
      <w:r w:rsidR="00AE6019" w:rsidRPr="0056798F">
        <w:rPr>
          <w:rStyle w:val="normaltextrun"/>
          <w:rFonts w:eastAsiaTheme="majorEastAsia"/>
          <w:sz w:val="20"/>
          <w:szCs w:val="20"/>
          <w:u w:val="single"/>
        </w:rPr>
        <w:t>Les</w:t>
      </w:r>
      <w:r w:rsidR="003F32E1" w:rsidRPr="0056798F">
        <w:rPr>
          <w:rStyle w:val="normaltextrun"/>
          <w:rFonts w:eastAsiaTheme="majorEastAsia"/>
          <w:sz w:val="20"/>
          <w:szCs w:val="20"/>
          <w:u w:val="single"/>
        </w:rPr>
        <w:t xml:space="preserve"> rapports </w:t>
      </w:r>
      <w:proofErr w:type="spellStart"/>
      <w:r w:rsidR="00394E85" w:rsidRPr="0056798F">
        <w:rPr>
          <w:rStyle w:val="normaltextrun"/>
          <w:rFonts w:eastAsiaTheme="majorEastAsia"/>
          <w:sz w:val="20"/>
          <w:szCs w:val="20"/>
          <w:u w:val="single"/>
        </w:rPr>
        <w:t>inter</w:t>
      </w:r>
      <w:r w:rsidR="00660703" w:rsidRPr="0056798F">
        <w:rPr>
          <w:rStyle w:val="normaltextrun"/>
          <w:rFonts w:eastAsiaTheme="majorEastAsia"/>
          <w:sz w:val="20"/>
          <w:szCs w:val="20"/>
          <w:u w:val="single"/>
        </w:rPr>
        <w:t>institutions</w:t>
      </w:r>
      <w:proofErr w:type="spellEnd"/>
      <w:r w:rsidR="003F32E1" w:rsidRPr="0056798F">
        <w:rPr>
          <w:rStyle w:val="normaltextrun"/>
          <w:rFonts w:eastAsiaTheme="majorEastAsia"/>
          <w:sz w:val="20"/>
          <w:szCs w:val="20"/>
          <w:u w:val="single"/>
        </w:rPr>
        <w:t xml:space="preserve"> et les plateformes numériques peuvent faciliter l</w:t>
      </w:r>
      <w:r w:rsidR="00EA4125"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échange d</w:t>
      </w:r>
      <w:r w:rsidR="00EA4125"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 xml:space="preserve">informations et la collaboration. Dans les situations où les ressources </w:t>
      </w:r>
      <w:r w:rsidR="002E2DCE" w:rsidRPr="0056798F">
        <w:rPr>
          <w:rStyle w:val="normaltextrun"/>
          <w:rFonts w:eastAsiaTheme="majorEastAsia"/>
          <w:sz w:val="20"/>
          <w:szCs w:val="20"/>
          <w:u w:val="single"/>
        </w:rPr>
        <w:t>sont limitées</w:t>
      </w:r>
      <w:r w:rsidR="003F32E1" w:rsidRPr="0056798F">
        <w:rPr>
          <w:rStyle w:val="normaltextrun"/>
          <w:rFonts w:eastAsiaTheme="majorEastAsia"/>
          <w:sz w:val="20"/>
          <w:szCs w:val="20"/>
          <w:u w:val="single"/>
        </w:rPr>
        <w:t xml:space="preserve">, des méthodes </w:t>
      </w:r>
      <w:r w:rsidR="00255671" w:rsidRPr="0056798F">
        <w:rPr>
          <w:rStyle w:val="normaltextrun"/>
          <w:rFonts w:eastAsiaTheme="majorEastAsia"/>
          <w:sz w:val="20"/>
          <w:szCs w:val="20"/>
          <w:u w:val="single"/>
        </w:rPr>
        <w:t xml:space="preserve">simplifiées </w:t>
      </w:r>
      <w:r w:rsidR="003F32E1" w:rsidRPr="0056798F">
        <w:rPr>
          <w:rStyle w:val="normaltextrun"/>
          <w:rFonts w:eastAsiaTheme="majorEastAsia"/>
          <w:sz w:val="20"/>
          <w:szCs w:val="20"/>
          <w:u w:val="single"/>
        </w:rPr>
        <w:t>de collecte des données peuvent être utilisées et bénéficier d</w:t>
      </w:r>
      <w:r w:rsidR="00EA4125"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un appui initial, dans l</w:t>
      </w:r>
      <w:r w:rsidR="00EA4125"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optique d</w:t>
      </w:r>
      <w:r w:rsidR="00EA4125" w:rsidRPr="0056798F">
        <w:rPr>
          <w:rStyle w:val="normaltextrun"/>
          <w:rFonts w:eastAsiaTheme="majorEastAsia"/>
          <w:sz w:val="20"/>
          <w:szCs w:val="20"/>
          <w:u w:val="single"/>
        </w:rPr>
        <w:t>’</w:t>
      </w:r>
      <w:r w:rsidR="003F32E1" w:rsidRPr="0056798F">
        <w:rPr>
          <w:rStyle w:val="normaltextrun"/>
          <w:rFonts w:eastAsiaTheme="majorEastAsia"/>
          <w:sz w:val="20"/>
          <w:szCs w:val="20"/>
          <w:u w:val="single"/>
        </w:rPr>
        <w:t>une intégration numérique progressive</w:t>
      </w:r>
      <w:r w:rsidR="003F32E1" w:rsidRPr="0056798F">
        <w:rPr>
          <w:rStyle w:val="normaltextrun"/>
          <w:rFonts w:eastAsiaTheme="majorEastAsia"/>
          <w:sz w:val="20"/>
          <w:szCs w:val="20"/>
        </w:rPr>
        <w:t>.</w:t>
      </w:r>
    </w:p>
    <w:p w14:paraId="6BB4B598" w14:textId="1EC1CBEB" w:rsidR="00C3689E" w:rsidRPr="0056798F" w:rsidRDefault="00045137" w:rsidP="005C3FE1">
      <w:pPr>
        <w:pStyle w:val="paragraph"/>
        <w:numPr>
          <w:ilvl w:val="0"/>
          <w:numId w:val="16"/>
        </w:numPr>
        <w:spacing w:before="0" w:beforeAutospacing="0" w:after="120" w:afterAutospacing="0"/>
        <w:ind w:left="1247" w:firstLine="0"/>
        <w:textAlignment w:val="baseline"/>
        <w:rPr>
          <w:rStyle w:val="normaltextrun"/>
          <w:rFonts w:eastAsiaTheme="majorEastAsia"/>
          <w:color w:val="000000" w:themeColor="text1"/>
          <w:sz w:val="20"/>
          <w:szCs w:val="20"/>
          <w:u w:val="single"/>
        </w:rPr>
      </w:pPr>
      <w:r w:rsidRPr="0056798F">
        <w:rPr>
          <w:rStyle w:val="normaltextrun"/>
          <w:rFonts w:eastAsiaTheme="majorEastAsia"/>
          <w:color w:val="000000" w:themeColor="text1"/>
          <w:sz w:val="20"/>
          <w:szCs w:val="20"/>
          <w:u w:val="single"/>
        </w:rPr>
        <w:t>Des</w:t>
      </w:r>
      <w:r w:rsidR="00C3689E" w:rsidRPr="0056798F">
        <w:rPr>
          <w:rStyle w:val="normaltextrun"/>
          <w:rFonts w:eastAsiaTheme="majorEastAsia"/>
          <w:color w:val="000000" w:themeColor="text1"/>
          <w:sz w:val="20"/>
          <w:szCs w:val="20"/>
          <w:u w:val="single"/>
        </w:rPr>
        <w:t xml:space="preserve"> vérifications supplémentaires des informations peuvent être effectuées</w:t>
      </w:r>
      <w:r w:rsidR="00884AEC" w:rsidRPr="0056798F">
        <w:rPr>
          <w:rStyle w:val="normaltextrun"/>
          <w:rFonts w:eastAsiaTheme="majorEastAsia"/>
          <w:color w:val="000000" w:themeColor="text1"/>
          <w:sz w:val="20"/>
          <w:szCs w:val="20"/>
          <w:u w:val="single"/>
        </w:rPr>
        <w:t xml:space="preserve"> afin de </w:t>
      </w:r>
      <w:r w:rsidR="00C3689E" w:rsidRPr="0056798F">
        <w:rPr>
          <w:rStyle w:val="normaltextrun"/>
          <w:rFonts w:eastAsiaTheme="majorEastAsia"/>
          <w:color w:val="000000" w:themeColor="text1"/>
          <w:sz w:val="20"/>
          <w:szCs w:val="20"/>
          <w:u w:val="single"/>
        </w:rPr>
        <w:t xml:space="preserve">contribuer aux efforts </w:t>
      </w:r>
      <w:r w:rsidR="00884AEC" w:rsidRPr="0056798F">
        <w:rPr>
          <w:rStyle w:val="normaltextrun"/>
          <w:rFonts w:eastAsiaTheme="majorEastAsia"/>
          <w:color w:val="000000" w:themeColor="text1"/>
          <w:sz w:val="20"/>
          <w:szCs w:val="20"/>
          <w:u w:val="single"/>
        </w:rPr>
        <w:t>de</w:t>
      </w:r>
      <w:r w:rsidRPr="0056798F">
        <w:rPr>
          <w:rStyle w:val="normaltextrun"/>
          <w:rFonts w:eastAsiaTheme="majorEastAsia"/>
          <w:color w:val="000000" w:themeColor="text1"/>
          <w:sz w:val="20"/>
          <w:szCs w:val="20"/>
          <w:u w:val="single"/>
        </w:rPr>
        <w:t xml:space="preserve"> recense</w:t>
      </w:r>
      <w:r w:rsidR="00884AEC" w:rsidRPr="0056798F">
        <w:rPr>
          <w:rStyle w:val="normaltextrun"/>
          <w:rFonts w:eastAsiaTheme="majorEastAsia"/>
          <w:color w:val="000000" w:themeColor="text1"/>
          <w:sz w:val="20"/>
          <w:szCs w:val="20"/>
          <w:u w:val="single"/>
        </w:rPr>
        <w:t>ment</w:t>
      </w:r>
      <w:r w:rsidRPr="0056798F">
        <w:rPr>
          <w:rStyle w:val="normaltextrun"/>
          <w:rFonts w:eastAsiaTheme="majorEastAsia"/>
          <w:color w:val="000000" w:themeColor="text1"/>
          <w:sz w:val="20"/>
          <w:szCs w:val="20"/>
          <w:u w:val="single"/>
        </w:rPr>
        <w:t xml:space="preserve"> </w:t>
      </w:r>
      <w:r w:rsidR="00884AEC" w:rsidRPr="0056798F">
        <w:rPr>
          <w:rStyle w:val="normaltextrun"/>
          <w:rFonts w:eastAsiaTheme="majorEastAsia"/>
          <w:color w:val="000000" w:themeColor="text1"/>
          <w:sz w:val="20"/>
          <w:szCs w:val="20"/>
          <w:u w:val="single"/>
        </w:rPr>
        <w:t>d</w:t>
      </w:r>
      <w:r w:rsidRPr="0056798F">
        <w:rPr>
          <w:rStyle w:val="normaltextrun"/>
          <w:rFonts w:eastAsiaTheme="majorEastAsia"/>
          <w:color w:val="000000" w:themeColor="text1"/>
          <w:sz w:val="20"/>
          <w:szCs w:val="20"/>
          <w:u w:val="single"/>
        </w:rPr>
        <w:t xml:space="preserve">es stocks et </w:t>
      </w:r>
      <w:r w:rsidR="00884AEC" w:rsidRPr="0056798F">
        <w:rPr>
          <w:rStyle w:val="normaltextrun"/>
          <w:rFonts w:eastAsiaTheme="majorEastAsia"/>
          <w:color w:val="000000" w:themeColor="text1"/>
          <w:sz w:val="20"/>
          <w:szCs w:val="20"/>
          <w:u w:val="single"/>
        </w:rPr>
        <w:t>d</w:t>
      </w:r>
      <w:r w:rsidRPr="0056798F">
        <w:rPr>
          <w:rStyle w:val="normaltextrun"/>
          <w:rFonts w:eastAsiaTheme="majorEastAsia"/>
          <w:color w:val="000000" w:themeColor="text1"/>
          <w:sz w:val="20"/>
          <w:szCs w:val="20"/>
          <w:u w:val="single"/>
        </w:rPr>
        <w:t>es sources de mercure, y</w:t>
      </w:r>
      <w:r w:rsidR="007F48FA" w:rsidRPr="0056798F">
        <w:rPr>
          <w:rStyle w:val="normaltextrun"/>
          <w:rFonts w:eastAsiaTheme="majorEastAsia"/>
          <w:color w:val="000000" w:themeColor="text1"/>
          <w:sz w:val="20"/>
          <w:szCs w:val="20"/>
          <w:u w:val="single"/>
        </w:rPr>
        <w:t> </w:t>
      </w:r>
      <w:r w:rsidRPr="0056798F">
        <w:rPr>
          <w:rStyle w:val="normaltextrun"/>
          <w:rFonts w:eastAsiaTheme="majorEastAsia"/>
          <w:color w:val="000000" w:themeColor="text1"/>
          <w:sz w:val="20"/>
          <w:szCs w:val="20"/>
          <w:u w:val="single"/>
        </w:rPr>
        <w:t xml:space="preserve">compris </w:t>
      </w:r>
      <w:r w:rsidR="002042DD" w:rsidRPr="0056798F">
        <w:rPr>
          <w:rStyle w:val="normaltextrun"/>
          <w:rFonts w:eastAsiaTheme="majorEastAsia"/>
          <w:color w:val="000000" w:themeColor="text1"/>
          <w:sz w:val="20"/>
          <w:szCs w:val="20"/>
          <w:u w:val="single"/>
        </w:rPr>
        <w:t>l</w:t>
      </w:r>
      <w:r w:rsidRPr="0056798F">
        <w:rPr>
          <w:rStyle w:val="normaltextrun"/>
          <w:rFonts w:eastAsiaTheme="majorEastAsia"/>
          <w:color w:val="000000" w:themeColor="text1"/>
          <w:sz w:val="20"/>
          <w:szCs w:val="20"/>
          <w:u w:val="single"/>
        </w:rPr>
        <w:t xml:space="preserve">es sources potentielles informelles ou non réglementées. Ces vérifications peuvent notamment se faire par </w:t>
      </w:r>
      <w:r w:rsidR="00884AEC" w:rsidRPr="0056798F">
        <w:rPr>
          <w:rStyle w:val="normaltextrun"/>
          <w:rFonts w:eastAsiaTheme="majorEastAsia"/>
          <w:color w:val="000000" w:themeColor="text1"/>
          <w:sz w:val="20"/>
          <w:szCs w:val="20"/>
          <w:u w:val="single"/>
        </w:rPr>
        <w:t xml:space="preserve">la </w:t>
      </w:r>
      <w:r w:rsidRPr="0056798F">
        <w:rPr>
          <w:rStyle w:val="normaltextrun"/>
          <w:rFonts w:eastAsiaTheme="majorEastAsia"/>
          <w:color w:val="000000" w:themeColor="text1"/>
          <w:sz w:val="20"/>
          <w:szCs w:val="20"/>
          <w:u w:val="single"/>
        </w:rPr>
        <w:t>consultation de</w:t>
      </w:r>
      <w:r w:rsidR="00FF4516" w:rsidRPr="0056798F">
        <w:rPr>
          <w:rStyle w:val="normaltextrun"/>
          <w:rFonts w:eastAsiaTheme="majorEastAsia"/>
          <w:color w:val="000000" w:themeColor="text1"/>
          <w:sz w:val="20"/>
          <w:szCs w:val="20"/>
          <w:u w:val="single"/>
        </w:rPr>
        <w:t>s</w:t>
      </w:r>
      <w:r w:rsidRPr="0056798F">
        <w:rPr>
          <w:rStyle w:val="normaltextrun"/>
          <w:rFonts w:eastAsiaTheme="majorEastAsia"/>
          <w:color w:val="000000" w:themeColor="text1"/>
          <w:sz w:val="20"/>
          <w:szCs w:val="20"/>
          <w:u w:val="single"/>
        </w:rPr>
        <w:t xml:space="preserve"> parties prenantes, </w:t>
      </w:r>
      <w:r w:rsidR="00884AEC" w:rsidRPr="0056798F">
        <w:rPr>
          <w:rStyle w:val="normaltextrun"/>
          <w:rFonts w:eastAsiaTheme="majorEastAsia"/>
          <w:color w:val="000000" w:themeColor="text1"/>
          <w:sz w:val="20"/>
          <w:szCs w:val="20"/>
          <w:u w:val="single"/>
        </w:rPr>
        <w:t xml:space="preserve">la </w:t>
      </w:r>
      <w:r w:rsidRPr="0056798F">
        <w:rPr>
          <w:rStyle w:val="normaltextrun"/>
          <w:rFonts w:eastAsiaTheme="majorEastAsia"/>
          <w:color w:val="000000" w:themeColor="text1"/>
          <w:sz w:val="20"/>
          <w:szCs w:val="20"/>
          <w:u w:val="single"/>
        </w:rPr>
        <w:t xml:space="preserve">participation des communautés, </w:t>
      </w:r>
      <w:r w:rsidR="00884AEC" w:rsidRPr="0056798F">
        <w:rPr>
          <w:rStyle w:val="normaltextrun"/>
          <w:rFonts w:eastAsiaTheme="majorEastAsia"/>
          <w:color w:val="000000" w:themeColor="text1"/>
          <w:sz w:val="20"/>
          <w:szCs w:val="20"/>
          <w:u w:val="single"/>
        </w:rPr>
        <w:t>l</w:t>
      </w:r>
      <w:r w:rsidR="00EA4125" w:rsidRPr="0056798F">
        <w:rPr>
          <w:rStyle w:val="normaltextrun"/>
          <w:rFonts w:eastAsiaTheme="majorEastAsia"/>
          <w:color w:val="000000" w:themeColor="text1"/>
          <w:sz w:val="20"/>
          <w:szCs w:val="20"/>
          <w:u w:val="single"/>
        </w:rPr>
        <w:t>’</w:t>
      </w:r>
      <w:r w:rsidRPr="0056798F">
        <w:rPr>
          <w:rStyle w:val="normaltextrun"/>
          <w:rFonts w:eastAsiaTheme="majorEastAsia"/>
          <w:color w:val="000000" w:themeColor="text1"/>
          <w:sz w:val="20"/>
          <w:szCs w:val="20"/>
          <w:u w:val="single"/>
        </w:rPr>
        <w:t>examen des données relatives à l</w:t>
      </w:r>
      <w:r w:rsidR="00EA4125" w:rsidRPr="0056798F">
        <w:rPr>
          <w:rStyle w:val="normaltextrun"/>
          <w:rFonts w:eastAsiaTheme="majorEastAsia"/>
          <w:color w:val="000000" w:themeColor="text1"/>
          <w:sz w:val="20"/>
          <w:szCs w:val="20"/>
          <w:u w:val="single"/>
        </w:rPr>
        <w:t>’</w:t>
      </w:r>
      <w:r w:rsidRPr="0056798F">
        <w:rPr>
          <w:rStyle w:val="normaltextrun"/>
          <w:rFonts w:eastAsiaTheme="majorEastAsia"/>
          <w:color w:val="000000" w:themeColor="text1"/>
          <w:sz w:val="20"/>
          <w:szCs w:val="20"/>
          <w:u w:val="single"/>
        </w:rPr>
        <w:t xml:space="preserve">importation et </w:t>
      </w:r>
      <w:r w:rsidR="0042015B" w:rsidRPr="0056798F">
        <w:rPr>
          <w:rStyle w:val="normaltextrun"/>
          <w:rFonts w:eastAsiaTheme="majorEastAsia"/>
          <w:color w:val="000000" w:themeColor="text1"/>
          <w:sz w:val="20"/>
          <w:szCs w:val="20"/>
          <w:u w:val="single"/>
        </w:rPr>
        <w:t xml:space="preserve">à </w:t>
      </w:r>
      <w:r w:rsidRPr="0056798F">
        <w:rPr>
          <w:rStyle w:val="normaltextrun"/>
          <w:rFonts w:eastAsiaTheme="majorEastAsia"/>
          <w:color w:val="000000" w:themeColor="text1"/>
          <w:sz w:val="20"/>
          <w:szCs w:val="20"/>
          <w:u w:val="single"/>
        </w:rPr>
        <w:t>l</w:t>
      </w:r>
      <w:r w:rsidR="00EA4125" w:rsidRPr="0056798F">
        <w:rPr>
          <w:rStyle w:val="normaltextrun"/>
          <w:rFonts w:eastAsiaTheme="majorEastAsia"/>
          <w:color w:val="000000" w:themeColor="text1"/>
          <w:sz w:val="20"/>
          <w:szCs w:val="20"/>
          <w:u w:val="single"/>
        </w:rPr>
        <w:t>’</w:t>
      </w:r>
      <w:r w:rsidRPr="0056798F">
        <w:rPr>
          <w:rStyle w:val="normaltextrun"/>
          <w:rFonts w:eastAsiaTheme="majorEastAsia"/>
          <w:color w:val="000000" w:themeColor="text1"/>
          <w:sz w:val="20"/>
          <w:szCs w:val="20"/>
          <w:u w:val="single"/>
        </w:rPr>
        <w:t>exportation de mercure</w:t>
      </w:r>
      <w:r w:rsidR="00734683" w:rsidRPr="0056798F">
        <w:rPr>
          <w:rStyle w:val="normaltextrun"/>
          <w:rFonts w:eastAsiaTheme="majorEastAsia"/>
          <w:color w:val="000000" w:themeColor="text1"/>
          <w:sz w:val="20"/>
          <w:szCs w:val="20"/>
          <w:u w:val="single"/>
        </w:rPr>
        <w:t>, des</w:t>
      </w:r>
      <w:r w:rsidRPr="0056798F">
        <w:rPr>
          <w:rStyle w:val="normaltextrun"/>
          <w:rFonts w:eastAsiaTheme="majorEastAsia"/>
          <w:color w:val="000000" w:themeColor="text1"/>
          <w:sz w:val="20"/>
          <w:szCs w:val="20"/>
          <w:u w:val="single"/>
        </w:rPr>
        <w:t xml:space="preserve"> inspections de routine, </w:t>
      </w:r>
      <w:r w:rsidR="00884AEC" w:rsidRPr="0056798F">
        <w:rPr>
          <w:rStyle w:val="normaltextrun"/>
          <w:rFonts w:eastAsiaTheme="majorEastAsia"/>
          <w:color w:val="000000" w:themeColor="text1"/>
          <w:sz w:val="20"/>
          <w:szCs w:val="20"/>
          <w:u w:val="single"/>
        </w:rPr>
        <w:t>l</w:t>
      </w:r>
      <w:r w:rsidR="00EA4125" w:rsidRPr="0056798F">
        <w:rPr>
          <w:rStyle w:val="normaltextrun"/>
          <w:rFonts w:eastAsiaTheme="majorEastAsia"/>
          <w:color w:val="000000" w:themeColor="text1"/>
          <w:sz w:val="20"/>
          <w:szCs w:val="20"/>
          <w:u w:val="single"/>
        </w:rPr>
        <w:t>’</w:t>
      </w:r>
      <w:r w:rsidRPr="0056798F">
        <w:rPr>
          <w:rStyle w:val="normaltextrun"/>
          <w:rFonts w:eastAsiaTheme="majorEastAsia"/>
          <w:color w:val="000000" w:themeColor="text1"/>
          <w:sz w:val="20"/>
          <w:szCs w:val="20"/>
          <w:u w:val="single"/>
        </w:rPr>
        <w:t xml:space="preserve">examen des registres des autorités locales, </w:t>
      </w:r>
      <w:bookmarkStart w:id="15" w:name="_Hlk207107739"/>
      <w:r w:rsidR="00C51043" w:rsidRPr="0056798F">
        <w:rPr>
          <w:rStyle w:val="normaltextrun"/>
          <w:rFonts w:eastAsiaTheme="majorEastAsia"/>
          <w:color w:val="000000" w:themeColor="text1"/>
          <w:sz w:val="20"/>
          <w:szCs w:val="20"/>
          <w:u w:val="single"/>
        </w:rPr>
        <w:t>d</w:t>
      </w:r>
      <w:r w:rsidRPr="0056798F">
        <w:rPr>
          <w:rStyle w:val="normaltextrun"/>
          <w:rFonts w:eastAsiaTheme="majorEastAsia"/>
          <w:color w:val="000000" w:themeColor="text1"/>
          <w:sz w:val="20"/>
          <w:szCs w:val="20"/>
          <w:u w:val="single"/>
        </w:rPr>
        <w:t>es études d</w:t>
      </w:r>
      <w:r w:rsidR="00EA4125" w:rsidRPr="0056798F">
        <w:rPr>
          <w:rStyle w:val="normaltextrun"/>
          <w:rFonts w:eastAsiaTheme="majorEastAsia"/>
          <w:color w:val="000000" w:themeColor="text1"/>
          <w:sz w:val="20"/>
          <w:szCs w:val="20"/>
          <w:u w:val="single"/>
        </w:rPr>
        <w:t>’</w:t>
      </w:r>
      <w:r w:rsidRPr="0056798F">
        <w:rPr>
          <w:rStyle w:val="normaltextrun"/>
          <w:rFonts w:eastAsiaTheme="majorEastAsia"/>
          <w:color w:val="000000" w:themeColor="text1"/>
          <w:sz w:val="20"/>
          <w:szCs w:val="20"/>
          <w:u w:val="single"/>
        </w:rPr>
        <w:t>impact en aval (</w:t>
      </w:r>
      <w:r w:rsidR="00884AEC" w:rsidRPr="0056798F">
        <w:rPr>
          <w:rStyle w:val="normaltextrun"/>
          <w:rFonts w:eastAsiaTheme="majorEastAsia"/>
          <w:color w:val="000000" w:themeColor="text1"/>
          <w:sz w:val="20"/>
          <w:szCs w:val="20"/>
          <w:u w:val="single"/>
        </w:rPr>
        <w:t>telles que</w:t>
      </w:r>
      <w:r w:rsidRPr="0056798F">
        <w:rPr>
          <w:rStyle w:val="normaltextrun"/>
          <w:rFonts w:eastAsiaTheme="majorEastAsia"/>
          <w:color w:val="000000" w:themeColor="text1"/>
          <w:sz w:val="20"/>
          <w:szCs w:val="20"/>
          <w:u w:val="single"/>
        </w:rPr>
        <w:t xml:space="preserve"> des </w:t>
      </w:r>
      <w:r w:rsidR="00B5792C" w:rsidRPr="0056798F">
        <w:rPr>
          <w:rStyle w:val="normaltextrun"/>
          <w:rFonts w:eastAsiaTheme="majorEastAsia"/>
          <w:color w:val="000000" w:themeColor="text1"/>
          <w:sz w:val="20"/>
          <w:szCs w:val="20"/>
          <w:u w:val="single"/>
        </w:rPr>
        <w:t>prélèvement</w:t>
      </w:r>
      <w:r w:rsidR="00C51043" w:rsidRPr="0056798F">
        <w:rPr>
          <w:rStyle w:val="normaltextrun"/>
          <w:rFonts w:eastAsiaTheme="majorEastAsia"/>
          <w:color w:val="000000" w:themeColor="text1"/>
          <w:sz w:val="20"/>
          <w:szCs w:val="20"/>
          <w:u w:val="single"/>
        </w:rPr>
        <w:t>s</w:t>
      </w:r>
      <w:r w:rsidR="00B5792C" w:rsidRPr="0056798F">
        <w:rPr>
          <w:rStyle w:val="normaltextrun"/>
          <w:rFonts w:eastAsiaTheme="majorEastAsia"/>
          <w:color w:val="000000" w:themeColor="text1"/>
          <w:sz w:val="20"/>
          <w:szCs w:val="20"/>
          <w:u w:val="single"/>
        </w:rPr>
        <w:t xml:space="preserve"> environnementaux</w:t>
      </w:r>
      <w:r w:rsidRPr="0056798F">
        <w:rPr>
          <w:rStyle w:val="normaltextrun"/>
          <w:rFonts w:eastAsiaTheme="majorEastAsia"/>
          <w:color w:val="000000" w:themeColor="text1"/>
          <w:sz w:val="20"/>
          <w:szCs w:val="20"/>
          <w:u w:val="single"/>
        </w:rPr>
        <w:t>,</w:t>
      </w:r>
      <w:r w:rsidR="007E3B84" w:rsidRPr="0056798F">
        <w:rPr>
          <w:rStyle w:val="normaltextrun"/>
          <w:rFonts w:eastAsiaTheme="majorEastAsia"/>
          <w:color w:val="000000" w:themeColor="text1"/>
          <w:sz w:val="20"/>
          <w:szCs w:val="20"/>
          <w:u w:val="single"/>
        </w:rPr>
        <w:t xml:space="preserve"> </w:t>
      </w:r>
      <w:bookmarkEnd w:id="15"/>
      <w:r w:rsidR="007E3B84" w:rsidRPr="0056798F">
        <w:rPr>
          <w:rStyle w:val="normaltextrun"/>
          <w:rFonts w:eastAsiaTheme="majorEastAsia"/>
          <w:color w:val="000000" w:themeColor="text1"/>
          <w:sz w:val="20"/>
          <w:szCs w:val="20"/>
          <w:u w:val="single"/>
        </w:rPr>
        <w:t>des contrôles de l</w:t>
      </w:r>
      <w:r w:rsidR="00EA4125" w:rsidRPr="0056798F">
        <w:rPr>
          <w:rStyle w:val="normaltextrun"/>
          <w:rFonts w:eastAsiaTheme="majorEastAsia"/>
          <w:color w:val="000000" w:themeColor="text1"/>
          <w:sz w:val="20"/>
          <w:szCs w:val="20"/>
          <w:u w:val="single"/>
        </w:rPr>
        <w:t>’</w:t>
      </w:r>
      <w:r w:rsidR="007E3B84" w:rsidRPr="0056798F">
        <w:rPr>
          <w:rStyle w:val="normaltextrun"/>
          <w:rFonts w:eastAsiaTheme="majorEastAsia"/>
          <w:color w:val="000000" w:themeColor="text1"/>
          <w:sz w:val="20"/>
          <w:szCs w:val="20"/>
          <w:u w:val="single"/>
        </w:rPr>
        <w:t xml:space="preserve">exactitude et du respect des règles ou </w:t>
      </w:r>
      <w:r w:rsidR="00884AEC" w:rsidRPr="0056798F">
        <w:rPr>
          <w:rStyle w:val="normaltextrun"/>
          <w:rFonts w:eastAsiaTheme="majorEastAsia"/>
          <w:color w:val="000000" w:themeColor="text1"/>
          <w:sz w:val="20"/>
          <w:szCs w:val="20"/>
          <w:u w:val="single"/>
        </w:rPr>
        <w:t xml:space="preserve">formulaires </w:t>
      </w:r>
      <w:r w:rsidR="007E3B84" w:rsidRPr="0056798F">
        <w:rPr>
          <w:rStyle w:val="normaltextrun"/>
          <w:rFonts w:eastAsiaTheme="majorEastAsia"/>
          <w:color w:val="000000" w:themeColor="text1"/>
          <w:sz w:val="20"/>
          <w:szCs w:val="20"/>
          <w:u w:val="single"/>
        </w:rPr>
        <w:t xml:space="preserve">administratifs </w:t>
      </w:r>
      <w:r w:rsidR="00884AEC" w:rsidRPr="0056798F">
        <w:rPr>
          <w:rStyle w:val="normaltextrun"/>
          <w:rFonts w:eastAsiaTheme="majorEastAsia"/>
          <w:color w:val="000000" w:themeColor="text1"/>
          <w:sz w:val="20"/>
          <w:szCs w:val="20"/>
          <w:u w:val="single"/>
        </w:rPr>
        <w:t>en vigueur</w:t>
      </w:r>
      <w:r w:rsidR="007E3B84" w:rsidRPr="0056798F">
        <w:rPr>
          <w:rStyle w:val="normaltextrun"/>
          <w:rFonts w:eastAsiaTheme="majorEastAsia"/>
          <w:color w:val="000000" w:themeColor="text1"/>
          <w:sz w:val="20"/>
          <w:szCs w:val="20"/>
          <w:u w:val="single"/>
        </w:rPr>
        <w:t xml:space="preserve">, des validations par recoupements intersectoriels, </w:t>
      </w:r>
      <w:r w:rsidR="00FF4516" w:rsidRPr="0056798F">
        <w:rPr>
          <w:rStyle w:val="normaltextrun"/>
          <w:rFonts w:eastAsiaTheme="majorEastAsia"/>
          <w:color w:val="000000" w:themeColor="text1"/>
          <w:sz w:val="20"/>
          <w:szCs w:val="20"/>
          <w:u w:val="single"/>
        </w:rPr>
        <w:t xml:space="preserve">le </w:t>
      </w:r>
      <w:r w:rsidR="007E3B84" w:rsidRPr="0056798F">
        <w:rPr>
          <w:rStyle w:val="normaltextrun"/>
          <w:rFonts w:eastAsiaTheme="majorEastAsia"/>
          <w:color w:val="000000" w:themeColor="text1"/>
          <w:sz w:val="20"/>
          <w:szCs w:val="20"/>
          <w:u w:val="single"/>
        </w:rPr>
        <w:t xml:space="preserve">traitement des erreurs, </w:t>
      </w:r>
      <w:r w:rsidR="00FF4516" w:rsidRPr="0056798F">
        <w:rPr>
          <w:rStyle w:val="normaltextrun"/>
          <w:rFonts w:eastAsiaTheme="majorEastAsia"/>
          <w:color w:val="000000" w:themeColor="text1"/>
          <w:sz w:val="20"/>
          <w:szCs w:val="20"/>
          <w:u w:val="single"/>
        </w:rPr>
        <w:t xml:space="preserve">le </w:t>
      </w:r>
      <w:r w:rsidR="007E3B84" w:rsidRPr="0056798F">
        <w:rPr>
          <w:rStyle w:val="normaltextrun"/>
          <w:rFonts w:eastAsiaTheme="majorEastAsia"/>
          <w:color w:val="000000" w:themeColor="text1"/>
          <w:sz w:val="20"/>
          <w:szCs w:val="20"/>
          <w:u w:val="single"/>
        </w:rPr>
        <w:t xml:space="preserve">suivi des données (par exemple </w:t>
      </w:r>
      <w:r w:rsidR="003475B0" w:rsidRPr="0056798F">
        <w:rPr>
          <w:rStyle w:val="normaltextrun"/>
          <w:rFonts w:eastAsiaTheme="majorEastAsia"/>
          <w:color w:val="000000" w:themeColor="text1"/>
          <w:sz w:val="20"/>
          <w:szCs w:val="20"/>
          <w:u w:val="single"/>
        </w:rPr>
        <w:t>en mettant</w:t>
      </w:r>
      <w:r w:rsidR="007E3B84" w:rsidRPr="0056798F">
        <w:rPr>
          <w:rStyle w:val="normaltextrun"/>
          <w:rFonts w:eastAsiaTheme="majorEastAsia"/>
          <w:color w:val="000000" w:themeColor="text1"/>
          <w:sz w:val="20"/>
          <w:szCs w:val="20"/>
          <w:u w:val="single"/>
        </w:rPr>
        <w:t xml:space="preserve"> en place un horodatage </w:t>
      </w:r>
      <w:r w:rsidR="003475B0" w:rsidRPr="0056798F">
        <w:rPr>
          <w:rStyle w:val="normaltextrun"/>
          <w:rFonts w:eastAsiaTheme="majorEastAsia"/>
          <w:color w:val="000000" w:themeColor="text1"/>
          <w:sz w:val="20"/>
          <w:szCs w:val="20"/>
          <w:u w:val="single"/>
        </w:rPr>
        <w:t>ou des</w:t>
      </w:r>
      <w:r w:rsidR="007E3B84" w:rsidRPr="0056798F">
        <w:rPr>
          <w:rStyle w:val="normaltextrun"/>
          <w:rFonts w:eastAsiaTheme="majorEastAsia"/>
          <w:color w:val="000000" w:themeColor="text1"/>
          <w:sz w:val="20"/>
          <w:szCs w:val="20"/>
          <w:u w:val="single"/>
        </w:rPr>
        <w:t xml:space="preserve"> journaux d</w:t>
      </w:r>
      <w:r w:rsidR="00EA4125" w:rsidRPr="0056798F">
        <w:rPr>
          <w:rStyle w:val="normaltextrun"/>
          <w:rFonts w:eastAsiaTheme="majorEastAsia"/>
          <w:color w:val="000000" w:themeColor="text1"/>
          <w:sz w:val="20"/>
          <w:szCs w:val="20"/>
          <w:u w:val="single"/>
        </w:rPr>
        <w:t>’</w:t>
      </w:r>
      <w:r w:rsidR="007E3B84" w:rsidRPr="0056798F">
        <w:rPr>
          <w:rStyle w:val="normaltextrun"/>
          <w:rFonts w:eastAsiaTheme="majorEastAsia"/>
          <w:color w:val="000000" w:themeColor="text1"/>
          <w:sz w:val="20"/>
          <w:szCs w:val="20"/>
          <w:u w:val="single"/>
        </w:rPr>
        <w:t xml:space="preserve">audit) et des </w:t>
      </w:r>
      <w:r w:rsidR="00655CB3" w:rsidRPr="0056798F">
        <w:rPr>
          <w:rStyle w:val="normaltextrun"/>
          <w:rFonts w:eastAsiaTheme="majorEastAsia"/>
          <w:color w:val="000000" w:themeColor="text1"/>
          <w:sz w:val="20"/>
          <w:szCs w:val="20"/>
          <w:u w:val="single"/>
        </w:rPr>
        <w:t>vérifications sur le</w:t>
      </w:r>
      <w:r w:rsidR="007E3B84" w:rsidRPr="0056798F">
        <w:rPr>
          <w:rStyle w:val="normaltextrun"/>
          <w:rFonts w:eastAsiaTheme="majorEastAsia"/>
          <w:color w:val="000000" w:themeColor="text1"/>
          <w:sz w:val="20"/>
          <w:szCs w:val="20"/>
          <w:u w:val="single"/>
        </w:rPr>
        <w:t xml:space="preserve"> terrain</w:t>
      </w:r>
      <w:r w:rsidR="00FA44D1" w:rsidRPr="0056798F">
        <w:rPr>
          <w:rStyle w:val="normaltextrun"/>
          <w:rFonts w:eastAsiaTheme="majorEastAsia"/>
          <w:color w:val="000000" w:themeColor="text1"/>
          <w:sz w:val="20"/>
          <w:szCs w:val="20"/>
          <w:u w:val="single"/>
        </w:rPr>
        <w:t>.</w:t>
      </w:r>
      <w:r w:rsidR="007E3B84" w:rsidRPr="0056798F">
        <w:rPr>
          <w:rStyle w:val="normaltextrun"/>
          <w:rFonts w:eastAsiaTheme="majorEastAsia"/>
          <w:color w:val="000000" w:themeColor="text1"/>
          <w:sz w:val="20"/>
          <w:szCs w:val="20"/>
          <w:u w:val="single"/>
        </w:rPr>
        <w:t xml:space="preserve"> Les Parties disposant d</w:t>
      </w:r>
      <w:r w:rsidR="00EA4125" w:rsidRPr="0056798F">
        <w:rPr>
          <w:rStyle w:val="normaltextrun"/>
          <w:rFonts w:eastAsiaTheme="majorEastAsia"/>
          <w:color w:val="000000" w:themeColor="text1"/>
          <w:sz w:val="20"/>
          <w:szCs w:val="20"/>
          <w:u w:val="single"/>
        </w:rPr>
        <w:t>’</w:t>
      </w:r>
      <w:r w:rsidR="007E3B84" w:rsidRPr="0056798F">
        <w:rPr>
          <w:rStyle w:val="normaltextrun"/>
          <w:rFonts w:eastAsiaTheme="majorEastAsia"/>
          <w:color w:val="000000" w:themeColor="text1"/>
          <w:sz w:val="20"/>
          <w:szCs w:val="20"/>
          <w:u w:val="single"/>
        </w:rPr>
        <w:t xml:space="preserve">infrastructures </w:t>
      </w:r>
      <w:r w:rsidR="00784021" w:rsidRPr="0056798F">
        <w:rPr>
          <w:rStyle w:val="normaltextrun"/>
          <w:rFonts w:eastAsiaTheme="majorEastAsia"/>
          <w:color w:val="000000" w:themeColor="text1"/>
          <w:sz w:val="20"/>
          <w:szCs w:val="20"/>
          <w:u w:val="single"/>
        </w:rPr>
        <w:t xml:space="preserve">de vérification </w:t>
      </w:r>
      <w:r w:rsidR="007E3B84" w:rsidRPr="0056798F">
        <w:rPr>
          <w:rStyle w:val="normaltextrun"/>
          <w:rFonts w:eastAsiaTheme="majorEastAsia"/>
          <w:color w:val="000000" w:themeColor="text1"/>
          <w:sz w:val="20"/>
          <w:szCs w:val="20"/>
          <w:u w:val="single"/>
        </w:rPr>
        <w:t xml:space="preserve">limitées </w:t>
      </w:r>
      <w:r w:rsidR="00784021" w:rsidRPr="0056798F">
        <w:rPr>
          <w:rStyle w:val="normaltextrun"/>
          <w:rFonts w:eastAsiaTheme="majorEastAsia"/>
          <w:color w:val="000000" w:themeColor="text1"/>
          <w:sz w:val="20"/>
          <w:szCs w:val="20"/>
          <w:u w:val="single"/>
        </w:rPr>
        <w:t xml:space="preserve">peuvent privilégier </w:t>
      </w:r>
      <w:r w:rsidR="00360DBB" w:rsidRPr="0056798F">
        <w:rPr>
          <w:rStyle w:val="normaltextrun"/>
          <w:rFonts w:eastAsiaTheme="majorEastAsia"/>
          <w:color w:val="000000" w:themeColor="text1"/>
          <w:sz w:val="20"/>
          <w:szCs w:val="20"/>
          <w:u w:val="single"/>
        </w:rPr>
        <w:t>l</w:t>
      </w:r>
      <w:r w:rsidR="00EA4125" w:rsidRPr="0056798F">
        <w:rPr>
          <w:rStyle w:val="normaltextrun"/>
          <w:rFonts w:eastAsiaTheme="majorEastAsia"/>
          <w:color w:val="000000" w:themeColor="text1"/>
          <w:sz w:val="20"/>
          <w:szCs w:val="20"/>
          <w:u w:val="single"/>
        </w:rPr>
        <w:t>’</w:t>
      </w:r>
      <w:r w:rsidR="00784021" w:rsidRPr="0056798F">
        <w:rPr>
          <w:rStyle w:val="normaltextrun"/>
          <w:rFonts w:eastAsiaTheme="majorEastAsia"/>
          <w:color w:val="000000" w:themeColor="text1"/>
          <w:sz w:val="20"/>
          <w:szCs w:val="20"/>
          <w:u w:val="single"/>
        </w:rPr>
        <w:t>examen de documents</w:t>
      </w:r>
      <w:r w:rsidR="000A23AA" w:rsidRPr="0056798F">
        <w:rPr>
          <w:rStyle w:val="normaltextrun"/>
          <w:rFonts w:eastAsiaTheme="majorEastAsia"/>
          <w:color w:val="000000" w:themeColor="text1"/>
          <w:sz w:val="20"/>
          <w:szCs w:val="20"/>
          <w:u w:val="single"/>
        </w:rPr>
        <w:t xml:space="preserve"> </w:t>
      </w:r>
      <w:r w:rsidR="00784021" w:rsidRPr="0056798F">
        <w:rPr>
          <w:rStyle w:val="normaltextrun"/>
          <w:rFonts w:eastAsiaTheme="majorEastAsia"/>
          <w:color w:val="000000" w:themeColor="text1"/>
          <w:sz w:val="20"/>
          <w:szCs w:val="20"/>
          <w:u w:val="single"/>
        </w:rPr>
        <w:t xml:space="preserve">et les entretiens avec les parties prenantes </w:t>
      </w:r>
      <w:r w:rsidR="00426280" w:rsidRPr="0056798F">
        <w:rPr>
          <w:rStyle w:val="normaltextrun"/>
          <w:rFonts w:eastAsiaTheme="majorEastAsia"/>
          <w:color w:val="000000" w:themeColor="text1"/>
          <w:sz w:val="20"/>
          <w:szCs w:val="20"/>
          <w:u w:val="single"/>
        </w:rPr>
        <w:t>e</w:t>
      </w:r>
      <w:r w:rsidR="00360DBB" w:rsidRPr="0056798F">
        <w:rPr>
          <w:rStyle w:val="normaltextrun"/>
          <w:rFonts w:eastAsiaTheme="majorEastAsia"/>
          <w:color w:val="000000" w:themeColor="text1"/>
          <w:sz w:val="20"/>
          <w:szCs w:val="20"/>
          <w:u w:val="single"/>
        </w:rPr>
        <w:t>t</w:t>
      </w:r>
      <w:r w:rsidR="00426280" w:rsidRPr="0056798F">
        <w:rPr>
          <w:rStyle w:val="normaltextrun"/>
          <w:rFonts w:eastAsiaTheme="majorEastAsia"/>
          <w:color w:val="000000" w:themeColor="text1"/>
          <w:sz w:val="20"/>
          <w:szCs w:val="20"/>
          <w:u w:val="single"/>
        </w:rPr>
        <w:t xml:space="preserve"> recour</w:t>
      </w:r>
      <w:r w:rsidR="00360DBB" w:rsidRPr="0056798F">
        <w:rPr>
          <w:rStyle w:val="normaltextrun"/>
          <w:rFonts w:eastAsiaTheme="majorEastAsia"/>
          <w:color w:val="000000" w:themeColor="text1"/>
          <w:sz w:val="20"/>
          <w:szCs w:val="20"/>
          <w:u w:val="single"/>
        </w:rPr>
        <w:t>ir</w:t>
      </w:r>
      <w:r w:rsidR="00426280" w:rsidRPr="0056798F">
        <w:rPr>
          <w:rStyle w:val="normaltextrun"/>
          <w:rFonts w:eastAsiaTheme="majorEastAsia"/>
          <w:color w:val="000000" w:themeColor="text1"/>
          <w:sz w:val="20"/>
          <w:szCs w:val="20"/>
          <w:u w:val="single"/>
        </w:rPr>
        <w:t xml:space="preserve"> à un</w:t>
      </w:r>
      <w:r w:rsidR="001C5F31" w:rsidRPr="0056798F">
        <w:rPr>
          <w:rStyle w:val="normaltextrun"/>
          <w:rFonts w:eastAsiaTheme="majorEastAsia"/>
          <w:color w:val="000000" w:themeColor="text1"/>
          <w:sz w:val="20"/>
          <w:szCs w:val="20"/>
          <w:u w:val="single"/>
        </w:rPr>
        <w:t xml:space="preserve"> </w:t>
      </w:r>
      <w:r w:rsidR="00426280" w:rsidRPr="0056798F">
        <w:rPr>
          <w:rStyle w:val="normaltextrun"/>
          <w:rFonts w:eastAsiaTheme="majorEastAsia"/>
          <w:color w:val="000000" w:themeColor="text1"/>
          <w:sz w:val="20"/>
          <w:szCs w:val="20"/>
          <w:u w:val="single"/>
        </w:rPr>
        <w:t xml:space="preserve">appui technique et à des formations pour la </w:t>
      </w:r>
      <w:r w:rsidR="00A714CB" w:rsidRPr="0056798F">
        <w:rPr>
          <w:rStyle w:val="normaltextrun"/>
          <w:rFonts w:eastAsiaTheme="majorEastAsia"/>
          <w:color w:val="000000" w:themeColor="text1"/>
          <w:sz w:val="20"/>
          <w:szCs w:val="20"/>
          <w:u w:val="single"/>
        </w:rPr>
        <w:t xml:space="preserve">vérification </w:t>
      </w:r>
      <w:r w:rsidR="00360DBB" w:rsidRPr="0056798F">
        <w:rPr>
          <w:rStyle w:val="normaltextrun"/>
          <w:rFonts w:eastAsiaTheme="majorEastAsia"/>
          <w:color w:val="000000" w:themeColor="text1"/>
          <w:sz w:val="20"/>
          <w:szCs w:val="20"/>
          <w:u w:val="single"/>
        </w:rPr>
        <w:t xml:space="preserve">sur le </w:t>
      </w:r>
      <w:r w:rsidR="00426280" w:rsidRPr="0056798F">
        <w:rPr>
          <w:rStyle w:val="normaltextrun"/>
          <w:rFonts w:eastAsiaTheme="majorEastAsia"/>
          <w:color w:val="000000" w:themeColor="text1"/>
          <w:sz w:val="20"/>
          <w:szCs w:val="20"/>
          <w:u w:val="single"/>
        </w:rPr>
        <w:t>terrain</w:t>
      </w:r>
      <w:r w:rsidR="00426280" w:rsidRPr="0056798F">
        <w:rPr>
          <w:rStyle w:val="normaltextrun"/>
          <w:rFonts w:eastAsiaTheme="majorEastAsia"/>
          <w:color w:val="000000" w:themeColor="text1"/>
          <w:sz w:val="20"/>
          <w:szCs w:val="20"/>
        </w:rPr>
        <w:t>.</w:t>
      </w:r>
      <w:r w:rsidR="00784021" w:rsidRPr="0056798F">
        <w:rPr>
          <w:rStyle w:val="normaltextrun"/>
          <w:rFonts w:eastAsiaTheme="majorEastAsia"/>
          <w:color w:val="000000" w:themeColor="text1"/>
          <w:sz w:val="20"/>
          <w:szCs w:val="20"/>
          <w:u w:val="single"/>
        </w:rPr>
        <w:t xml:space="preserve"> </w:t>
      </w:r>
    </w:p>
    <w:p w14:paraId="22AB796A" w14:textId="77777777" w:rsidR="00A568B3" w:rsidRPr="0056798F" w:rsidRDefault="00FF1707" w:rsidP="005C3FE1">
      <w:pPr>
        <w:pStyle w:val="paragraph"/>
        <w:numPr>
          <w:ilvl w:val="0"/>
          <w:numId w:val="16"/>
        </w:numPr>
        <w:spacing w:before="0" w:beforeAutospacing="0" w:after="120" w:afterAutospacing="0"/>
        <w:ind w:left="1247" w:firstLine="0"/>
        <w:textAlignment w:val="baseline"/>
        <w:rPr>
          <w:rStyle w:val="normaltextrun"/>
          <w:rFonts w:eastAsiaTheme="majorEastAsia"/>
          <w:color w:val="000000" w:themeColor="text1"/>
          <w:sz w:val="20"/>
          <w:szCs w:val="20"/>
        </w:rPr>
        <w:sectPr w:rsidR="00A568B3" w:rsidRPr="0056798F" w:rsidSect="006C0509">
          <w:footnotePr>
            <w:numRestart w:val="eachSect"/>
          </w:footnotePr>
          <w:type w:val="continuous"/>
          <w:pgSz w:w="11907" w:h="16839" w:code="9"/>
          <w:pgMar w:top="907" w:right="992" w:bottom="1418" w:left="1418" w:header="539" w:footer="975" w:gutter="0"/>
          <w:cols w:space="539"/>
          <w:titlePg/>
          <w:docGrid w:linePitch="360"/>
        </w:sectPr>
      </w:pPr>
      <w:r w:rsidRPr="0056798F">
        <w:rPr>
          <w:rStyle w:val="normaltextrun"/>
          <w:rFonts w:eastAsiaTheme="majorEastAsia"/>
          <w:color w:val="000000" w:themeColor="text1"/>
          <w:sz w:val="20"/>
          <w:szCs w:val="20"/>
          <w:u w:val="single"/>
        </w:rPr>
        <w:t xml:space="preserve">En raison de la nature évolutive des stocks de mercure, il est nécessaire de définir le moment et la fréquence des activités liées </w:t>
      </w:r>
      <w:r w:rsidR="00655CB3" w:rsidRPr="0056798F">
        <w:rPr>
          <w:rStyle w:val="normaltextrun"/>
          <w:rFonts w:eastAsiaTheme="majorEastAsia"/>
          <w:color w:val="000000" w:themeColor="text1"/>
          <w:sz w:val="20"/>
          <w:szCs w:val="20"/>
          <w:u w:val="single"/>
        </w:rPr>
        <w:t>à l</w:t>
      </w:r>
      <w:r w:rsidR="00EA4125" w:rsidRPr="0056798F">
        <w:rPr>
          <w:rStyle w:val="normaltextrun"/>
          <w:rFonts w:eastAsiaTheme="majorEastAsia"/>
          <w:color w:val="000000" w:themeColor="text1"/>
          <w:sz w:val="20"/>
          <w:szCs w:val="20"/>
          <w:u w:val="single"/>
        </w:rPr>
        <w:t>’</w:t>
      </w:r>
      <w:r w:rsidR="00655CB3" w:rsidRPr="0056798F">
        <w:rPr>
          <w:rStyle w:val="normaltextrun"/>
          <w:rFonts w:eastAsiaTheme="majorEastAsia"/>
          <w:color w:val="000000" w:themeColor="text1"/>
          <w:sz w:val="20"/>
          <w:szCs w:val="20"/>
          <w:u w:val="single"/>
        </w:rPr>
        <w:t>i</w:t>
      </w:r>
      <w:r w:rsidR="009D347A" w:rsidRPr="0056798F">
        <w:rPr>
          <w:rStyle w:val="normaltextrun"/>
          <w:rFonts w:eastAsiaTheme="majorEastAsia"/>
          <w:sz w:val="20"/>
          <w:szCs w:val="20"/>
          <w:u w:val="single"/>
        </w:rPr>
        <w:t>dentification</w:t>
      </w:r>
      <w:r w:rsidRPr="0056798F">
        <w:rPr>
          <w:rStyle w:val="normaltextrun"/>
          <w:rFonts w:eastAsiaTheme="majorEastAsia"/>
          <w:color w:val="000000" w:themeColor="text1"/>
          <w:sz w:val="20"/>
          <w:szCs w:val="20"/>
          <w:u w:val="single"/>
        </w:rPr>
        <w:t xml:space="preserve"> et à la quantification des stocks</w:t>
      </w:r>
      <w:r w:rsidR="009D347A" w:rsidRPr="0056798F">
        <w:rPr>
          <w:rStyle w:val="normaltextrun"/>
          <w:rFonts w:eastAsiaTheme="majorEastAsia"/>
          <w:color w:val="000000" w:themeColor="text1"/>
          <w:sz w:val="20"/>
          <w:szCs w:val="20"/>
          <w:u w:val="single"/>
        </w:rPr>
        <w:t>. Pour déterminer la fréquence de</w:t>
      </w:r>
      <w:r w:rsidR="0017422B" w:rsidRPr="0056798F">
        <w:rPr>
          <w:rStyle w:val="normaltextrun"/>
          <w:rFonts w:eastAsiaTheme="majorEastAsia"/>
          <w:color w:val="000000" w:themeColor="text1"/>
          <w:sz w:val="20"/>
          <w:szCs w:val="20"/>
          <w:u w:val="single"/>
        </w:rPr>
        <w:t xml:space="preserve">s </w:t>
      </w:r>
      <w:r w:rsidR="009D347A" w:rsidRPr="0056798F">
        <w:rPr>
          <w:rStyle w:val="normaltextrun"/>
          <w:rFonts w:eastAsiaTheme="majorEastAsia"/>
          <w:color w:val="000000" w:themeColor="text1"/>
          <w:sz w:val="20"/>
          <w:szCs w:val="20"/>
          <w:u w:val="single"/>
        </w:rPr>
        <w:t>inventaire</w:t>
      </w:r>
      <w:r w:rsidR="0017422B" w:rsidRPr="0056798F">
        <w:rPr>
          <w:rStyle w:val="normaltextrun"/>
          <w:rFonts w:eastAsiaTheme="majorEastAsia"/>
          <w:color w:val="000000" w:themeColor="text1"/>
          <w:sz w:val="20"/>
          <w:szCs w:val="20"/>
          <w:u w:val="single"/>
        </w:rPr>
        <w:t>s</w:t>
      </w:r>
      <w:r w:rsidR="009D347A" w:rsidRPr="0056798F">
        <w:rPr>
          <w:rStyle w:val="normaltextrun"/>
          <w:rFonts w:eastAsiaTheme="majorEastAsia"/>
          <w:color w:val="000000" w:themeColor="text1"/>
          <w:sz w:val="20"/>
          <w:szCs w:val="20"/>
          <w:u w:val="single"/>
        </w:rPr>
        <w:t xml:space="preserve">, on pourra prendre en compte la fréquence de la collecte des données, la mise en place de méthodes de suivi des variations dans les stocks et les approvisionnements au fil du temps, la communication de ces données et la mise à jour des inventaires nationaux. La fréquence </w:t>
      </w:r>
      <w:r w:rsidR="00325FB5" w:rsidRPr="0056798F">
        <w:rPr>
          <w:rStyle w:val="normaltextrun"/>
          <w:rFonts w:eastAsiaTheme="majorEastAsia"/>
          <w:color w:val="000000" w:themeColor="text1"/>
          <w:sz w:val="20"/>
          <w:szCs w:val="20"/>
          <w:u w:val="single"/>
        </w:rPr>
        <w:t>et l</w:t>
      </w:r>
      <w:r w:rsidR="00EA4125" w:rsidRPr="0056798F">
        <w:rPr>
          <w:rStyle w:val="normaltextrun"/>
          <w:rFonts w:eastAsiaTheme="majorEastAsia"/>
          <w:color w:val="000000" w:themeColor="text1"/>
          <w:sz w:val="20"/>
          <w:szCs w:val="20"/>
          <w:u w:val="single"/>
        </w:rPr>
        <w:t>’</w:t>
      </w:r>
      <w:r w:rsidR="00325FB5" w:rsidRPr="0056798F">
        <w:rPr>
          <w:rStyle w:val="normaltextrun"/>
          <w:rFonts w:eastAsiaTheme="majorEastAsia"/>
          <w:color w:val="000000" w:themeColor="text1"/>
          <w:sz w:val="20"/>
          <w:szCs w:val="20"/>
          <w:u w:val="single"/>
        </w:rPr>
        <w:t>étendue des activités d</w:t>
      </w:r>
      <w:r w:rsidR="00EA4125" w:rsidRPr="0056798F">
        <w:rPr>
          <w:rStyle w:val="normaltextrun"/>
          <w:rFonts w:eastAsiaTheme="majorEastAsia"/>
          <w:color w:val="000000" w:themeColor="text1"/>
          <w:sz w:val="20"/>
          <w:szCs w:val="20"/>
          <w:u w:val="single"/>
        </w:rPr>
        <w:t>’</w:t>
      </w:r>
      <w:r w:rsidR="00325FB5" w:rsidRPr="0056798F">
        <w:rPr>
          <w:rStyle w:val="normaltextrun"/>
          <w:rFonts w:eastAsiaTheme="majorEastAsia"/>
          <w:color w:val="000000" w:themeColor="text1"/>
          <w:sz w:val="20"/>
          <w:szCs w:val="20"/>
          <w:u w:val="single"/>
        </w:rPr>
        <w:t>identification peuvent être adaptées aux capacités nationales</w:t>
      </w:r>
      <w:r w:rsidR="00325FB5" w:rsidRPr="0056798F">
        <w:rPr>
          <w:rStyle w:val="normaltextrun"/>
          <w:rFonts w:eastAsiaTheme="majorEastAsia"/>
          <w:color w:val="000000" w:themeColor="text1"/>
          <w:sz w:val="20"/>
          <w:szCs w:val="20"/>
        </w:rPr>
        <w:t>.</w:t>
      </w:r>
    </w:p>
    <w:p w14:paraId="62C81C80" w14:textId="45CFA7F8" w:rsidR="0072113E" w:rsidRPr="0056798F" w:rsidRDefault="0072113E" w:rsidP="00FF1707">
      <w:pPr>
        <w:pStyle w:val="paragraph"/>
        <w:spacing w:before="0" w:beforeAutospacing="0" w:after="120" w:afterAutospacing="0"/>
        <w:ind w:left="1247"/>
        <w:textAlignment w:val="baseline"/>
        <w:rPr>
          <w:rStyle w:val="normaltextrun"/>
          <w:rFonts w:eastAsiaTheme="majorEastAsia"/>
          <w:color w:val="000000" w:themeColor="text1"/>
          <w:sz w:val="20"/>
          <w:szCs w:val="20"/>
          <w:u w:val="single"/>
        </w:rPr>
      </w:pPr>
      <w:r w:rsidRPr="0056798F">
        <w:rPr>
          <w:rStyle w:val="normaltextrun"/>
          <w:rFonts w:eastAsiaTheme="majorEastAsia"/>
          <w:color w:val="000000" w:themeColor="text1"/>
          <w:sz w:val="20"/>
          <w:szCs w:val="20"/>
          <w:u w:val="single"/>
        </w:rPr>
        <w:br w:type="page"/>
      </w:r>
    </w:p>
    <w:p w14:paraId="31FA3E61" w14:textId="469C35FF" w:rsidR="00501739" w:rsidRPr="0056798F" w:rsidRDefault="00461884" w:rsidP="00461884">
      <w:pPr>
        <w:pStyle w:val="ZZAnxheader"/>
      </w:pPr>
      <w:r w:rsidRPr="0056798F">
        <w:lastRenderedPageBreak/>
        <w:t>Annexe</w:t>
      </w:r>
      <w:r w:rsidR="00A568B3" w:rsidRPr="0056798F">
        <w:t> </w:t>
      </w:r>
      <w:r w:rsidRPr="0056798F">
        <w:t>III</w:t>
      </w:r>
    </w:p>
    <w:p w14:paraId="6837EDF2" w14:textId="5854D898" w:rsidR="00461884" w:rsidRPr="0056798F" w:rsidRDefault="00144A71" w:rsidP="00585DBD">
      <w:pPr>
        <w:pStyle w:val="ZZAnxtitle"/>
      </w:pPr>
      <w:r w:rsidRPr="0056798F">
        <w:t>Projet de version mise à jour des</w:t>
      </w:r>
      <w:r w:rsidR="00D8492C" w:rsidRPr="0056798F">
        <w:t xml:space="preserve"> appendices des</w:t>
      </w:r>
      <w:r w:rsidRPr="0056798F">
        <w:t xml:space="preserve"> orientations pour</w:t>
      </w:r>
      <w:r w:rsidR="00BE500E" w:rsidRPr="0056798F">
        <w:t> </w:t>
      </w:r>
      <w:r w:rsidRPr="0056798F">
        <w:t>remplir les formulaires requis au titre de l</w:t>
      </w:r>
      <w:r w:rsidR="00EA4125" w:rsidRPr="0056798F">
        <w:t>’</w:t>
      </w:r>
      <w:r w:rsidRPr="0056798F">
        <w:t>article</w:t>
      </w:r>
      <w:r w:rsidR="00BA2600" w:rsidRPr="0056798F">
        <w:t> </w:t>
      </w:r>
      <w:r w:rsidRPr="0056798F">
        <w:t xml:space="preserve">3 </w:t>
      </w:r>
      <w:r w:rsidR="00B04917" w:rsidRPr="0056798F">
        <w:t>sur</w:t>
      </w:r>
      <w:r w:rsidR="00A568B3" w:rsidRPr="0056798F">
        <w:t> </w:t>
      </w:r>
      <w:r w:rsidRPr="0056798F">
        <w:t>le</w:t>
      </w:r>
      <w:r w:rsidR="00BE500E" w:rsidRPr="0056798F">
        <w:t> </w:t>
      </w:r>
      <w:r w:rsidRPr="0056798F">
        <w:t>commerce du mercure</w:t>
      </w:r>
      <w:r w:rsidR="002B4C02" w:rsidRPr="0056798F">
        <w:rPr>
          <w:vertAlign w:val="superscript"/>
        </w:rPr>
        <w:footnoteReference w:id="19"/>
      </w:r>
    </w:p>
    <w:p w14:paraId="44B04D88" w14:textId="77777777" w:rsidR="005536A5" w:rsidRPr="0056798F" w:rsidRDefault="005536A5" w:rsidP="00585DBD">
      <w:pPr>
        <w:pStyle w:val="Normal-pool"/>
        <w:tabs>
          <w:tab w:val="clear" w:pos="1247"/>
          <w:tab w:val="clear" w:pos="1871"/>
          <w:tab w:val="clear" w:pos="2495"/>
          <w:tab w:val="clear" w:pos="3119"/>
          <w:tab w:val="clear" w:pos="3742"/>
          <w:tab w:val="clear" w:pos="4366"/>
        </w:tabs>
        <w:spacing w:before="360" w:after="120"/>
        <w:ind w:left="1247"/>
        <w:rPr>
          <w:b/>
          <w:bCs/>
          <w:color w:val="000000" w:themeColor="text1"/>
        </w:rPr>
      </w:pPr>
      <w:r w:rsidRPr="0056798F">
        <w:rPr>
          <w:b/>
          <w:bCs/>
        </w:rPr>
        <w:t>Appendice A</w:t>
      </w:r>
    </w:p>
    <w:p w14:paraId="3A9B3479" w14:textId="525ADCC4" w:rsidR="005536A5" w:rsidRPr="0056798F" w:rsidRDefault="00144A71" w:rsidP="00585DBD">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56798F">
        <w:t>Dans l</w:t>
      </w:r>
      <w:r w:rsidR="00EA4125" w:rsidRPr="0056798F">
        <w:t>’</w:t>
      </w:r>
      <w:r w:rsidRPr="0056798F">
        <w:t xml:space="preserve">encadré de la section C relative aux informations requises de la part du pays exportateur concernant la cargaison, </w:t>
      </w:r>
      <w:r w:rsidR="008914D1" w:rsidRPr="0056798F">
        <w:t>il est proposé d</w:t>
      </w:r>
      <w:r w:rsidR="00EA4125" w:rsidRPr="0056798F">
        <w:t>’</w:t>
      </w:r>
      <w:r w:rsidR="008914D1" w:rsidRPr="0056798F">
        <w:t xml:space="preserve">ajouter </w:t>
      </w:r>
      <w:r w:rsidRPr="0056798F">
        <w:t xml:space="preserve">le paragraphe </w:t>
      </w:r>
      <w:r w:rsidR="00C0766D" w:rsidRPr="0056798F">
        <w:t xml:space="preserve">ci-après </w:t>
      </w:r>
      <w:r w:rsidRPr="0056798F">
        <w:t>après le premier paragraphe </w:t>
      </w:r>
      <w:r w:rsidR="00950DBB" w:rsidRPr="0056798F">
        <w:rPr>
          <w:color w:val="000000" w:themeColor="text1"/>
        </w:rPr>
        <w:t>:</w:t>
      </w:r>
    </w:p>
    <w:tbl>
      <w:tblPr>
        <w:tblStyle w:val="TableGrid"/>
        <w:tblW w:w="0" w:type="auto"/>
        <w:tblInd w:w="1271" w:type="dxa"/>
        <w:tblLayout w:type="fixed"/>
        <w:tblLook w:val="04A0" w:firstRow="1" w:lastRow="0" w:firstColumn="1" w:lastColumn="0" w:noHBand="0" w:noVBand="1"/>
      </w:tblPr>
      <w:tblGrid>
        <w:gridCol w:w="8216"/>
      </w:tblGrid>
      <w:tr w:rsidR="007138D1" w:rsidRPr="0056798F" w14:paraId="70175302" w14:textId="77777777" w:rsidTr="00585DBD">
        <w:tc>
          <w:tcPr>
            <w:tcW w:w="8216" w:type="dxa"/>
          </w:tcPr>
          <w:p w14:paraId="6F38C62B" w14:textId="075BBFE5" w:rsidR="007138D1" w:rsidRPr="0056798F" w:rsidRDefault="00144A71" w:rsidP="00026AF4">
            <w:pPr>
              <w:pStyle w:val="Normal-pool"/>
              <w:tabs>
                <w:tab w:val="clear" w:pos="1247"/>
                <w:tab w:val="clear" w:pos="1871"/>
                <w:tab w:val="clear" w:pos="2495"/>
                <w:tab w:val="clear" w:pos="3119"/>
                <w:tab w:val="clear" w:pos="3742"/>
                <w:tab w:val="clear" w:pos="4366"/>
              </w:tabs>
              <w:spacing w:after="120"/>
              <w:rPr>
                <w:color w:val="000000" w:themeColor="text1"/>
              </w:rPr>
            </w:pPr>
            <w:r w:rsidRPr="0056798F">
              <w:rPr>
                <w:color w:val="000000"/>
              </w:rPr>
              <w:t>La section C comprend des informations sur la</w:t>
            </w:r>
            <w:r w:rsidR="005853BB" w:rsidRPr="0056798F">
              <w:rPr>
                <w:color w:val="000000"/>
              </w:rPr>
              <w:t xml:space="preserve"> </w:t>
            </w:r>
            <w:r w:rsidRPr="0056798F">
              <w:rPr>
                <w:color w:val="000000"/>
              </w:rPr>
              <w:t>provenance du mercure devant être exporté</w:t>
            </w:r>
            <w:r w:rsidR="007138D1" w:rsidRPr="0056798F">
              <w:rPr>
                <w:color w:val="000000" w:themeColor="text1"/>
              </w:rPr>
              <w:t xml:space="preserve">. </w:t>
            </w:r>
            <w:r w:rsidR="00DB4C4F" w:rsidRPr="0056798F">
              <w:rPr>
                <w:color w:val="000000" w:themeColor="text1"/>
              </w:rPr>
              <w:t>Les</w:t>
            </w:r>
            <w:r w:rsidR="005C4D0F" w:rsidRPr="0056798F">
              <w:rPr>
                <w:color w:val="000000" w:themeColor="text1"/>
              </w:rPr>
              <w:t> </w:t>
            </w:r>
            <w:r w:rsidR="00DB4C4F" w:rsidRPr="0056798F">
              <w:rPr>
                <w:color w:val="000000" w:themeColor="text1"/>
              </w:rPr>
              <w:t>s</w:t>
            </w:r>
            <w:r w:rsidR="007138D1" w:rsidRPr="0056798F">
              <w:rPr>
                <w:color w:val="000000" w:themeColor="text1"/>
              </w:rPr>
              <w:t xml:space="preserve">ources </w:t>
            </w:r>
            <w:r w:rsidR="00DB4C4F" w:rsidRPr="0056798F">
              <w:rPr>
                <w:color w:val="000000" w:themeColor="text1"/>
              </w:rPr>
              <w:t>de mercure peuvent inclure</w:t>
            </w:r>
            <w:r w:rsidR="007138D1" w:rsidRPr="0056798F">
              <w:rPr>
                <w:color w:val="000000" w:themeColor="text1"/>
              </w:rPr>
              <w:t xml:space="preserve"> </w:t>
            </w:r>
            <w:r w:rsidR="00DB4C4F" w:rsidRPr="0056798F">
              <w:rPr>
                <w:color w:val="000000" w:themeColor="text1"/>
              </w:rPr>
              <w:t>l</w:t>
            </w:r>
            <w:r w:rsidR="00EA4125" w:rsidRPr="0056798F">
              <w:rPr>
                <w:color w:val="000000" w:themeColor="text1"/>
              </w:rPr>
              <w:t>’</w:t>
            </w:r>
            <w:r w:rsidR="00DB4C4F" w:rsidRPr="0056798F">
              <w:rPr>
                <w:color w:val="000000" w:themeColor="text1"/>
              </w:rPr>
              <w:t xml:space="preserve">extraction </w:t>
            </w:r>
            <w:r w:rsidR="002F5F74" w:rsidRPr="0056798F">
              <w:t>primaire</w:t>
            </w:r>
            <w:r w:rsidR="002F5F74" w:rsidRPr="0056798F">
              <w:rPr>
                <w:color w:val="000000" w:themeColor="text1"/>
              </w:rPr>
              <w:t xml:space="preserve"> </w:t>
            </w:r>
            <w:r w:rsidR="00DB4C4F" w:rsidRPr="0056798F">
              <w:rPr>
                <w:color w:val="000000" w:themeColor="text1"/>
              </w:rPr>
              <w:t>de mercure, le démantèlement d</w:t>
            </w:r>
            <w:r w:rsidR="00EA4125" w:rsidRPr="0056798F">
              <w:rPr>
                <w:color w:val="000000" w:themeColor="text1"/>
              </w:rPr>
              <w:t>’</w:t>
            </w:r>
            <w:r w:rsidR="00DB4C4F" w:rsidRPr="0056798F">
              <w:rPr>
                <w:color w:val="000000" w:themeColor="text1"/>
              </w:rPr>
              <w:t xml:space="preserve">installations dans lesquelles du mercure ou </w:t>
            </w:r>
            <w:r w:rsidR="00A74361" w:rsidRPr="0056798F">
              <w:rPr>
                <w:color w:val="000000" w:themeColor="text1"/>
              </w:rPr>
              <w:t xml:space="preserve">des </w:t>
            </w:r>
            <w:r w:rsidR="00DB4C4F" w:rsidRPr="0056798F">
              <w:rPr>
                <w:color w:val="000000" w:themeColor="text1"/>
              </w:rPr>
              <w:t xml:space="preserve">composés du mercure </w:t>
            </w:r>
            <w:r w:rsidR="005853BB" w:rsidRPr="0056798F">
              <w:rPr>
                <w:color w:val="000000" w:themeColor="text1"/>
              </w:rPr>
              <w:t>o</w:t>
            </w:r>
            <w:r w:rsidR="00DB4C4F" w:rsidRPr="0056798F">
              <w:rPr>
                <w:color w:val="000000" w:themeColor="text1"/>
              </w:rPr>
              <w:t>nt</w:t>
            </w:r>
            <w:r w:rsidR="005853BB" w:rsidRPr="0056798F">
              <w:rPr>
                <w:color w:val="000000" w:themeColor="text1"/>
              </w:rPr>
              <w:t xml:space="preserve"> été</w:t>
            </w:r>
            <w:r w:rsidR="00DB4C4F" w:rsidRPr="0056798F">
              <w:rPr>
                <w:color w:val="000000" w:themeColor="text1"/>
              </w:rPr>
              <w:t xml:space="preserve"> utilisés, </w:t>
            </w:r>
            <w:r w:rsidR="00736A5D" w:rsidRPr="0056798F">
              <w:rPr>
                <w:color w:val="000000" w:themeColor="text1"/>
              </w:rPr>
              <w:t xml:space="preserve">le stockage </w:t>
            </w:r>
            <w:r w:rsidR="00DB4C4F" w:rsidRPr="0056798F">
              <w:rPr>
                <w:color w:val="000000" w:themeColor="text1"/>
              </w:rPr>
              <w:t>d</w:t>
            </w:r>
            <w:r w:rsidR="00736A5D" w:rsidRPr="0056798F">
              <w:rPr>
                <w:color w:val="000000" w:themeColor="text1"/>
              </w:rPr>
              <w:t>u</w:t>
            </w:r>
            <w:r w:rsidR="00DB4C4F" w:rsidRPr="0056798F">
              <w:rPr>
                <w:color w:val="000000" w:themeColor="text1"/>
              </w:rPr>
              <w:t xml:space="preserve"> mercure </w:t>
            </w:r>
            <w:r w:rsidR="00A74361" w:rsidRPr="0056798F">
              <w:rPr>
                <w:color w:val="000000" w:themeColor="text1"/>
              </w:rPr>
              <w:t>avant son utilisation, le recyclage ou la récupération du mercure et les installations qui</w:t>
            </w:r>
            <w:r w:rsidR="005C4D0F" w:rsidRPr="0056798F">
              <w:rPr>
                <w:color w:val="000000" w:themeColor="text1"/>
              </w:rPr>
              <w:t> </w:t>
            </w:r>
            <w:r w:rsidR="00A74361" w:rsidRPr="0056798F">
              <w:rPr>
                <w:color w:val="000000" w:themeColor="text1"/>
              </w:rPr>
              <w:t xml:space="preserve">peuvent produire </w:t>
            </w:r>
            <w:r w:rsidR="00542781" w:rsidRPr="0056798F">
              <w:rPr>
                <w:color w:val="000000" w:themeColor="text1"/>
              </w:rPr>
              <w:t>des sous-produits du mercure</w:t>
            </w:r>
            <w:r w:rsidR="00A74361" w:rsidRPr="0056798F">
              <w:rPr>
                <w:color w:val="000000" w:themeColor="text1"/>
              </w:rPr>
              <w:t xml:space="preserve"> </w:t>
            </w:r>
            <w:r w:rsidR="00542781" w:rsidRPr="0056798F">
              <w:rPr>
                <w:color w:val="000000" w:themeColor="text1"/>
              </w:rPr>
              <w:t>tels que des métaux non ferreux, du pétrole ou du gaz.</w:t>
            </w:r>
          </w:p>
        </w:tc>
      </w:tr>
    </w:tbl>
    <w:p w14:paraId="49D86970" w14:textId="42FF4D4F" w:rsidR="00950DBB" w:rsidRPr="0056798F" w:rsidRDefault="00065D1C" w:rsidP="00585DBD">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56798F">
        <w:t>Il est proposé d</w:t>
      </w:r>
      <w:r w:rsidR="00EA4125" w:rsidRPr="0056798F">
        <w:t>’</w:t>
      </w:r>
      <w:r w:rsidRPr="0056798F">
        <w:t>ajouter l</w:t>
      </w:r>
      <w:r w:rsidR="005F0B4F" w:rsidRPr="0056798F">
        <w:t xml:space="preserve">e texte ci-après au début du paragraphe </w:t>
      </w:r>
      <w:r w:rsidR="00D57D98" w:rsidRPr="0056798F">
        <w:t>suivant</w:t>
      </w:r>
      <w:r w:rsidR="005F0B4F" w:rsidRPr="0056798F">
        <w:t> </w:t>
      </w:r>
      <w:r w:rsidR="007138D1" w:rsidRPr="0056798F">
        <w:rPr>
          <w:color w:val="000000" w:themeColor="text1"/>
        </w:rPr>
        <w:t>:</w:t>
      </w:r>
    </w:p>
    <w:tbl>
      <w:tblPr>
        <w:tblStyle w:val="TableGrid"/>
        <w:tblW w:w="0" w:type="auto"/>
        <w:tblInd w:w="1271" w:type="dxa"/>
        <w:tblLayout w:type="fixed"/>
        <w:tblLook w:val="04A0" w:firstRow="1" w:lastRow="0" w:firstColumn="1" w:lastColumn="0" w:noHBand="0" w:noVBand="1"/>
      </w:tblPr>
      <w:tblGrid>
        <w:gridCol w:w="8216"/>
      </w:tblGrid>
      <w:tr w:rsidR="007138D1" w:rsidRPr="0056798F" w14:paraId="74713FEA" w14:textId="77777777" w:rsidTr="00585DBD">
        <w:tc>
          <w:tcPr>
            <w:tcW w:w="8216" w:type="dxa"/>
          </w:tcPr>
          <w:p w14:paraId="0E51D551" w14:textId="4631C943" w:rsidR="007138D1" w:rsidRPr="0056798F" w:rsidRDefault="00CC2520" w:rsidP="00026AF4">
            <w:pPr>
              <w:pStyle w:val="Normal-pool"/>
              <w:tabs>
                <w:tab w:val="clear" w:pos="1247"/>
                <w:tab w:val="clear" w:pos="1871"/>
                <w:tab w:val="clear" w:pos="2495"/>
                <w:tab w:val="clear" w:pos="3119"/>
                <w:tab w:val="clear" w:pos="3742"/>
                <w:tab w:val="clear" w:pos="4366"/>
              </w:tabs>
              <w:spacing w:after="120"/>
              <w:rPr>
                <w:color w:val="000000" w:themeColor="text1"/>
              </w:rPr>
            </w:pPr>
            <w:r w:rsidRPr="0056798F">
              <w:rPr>
                <w:color w:val="000000" w:themeColor="text1"/>
              </w:rPr>
              <w:t>Les</w:t>
            </w:r>
            <w:r w:rsidR="00F96294" w:rsidRPr="0056798F">
              <w:rPr>
                <w:color w:val="000000" w:themeColor="text1"/>
              </w:rPr>
              <w:t xml:space="preserve"> Parties </w:t>
            </w:r>
            <w:r w:rsidRPr="0056798F">
              <w:rPr>
                <w:color w:val="000000" w:themeColor="text1"/>
              </w:rPr>
              <w:t xml:space="preserve">exportatrices </w:t>
            </w:r>
            <w:r w:rsidR="002D12DF" w:rsidRPr="0056798F">
              <w:rPr>
                <w:color w:val="000000" w:themeColor="text1"/>
              </w:rPr>
              <w:t>doivent déterminer si le mercure provient d</w:t>
            </w:r>
            <w:r w:rsidR="00EA4125" w:rsidRPr="0056798F">
              <w:rPr>
                <w:color w:val="000000" w:themeColor="text1"/>
              </w:rPr>
              <w:t>’</w:t>
            </w:r>
            <w:r w:rsidR="00776996" w:rsidRPr="0056798F">
              <w:rPr>
                <w:color w:val="000000" w:themeColor="text1"/>
              </w:rPr>
              <w:t>activités</w:t>
            </w:r>
            <w:r w:rsidR="002D12DF" w:rsidRPr="0056798F">
              <w:rPr>
                <w:color w:val="000000" w:themeColor="text1"/>
              </w:rPr>
              <w:t xml:space="preserve"> </w:t>
            </w:r>
            <w:r w:rsidR="00776996" w:rsidRPr="0056798F">
              <w:rPr>
                <w:color w:val="000000" w:themeColor="text1"/>
              </w:rPr>
              <w:t>d</w:t>
            </w:r>
            <w:r w:rsidR="00EA4125" w:rsidRPr="0056798F">
              <w:rPr>
                <w:color w:val="000000" w:themeColor="text1"/>
              </w:rPr>
              <w:t>’</w:t>
            </w:r>
            <w:r w:rsidR="002D12DF" w:rsidRPr="0056798F">
              <w:rPr>
                <w:color w:val="000000" w:themeColor="text1"/>
              </w:rPr>
              <w:t xml:space="preserve">extraction primaire. </w:t>
            </w:r>
            <w:r w:rsidR="0081184C" w:rsidRPr="0056798F">
              <w:rPr>
                <w:color w:val="000000" w:themeColor="text1"/>
              </w:rPr>
              <w:t>Il convient de noter, e</w:t>
            </w:r>
            <w:r w:rsidR="002D12DF" w:rsidRPr="0056798F">
              <w:rPr>
                <w:color w:val="000000" w:themeColor="text1"/>
              </w:rPr>
              <w:t>n ce qui concerne l</w:t>
            </w:r>
            <w:r w:rsidR="00EA4125" w:rsidRPr="0056798F">
              <w:rPr>
                <w:color w:val="000000" w:themeColor="text1"/>
              </w:rPr>
              <w:t>’</w:t>
            </w:r>
            <w:r w:rsidR="0081184C" w:rsidRPr="0056798F">
              <w:rPr>
                <w:color w:val="000000" w:themeColor="text1"/>
              </w:rPr>
              <w:t>identification,</w:t>
            </w:r>
            <w:r w:rsidR="002D12DF" w:rsidRPr="0056798F">
              <w:rPr>
                <w:color w:val="000000" w:themeColor="text1"/>
              </w:rPr>
              <w:t xml:space="preserve"> </w:t>
            </w:r>
            <w:r w:rsidR="0081184C" w:rsidRPr="0056798F">
              <w:rPr>
                <w:color w:val="000000" w:themeColor="text1"/>
              </w:rPr>
              <w:t xml:space="preserve">que </w:t>
            </w:r>
            <w:r w:rsidR="002D12DF" w:rsidRPr="0056798F">
              <w:rPr>
                <w:color w:val="000000" w:themeColor="text1"/>
              </w:rPr>
              <w:t>l</w:t>
            </w:r>
            <w:r w:rsidR="00EA4125" w:rsidRPr="0056798F">
              <w:rPr>
                <w:color w:val="000000" w:themeColor="text1"/>
              </w:rPr>
              <w:t>’</w:t>
            </w:r>
            <w:r w:rsidR="002D12DF" w:rsidRPr="0056798F">
              <w:rPr>
                <w:color w:val="000000" w:themeColor="text1"/>
              </w:rPr>
              <w:t>extraction primaire</w:t>
            </w:r>
            <w:r w:rsidR="0081184C" w:rsidRPr="0056798F">
              <w:rPr>
                <w:color w:val="000000" w:themeColor="text1"/>
              </w:rPr>
              <w:t xml:space="preserve"> de mercure peut entrer dans le cadre des activités considérées </w:t>
            </w:r>
            <w:r w:rsidR="00035E35" w:rsidRPr="0056798F">
              <w:rPr>
                <w:color w:val="000000" w:themeColor="text1"/>
              </w:rPr>
              <w:t xml:space="preserve">comme informelles ou illicites </w:t>
            </w:r>
            <w:r w:rsidR="0081184C" w:rsidRPr="0056798F">
              <w:rPr>
                <w:color w:val="000000" w:themeColor="text1"/>
              </w:rPr>
              <w:t xml:space="preserve">par les </w:t>
            </w:r>
            <w:r w:rsidR="00776996" w:rsidRPr="0056798F">
              <w:rPr>
                <w:color w:val="000000" w:themeColor="text1"/>
              </w:rPr>
              <w:t>P</w:t>
            </w:r>
            <w:r w:rsidR="0081184C" w:rsidRPr="0056798F">
              <w:rPr>
                <w:color w:val="000000" w:themeColor="text1"/>
              </w:rPr>
              <w:t>arties</w:t>
            </w:r>
            <w:r w:rsidR="00F96294" w:rsidRPr="0056798F">
              <w:rPr>
                <w:color w:val="000000" w:themeColor="text1"/>
              </w:rPr>
              <w:t>.</w:t>
            </w:r>
          </w:p>
        </w:tc>
      </w:tr>
    </w:tbl>
    <w:p w14:paraId="37ADFCC1" w14:textId="4AB5B247" w:rsidR="005F0BD1" w:rsidRPr="0056798F" w:rsidRDefault="005F0B4F" w:rsidP="00585DBD">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56798F">
        <w:t>Dans l</w:t>
      </w:r>
      <w:r w:rsidR="00EA4125" w:rsidRPr="0056798F">
        <w:t>’</w:t>
      </w:r>
      <w:r w:rsidRPr="0056798F">
        <w:t xml:space="preserve">encadré de la section D relative aux informations </w:t>
      </w:r>
      <w:r w:rsidR="005F6FFB" w:rsidRPr="0056798F">
        <w:t>requises de la part de la Partie importatrice, il</w:t>
      </w:r>
      <w:r w:rsidR="00483F96" w:rsidRPr="0056798F">
        <w:t> </w:t>
      </w:r>
      <w:r w:rsidR="005F6FFB" w:rsidRPr="0056798F">
        <w:t>est proposé d</w:t>
      </w:r>
      <w:r w:rsidR="00EA4125" w:rsidRPr="0056798F">
        <w:t>’</w:t>
      </w:r>
      <w:r w:rsidR="005F6FFB" w:rsidRPr="0056798F">
        <w:t xml:space="preserve">ajouter </w:t>
      </w:r>
      <w:r w:rsidRPr="0056798F">
        <w:t xml:space="preserve">le paragraphe </w:t>
      </w:r>
      <w:r w:rsidR="00C0766D" w:rsidRPr="0056798F">
        <w:t xml:space="preserve">ci-après </w:t>
      </w:r>
      <w:r w:rsidRPr="0056798F">
        <w:t>après le dernier paragraphe </w:t>
      </w:r>
      <w:r w:rsidR="00C422A3" w:rsidRPr="0056798F">
        <w:rPr>
          <w:color w:val="000000" w:themeColor="text1"/>
        </w:rPr>
        <w:t>:</w:t>
      </w:r>
    </w:p>
    <w:tbl>
      <w:tblPr>
        <w:tblStyle w:val="TableGrid"/>
        <w:tblW w:w="0" w:type="auto"/>
        <w:tblInd w:w="1271" w:type="dxa"/>
        <w:tblLayout w:type="fixed"/>
        <w:tblLook w:val="04A0" w:firstRow="1" w:lastRow="0" w:firstColumn="1" w:lastColumn="0" w:noHBand="0" w:noVBand="1"/>
      </w:tblPr>
      <w:tblGrid>
        <w:gridCol w:w="8216"/>
      </w:tblGrid>
      <w:tr w:rsidR="00303E6A" w:rsidRPr="0056798F" w14:paraId="585D30AD" w14:textId="77777777" w:rsidTr="00585DBD">
        <w:tc>
          <w:tcPr>
            <w:tcW w:w="8216" w:type="dxa"/>
          </w:tcPr>
          <w:p w14:paraId="28C63E9F" w14:textId="3006630F" w:rsidR="00303E6A" w:rsidRPr="0056798F" w:rsidRDefault="002D12DF" w:rsidP="00026AF4">
            <w:pPr>
              <w:pStyle w:val="Normal-pool"/>
              <w:tabs>
                <w:tab w:val="clear" w:pos="1247"/>
                <w:tab w:val="clear" w:pos="1871"/>
                <w:tab w:val="clear" w:pos="2495"/>
                <w:tab w:val="clear" w:pos="3119"/>
                <w:tab w:val="clear" w:pos="3742"/>
                <w:tab w:val="clear" w:pos="4366"/>
              </w:tabs>
              <w:spacing w:after="120"/>
              <w:rPr>
                <w:color w:val="000000" w:themeColor="text1"/>
              </w:rPr>
            </w:pPr>
            <w:r w:rsidRPr="0056798F">
              <w:rPr>
                <w:color w:val="000000" w:themeColor="text1"/>
              </w:rPr>
              <w:t>Les Parties exportatrices ne doivent pas autoriser l</w:t>
            </w:r>
            <w:r w:rsidR="00EA4125" w:rsidRPr="0056798F">
              <w:rPr>
                <w:color w:val="000000" w:themeColor="text1"/>
              </w:rPr>
              <w:t>’</w:t>
            </w:r>
            <w:r w:rsidRPr="0056798F">
              <w:rPr>
                <w:color w:val="000000" w:themeColor="text1"/>
              </w:rPr>
              <w:t>exportation de mercure</w:t>
            </w:r>
            <w:r w:rsidR="00A40116" w:rsidRPr="0056798F">
              <w:rPr>
                <w:color w:val="000000" w:themeColor="text1"/>
              </w:rPr>
              <w:t>,</w:t>
            </w:r>
            <w:r w:rsidRPr="0056798F">
              <w:rPr>
                <w:color w:val="000000" w:themeColor="text1"/>
              </w:rPr>
              <w:t xml:space="preserve"> sauf </w:t>
            </w:r>
            <w:r w:rsidR="00035220" w:rsidRPr="0056798F">
              <w:rPr>
                <w:color w:val="000000" w:themeColor="text1"/>
              </w:rPr>
              <w:t>en vue d</w:t>
            </w:r>
            <w:r w:rsidR="00EA4125" w:rsidRPr="0056798F">
              <w:rPr>
                <w:color w:val="000000" w:themeColor="text1"/>
              </w:rPr>
              <w:t>’</w:t>
            </w:r>
            <w:r w:rsidR="00035220" w:rsidRPr="0056798F">
              <w:rPr>
                <w:color w:val="000000" w:themeColor="text1"/>
              </w:rPr>
              <w:t>un</w:t>
            </w:r>
            <w:r w:rsidRPr="0056798F">
              <w:rPr>
                <w:color w:val="000000" w:themeColor="text1"/>
              </w:rPr>
              <w:t xml:space="preserve"> </w:t>
            </w:r>
            <w:r w:rsidR="00035220" w:rsidRPr="0056798F">
              <w:rPr>
                <w:color w:val="000000" w:themeColor="text1"/>
              </w:rPr>
              <w:t>stockage provisoire écologiquement rationnel ou d</w:t>
            </w:r>
            <w:r w:rsidR="00EA4125" w:rsidRPr="0056798F">
              <w:rPr>
                <w:color w:val="000000" w:themeColor="text1"/>
              </w:rPr>
              <w:t>’</w:t>
            </w:r>
            <w:r w:rsidR="00035220" w:rsidRPr="0056798F">
              <w:rPr>
                <w:color w:val="000000" w:themeColor="text1"/>
              </w:rPr>
              <w:t>une utilisation permise</w:t>
            </w:r>
            <w:r w:rsidR="006D5492" w:rsidRPr="0056798F">
              <w:rPr>
                <w:color w:val="000000" w:themeColor="text1"/>
              </w:rPr>
              <w:t xml:space="preserve"> </w:t>
            </w:r>
            <w:r w:rsidR="00A40116" w:rsidRPr="0056798F">
              <w:rPr>
                <w:color w:val="000000" w:themeColor="text1"/>
              </w:rPr>
              <w:t>au titre</w:t>
            </w:r>
            <w:r w:rsidR="006D5492" w:rsidRPr="0056798F">
              <w:rPr>
                <w:color w:val="000000" w:themeColor="text1"/>
              </w:rPr>
              <w:t xml:space="preserve"> de la Convention</w:t>
            </w:r>
            <w:r w:rsidR="00B778AA" w:rsidRPr="0056798F">
              <w:rPr>
                <w:color w:val="000000" w:themeColor="text1"/>
              </w:rPr>
              <w:t>.</w:t>
            </w:r>
          </w:p>
        </w:tc>
      </w:tr>
    </w:tbl>
    <w:p w14:paraId="0A2151AA" w14:textId="77777777" w:rsidR="00B778AA" w:rsidRPr="0056798F" w:rsidRDefault="00B778AA" w:rsidP="00585DBD">
      <w:pPr>
        <w:pStyle w:val="Normal-pool"/>
        <w:tabs>
          <w:tab w:val="clear" w:pos="1247"/>
          <w:tab w:val="clear" w:pos="1871"/>
          <w:tab w:val="clear" w:pos="2495"/>
          <w:tab w:val="clear" w:pos="3119"/>
          <w:tab w:val="clear" w:pos="3742"/>
          <w:tab w:val="clear" w:pos="4366"/>
        </w:tabs>
        <w:spacing w:before="360" w:after="120"/>
        <w:ind w:left="1247"/>
        <w:rPr>
          <w:b/>
          <w:bCs/>
          <w:color w:val="000000" w:themeColor="text1"/>
        </w:rPr>
      </w:pPr>
      <w:r w:rsidRPr="0056798F">
        <w:rPr>
          <w:b/>
          <w:bCs/>
        </w:rPr>
        <w:t>Appendice B</w:t>
      </w:r>
    </w:p>
    <w:p w14:paraId="3B46A10D" w14:textId="02E18E92" w:rsidR="00B778AA" w:rsidRPr="0056798F" w:rsidRDefault="00C93058" w:rsidP="00585DBD">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56798F">
        <w:t>Dans l</w:t>
      </w:r>
      <w:r w:rsidR="00EA4125" w:rsidRPr="0056798F">
        <w:t>’</w:t>
      </w:r>
      <w:r w:rsidRPr="0056798F">
        <w:t>encadré de la section</w:t>
      </w:r>
      <w:r w:rsidR="00BA2600" w:rsidRPr="0056798F">
        <w:t> </w:t>
      </w:r>
      <w:r w:rsidRPr="0056798F">
        <w:t xml:space="preserve">C relative aux </w:t>
      </w:r>
      <w:r w:rsidR="001B32B6" w:rsidRPr="0056798F">
        <w:t>i</w:t>
      </w:r>
      <w:r w:rsidRPr="0056798F">
        <w:t xml:space="preserve">nformations requises de la part </w:t>
      </w:r>
      <w:r w:rsidR="001B32B6" w:rsidRPr="0056798F">
        <w:t>du pays exportateur</w:t>
      </w:r>
      <w:r w:rsidRPr="0056798F">
        <w:t xml:space="preserve"> concernant la cargaison, </w:t>
      </w:r>
      <w:r w:rsidR="001B32B6" w:rsidRPr="0056798F">
        <w:t>il est proposé d</w:t>
      </w:r>
      <w:r w:rsidR="00EA4125" w:rsidRPr="0056798F">
        <w:t>’</w:t>
      </w:r>
      <w:r w:rsidR="001B32B6" w:rsidRPr="0056798F">
        <w:t xml:space="preserve">ajouter </w:t>
      </w:r>
      <w:r w:rsidRPr="0056798F">
        <w:t xml:space="preserve">le texte </w:t>
      </w:r>
      <w:r w:rsidR="008B4740" w:rsidRPr="0056798F">
        <w:t xml:space="preserve">ci-après </w:t>
      </w:r>
      <w:r w:rsidRPr="0056798F">
        <w:t>au début du deuxième paragraphe </w:t>
      </w:r>
      <w:r w:rsidR="004F7D9E" w:rsidRPr="0056798F">
        <w:rPr>
          <w:color w:val="000000" w:themeColor="text1"/>
        </w:rPr>
        <w:t>:</w:t>
      </w:r>
    </w:p>
    <w:tbl>
      <w:tblPr>
        <w:tblStyle w:val="TableGrid"/>
        <w:tblW w:w="0" w:type="auto"/>
        <w:tblInd w:w="1271" w:type="dxa"/>
        <w:tblLayout w:type="fixed"/>
        <w:tblLook w:val="04A0" w:firstRow="1" w:lastRow="0" w:firstColumn="1" w:lastColumn="0" w:noHBand="0" w:noVBand="1"/>
      </w:tblPr>
      <w:tblGrid>
        <w:gridCol w:w="8216"/>
      </w:tblGrid>
      <w:tr w:rsidR="004F7D9E" w:rsidRPr="0056798F" w14:paraId="71ED9608" w14:textId="77777777" w:rsidTr="00585DBD">
        <w:tc>
          <w:tcPr>
            <w:tcW w:w="8216" w:type="dxa"/>
          </w:tcPr>
          <w:p w14:paraId="1F9D55B4" w14:textId="4B9F0BCD" w:rsidR="004F7D9E" w:rsidRPr="0056798F" w:rsidRDefault="002D12DF" w:rsidP="00026AF4">
            <w:pPr>
              <w:pStyle w:val="Normal-pool"/>
              <w:tabs>
                <w:tab w:val="clear" w:pos="1247"/>
                <w:tab w:val="clear" w:pos="1871"/>
                <w:tab w:val="clear" w:pos="2495"/>
                <w:tab w:val="clear" w:pos="3119"/>
                <w:tab w:val="clear" w:pos="3742"/>
                <w:tab w:val="clear" w:pos="4366"/>
              </w:tabs>
              <w:spacing w:after="120"/>
              <w:rPr>
                <w:color w:val="000000" w:themeColor="text1"/>
              </w:rPr>
            </w:pPr>
            <w:r w:rsidRPr="0056798F">
              <w:rPr>
                <w:color w:val="000000" w:themeColor="text1"/>
              </w:rPr>
              <w:t>Les Parties exportatrices doivent déterminer si le mercure provient d</w:t>
            </w:r>
            <w:r w:rsidR="00EA4125" w:rsidRPr="0056798F">
              <w:rPr>
                <w:color w:val="000000" w:themeColor="text1"/>
              </w:rPr>
              <w:t>’</w:t>
            </w:r>
            <w:r w:rsidR="00CE1E90" w:rsidRPr="0056798F">
              <w:rPr>
                <w:color w:val="000000" w:themeColor="text1"/>
              </w:rPr>
              <w:t>activités</w:t>
            </w:r>
            <w:r w:rsidRPr="0056798F">
              <w:rPr>
                <w:color w:val="000000" w:themeColor="text1"/>
              </w:rPr>
              <w:t xml:space="preserve"> </w:t>
            </w:r>
            <w:r w:rsidR="00CE1E90" w:rsidRPr="0056798F">
              <w:rPr>
                <w:color w:val="000000" w:themeColor="text1"/>
              </w:rPr>
              <w:t>d</w:t>
            </w:r>
            <w:r w:rsidR="00EA4125" w:rsidRPr="0056798F">
              <w:rPr>
                <w:color w:val="000000" w:themeColor="text1"/>
              </w:rPr>
              <w:t>’</w:t>
            </w:r>
            <w:r w:rsidRPr="0056798F">
              <w:rPr>
                <w:color w:val="000000" w:themeColor="text1"/>
              </w:rPr>
              <w:t>extraction primaire</w:t>
            </w:r>
            <w:r w:rsidR="00D33055" w:rsidRPr="0056798F">
              <w:rPr>
                <w:color w:val="000000" w:themeColor="text1"/>
              </w:rPr>
              <w:t xml:space="preserve">. </w:t>
            </w:r>
            <w:r w:rsidR="001B32B6" w:rsidRPr="0056798F">
              <w:rPr>
                <w:color w:val="000000" w:themeColor="text1"/>
              </w:rPr>
              <w:t>Il convient de noter que celle</w:t>
            </w:r>
            <w:r w:rsidR="00CE1E90" w:rsidRPr="0056798F">
              <w:rPr>
                <w:color w:val="000000" w:themeColor="text1"/>
              </w:rPr>
              <w:t>s</w:t>
            </w:r>
            <w:r w:rsidR="001B32B6" w:rsidRPr="0056798F">
              <w:rPr>
                <w:color w:val="000000" w:themeColor="text1"/>
              </w:rPr>
              <w:t>-ci peu</w:t>
            </w:r>
            <w:r w:rsidR="00CE1E90" w:rsidRPr="0056798F">
              <w:rPr>
                <w:color w:val="000000" w:themeColor="text1"/>
              </w:rPr>
              <w:t>ven</w:t>
            </w:r>
            <w:r w:rsidR="001B32B6" w:rsidRPr="0056798F">
              <w:rPr>
                <w:color w:val="000000" w:themeColor="text1"/>
              </w:rPr>
              <w:t xml:space="preserve">t comprendre des activités que les </w:t>
            </w:r>
            <w:r w:rsidR="00CE1E90" w:rsidRPr="0056798F">
              <w:rPr>
                <w:color w:val="000000" w:themeColor="text1"/>
              </w:rPr>
              <w:t>P</w:t>
            </w:r>
            <w:r w:rsidR="001B32B6" w:rsidRPr="0056798F">
              <w:rPr>
                <w:color w:val="000000" w:themeColor="text1"/>
              </w:rPr>
              <w:t>arties considèrent comme relevant d</w:t>
            </w:r>
            <w:r w:rsidR="00EA4125" w:rsidRPr="0056798F">
              <w:rPr>
                <w:color w:val="000000" w:themeColor="text1"/>
              </w:rPr>
              <w:t>’</w:t>
            </w:r>
            <w:r w:rsidR="00CE1E90" w:rsidRPr="0056798F">
              <w:rPr>
                <w:color w:val="000000" w:themeColor="text1"/>
              </w:rPr>
              <w:t>une</w:t>
            </w:r>
            <w:r w:rsidR="001B32B6" w:rsidRPr="0056798F">
              <w:rPr>
                <w:color w:val="000000" w:themeColor="text1"/>
              </w:rPr>
              <w:t xml:space="preserve"> extraction primaire </w:t>
            </w:r>
            <w:r w:rsidR="00CE1E90" w:rsidRPr="0056798F">
              <w:rPr>
                <w:color w:val="000000" w:themeColor="text1"/>
              </w:rPr>
              <w:t xml:space="preserve">informelle ou illicite </w:t>
            </w:r>
            <w:r w:rsidR="001B32B6" w:rsidRPr="0056798F">
              <w:rPr>
                <w:color w:val="000000" w:themeColor="text1"/>
              </w:rPr>
              <w:t>de mercure</w:t>
            </w:r>
            <w:r w:rsidRPr="0056798F">
              <w:rPr>
                <w:color w:val="000000" w:themeColor="text1"/>
              </w:rPr>
              <w:t>.</w:t>
            </w:r>
          </w:p>
        </w:tc>
      </w:tr>
    </w:tbl>
    <w:p w14:paraId="42A1A139" w14:textId="7D976AAB" w:rsidR="005536A5" w:rsidRPr="0056798F" w:rsidRDefault="00C93058" w:rsidP="00585DBD">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56798F">
        <w:t>Dans l</w:t>
      </w:r>
      <w:r w:rsidR="00EA4125" w:rsidRPr="0056798F">
        <w:t>’</w:t>
      </w:r>
      <w:r w:rsidRPr="0056798F">
        <w:t xml:space="preserve">encadré de la section D </w:t>
      </w:r>
      <w:r w:rsidR="00C31B15" w:rsidRPr="0056798F">
        <w:t xml:space="preserve">relative à </w:t>
      </w:r>
      <w:r w:rsidRPr="0056798F">
        <w:t>l</w:t>
      </w:r>
      <w:r w:rsidR="00EA4125" w:rsidRPr="0056798F">
        <w:t>’</w:t>
      </w:r>
      <w:r w:rsidR="00C31B15" w:rsidRPr="0056798F">
        <w:t>attestation et aux informations requises de la part de l</w:t>
      </w:r>
      <w:r w:rsidR="00EA4125" w:rsidRPr="0056798F">
        <w:t>’</w:t>
      </w:r>
      <w:r w:rsidR="00C31B15" w:rsidRPr="0056798F">
        <w:t>État</w:t>
      </w:r>
      <w:r w:rsidR="002D4114" w:rsidRPr="0056798F">
        <w:t> </w:t>
      </w:r>
      <w:proofErr w:type="gramStart"/>
      <w:r w:rsidR="00C31B15" w:rsidRPr="0056798F">
        <w:t xml:space="preserve">non </w:t>
      </w:r>
      <w:r w:rsidR="00CE1E90" w:rsidRPr="0056798F">
        <w:t>p</w:t>
      </w:r>
      <w:r w:rsidR="00C31B15" w:rsidRPr="0056798F">
        <w:t>artie</w:t>
      </w:r>
      <w:proofErr w:type="gramEnd"/>
      <w:r w:rsidR="00C31B15" w:rsidRPr="0056798F">
        <w:t xml:space="preserve"> importateur</w:t>
      </w:r>
      <w:r w:rsidRPr="0056798F">
        <w:t xml:space="preserve">, le paragraphe </w:t>
      </w:r>
      <w:r w:rsidR="00CE1E90" w:rsidRPr="0056798F">
        <w:t xml:space="preserve">ci-après </w:t>
      </w:r>
      <w:r w:rsidR="00EB3AEA" w:rsidRPr="0056798F">
        <w:t xml:space="preserve">doit être ajouté </w:t>
      </w:r>
      <w:r w:rsidRPr="0056798F">
        <w:t>après le dernier paragraphe</w:t>
      </w:r>
      <w:r w:rsidR="00DE796D" w:rsidRPr="0056798F">
        <w:t> </w:t>
      </w:r>
      <w:r w:rsidR="00DC5D3A" w:rsidRPr="0056798F">
        <w:rPr>
          <w:color w:val="000000" w:themeColor="text1"/>
        </w:rPr>
        <w:t>:</w:t>
      </w:r>
    </w:p>
    <w:tbl>
      <w:tblPr>
        <w:tblStyle w:val="TableGrid"/>
        <w:tblW w:w="0" w:type="auto"/>
        <w:tblInd w:w="1271" w:type="dxa"/>
        <w:tblLayout w:type="fixed"/>
        <w:tblLook w:val="04A0" w:firstRow="1" w:lastRow="0" w:firstColumn="1" w:lastColumn="0" w:noHBand="0" w:noVBand="1"/>
      </w:tblPr>
      <w:tblGrid>
        <w:gridCol w:w="8216"/>
      </w:tblGrid>
      <w:tr w:rsidR="00DC5D3A" w:rsidRPr="0056798F" w14:paraId="642176E8" w14:textId="77777777" w:rsidTr="00585DBD">
        <w:tc>
          <w:tcPr>
            <w:tcW w:w="8216" w:type="dxa"/>
          </w:tcPr>
          <w:p w14:paraId="4DB2EC56" w14:textId="7D4A36EB" w:rsidR="00DC5D3A" w:rsidRPr="0056798F" w:rsidRDefault="00FE6C88" w:rsidP="004A0D2F">
            <w:pPr>
              <w:pStyle w:val="Normal-pool"/>
              <w:tabs>
                <w:tab w:val="clear" w:pos="1247"/>
              </w:tabs>
              <w:spacing w:after="120"/>
              <w:rPr>
                <w:color w:val="000000" w:themeColor="text1"/>
                <w:highlight w:val="magenta"/>
              </w:rPr>
            </w:pPr>
            <w:r w:rsidRPr="0056798F">
              <w:rPr>
                <w:color w:val="000000" w:themeColor="text1"/>
              </w:rPr>
              <w:t>Les Parties exportatrices ne doivent pas autoriser l</w:t>
            </w:r>
            <w:r w:rsidR="00EA4125" w:rsidRPr="0056798F">
              <w:rPr>
                <w:color w:val="000000" w:themeColor="text1"/>
              </w:rPr>
              <w:t>’</w:t>
            </w:r>
            <w:r w:rsidRPr="0056798F">
              <w:rPr>
                <w:color w:val="000000" w:themeColor="text1"/>
              </w:rPr>
              <w:t>exportation de mercure</w:t>
            </w:r>
            <w:r w:rsidR="004A0D2F" w:rsidRPr="0056798F">
              <w:rPr>
                <w:color w:val="000000" w:themeColor="text1"/>
              </w:rPr>
              <w:t xml:space="preserve"> à destination d</w:t>
            </w:r>
            <w:r w:rsidR="00EA4125" w:rsidRPr="0056798F">
              <w:rPr>
                <w:color w:val="000000" w:themeColor="text1"/>
              </w:rPr>
              <w:t>’</w:t>
            </w:r>
            <w:r w:rsidR="004A0D2F" w:rsidRPr="0056798F">
              <w:rPr>
                <w:color w:val="000000" w:themeColor="text1"/>
              </w:rPr>
              <w:t>un Éta</w:t>
            </w:r>
            <w:r w:rsidR="00981204" w:rsidRPr="0056798F">
              <w:rPr>
                <w:color w:val="000000" w:themeColor="text1"/>
              </w:rPr>
              <w:t>t </w:t>
            </w:r>
            <w:proofErr w:type="gramStart"/>
            <w:r w:rsidR="004A0D2F" w:rsidRPr="0056798F">
              <w:rPr>
                <w:color w:val="000000" w:themeColor="text1"/>
              </w:rPr>
              <w:t xml:space="preserve">non </w:t>
            </w:r>
            <w:r w:rsidR="00A40116" w:rsidRPr="0056798F">
              <w:rPr>
                <w:color w:val="000000" w:themeColor="text1"/>
              </w:rPr>
              <w:t>p</w:t>
            </w:r>
            <w:r w:rsidR="004A0D2F" w:rsidRPr="0056798F">
              <w:rPr>
                <w:color w:val="000000" w:themeColor="text1"/>
              </w:rPr>
              <w:t>artie</w:t>
            </w:r>
            <w:proofErr w:type="gramEnd"/>
            <w:r w:rsidR="00A40116" w:rsidRPr="0056798F">
              <w:rPr>
                <w:color w:val="000000" w:themeColor="text1"/>
              </w:rPr>
              <w:t>,</w:t>
            </w:r>
            <w:r w:rsidR="004A0D2F" w:rsidRPr="0056798F">
              <w:rPr>
                <w:color w:val="000000" w:themeColor="text1"/>
              </w:rPr>
              <w:t xml:space="preserve"> sauf</w:t>
            </w:r>
            <w:r w:rsidR="004A0D2F" w:rsidRPr="0056798F">
              <w:t xml:space="preserve"> </w:t>
            </w:r>
            <w:r w:rsidR="004A0D2F" w:rsidRPr="0056798F">
              <w:rPr>
                <w:color w:val="000000" w:themeColor="text1"/>
              </w:rPr>
              <w:t>si ce</w:t>
            </w:r>
            <w:r w:rsidR="00A40116" w:rsidRPr="0056798F">
              <w:rPr>
                <w:color w:val="000000" w:themeColor="text1"/>
              </w:rPr>
              <w:t xml:space="preserve"> dernier</w:t>
            </w:r>
            <w:r w:rsidR="004A0D2F" w:rsidRPr="0056798F">
              <w:rPr>
                <w:color w:val="000000" w:themeColor="text1"/>
              </w:rPr>
              <w:t xml:space="preserve"> a pris des mesures pour garantir la protection de la santé humaine et de l</w:t>
            </w:r>
            <w:r w:rsidR="00EA4125" w:rsidRPr="0056798F">
              <w:rPr>
                <w:color w:val="000000" w:themeColor="text1"/>
              </w:rPr>
              <w:t>’</w:t>
            </w:r>
            <w:r w:rsidR="004A0D2F" w:rsidRPr="0056798F">
              <w:rPr>
                <w:color w:val="000000" w:themeColor="text1"/>
              </w:rPr>
              <w:t>environnement et l</w:t>
            </w:r>
            <w:r w:rsidR="00EA4125" w:rsidRPr="0056798F">
              <w:rPr>
                <w:color w:val="000000" w:themeColor="text1"/>
              </w:rPr>
              <w:t>’</w:t>
            </w:r>
            <w:r w:rsidR="004A0D2F" w:rsidRPr="0056798F">
              <w:rPr>
                <w:color w:val="000000" w:themeColor="text1"/>
              </w:rPr>
              <w:t>application des articles</w:t>
            </w:r>
            <w:r w:rsidR="00BA2600" w:rsidRPr="0056798F">
              <w:rPr>
                <w:color w:val="000000" w:themeColor="text1"/>
              </w:rPr>
              <w:t> </w:t>
            </w:r>
            <w:r w:rsidR="004A0D2F" w:rsidRPr="0056798F">
              <w:rPr>
                <w:color w:val="000000" w:themeColor="text1"/>
              </w:rPr>
              <w:t>10 et 11 et</w:t>
            </w:r>
            <w:r w:rsidR="004A0D2F" w:rsidRPr="0056798F">
              <w:t xml:space="preserve"> si le mercure exporté est destiné à </w:t>
            </w:r>
            <w:r w:rsidR="004A0D2F" w:rsidRPr="0056798F">
              <w:rPr>
                <w:color w:val="000000" w:themeColor="text1"/>
              </w:rPr>
              <w:t xml:space="preserve">un stockage provisoire écologiquement rationnel ou à une utilisation permise </w:t>
            </w:r>
            <w:r w:rsidR="00A40116" w:rsidRPr="0056798F">
              <w:rPr>
                <w:color w:val="000000" w:themeColor="text1"/>
              </w:rPr>
              <w:t>au titre</w:t>
            </w:r>
            <w:r w:rsidR="004A0D2F" w:rsidRPr="0056798F">
              <w:rPr>
                <w:color w:val="000000" w:themeColor="text1"/>
              </w:rPr>
              <w:t xml:space="preserve"> de la Convention.</w:t>
            </w:r>
          </w:p>
        </w:tc>
      </w:tr>
    </w:tbl>
    <w:p w14:paraId="6C322088" w14:textId="77777777" w:rsidR="00461884" w:rsidRPr="0056798F" w:rsidRDefault="00461884" w:rsidP="00980AA3">
      <w:pPr>
        <w:pStyle w:val="Normal-pool"/>
        <w:tabs>
          <w:tab w:val="clear" w:pos="1247"/>
          <w:tab w:val="clear" w:pos="1871"/>
          <w:tab w:val="clear" w:pos="2495"/>
          <w:tab w:val="clear" w:pos="3119"/>
          <w:tab w:val="clear" w:pos="3742"/>
          <w:tab w:val="clear" w:pos="4366"/>
        </w:tabs>
        <w:spacing w:after="120"/>
        <w:ind w:left="1247" w:firstLine="62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8103E" w:rsidRPr="0056798F" w14:paraId="0CA971DE" w14:textId="77777777" w:rsidTr="0058103E">
        <w:tc>
          <w:tcPr>
            <w:tcW w:w="1897" w:type="dxa"/>
          </w:tcPr>
          <w:p w14:paraId="5A16EB21" w14:textId="77777777" w:rsidR="0058103E" w:rsidRPr="0056798F" w:rsidRDefault="0058103E" w:rsidP="005D3AB7">
            <w:pPr>
              <w:pStyle w:val="Normal-pool"/>
              <w:rPr>
                <w:sz w:val="16"/>
                <w:szCs w:val="16"/>
              </w:rPr>
            </w:pPr>
          </w:p>
        </w:tc>
        <w:tc>
          <w:tcPr>
            <w:tcW w:w="1897" w:type="dxa"/>
          </w:tcPr>
          <w:p w14:paraId="3C473638" w14:textId="77777777" w:rsidR="0058103E" w:rsidRPr="0056798F" w:rsidRDefault="0058103E" w:rsidP="005D3AB7">
            <w:pPr>
              <w:pStyle w:val="Normal-pool"/>
              <w:rPr>
                <w:sz w:val="16"/>
                <w:szCs w:val="16"/>
              </w:rPr>
            </w:pPr>
          </w:p>
        </w:tc>
        <w:tc>
          <w:tcPr>
            <w:tcW w:w="1897" w:type="dxa"/>
            <w:tcBorders>
              <w:bottom w:val="single" w:sz="4" w:space="0" w:color="auto"/>
            </w:tcBorders>
          </w:tcPr>
          <w:p w14:paraId="12F7C508" w14:textId="77777777" w:rsidR="0058103E" w:rsidRPr="0056798F" w:rsidRDefault="0058103E" w:rsidP="00585DBD">
            <w:pPr>
              <w:pStyle w:val="Normal-pool"/>
              <w:spacing w:after="480"/>
              <w:rPr>
                <w:sz w:val="16"/>
                <w:szCs w:val="16"/>
              </w:rPr>
            </w:pPr>
          </w:p>
        </w:tc>
        <w:tc>
          <w:tcPr>
            <w:tcW w:w="1898" w:type="dxa"/>
          </w:tcPr>
          <w:p w14:paraId="464E90B5" w14:textId="77777777" w:rsidR="0058103E" w:rsidRPr="0056798F" w:rsidRDefault="0058103E" w:rsidP="005D3AB7">
            <w:pPr>
              <w:pStyle w:val="Normal-pool"/>
              <w:rPr>
                <w:sz w:val="16"/>
                <w:szCs w:val="16"/>
              </w:rPr>
            </w:pPr>
          </w:p>
        </w:tc>
        <w:tc>
          <w:tcPr>
            <w:tcW w:w="1898" w:type="dxa"/>
          </w:tcPr>
          <w:p w14:paraId="4F125090" w14:textId="77777777" w:rsidR="0058103E" w:rsidRPr="0056798F" w:rsidRDefault="0058103E" w:rsidP="005D3AB7">
            <w:pPr>
              <w:pStyle w:val="Normal-pool"/>
              <w:rPr>
                <w:sz w:val="16"/>
                <w:szCs w:val="16"/>
              </w:rPr>
            </w:pPr>
          </w:p>
        </w:tc>
      </w:tr>
    </w:tbl>
    <w:p w14:paraId="1B569BA7" w14:textId="77777777" w:rsidR="007C6054" w:rsidRPr="0056798F" w:rsidRDefault="007C6054" w:rsidP="00F03F82">
      <w:pPr>
        <w:pStyle w:val="Normal-pool"/>
        <w:rPr>
          <w:sz w:val="2"/>
          <w:szCs w:val="2"/>
        </w:rPr>
      </w:pPr>
    </w:p>
    <w:p w14:paraId="7BFFEE1A" w14:textId="77777777" w:rsidR="007C6054" w:rsidRPr="0056798F" w:rsidRDefault="007C6054" w:rsidP="00F03F82">
      <w:pPr>
        <w:pStyle w:val="Normal-pool"/>
        <w:rPr>
          <w:sz w:val="2"/>
          <w:szCs w:val="2"/>
        </w:rPr>
      </w:pPr>
    </w:p>
    <w:p w14:paraId="08177C79" w14:textId="77777777" w:rsidR="007C6054" w:rsidRPr="0056798F" w:rsidRDefault="007C6054" w:rsidP="00F03F82">
      <w:pPr>
        <w:pStyle w:val="Normal-pool"/>
        <w:rPr>
          <w:sz w:val="2"/>
          <w:szCs w:val="2"/>
        </w:rPr>
      </w:pPr>
    </w:p>
    <w:p w14:paraId="5B82050C" w14:textId="295DA1DE" w:rsidR="0081009C" w:rsidRPr="0056798F" w:rsidRDefault="0081009C" w:rsidP="00F03F82">
      <w:pPr>
        <w:pStyle w:val="Normal-pool"/>
        <w:rPr>
          <w:sz w:val="2"/>
          <w:szCs w:val="2"/>
        </w:rPr>
      </w:pPr>
    </w:p>
    <w:sectPr w:rsidR="0081009C" w:rsidRPr="0056798F" w:rsidSect="006C0509">
      <w:footnotePr>
        <w:numRestart w:val="eachSect"/>
      </w:footnotePr>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4A79" w14:textId="77777777" w:rsidR="0014559E" w:rsidRPr="007C6054" w:rsidRDefault="0014559E">
      <w:r w:rsidRPr="007C6054">
        <w:separator/>
      </w:r>
    </w:p>
  </w:endnote>
  <w:endnote w:type="continuationSeparator" w:id="0">
    <w:p w14:paraId="35C48240" w14:textId="77777777" w:rsidR="0014559E" w:rsidRPr="007C6054" w:rsidRDefault="0014559E">
      <w:r w:rsidRPr="007C6054">
        <w:continuationSeparator/>
      </w:r>
    </w:p>
  </w:endnote>
  <w:endnote w:type="continuationNotice" w:id="1">
    <w:p w14:paraId="0F3905EE" w14:textId="77777777" w:rsidR="0014559E" w:rsidRPr="007C6054" w:rsidRDefault="00145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E461" w14:textId="3B0BE5C2" w:rsidR="0074151C" w:rsidRPr="007C6054" w:rsidRDefault="007C6054" w:rsidP="007C6054">
    <w:pPr>
      <w:pStyle w:val="Footer-pool"/>
    </w:pPr>
    <w:r w:rsidRPr="007C6054">
      <w:fldChar w:fldCharType="begin"/>
    </w:r>
    <w:r w:rsidRPr="007C6054">
      <w:instrText xml:space="preserve"> PAGE </w:instrText>
    </w:r>
    <w:r w:rsidRPr="007C6054">
      <w:fldChar w:fldCharType="separate"/>
    </w:r>
    <w:r w:rsidRPr="007C6054">
      <w:rPr>
        <w:noProof/>
      </w:rPr>
      <w:t>1</w:t>
    </w:r>
    <w:r w:rsidRPr="007C605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7076" w14:textId="0D16ED2E" w:rsidR="007C6054" w:rsidRPr="000030D0" w:rsidRDefault="007C6054" w:rsidP="007C6054">
    <w:pPr>
      <w:pStyle w:val="Footer-pool"/>
      <w:jc w:val="right"/>
    </w:pPr>
    <w:r w:rsidRPr="000030D0">
      <w:fldChar w:fldCharType="begin"/>
    </w:r>
    <w:r w:rsidRPr="000030D0">
      <w:instrText xml:space="preserve"> PAGE \* MERGEFORMAT </w:instrText>
    </w:r>
    <w:r w:rsidRPr="000030D0">
      <w:fldChar w:fldCharType="separate"/>
    </w:r>
    <w:r w:rsidRPr="000030D0">
      <w:rPr>
        <w:noProof/>
      </w:rPr>
      <w:t>1</w:t>
    </w:r>
    <w:r w:rsidRPr="000030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A1F0" w14:textId="5DC23B33" w:rsidR="007C6054" w:rsidRPr="007C6054" w:rsidRDefault="007C6054" w:rsidP="007C6054">
    <w:pPr>
      <w:pStyle w:val="Footer-jobnumber"/>
    </w:pPr>
    <w:bookmarkStart w:id="12" w:name="FooterJobDate"/>
    <w:r w:rsidRPr="007C6054">
      <w:t>K</w:t>
    </w:r>
    <w:r w:rsidR="00F02B0C">
      <w:t>2512476</w:t>
    </w:r>
    <w:r w:rsidRPr="007C6054">
      <w:t>[F]</w:t>
    </w:r>
    <w:r w:rsidRPr="007C6054">
      <w:tab/>
    </w:r>
    <w:bookmarkEnd w:id="12"/>
    <w:r w:rsidR="007F379D" w:rsidRPr="007C6054">
      <w:t>1</w:t>
    </w:r>
    <w:r w:rsidR="00E4629E">
      <w:t>8</w:t>
    </w:r>
    <w:r w:rsidR="007F379D" w:rsidRPr="007C6054">
      <w:t>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88BD" w14:textId="77777777" w:rsidR="0014559E" w:rsidRPr="007C6054" w:rsidRDefault="0014559E" w:rsidP="007C6054">
      <w:pPr>
        <w:pStyle w:val="Footnote-Separator"/>
        <w:ind w:left="624"/>
        <w:rPr>
          <w:szCs w:val="18"/>
        </w:rPr>
      </w:pPr>
      <w:r>
        <w:separator/>
      </w:r>
    </w:p>
  </w:footnote>
  <w:footnote w:type="continuationSeparator" w:id="0">
    <w:p w14:paraId="7991F803" w14:textId="77777777" w:rsidR="0014559E" w:rsidRPr="007C6054" w:rsidRDefault="0014559E" w:rsidP="007C6054">
      <w:pPr>
        <w:pStyle w:val="Footnote-Separator"/>
      </w:pPr>
      <w:r w:rsidRPr="007C6054">
        <w:continuationSeparator/>
      </w:r>
    </w:p>
  </w:footnote>
  <w:footnote w:type="continuationNotice" w:id="1">
    <w:p w14:paraId="2D1F953D" w14:textId="77777777" w:rsidR="0014559E" w:rsidRPr="007C6054" w:rsidRDefault="0014559E" w:rsidP="007C6054">
      <w:pPr>
        <w:pStyle w:val="ASpacer"/>
      </w:pPr>
    </w:p>
  </w:footnote>
  <w:footnote w:id="2">
    <w:p w14:paraId="0FD25C71" w14:textId="6DFC3D4C" w:rsidR="007C6054" w:rsidRPr="007C6054" w:rsidRDefault="007C6054" w:rsidP="007C6054">
      <w:pPr>
        <w:pStyle w:val="Footnote-Text"/>
        <w:rPr>
          <w:szCs w:val="18"/>
        </w:rPr>
      </w:pPr>
      <w:r w:rsidRPr="007C6054">
        <w:t>* UNEP/MC/COP.6/1</w:t>
      </w:r>
      <w:r w:rsidR="004D2F9E">
        <w:t>/Rev.1</w:t>
      </w:r>
      <w:r w:rsidRPr="007C6054">
        <w:t>.</w:t>
      </w:r>
    </w:p>
  </w:footnote>
  <w:footnote w:id="3">
    <w:p w14:paraId="2B311AC1" w14:textId="51633C26" w:rsidR="56146B76" w:rsidRPr="007C6054" w:rsidRDefault="007C6054" w:rsidP="007C6054">
      <w:pPr>
        <w:pStyle w:val="Footnote-Text"/>
      </w:pPr>
      <w:r w:rsidRPr="007C6054">
        <w:rPr>
          <w:sz w:val="20"/>
          <w:vertAlign w:val="superscript"/>
        </w:rPr>
        <w:footnoteRef/>
      </w:r>
      <w:r w:rsidR="56146B76" w:rsidRPr="007C6054">
        <w:t xml:space="preserve"> Le libellé complet de la question 3.1 figure dans le document UNEP/MC/COP.6/INF/20, </w:t>
      </w:r>
      <w:r w:rsidR="56146B76" w:rsidRPr="00274E2D">
        <w:t>p</w:t>
      </w:r>
      <w:r w:rsidR="001E7CA9" w:rsidRPr="00274E2D">
        <w:t>.</w:t>
      </w:r>
      <w:r w:rsidR="56146B76" w:rsidRPr="00274E2D">
        <w:t xml:space="preserve"> </w:t>
      </w:r>
      <w:r w:rsidR="00E4450E">
        <w:t>5</w:t>
      </w:r>
      <w:r w:rsidR="56146B76" w:rsidRPr="00274E2D">
        <w:t>.</w:t>
      </w:r>
    </w:p>
  </w:footnote>
  <w:footnote w:id="4">
    <w:p w14:paraId="15DC1D6F" w14:textId="4A6CE6CA" w:rsidR="56146B76" w:rsidRPr="007C6054" w:rsidRDefault="007C6054" w:rsidP="007C6054">
      <w:pPr>
        <w:pStyle w:val="Footnote-Text"/>
      </w:pPr>
      <w:r w:rsidRPr="007C6054">
        <w:rPr>
          <w:sz w:val="20"/>
          <w:vertAlign w:val="superscript"/>
        </w:rPr>
        <w:footnoteRef/>
      </w:r>
      <w:r w:rsidR="56146B76" w:rsidRPr="007C6054">
        <w:t xml:space="preserve"> Partie C</w:t>
      </w:r>
      <w:r w:rsidR="00504F1C">
        <w:t> </w:t>
      </w:r>
      <w:r w:rsidR="56146B76" w:rsidRPr="007C6054">
        <w:t>: Observations concernant les éventuelles difficultés rencontrées dans la réalisation des objectifs de la</w:t>
      </w:r>
      <w:r w:rsidR="00367E9F">
        <w:t> </w:t>
      </w:r>
      <w:r w:rsidR="56146B76" w:rsidRPr="007C6054">
        <w:t>Convention</w:t>
      </w:r>
      <w:r w:rsidR="00F371D7" w:rsidRPr="007C6054">
        <w:t>.</w:t>
      </w:r>
      <w:r w:rsidR="56146B76" w:rsidRPr="007C6054">
        <w:t xml:space="preserve"> </w:t>
      </w:r>
    </w:p>
  </w:footnote>
  <w:footnote w:id="5">
    <w:p w14:paraId="351C6311" w14:textId="5BD7AD29" w:rsidR="000417B8" w:rsidRPr="007C6054" w:rsidRDefault="007C6054" w:rsidP="007C6054">
      <w:pPr>
        <w:pStyle w:val="Footnote-Text"/>
        <w:rPr>
          <w:szCs w:val="18"/>
        </w:rPr>
      </w:pPr>
      <w:r w:rsidRPr="007C6054">
        <w:rPr>
          <w:rStyle w:val="FootnoteReference"/>
          <w:rFonts w:eastAsia="SimSun"/>
          <w:sz w:val="20"/>
        </w:rPr>
        <w:footnoteRef/>
      </w:r>
      <w:r w:rsidR="000417B8" w:rsidRPr="007C6054">
        <w:rPr>
          <w:szCs w:val="18"/>
        </w:rPr>
        <w:t xml:space="preserve"> </w:t>
      </w:r>
      <w:r w:rsidR="000417B8" w:rsidRPr="007C6054">
        <w:t>Projet du FEM n</w:t>
      </w:r>
      <w:r w:rsidR="000417B8" w:rsidRPr="007C6054">
        <w:rPr>
          <w:vertAlign w:val="superscript"/>
        </w:rPr>
        <w:t>o</w:t>
      </w:r>
      <w:r w:rsidR="000417B8" w:rsidRPr="007C6054">
        <w:t> 10086</w:t>
      </w:r>
      <w:r w:rsidR="000417B8" w:rsidRPr="007C6054">
        <w:rPr>
          <w:rFonts w:eastAsia="MS Mincho"/>
          <w:szCs w:val="18"/>
          <w:lang w:eastAsia="ja-JP"/>
        </w:rPr>
        <w:t xml:space="preserve">. </w:t>
      </w:r>
    </w:p>
  </w:footnote>
  <w:footnote w:id="6">
    <w:p w14:paraId="658A7237" w14:textId="493320EE" w:rsidR="0026116F" w:rsidRPr="007C6054" w:rsidRDefault="007C6054" w:rsidP="007C6054">
      <w:pPr>
        <w:pStyle w:val="Footnote-Text"/>
      </w:pPr>
      <w:r w:rsidRPr="007C6054">
        <w:rPr>
          <w:rStyle w:val="FootnoteReference"/>
          <w:rFonts w:eastAsia="SimSun"/>
          <w:sz w:val="20"/>
        </w:rPr>
        <w:footnoteRef/>
      </w:r>
      <w:r w:rsidR="0026116F" w:rsidRPr="007C6054">
        <w:t xml:space="preserve"> Au 31</w:t>
      </w:r>
      <w:r w:rsidR="003F4C4E">
        <w:t> </w:t>
      </w:r>
      <w:r w:rsidR="0026116F" w:rsidRPr="007C6054">
        <w:t>juillet 2025, il s</w:t>
      </w:r>
      <w:r w:rsidR="00AC1005">
        <w:t>’</w:t>
      </w:r>
      <w:r w:rsidR="0026116F" w:rsidRPr="007C6054">
        <w:t>agi</w:t>
      </w:r>
      <w:r w:rsidR="005E6746" w:rsidRPr="007C6054">
        <w:t>ssai</w:t>
      </w:r>
      <w:r w:rsidR="0026116F" w:rsidRPr="007C6054">
        <w:t xml:space="preserve">t des </w:t>
      </w:r>
      <w:r w:rsidR="00425084" w:rsidRPr="007C6054">
        <w:t>P</w:t>
      </w:r>
      <w:r w:rsidR="0026116F" w:rsidRPr="007C6054">
        <w:t>arties suivantes</w:t>
      </w:r>
      <w:r w:rsidR="00504F1C">
        <w:t> </w:t>
      </w:r>
      <w:r w:rsidR="0026116F" w:rsidRPr="007C6054">
        <w:t xml:space="preserve">: </w:t>
      </w:r>
      <w:r w:rsidR="004F7156" w:rsidRPr="00524344">
        <w:t>Burundi</w:t>
      </w:r>
      <w:r w:rsidR="004F7156">
        <w:t xml:space="preserve">, </w:t>
      </w:r>
      <w:r w:rsidR="004F7156" w:rsidRPr="00524344">
        <w:t>Costa Rica</w:t>
      </w:r>
      <w:r w:rsidR="004F7156">
        <w:t xml:space="preserve">, </w:t>
      </w:r>
      <w:r w:rsidR="004F7156" w:rsidRPr="00524344">
        <w:t>Émirats arabes unis</w:t>
      </w:r>
      <w:r w:rsidR="004F7156">
        <w:t xml:space="preserve">, </w:t>
      </w:r>
      <w:r w:rsidR="004F7156" w:rsidRPr="00524344">
        <w:t>Eswatini</w:t>
      </w:r>
      <w:r w:rsidR="004F7156">
        <w:t xml:space="preserve">, </w:t>
      </w:r>
      <w:r w:rsidR="004F7156" w:rsidRPr="00524344">
        <w:t>État</w:t>
      </w:r>
      <w:r w:rsidR="00311A67">
        <w:t> </w:t>
      </w:r>
      <w:r w:rsidR="004F7156" w:rsidRPr="00524344">
        <w:t>de Palestine</w:t>
      </w:r>
      <w:r w:rsidR="004F7156">
        <w:t xml:space="preserve">, </w:t>
      </w:r>
      <w:r w:rsidR="004F7156" w:rsidRPr="00524344">
        <w:t>Guinée-Bissau</w:t>
      </w:r>
      <w:r w:rsidR="004F7156">
        <w:t xml:space="preserve">, </w:t>
      </w:r>
      <w:r w:rsidR="004F7156" w:rsidRPr="00524344">
        <w:t>Îles Marshall</w:t>
      </w:r>
      <w:r w:rsidR="004F7156">
        <w:t xml:space="preserve">, </w:t>
      </w:r>
      <w:r w:rsidR="004F7156" w:rsidRPr="00524344">
        <w:t>Madagascar</w:t>
      </w:r>
      <w:r w:rsidR="004F7156">
        <w:t xml:space="preserve">, </w:t>
      </w:r>
      <w:r w:rsidR="004F7156" w:rsidRPr="00524344">
        <w:t>Mali</w:t>
      </w:r>
      <w:r w:rsidR="004F7156">
        <w:t xml:space="preserve">, </w:t>
      </w:r>
      <w:r w:rsidR="004F7156" w:rsidRPr="00524344">
        <w:t>Malte</w:t>
      </w:r>
      <w:r w:rsidR="004F7156">
        <w:t xml:space="preserve">, </w:t>
      </w:r>
      <w:r w:rsidR="004F7156" w:rsidRPr="00524344">
        <w:t>Portugal</w:t>
      </w:r>
      <w:r w:rsidR="004F7156">
        <w:t xml:space="preserve">, </w:t>
      </w:r>
      <w:r w:rsidR="004F7156" w:rsidRPr="00524344">
        <w:t>République de Moldova</w:t>
      </w:r>
      <w:r w:rsidR="004F7156">
        <w:t xml:space="preserve">, </w:t>
      </w:r>
      <w:r w:rsidR="004F7156" w:rsidRPr="00524344">
        <w:t>Rwanda</w:t>
      </w:r>
      <w:r w:rsidR="004F7156">
        <w:t xml:space="preserve">, </w:t>
      </w:r>
      <w:r w:rsidR="004F7156" w:rsidRPr="00524344">
        <w:t>Sri Lanka</w:t>
      </w:r>
      <w:r w:rsidR="004F7156">
        <w:t xml:space="preserve">, </w:t>
      </w:r>
      <w:r w:rsidR="004F7156" w:rsidRPr="00524344">
        <w:t>Viet Nam</w:t>
      </w:r>
      <w:r w:rsidR="004F7156">
        <w:t xml:space="preserve">, et </w:t>
      </w:r>
      <w:r w:rsidR="004F7156" w:rsidRPr="00524344">
        <w:t>Zambie</w:t>
      </w:r>
      <w:r w:rsidR="0026116F" w:rsidRPr="007C6054">
        <w:t xml:space="preserve">. </w:t>
      </w:r>
      <w:r w:rsidR="00D21A27" w:rsidRPr="007C6054">
        <w:t>Il convient de noter que c</w:t>
      </w:r>
      <w:r w:rsidR="0026116F" w:rsidRPr="007C6054">
        <w:t>es réponses incluent</w:t>
      </w:r>
      <w:r w:rsidR="00BD13AE">
        <w:t> </w:t>
      </w:r>
      <w:r w:rsidR="0026116F" w:rsidRPr="007C6054">
        <w:t xml:space="preserve">les réponses </w:t>
      </w:r>
      <w:r w:rsidR="00D21A27" w:rsidRPr="007C6054">
        <w:t>amend</w:t>
      </w:r>
      <w:r w:rsidR="0026116F" w:rsidRPr="007C6054">
        <w:t xml:space="preserve">ées des </w:t>
      </w:r>
      <w:r w:rsidR="005E6746" w:rsidRPr="007C6054">
        <w:t>P</w:t>
      </w:r>
      <w:r w:rsidR="0026116F" w:rsidRPr="007C6054">
        <w:t>arties reçues par le secrétariat. Pour plus d</w:t>
      </w:r>
      <w:r w:rsidR="00AC1005">
        <w:t>’</w:t>
      </w:r>
      <w:r w:rsidR="0026116F" w:rsidRPr="007C6054">
        <w:t>informations sur cette question, voir</w:t>
      </w:r>
      <w:r w:rsidR="005E6746" w:rsidRPr="007C6054">
        <w:t xml:space="preserve"> le document</w:t>
      </w:r>
      <w:r w:rsidR="0026116F" w:rsidRPr="007C6054">
        <w:t xml:space="preserve"> UNEP/MC/COP.6/INF/20.</w:t>
      </w:r>
    </w:p>
  </w:footnote>
  <w:footnote w:id="7">
    <w:p w14:paraId="4A77258F" w14:textId="5DCE4825" w:rsidR="00F04167" w:rsidRPr="007C6054" w:rsidRDefault="007C6054" w:rsidP="007C6054">
      <w:pPr>
        <w:pStyle w:val="Footnote-Text"/>
      </w:pPr>
      <w:r w:rsidRPr="007C6054">
        <w:rPr>
          <w:rStyle w:val="FootnoteReference"/>
          <w:rFonts w:eastAsia="SimSun"/>
          <w:sz w:val="20"/>
        </w:rPr>
        <w:footnoteRef/>
      </w:r>
      <w:r w:rsidR="00F04167" w:rsidRPr="007C6054">
        <w:t xml:space="preserve"> La Déclaration de Bali sur la lutte contre le commerce illicite de mercure a été présentée par la présidence indonésienne de la Conférence des Parties à sa quatrième</w:t>
      </w:r>
      <w:r w:rsidR="009D6015">
        <w:t> </w:t>
      </w:r>
      <w:r w:rsidR="00F04167" w:rsidRPr="007C6054">
        <w:t>réunion comme une déclaration politique non</w:t>
      </w:r>
      <w:r w:rsidR="002C2595">
        <w:t> </w:t>
      </w:r>
      <w:r w:rsidR="00F04167" w:rsidRPr="007C6054">
        <w:t>contraignante. La déclaration a reçu l</w:t>
      </w:r>
      <w:r w:rsidR="00AC1005">
        <w:t>’</w:t>
      </w:r>
      <w:r w:rsidR="00F04167" w:rsidRPr="007C6054">
        <w:t xml:space="preserve">appui de délégations </w:t>
      </w:r>
      <w:r w:rsidR="00244DA1" w:rsidRPr="007C6054">
        <w:t xml:space="preserve">et groupes </w:t>
      </w:r>
      <w:r w:rsidR="00F04167" w:rsidRPr="007C6054">
        <w:t>régiona</w:t>
      </w:r>
      <w:r w:rsidR="00244DA1" w:rsidRPr="007C6054">
        <w:t>ux</w:t>
      </w:r>
      <w:r w:rsidR="00F04167" w:rsidRPr="007C6054">
        <w:t xml:space="preserve"> et est </w:t>
      </w:r>
      <w:r w:rsidR="00244DA1" w:rsidRPr="007C6054">
        <w:t>reproduite dans</w:t>
      </w:r>
      <w:r w:rsidR="00F04167" w:rsidRPr="007C6054">
        <w:t xml:space="preserve"> l</w:t>
      </w:r>
      <w:r w:rsidR="00AC1005">
        <w:t>’</w:t>
      </w:r>
      <w:r w:rsidR="00F04167" w:rsidRPr="007C6054">
        <w:t>annexe</w:t>
      </w:r>
      <w:r w:rsidR="002C2595">
        <w:t> </w:t>
      </w:r>
      <w:r w:rsidR="00F04167" w:rsidRPr="007C6054">
        <w:t xml:space="preserve">III </w:t>
      </w:r>
      <w:r w:rsidR="00244DA1" w:rsidRPr="007C6054">
        <w:t>d</w:t>
      </w:r>
      <w:r w:rsidR="00F04167" w:rsidRPr="007C6054">
        <w:t>u rapport de la Conférence des Parties à la Convention de</w:t>
      </w:r>
      <w:r w:rsidR="00EB14EE">
        <w:t> </w:t>
      </w:r>
      <w:r w:rsidR="00F04167" w:rsidRPr="007C6054">
        <w:t>Minamata sur le mercure sur les travaux de sa quatrième</w:t>
      </w:r>
      <w:r w:rsidR="00EB14EE">
        <w:t> </w:t>
      </w:r>
      <w:r w:rsidR="00F04167" w:rsidRPr="007C6054">
        <w:t>réunion</w:t>
      </w:r>
      <w:r w:rsidR="00244DA1" w:rsidRPr="007C6054">
        <w:t xml:space="preserve"> (UNEP/MC/COP.4/28/Add.1)</w:t>
      </w:r>
      <w:r w:rsidR="00F04167" w:rsidRPr="007C6054">
        <w:t>.</w:t>
      </w:r>
    </w:p>
  </w:footnote>
  <w:footnote w:id="8">
    <w:p w14:paraId="57E8AD06" w14:textId="69C65A90" w:rsidR="00F04167" w:rsidRPr="007C6054" w:rsidRDefault="007C6054" w:rsidP="007C6054">
      <w:pPr>
        <w:pStyle w:val="Footnote-Text"/>
      </w:pPr>
      <w:r w:rsidRPr="007C6054">
        <w:rPr>
          <w:rStyle w:val="FootnoteReference"/>
          <w:rFonts w:eastAsia="SimSun"/>
          <w:sz w:val="20"/>
        </w:rPr>
        <w:footnoteRef/>
      </w:r>
      <w:r w:rsidR="00F04167" w:rsidRPr="007C6054">
        <w:t xml:space="preserve"> Les informations communiquées par l</w:t>
      </w:r>
      <w:r w:rsidR="00AC1005">
        <w:t>’</w:t>
      </w:r>
      <w:r w:rsidR="00F04167" w:rsidRPr="007C6054">
        <w:t xml:space="preserve">Indonésie </w:t>
      </w:r>
      <w:r w:rsidR="00A939A3" w:rsidRPr="007C6054">
        <w:t>son</w:t>
      </w:r>
      <w:r w:rsidR="00F04167" w:rsidRPr="007C6054">
        <w:t>t résumé</w:t>
      </w:r>
      <w:r w:rsidR="00A939A3" w:rsidRPr="007C6054">
        <w:t>es</w:t>
      </w:r>
      <w:r w:rsidR="00F04167" w:rsidRPr="007C6054">
        <w:t xml:space="preserve"> dans le document UNEP/MC/COP.6/INF/6 et publi</w:t>
      </w:r>
      <w:r w:rsidR="0040712D" w:rsidRPr="007C6054">
        <w:t>é</w:t>
      </w:r>
      <w:r w:rsidR="00F04167" w:rsidRPr="007C6054">
        <w:t>e</w:t>
      </w:r>
      <w:r w:rsidR="0040712D" w:rsidRPr="007C6054">
        <w:t>s</w:t>
      </w:r>
      <w:r w:rsidR="00F04167" w:rsidRPr="007C6054">
        <w:t xml:space="preserve"> sur le </w:t>
      </w:r>
      <w:hyperlink r:id="rId1" w:history="1">
        <w:r w:rsidR="00F04167" w:rsidRPr="00126ACD">
          <w:rPr>
            <w:rStyle w:val="Hyperlink"/>
          </w:rPr>
          <w:t xml:space="preserve">site </w:t>
        </w:r>
        <w:r w:rsidR="008450AF" w:rsidRPr="00126ACD">
          <w:rPr>
            <w:rStyle w:val="Hyperlink"/>
          </w:rPr>
          <w:t>Web</w:t>
        </w:r>
      </w:hyperlink>
      <w:r w:rsidR="008450AF" w:rsidRPr="007C6054">
        <w:t xml:space="preserve"> </w:t>
      </w:r>
      <w:r w:rsidR="00F04167" w:rsidRPr="007C6054">
        <w:t>de la Convention.</w:t>
      </w:r>
    </w:p>
  </w:footnote>
  <w:footnote w:id="9">
    <w:p w14:paraId="74126D4A" w14:textId="3472B0C9" w:rsidR="008B2FA8" w:rsidRPr="007C6054" w:rsidRDefault="007C6054" w:rsidP="007C6054">
      <w:pPr>
        <w:pStyle w:val="Footnote-Text"/>
      </w:pPr>
      <w:r w:rsidRPr="007C6054">
        <w:rPr>
          <w:rStyle w:val="FootnoteReference"/>
          <w:rFonts w:eastAsia="SimSun"/>
          <w:sz w:val="20"/>
        </w:rPr>
        <w:footnoteRef/>
      </w:r>
      <w:r w:rsidR="008B2FA8" w:rsidRPr="007C6054">
        <w:t xml:space="preserve"> UNEP/MC/COP.1/5, annexe IV.</w:t>
      </w:r>
    </w:p>
  </w:footnote>
  <w:footnote w:id="10">
    <w:p w14:paraId="11AAF643" w14:textId="16F75C87" w:rsidR="00CB6015" w:rsidRPr="007C6054" w:rsidRDefault="007C6054" w:rsidP="007C6054">
      <w:pPr>
        <w:pStyle w:val="Footnote-Text"/>
      </w:pPr>
      <w:r w:rsidRPr="007C6054">
        <w:rPr>
          <w:rStyle w:val="FootnoteReference"/>
          <w:rFonts w:eastAsia="SimSun"/>
          <w:sz w:val="20"/>
        </w:rPr>
        <w:footnoteRef/>
      </w:r>
      <w:r w:rsidR="00CB6015" w:rsidRPr="007C6054">
        <w:t xml:space="preserve"> UNEP/MC/COP.1/5, annexe III.</w:t>
      </w:r>
    </w:p>
  </w:footnote>
  <w:footnote w:id="11">
    <w:p w14:paraId="0E09BF1B" w14:textId="7981F117" w:rsidR="00605DAC" w:rsidRPr="007C6054" w:rsidRDefault="007C6054" w:rsidP="007C6054">
      <w:pPr>
        <w:pStyle w:val="Footnote-Text"/>
        <w:rPr>
          <w:szCs w:val="18"/>
        </w:rPr>
      </w:pPr>
      <w:r w:rsidRPr="007C6054">
        <w:rPr>
          <w:rStyle w:val="FootnoteReference"/>
          <w:rFonts w:eastAsia="SimSun"/>
          <w:sz w:val="20"/>
        </w:rPr>
        <w:footnoteRef/>
      </w:r>
      <w:r w:rsidR="00605DAC" w:rsidRPr="007C6054">
        <w:rPr>
          <w:szCs w:val="18"/>
        </w:rPr>
        <w:t xml:space="preserve"> </w:t>
      </w:r>
      <w:hyperlink r:id="rId2" w:history="1">
        <w:r w:rsidR="00385D1D" w:rsidRPr="0055437C">
          <w:rPr>
            <w:rStyle w:val="Hyperlink"/>
            <w:szCs w:val="18"/>
          </w:rPr>
          <w:t>https://minamataconvention.org/</w:t>
        </w:r>
        <w:r w:rsidR="0055437C" w:rsidRPr="0055437C">
          <w:rPr>
            <w:rStyle w:val="Hyperlink"/>
            <w:szCs w:val="18"/>
          </w:rPr>
          <w:t>fr</w:t>
        </w:r>
        <w:r w:rsidR="00385D1D" w:rsidRPr="0055437C">
          <w:rPr>
            <w:rStyle w:val="Hyperlink"/>
            <w:szCs w:val="18"/>
          </w:rPr>
          <w:t>/resources/2024-fact-sheet-mercury-trade</w:t>
        </w:r>
      </w:hyperlink>
      <w:r w:rsidR="00605DAC" w:rsidRPr="007C6054">
        <w:rPr>
          <w:szCs w:val="18"/>
        </w:rPr>
        <w:t>.</w:t>
      </w:r>
    </w:p>
  </w:footnote>
  <w:footnote w:id="12">
    <w:p w14:paraId="78BFAB2A" w14:textId="4387CCB6" w:rsidR="00605DAC" w:rsidRPr="007C6054" w:rsidRDefault="007C6054" w:rsidP="007C6054">
      <w:pPr>
        <w:pStyle w:val="Footnote-Text"/>
      </w:pPr>
      <w:r w:rsidRPr="007C6054">
        <w:rPr>
          <w:rStyle w:val="FootnoteReference"/>
          <w:rFonts w:eastAsia="SimSun"/>
          <w:sz w:val="20"/>
        </w:rPr>
        <w:footnoteRef/>
      </w:r>
      <w:r w:rsidR="00605DAC" w:rsidRPr="007C6054">
        <w:t xml:space="preserve"> Projet du FEM n</w:t>
      </w:r>
      <w:r w:rsidR="00605DAC" w:rsidRPr="007C6054">
        <w:rPr>
          <w:vertAlign w:val="superscript"/>
        </w:rPr>
        <w:t>o</w:t>
      </w:r>
      <w:r w:rsidR="00605DAC" w:rsidRPr="007C6054">
        <w:t> 1047.</w:t>
      </w:r>
    </w:p>
  </w:footnote>
  <w:footnote w:id="13">
    <w:p w14:paraId="4BDF3EEE" w14:textId="71B5E005" w:rsidR="003F17E2" w:rsidRPr="000775CF" w:rsidRDefault="007C6054" w:rsidP="007C6054">
      <w:pPr>
        <w:pStyle w:val="Footnote-Text"/>
      </w:pPr>
      <w:r w:rsidRPr="007C6054">
        <w:rPr>
          <w:rStyle w:val="FootnoteReference"/>
          <w:rFonts w:eastAsia="SimSun"/>
          <w:sz w:val="20"/>
        </w:rPr>
        <w:footnoteRef/>
      </w:r>
      <w:r w:rsidR="003F17E2" w:rsidRPr="007C6054">
        <w:t xml:space="preserve"> UNEP/MC/COP.6/14, </w:t>
      </w:r>
      <w:r w:rsidR="003F17E2" w:rsidRPr="000775CF">
        <w:t xml:space="preserve">annexe, </w:t>
      </w:r>
      <w:r w:rsidR="009E3917" w:rsidRPr="000775CF">
        <w:t>al</w:t>
      </w:r>
      <w:r w:rsidR="00C83CBA" w:rsidRPr="000775CF">
        <w:t xml:space="preserve">inéa </w:t>
      </w:r>
      <w:r w:rsidR="00100192" w:rsidRPr="000775CF">
        <w:t>b</w:t>
      </w:r>
      <w:r w:rsidR="009E3917" w:rsidRPr="000775CF">
        <w:t xml:space="preserve">) du </w:t>
      </w:r>
      <w:r w:rsidR="003F17E2" w:rsidRPr="000775CF">
        <w:t>par</w:t>
      </w:r>
      <w:r w:rsidR="00C83CBA" w:rsidRPr="000775CF">
        <w:t>agraphe</w:t>
      </w:r>
      <w:r w:rsidR="003F17E2" w:rsidRPr="000775CF">
        <w:t> 3.</w:t>
      </w:r>
    </w:p>
  </w:footnote>
  <w:footnote w:id="14">
    <w:p w14:paraId="4FEA6FD7" w14:textId="397ACC93" w:rsidR="00453CD8" w:rsidRPr="000775CF" w:rsidRDefault="007C6054" w:rsidP="007C6054">
      <w:pPr>
        <w:pStyle w:val="Footnote-Text"/>
      </w:pPr>
      <w:r w:rsidRPr="000775CF">
        <w:rPr>
          <w:rStyle w:val="FootnoteReference"/>
          <w:rFonts w:eastAsia="SimSun"/>
          <w:sz w:val="20"/>
        </w:rPr>
        <w:footnoteRef/>
      </w:r>
      <w:r w:rsidR="00453CD8" w:rsidRPr="000775CF">
        <w:t xml:space="preserve"> </w:t>
      </w:r>
      <w:r w:rsidR="00D12E0B" w:rsidRPr="000775CF">
        <w:t>Par exemple, le projet récemment</w:t>
      </w:r>
      <w:r w:rsidR="00170703" w:rsidRPr="000775CF">
        <w:t xml:space="preserve"> mis en œuvre appel</w:t>
      </w:r>
      <w:r w:rsidR="00D12E0B" w:rsidRPr="000775CF">
        <w:t xml:space="preserve">é </w:t>
      </w:r>
      <w:r w:rsidR="00100192" w:rsidRPr="000775CF">
        <w:t>« </w:t>
      </w:r>
      <w:proofErr w:type="spellStart"/>
      <w:r w:rsidR="00453CD8" w:rsidRPr="000775CF">
        <w:t>Accelerate</w:t>
      </w:r>
      <w:proofErr w:type="spellEnd"/>
      <w:r w:rsidR="00453CD8" w:rsidRPr="000775CF">
        <w:t xml:space="preserve"> Minamata Convention compliance </w:t>
      </w:r>
      <w:proofErr w:type="spellStart"/>
      <w:r w:rsidR="00453CD8" w:rsidRPr="000775CF">
        <w:t>through</w:t>
      </w:r>
      <w:proofErr w:type="spellEnd"/>
      <w:r w:rsidR="00453CD8" w:rsidRPr="000775CF">
        <w:t xml:space="preserve"> </w:t>
      </w:r>
      <w:proofErr w:type="spellStart"/>
      <w:r w:rsidR="00453CD8" w:rsidRPr="000775CF">
        <w:t>improved</w:t>
      </w:r>
      <w:proofErr w:type="spellEnd"/>
      <w:r w:rsidR="00453CD8" w:rsidRPr="000775CF">
        <w:t xml:space="preserve"> </w:t>
      </w:r>
      <w:proofErr w:type="spellStart"/>
      <w:r w:rsidR="00453CD8" w:rsidRPr="000775CF">
        <w:t>understanding</w:t>
      </w:r>
      <w:proofErr w:type="spellEnd"/>
      <w:r w:rsidR="00453CD8" w:rsidRPr="000775CF">
        <w:t xml:space="preserve"> and control of </w:t>
      </w:r>
      <w:proofErr w:type="spellStart"/>
      <w:r w:rsidR="00453CD8" w:rsidRPr="000775CF">
        <w:t>mercury</w:t>
      </w:r>
      <w:proofErr w:type="spellEnd"/>
      <w:r w:rsidR="00453CD8" w:rsidRPr="000775CF">
        <w:t xml:space="preserve"> </w:t>
      </w:r>
      <w:proofErr w:type="spellStart"/>
      <w:r w:rsidR="00453CD8" w:rsidRPr="000775CF">
        <w:t>trade</w:t>
      </w:r>
      <w:proofErr w:type="spellEnd"/>
      <w:r w:rsidR="00453CD8" w:rsidRPr="000775CF">
        <w:t xml:space="preserve"> in Latin America</w:t>
      </w:r>
      <w:r w:rsidR="00100192" w:rsidRPr="000775CF">
        <w:t xml:space="preserve"> » </w:t>
      </w:r>
      <w:r w:rsidR="00655CB3" w:rsidRPr="000775CF">
        <w:t>(Accélérer l</w:t>
      </w:r>
      <w:r w:rsidR="00AC1005" w:rsidRPr="000775CF">
        <w:t>’</w:t>
      </w:r>
      <w:r w:rsidR="00170703" w:rsidRPr="000775CF">
        <w:t>application</w:t>
      </w:r>
      <w:r w:rsidR="00655CB3" w:rsidRPr="000775CF">
        <w:t xml:space="preserve"> de la </w:t>
      </w:r>
      <w:r w:rsidR="00170703" w:rsidRPr="000775CF">
        <w:t>C</w:t>
      </w:r>
      <w:r w:rsidR="00655CB3" w:rsidRPr="000775CF">
        <w:t>onvention de Minamata en améliorant la compréhension et le contrôle du commerce du mercure en Amérique</w:t>
      </w:r>
      <w:r w:rsidR="00711863" w:rsidRPr="000775CF">
        <w:t> </w:t>
      </w:r>
      <w:r w:rsidR="00655CB3" w:rsidRPr="000775CF">
        <w:t>latine).</w:t>
      </w:r>
    </w:p>
  </w:footnote>
  <w:footnote w:id="15">
    <w:p w14:paraId="0825EC10" w14:textId="7C54AAEB" w:rsidR="00144519" w:rsidRPr="000775CF" w:rsidRDefault="007C6054" w:rsidP="007C6054">
      <w:pPr>
        <w:pStyle w:val="Footnote-Text"/>
      </w:pPr>
      <w:r w:rsidRPr="000775CF">
        <w:rPr>
          <w:rStyle w:val="FootnoteReference"/>
          <w:rFonts w:eastAsia="SimSun"/>
          <w:sz w:val="20"/>
        </w:rPr>
        <w:footnoteRef/>
      </w:r>
      <w:r w:rsidR="00711863" w:rsidRPr="000775CF">
        <w:t xml:space="preserve"> </w:t>
      </w:r>
      <w:r w:rsidR="00144519" w:rsidRPr="000775CF">
        <w:t>Ces orientations ont été adoptées dans la décision MC-1/2</w:t>
      </w:r>
      <w:r w:rsidR="003361BD" w:rsidRPr="000775CF">
        <w:t>.</w:t>
      </w:r>
    </w:p>
  </w:footnote>
  <w:footnote w:id="16">
    <w:p w14:paraId="4D87FBB1" w14:textId="60FB5B9D" w:rsidR="00436053" w:rsidRPr="000775CF" w:rsidRDefault="007C6054" w:rsidP="007C6054">
      <w:pPr>
        <w:pStyle w:val="Footnote-Text"/>
      </w:pPr>
      <w:r w:rsidRPr="000775CF">
        <w:rPr>
          <w:rStyle w:val="FootnoteReference"/>
          <w:rFonts w:eastAsia="SimSun"/>
          <w:sz w:val="20"/>
        </w:rPr>
        <w:footnoteRef/>
      </w:r>
      <w:r w:rsidR="00436053" w:rsidRPr="000775CF">
        <w:t xml:space="preserve"> </w:t>
      </w:r>
      <w:r w:rsidR="00D12E0B" w:rsidRPr="000775CF">
        <w:t>Ces orientations ont été adoptées dans la décision MC-1/2</w:t>
      </w:r>
      <w:r w:rsidR="003361BD" w:rsidRPr="000775CF">
        <w:t>.</w:t>
      </w:r>
    </w:p>
  </w:footnote>
  <w:footnote w:id="17">
    <w:p w14:paraId="74CF9056" w14:textId="1E9731D1" w:rsidR="006C1134" w:rsidRPr="007C6054" w:rsidRDefault="007C6054" w:rsidP="007C6054">
      <w:pPr>
        <w:pStyle w:val="Footnote-Text"/>
        <w:rPr>
          <w:szCs w:val="18"/>
        </w:rPr>
      </w:pPr>
      <w:r w:rsidRPr="000775CF">
        <w:rPr>
          <w:sz w:val="20"/>
          <w:szCs w:val="18"/>
          <w:vertAlign w:val="superscript"/>
        </w:rPr>
        <w:footnoteRef/>
      </w:r>
      <w:r w:rsidR="006C1134" w:rsidRPr="000775CF">
        <w:rPr>
          <w:szCs w:val="18"/>
        </w:rPr>
        <w:t xml:space="preserve"> </w:t>
      </w:r>
      <w:r w:rsidR="00D12E0B" w:rsidRPr="000775CF">
        <w:t xml:space="preserve">Ce paragraphe a été </w:t>
      </w:r>
      <w:r w:rsidR="00100192" w:rsidRPr="000775CF">
        <w:t xml:space="preserve">élaboré </w:t>
      </w:r>
      <w:r w:rsidR="00D12E0B" w:rsidRPr="000775CF">
        <w:t>par le secrétariat sur la base de</w:t>
      </w:r>
      <w:r w:rsidR="00100192" w:rsidRPr="000775CF">
        <w:t xml:space="preserve"> la</w:t>
      </w:r>
      <w:r w:rsidR="00D12E0B" w:rsidRPr="000775CF">
        <w:t xml:space="preserve"> recommandation du Comité de mise en œuvre et du respect des obligations (UNEP/MC/COP.6/14</w:t>
      </w:r>
      <w:r w:rsidR="00100192" w:rsidRPr="000775CF">
        <w:t>, annexe, al</w:t>
      </w:r>
      <w:r w:rsidR="00C83CBA" w:rsidRPr="000775CF">
        <w:t>inéa</w:t>
      </w:r>
      <w:r w:rsidR="00100192" w:rsidRPr="000775CF">
        <w:t xml:space="preserve"> b) du par</w:t>
      </w:r>
      <w:r w:rsidR="00C83CBA" w:rsidRPr="000775CF">
        <w:t xml:space="preserve">agraphe </w:t>
      </w:r>
      <w:r w:rsidR="00100192" w:rsidRPr="000775CF">
        <w:t>3</w:t>
      </w:r>
      <w:r w:rsidR="00D12E0B" w:rsidRPr="000775CF">
        <w:t>)</w:t>
      </w:r>
      <w:r w:rsidR="006C1134" w:rsidRPr="000775CF">
        <w:rPr>
          <w:szCs w:val="18"/>
        </w:rPr>
        <w:t>.</w:t>
      </w:r>
    </w:p>
  </w:footnote>
  <w:footnote w:id="18">
    <w:p w14:paraId="59E127AE" w14:textId="0A1668F2" w:rsidR="004C3081" w:rsidRPr="007C6054" w:rsidRDefault="007C6054" w:rsidP="007C6054">
      <w:pPr>
        <w:pStyle w:val="Footnote-Text"/>
      </w:pPr>
      <w:r w:rsidRPr="007C6054">
        <w:rPr>
          <w:rStyle w:val="FootnoteReference"/>
          <w:rFonts w:eastAsia="SimSun"/>
          <w:sz w:val="20"/>
        </w:rPr>
        <w:footnoteRef/>
      </w:r>
      <w:r w:rsidR="004C3081" w:rsidRPr="007C6054">
        <w:t xml:space="preserve"> UNEP/MC/COP.1/5, </w:t>
      </w:r>
      <w:r w:rsidR="00BC49DE" w:rsidRPr="007C6054">
        <w:t>annex</w:t>
      </w:r>
      <w:r w:rsidR="0014588A" w:rsidRPr="007C6054">
        <w:t>e</w:t>
      </w:r>
      <w:r w:rsidR="00BC49DE" w:rsidRPr="007C6054">
        <w:t xml:space="preserve"> </w:t>
      </w:r>
      <w:r w:rsidR="004C3081" w:rsidRPr="007C6054">
        <w:t>IV</w:t>
      </w:r>
      <w:r w:rsidR="0014588A" w:rsidRPr="007C6054">
        <w:t>.</w:t>
      </w:r>
    </w:p>
  </w:footnote>
  <w:footnote w:id="19">
    <w:p w14:paraId="2DBC228B" w14:textId="34AC6346" w:rsidR="002B4C02" w:rsidRPr="007C6054" w:rsidRDefault="007C6054" w:rsidP="007C6054">
      <w:pPr>
        <w:pStyle w:val="Footnote-Text"/>
        <w:rPr>
          <w:lang w:val="en-GB"/>
        </w:rPr>
      </w:pPr>
      <w:r w:rsidRPr="007C6054">
        <w:rPr>
          <w:rStyle w:val="FootnoteReference"/>
          <w:rFonts w:eastAsia="SimSun"/>
          <w:sz w:val="20"/>
        </w:rPr>
        <w:footnoteRef/>
      </w:r>
      <w:r w:rsidR="002B4C02" w:rsidRPr="007C6054">
        <w:rPr>
          <w:lang w:val="en-GB"/>
        </w:rPr>
        <w:t xml:space="preserve"> UNEP/MC/COP.1/5, annexe</w:t>
      </w:r>
      <w:r w:rsidR="00DC2FBE">
        <w:rPr>
          <w:lang w:val="en-GB"/>
        </w:rPr>
        <w:t> </w:t>
      </w:r>
      <w:r w:rsidR="002B4C02" w:rsidRPr="007C6054">
        <w:rPr>
          <w:lang w:val="en-GB"/>
        </w:rPr>
        <w:t>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57D5" w14:textId="592BB90A" w:rsidR="00B12585" w:rsidRPr="007C6054" w:rsidRDefault="007C6054" w:rsidP="007C6054">
    <w:pPr>
      <w:pStyle w:val="Header-pool"/>
    </w:pPr>
    <w:r w:rsidRPr="007C6054">
      <w:rPr>
        <w:noProof/>
      </w:rPr>
      <w:fldChar w:fldCharType="begin"/>
    </w:r>
    <w:r w:rsidRPr="007C6054">
      <w:rPr>
        <w:noProof/>
      </w:rPr>
      <w:instrText xml:space="preserve"> StyleRef A_Symbol </w:instrText>
    </w:r>
    <w:r w:rsidRPr="007C6054">
      <w:rPr>
        <w:noProof/>
      </w:rPr>
      <w:fldChar w:fldCharType="separate"/>
    </w:r>
    <w:r w:rsidR="004D2F9E">
      <w:rPr>
        <w:noProof/>
      </w:rPr>
      <w:t>UNEP/MC/COP.6/5</w:t>
    </w:r>
    <w:r w:rsidRPr="007C605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CC3" w14:textId="08BC2977" w:rsidR="0074151C" w:rsidRPr="007C6054" w:rsidRDefault="007C6054" w:rsidP="007C6054">
    <w:pPr>
      <w:pStyle w:val="Header-pool"/>
      <w:jc w:val="right"/>
    </w:pPr>
    <w:r w:rsidRPr="007C6054">
      <w:rPr>
        <w:noProof/>
      </w:rPr>
      <w:fldChar w:fldCharType="begin"/>
    </w:r>
    <w:r w:rsidRPr="007C6054">
      <w:rPr>
        <w:noProof/>
      </w:rPr>
      <w:instrText xml:space="preserve"> StyleRef A_Symbol </w:instrText>
    </w:r>
    <w:r w:rsidRPr="007C6054">
      <w:rPr>
        <w:noProof/>
      </w:rPr>
      <w:fldChar w:fldCharType="separate"/>
    </w:r>
    <w:r w:rsidR="004D2F9E">
      <w:rPr>
        <w:noProof/>
      </w:rPr>
      <w:t>UNEP/MC/COP.6/5</w:t>
    </w:r>
    <w:r w:rsidRPr="007C605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ADC6A"/>
    <w:lvl w:ilvl="0">
      <w:start w:val="1"/>
      <w:numFmt w:val="decimal"/>
      <w:pStyle w:val="ListNumber5"/>
      <w:lvlText w:val="%1."/>
      <w:lvlJc w:val="left"/>
      <w:pPr>
        <w:tabs>
          <w:tab w:val="num" w:pos="-379"/>
        </w:tabs>
        <w:ind w:left="-379" w:hanging="360"/>
      </w:pPr>
    </w:lvl>
  </w:abstractNum>
  <w:abstractNum w:abstractNumId="1" w15:restartNumberingAfterBreak="0">
    <w:nsid w:val="FFFFFF7D"/>
    <w:multiLevelType w:val="singleLevel"/>
    <w:tmpl w:val="DF74EB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18A8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1A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1852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92E4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262F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DA94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C67B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1CDE26FF"/>
    <w:multiLevelType w:val="hybridMultilevel"/>
    <w:tmpl w:val="028E63EE"/>
    <w:lvl w:ilvl="0" w:tplc="58FAF3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6D7D43"/>
    <w:multiLevelType w:val="hybridMultilevel"/>
    <w:tmpl w:val="D1F06582"/>
    <w:lvl w:ilvl="0" w:tplc="E0C8E2AC">
      <w:start w:val="19"/>
      <w:numFmt w:val="decimal"/>
      <w:lvlText w:val="%1."/>
      <w:lvlJc w:val="left"/>
      <w:pPr>
        <w:ind w:left="2070" w:hanging="360"/>
      </w:pPr>
      <w:rPr>
        <w:rFonts w:hint="default"/>
        <w:sz w:val="20"/>
      </w:rPr>
    </w:lvl>
    <w:lvl w:ilvl="1" w:tplc="9A4CF40E">
      <w:start w:val="1"/>
      <w:numFmt w:val="lowerLetter"/>
      <w:lvlText w:val="(%2)"/>
      <w:lvlJc w:val="left"/>
      <w:pPr>
        <w:ind w:left="2688" w:hanging="360"/>
      </w:pPr>
      <w:rPr>
        <w:rFonts w:hint="default"/>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2FDC4968"/>
    <w:multiLevelType w:val="hybridMultilevel"/>
    <w:tmpl w:val="E672276E"/>
    <w:lvl w:ilvl="0" w:tplc="F2A65554">
      <w:start w:val="1"/>
      <w:numFmt w:val="decimal"/>
      <w:lvlText w:val="%1."/>
      <w:lvlJc w:val="left"/>
      <w:pPr>
        <w:ind w:left="2501" w:hanging="630"/>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9" w15:restartNumberingAfterBreak="0">
    <w:nsid w:val="300A1FA7"/>
    <w:multiLevelType w:val="multilevel"/>
    <w:tmpl w:val="2662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2" w15:restartNumberingAfterBreak="0">
    <w:nsid w:val="466F4A14"/>
    <w:multiLevelType w:val="hybridMultilevel"/>
    <w:tmpl w:val="27148E40"/>
    <w:lvl w:ilvl="0" w:tplc="7F1A6668">
      <w:start w:val="1"/>
      <w:numFmt w:val="upperLetter"/>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5B5D09"/>
    <w:multiLevelType w:val="hybridMultilevel"/>
    <w:tmpl w:val="9B1056E6"/>
    <w:lvl w:ilvl="0" w:tplc="9C6C57A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5"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6" w15:restartNumberingAfterBreak="0">
    <w:nsid w:val="5C7E0720"/>
    <w:multiLevelType w:val="hybridMultilevel"/>
    <w:tmpl w:val="40208286"/>
    <w:lvl w:ilvl="0" w:tplc="8CC62F42">
      <w:start w:val="1"/>
      <w:numFmt w:val="decimal"/>
      <w:lvlText w:val="%1."/>
      <w:lvlJc w:val="left"/>
      <w:pPr>
        <w:ind w:left="360" w:hanging="360"/>
      </w:pPr>
    </w:lvl>
    <w:lvl w:ilvl="1" w:tplc="08090017">
      <w:start w:val="1"/>
      <w:numFmt w:val="lowerLetter"/>
      <w:lvlText w:val="%2)"/>
      <w:lvlJc w:val="left"/>
      <w:pPr>
        <w:ind w:left="2688" w:hanging="360"/>
      </w:pPr>
    </w:lvl>
    <w:lvl w:ilvl="2" w:tplc="0809001B" w:tentative="1">
      <w:start w:val="1"/>
      <w:numFmt w:val="lowerRoman"/>
      <w:lvlText w:val="%3."/>
      <w:lvlJc w:val="right"/>
      <w:pPr>
        <w:ind w:left="3408" w:hanging="180"/>
      </w:pPr>
    </w:lvl>
    <w:lvl w:ilvl="3" w:tplc="0809000F" w:tentative="1">
      <w:start w:val="1"/>
      <w:numFmt w:val="decimal"/>
      <w:lvlText w:val="%4."/>
      <w:lvlJc w:val="left"/>
      <w:pPr>
        <w:ind w:left="4128" w:hanging="360"/>
      </w:pPr>
    </w:lvl>
    <w:lvl w:ilvl="4" w:tplc="08090019" w:tentative="1">
      <w:start w:val="1"/>
      <w:numFmt w:val="lowerLetter"/>
      <w:lvlText w:val="%5."/>
      <w:lvlJc w:val="left"/>
      <w:pPr>
        <w:ind w:left="4848" w:hanging="360"/>
      </w:pPr>
    </w:lvl>
    <w:lvl w:ilvl="5" w:tplc="0809001B" w:tentative="1">
      <w:start w:val="1"/>
      <w:numFmt w:val="lowerRoman"/>
      <w:lvlText w:val="%6."/>
      <w:lvlJc w:val="right"/>
      <w:pPr>
        <w:ind w:left="5568" w:hanging="180"/>
      </w:pPr>
    </w:lvl>
    <w:lvl w:ilvl="6" w:tplc="0809000F" w:tentative="1">
      <w:start w:val="1"/>
      <w:numFmt w:val="decimal"/>
      <w:lvlText w:val="%7."/>
      <w:lvlJc w:val="left"/>
      <w:pPr>
        <w:ind w:left="6288" w:hanging="360"/>
      </w:pPr>
    </w:lvl>
    <w:lvl w:ilvl="7" w:tplc="08090019" w:tentative="1">
      <w:start w:val="1"/>
      <w:numFmt w:val="lowerLetter"/>
      <w:lvlText w:val="%8."/>
      <w:lvlJc w:val="left"/>
      <w:pPr>
        <w:ind w:left="7008" w:hanging="360"/>
      </w:pPr>
    </w:lvl>
    <w:lvl w:ilvl="8" w:tplc="0809001B" w:tentative="1">
      <w:start w:val="1"/>
      <w:numFmt w:val="lowerRoman"/>
      <w:lvlText w:val="%9."/>
      <w:lvlJc w:val="right"/>
      <w:pPr>
        <w:ind w:left="7728" w:hanging="180"/>
      </w:pPr>
    </w:lvl>
  </w:abstractNum>
  <w:abstractNum w:abstractNumId="27" w15:restartNumberingAfterBreak="0">
    <w:nsid w:val="5EC15A44"/>
    <w:multiLevelType w:val="hybridMultilevel"/>
    <w:tmpl w:val="97401B6A"/>
    <w:lvl w:ilvl="0" w:tplc="08090017">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28"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9" w15:restartNumberingAfterBreak="0">
    <w:nsid w:val="62291BF8"/>
    <w:multiLevelType w:val="multilevel"/>
    <w:tmpl w:val="1CA2EF82"/>
    <w:numStyleLink w:val="Normallist"/>
  </w:abstractNum>
  <w:abstractNum w:abstractNumId="30"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16cid:durableId="560672902">
    <w:abstractNumId w:val="24"/>
  </w:num>
  <w:num w:numId="2" w16cid:durableId="1072390599">
    <w:abstractNumId w:val="30"/>
  </w:num>
  <w:num w:numId="3" w16cid:durableId="130829649">
    <w:abstractNumId w:val="9"/>
  </w:num>
  <w:num w:numId="4" w16cid:durableId="1041516636">
    <w:abstractNumId w:val="7"/>
  </w:num>
  <w:num w:numId="5" w16cid:durableId="1730761599">
    <w:abstractNumId w:val="6"/>
  </w:num>
  <w:num w:numId="6" w16cid:durableId="860895751">
    <w:abstractNumId w:val="5"/>
  </w:num>
  <w:num w:numId="7" w16cid:durableId="1969967276">
    <w:abstractNumId w:val="4"/>
  </w:num>
  <w:num w:numId="8" w16cid:durableId="691109638">
    <w:abstractNumId w:val="8"/>
  </w:num>
  <w:num w:numId="9" w16cid:durableId="364411553">
    <w:abstractNumId w:val="3"/>
  </w:num>
  <w:num w:numId="10" w16cid:durableId="370568826">
    <w:abstractNumId w:val="2"/>
  </w:num>
  <w:num w:numId="11" w16cid:durableId="2025665728">
    <w:abstractNumId w:val="1"/>
  </w:num>
  <w:num w:numId="12" w16cid:durableId="1508595354">
    <w:abstractNumId w:val="0"/>
  </w:num>
  <w:num w:numId="13" w16cid:durableId="1385911550">
    <w:abstractNumId w:val="26"/>
  </w:num>
  <w:num w:numId="14" w16cid:durableId="1454905938">
    <w:abstractNumId w:val="18"/>
  </w:num>
  <w:num w:numId="15" w16cid:durableId="1008680776">
    <w:abstractNumId w:val="32"/>
  </w:num>
  <w:num w:numId="16" w16cid:durableId="613025342">
    <w:abstractNumId w:val="17"/>
  </w:num>
  <w:num w:numId="17" w16cid:durableId="724642070">
    <w:abstractNumId w:val="27"/>
  </w:num>
  <w:num w:numId="18" w16cid:durableId="87193846">
    <w:abstractNumId w:val="19"/>
  </w:num>
  <w:num w:numId="19" w16cid:durableId="1434670978">
    <w:abstractNumId w:val="23"/>
  </w:num>
  <w:num w:numId="20" w16cid:durableId="1014964066">
    <w:abstractNumId w:val="16"/>
  </w:num>
  <w:num w:numId="21" w16cid:durableId="1597399381">
    <w:abstractNumId w:val="22"/>
  </w:num>
  <w:num w:numId="22" w16cid:durableId="1626504287">
    <w:abstractNumId w:val="14"/>
  </w:num>
  <w:num w:numId="23" w16cid:durableId="499194188">
    <w:abstractNumId w:val="21"/>
  </w:num>
  <w:num w:numId="24" w16cid:durableId="1702246126">
    <w:abstractNumId w:val="29"/>
  </w:num>
  <w:num w:numId="25" w16cid:durableId="258760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0669774">
    <w:abstractNumId w:val="20"/>
  </w:num>
  <w:num w:numId="27" w16cid:durableId="2033073500">
    <w:abstractNumId w:val="11"/>
  </w:num>
  <w:num w:numId="28" w16cid:durableId="1751460192">
    <w:abstractNumId w:val="13"/>
  </w:num>
  <w:num w:numId="29" w16cid:durableId="971054750">
    <w:abstractNumId w:val="25"/>
  </w:num>
  <w:num w:numId="30" w16cid:durableId="2008628561">
    <w:abstractNumId w:val="28"/>
  </w:num>
  <w:num w:numId="31" w16cid:durableId="1445953522">
    <w:abstractNumId w:val="10"/>
  </w:num>
  <w:num w:numId="32" w16cid:durableId="2036882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0081516">
    <w:abstractNumId w:val="15"/>
  </w:num>
  <w:num w:numId="34" w16cid:durableId="737441382">
    <w:abstractNumId w:val="12"/>
  </w:num>
  <w:num w:numId="35" w16cid:durableId="97261235">
    <w:abstractNumId w:val="31"/>
  </w:num>
  <w:num w:numId="36" w16cid:durableId="1882477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6859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73978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1022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91148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6489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7176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7735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23044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9C"/>
    <w:rsid w:val="00000683"/>
    <w:rsid w:val="00002341"/>
    <w:rsid w:val="000030D0"/>
    <w:rsid w:val="00003400"/>
    <w:rsid w:val="000046F2"/>
    <w:rsid w:val="00004879"/>
    <w:rsid w:val="00004F02"/>
    <w:rsid w:val="0000798A"/>
    <w:rsid w:val="00007F6E"/>
    <w:rsid w:val="000124F5"/>
    <w:rsid w:val="000128E7"/>
    <w:rsid w:val="0001297C"/>
    <w:rsid w:val="00013720"/>
    <w:rsid w:val="0001453C"/>
    <w:rsid w:val="000148D1"/>
    <w:rsid w:val="00014939"/>
    <w:rsid w:val="000149E6"/>
    <w:rsid w:val="00014B7F"/>
    <w:rsid w:val="000158C3"/>
    <w:rsid w:val="0001755E"/>
    <w:rsid w:val="000176DF"/>
    <w:rsid w:val="00017BD6"/>
    <w:rsid w:val="000201C9"/>
    <w:rsid w:val="000208C8"/>
    <w:rsid w:val="00021745"/>
    <w:rsid w:val="000222B4"/>
    <w:rsid w:val="00022847"/>
    <w:rsid w:val="00022F0F"/>
    <w:rsid w:val="00023DB4"/>
    <w:rsid w:val="00024242"/>
    <w:rsid w:val="0002434C"/>
    <w:rsid w:val="000243AD"/>
    <w:rsid w:val="00024771"/>
    <w:rsid w:val="000247B0"/>
    <w:rsid w:val="00025199"/>
    <w:rsid w:val="00025CA9"/>
    <w:rsid w:val="00025DEA"/>
    <w:rsid w:val="0002631E"/>
    <w:rsid w:val="00026859"/>
    <w:rsid w:val="00026997"/>
    <w:rsid w:val="00026AF4"/>
    <w:rsid w:val="00027630"/>
    <w:rsid w:val="000300A4"/>
    <w:rsid w:val="00030316"/>
    <w:rsid w:val="000306A0"/>
    <w:rsid w:val="0003104F"/>
    <w:rsid w:val="00031278"/>
    <w:rsid w:val="00031373"/>
    <w:rsid w:val="00031646"/>
    <w:rsid w:val="000316C4"/>
    <w:rsid w:val="00031B0F"/>
    <w:rsid w:val="0003222E"/>
    <w:rsid w:val="0003250E"/>
    <w:rsid w:val="00033456"/>
    <w:rsid w:val="00033AE0"/>
    <w:rsid w:val="00033DD1"/>
    <w:rsid w:val="00033E0B"/>
    <w:rsid w:val="00034116"/>
    <w:rsid w:val="000341A1"/>
    <w:rsid w:val="00035220"/>
    <w:rsid w:val="00035275"/>
    <w:rsid w:val="000352E5"/>
    <w:rsid w:val="00035864"/>
    <w:rsid w:val="00035E35"/>
    <w:rsid w:val="00035E7A"/>
    <w:rsid w:val="00035E98"/>
    <w:rsid w:val="00035EDE"/>
    <w:rsid w:val="0003630C"/>
    <w:rsid w:val="0003687F"/>
    <w:rsid w:val="00037142"/>
    <w:rsid w:val="00037883"/>
    <w:rsid w:val="00040257"/>
    <w:rsid w:val="000408EB"/>
    <w:rsid w:val="00040A7B"/>
    <w:rsid w:val="000417B8"/>
    <w:rsid w:val="00042029"/>
    <w:rsid w:val="000427D5"/>
    <w:rsid w:val="00042DDC"/>
    <w:rsid w:val="00043A53"/>
    <w:rsid w:val="00044ADA"/>
    <w:rsid w:val="00044E5A"/>
    <w:rsid w:val="00045137"/>
    <w:rsid w:val="00045BF5"/>
    <w:rsid w:val="0004604F"/>
    <w:rsid w:val="00046239"/>
    <w:rsid w:val="00047AF0"/>
    <w:rsid w:val="000509B4"/>
    <w:rsid w:val="000543F2"/>
    <w:rsid w:val="00055FB9"/>
    <w:rsid w:val="00056198"/>
    <w:rsid w:val="0005649A"/>
    <w:rsid w:val="00056892"/>
    <w:rsid w:val="00056B2C"/>
    <w:rsid w:val="00057322"/>
    <w:rsid w:val="00057499"/>
    <w:rsid w:val="0005763E"/>
    <w:rsid w:val="00057AAC"/>
    <w:rsid w:val="0006035B"/>
    <w:rsid w:val="00060ECB"/>
    <w:rsid w:val="00061432"/>
    <w:rsid w:val="0006179D"/>
    <w:rsid w:val="00061854"/>
    <w:rsid w:val="000619D4"/>
    <w:rsid w:val="00062E20"/>
    <w:rsid w:val="000630B2"/>
    <w:rsid w:val="00063DFF"/>
    <w:rsid w:val="00063EF4"/>
    <w:rsid w:val="00064A76"/>
    <w:rsid w:val="00064CA7"/>
    <w:rsid w:val="0006583F"/>
    <w:rsid w:val="00065A68"/>
    <w:rsid w:val="00065D1C"/>
    <w:rsid w:val="00065D5D"/>
    <w:rsid w:val="000660DD"/>
    <w:rsid w:val="0006773F"/>
    <w:rsid w:val="000677B0"/>
    <w:rsid w:val="00067A38"/>
    <w:rsid w:val="0007099B"/>
    <w:rsid w:val="00070DF4"/>
    <w:rsid w:val="00071344"/>
    <w:rsid w:val="00071609"/>
    <w:rsid w:val="0007161F"/>
    <w:rsid w:val="0007166E"/>
    <w:rsid w:val="0007183A"/>
    <w:rsid w:val="00071886"/>
    <w:rsid w:val="00071A25"/>
    <w:rsid w:val="00071BFC"/>
    <w:rsid w:val="0007231F"/>
    <w:rsid w:val="0007239C"/>
    <w:rsid w:val="00072606"/>
    <w:rsid w:val="0007267A"/>
    <w:rsid w:val="00072F55"/>
    <w:rsid w:val="0007373D"/>
    <w:rsid w:val="00073854"/>
    <w:rsid w:val="000739E4"/>
    <w:rsid w:val="00073D3A"/>
    <w:rsid w:val="000741B8"/>
    <w:rsid w:val="000742BC"/>
    <w:rsid w:val="00074B69"/>
    <w:rsid w:val="00074C09"/>
    <w:rsid w:val="00075074"/>
    <w:rsid w:val="000750E5"/>
    <w:rsid w:val="000775CF"/>
    <w:rsid w:val="0007788F"/>
    <w:rsid w:val="0008041D"/>
    <w:rsid w:val="00080AC9"/>
    <w:rsid w:val="000818E7"/>
    <w:rsid w:val="00081D2A"/>
    <w:rsid w:val="0008242F"/>
    <w:rsid w:val="00082A0C"/>
    <w:rsid w:val="00082DCD"/>
    <w:rsid w:val="00083504"/>
    <w:rsid w:val="00084C8B"/>
    <w:rsid w:val="00085705"/>
    <w:rsid w:val="00085ED8"/>
    <w:rsid w:val="0008602A"/>
    <w:rsid w:val="000863D8"/>
    <w:rsid w:val="0008710B"/>
    <w:rsid w:val="0008713E"/>
    <w:rsid w:val="00087DCC"/>
    <w:rsid w:val="0009064F"/>
    <w:rsid w:val="00091A2A"/>
    <w:rsid w:val="00091F33"/>
    <w:rsid w:val="0009203C"/>
    <w:rsid w:val="00093E8F"/>
    <w:rsid w:val="0009466F"/>
    <w:rsid w:val="00095113"/>
    <w:rsid w:val="0009570A"/>
    <w:rsid w:val="0009640C"/>
    <w:rsid w:val="00096BCC"/>
    <w:rsid w:val="00096E20"/>
    <w:rsid w:val="000A0802"/>
    <w:rsid w:val="000A23AA"/>
    <w:rsid w:val="000A3185"/>
    <w:rsid w:val="000A37B8"/>
    <w:rsid w:val="000A3EBE"/>
    <w:rsid w:val="000A4C24"/>
    <w:rsid w:val="000A4DE3"/>
    <w:rsid w:val="000A5266"/>
    <w:rsid w:val="000A53FE"/>
    <w:rsid w:val="000A5DB6"/>
    <w:rsid w:val="000A65BF"/>
    <w:rsid w:val="000A6D40"/>
    <w:rsid w:val="000A6ECC"/>
    <w:rsid w:val="000A7848"/>
    <w:rsid w:val="000A7BAF"/>
    <w:rsid w:val="000A7D2F"/>
    <w:rsid w:val="000B06AE"/>
    <w:rsid w:val="000B0CEC"/>
    <w:rsid w:val="000B1802"/>
    <w:rsid w:val="000B19F1"/>
    <w:rsid w:val="000B21D5"/>
    <w:rsid w:val="000B223F"/>
    <w:rsid w:val="000B22A2"/>
    <w:rsid w:val="000B2862"/>
    <w:rsid w:val="000B2C3F"/>
    <w:rsid w:val="000B3202"/>
    <w:rsid w:val="000B3229"/>
    <w:rsid w:val="000B35DC"/>
    <w:rsid w:val="000B3B1B"/>
    <w:rsid w:val="000B5F78"/>
    <w:rsid w:val="000B5FF6"/>
    <w:rsid w:val="000B623F"/>
    <w:rsid w:val="000B6451"/>
    <w:rsid w:val="000B6D39"/>
    <w:rsid w:val="000C0413"/>
    <w:rsid w:val="000C2A52"/>
    <w:rsid w:val="000C2C0B"/>
    <w:rsid w:val="000C33E0"/>
    <w:rsid w:val="000C3653"/>
    <w:rsid w:val="000C36E4"/>
    <w:rsid w:val="000C3755"/>
    <w:rsid w:val="000C3AB3"/>
    <w:rsid w:val="000C3B08"/>
    <w:rsid w:val="000C3C15"/>
    <w:rsid w:val="000C46A9"/>
    <w:rsid w:val="000C4B00"/>
    <w:rsid w:val="000C4BA8"/>
    <w:rsid w:val="000C5297"/>
    <w:rsid w:val="000C52CF"/>
    <w:rsid w:val="000C5D1D"/>
    <w:rsid w:val="000C5FD8"/>
    <w:rsid w:val="000C6191"/>
    <w:rsid w:val="000C6960"/>
    <w:rsid w:val="000C6BE8"/>
    <w:rsid w:val="000C6C2A"/>
    <w:rsid w:val="000C74A3"/>
    <w:rsid w:val="000C750F"/>
    <w:rsid w:val="000C7F4B"/>
    <w:rsid w:val="000D0AC7"/>
    <w:rsid w:val="000D0C32"/>
    <w:rsid w:val="000D0C37"/>
    <w:rsid w:val="000D1D51"/>
    <w:rsid w:val="000D213D"/>
    <w:rsid w:val="000D2C66"/>
    <w:rsid w:val="000D33C0"/>
    <w:rsid w:val="000D378A"/>
    <w:rsid w:val="000D4DFB"/>
    <w:rsid w:val="000D5212"/>
    <w:rsid w:val="000D57C8"/>
    <w:rsid w:val="000D5884"/>
    <w:rsid w:val="000D5C35"/>
    <w:rsid w:val="000D6018"/>
    <w:rsid w:val="000D6941"/>
    <w:rsid w:val="000D79BF"/>
    <w:rsid w:val="000E00CA"/>
    <w:rsid w:val="000E02A0"/>
    <w:rsid w:val="000E0405"/>
    <w:rsid w:val="000E076B"/>
    <w:rsid w:val="000E0AAD"/>
    <w:rsid w:val="000E0B84"/>
    <w:rsid w:val="000E149D"/>
    <w:rsid w:val="000E165B"/>
    <w:rsid w:val="000E1944"/>
    <w:rsid w:val="000E27CE"/>
    <w:rsid w:val="000E2A20"/>
    <w:rsid w:val="000E2C55"/>
    <w:rsid w:val="000E2DB5"/>
    <w:rsid w:val="000E33C8"/>
    <w:rsid w:val="000E3448"/>
    <w:rsid w:val="000E3578"/>
    <w:rsid w:val="000E3EED"/>
    <w:rsid w:val="000E42CC"/>
    <w:rsid w:val="000E4EF6"/>
    <w:rsid w:val="000E5718"/>
    <w:rsid w:val="000E5924"/>
    <w:rsid w:val="000E5AC2"/>
    <w:rsid w:val="000E5FB1"/>
    <w:rsid w:val="000E6122"/>
    <w:rsid w:val="000E71B5"/>
    <w:rsid w:val="000E7717"/>
    <w:rsid w:val="000E782C"/>
    <w:rsid w:val="000E78C5"/>
    <w:rsid w:val="000F008E"/>
    <w:rsid w:val="000F05C5"/>
    <w:rsid w:val="000F270A"/>
    <w:rsid w:val="000F2887"/>
    <w:rsid w:val="000F293F"/>
    <w:rsid w:val="000F3FB4"/>
    <w:rsid w:val="000F533B"/>
    <w:rsid w:val="000F5ED6"/>
    <w:rsid w:val="000F65F5"/>
    <w:rsid w:val="000F660A"/>
    <w:rsid w:val="000F6CFF"/>
    <w:rsid w:val="000F745B"/>
    <w:rsid w:val="000F7C67"/>
    <w:rsid w:val="000F7F82"/>
    <w:rsid w:val="00100192"/>
    <w:rsid w:val="00100472"/>
    <w:rsid w:val="001004D8"/>
    <w:rsid w:val="00100669"/>
    <w:rsid w:val="00100871"/>
    <w:rsid w:val="001019D3"/>
    <w:rsid w:val="001020E4"/>
    <w:rsid w:val="0010279C"/>
    <w:rsid w:val="001030E2"/>
    <w:rsid w:val="00103571"/>
    <w:rsid w:val="0010380C"/>
    <w:rsid w:val="0010390F"/>
    <w:rsid w:val="00103992"/>
    <w:rsid w:val="001039C4"/>
    <w:rsid w:val="00105A41"/>
    <w:rsid w:val="0010690F"/>
    <w:rsid w:val="0010701A"/>
    <w:rsid w:val="00107324"/>
    <w:rsid w:val="001073EA"/>
    <w:rsid w:val="00107964"/>
    <w:rsid w:val="0011015E"/>
    <w:rsid w:val="0011110E"/>
    <w:rsid w:val="00111EA7"/>
    <w:rsid w:val="00112D70"/>
    <w:rsid w:val="00113072"/>
    <w:rsid w:val="00114823"/>
    <w:rsid w:val="00114C2A"/>
    <w:rsid w:val="00114DC6"/>
    <w:rsid w:val="00114E4D"/>
    <w:rsid w:val="00115F73"/>
    <w:rsid w:val="0011614E"/>
    <w:rsid w:val="00116E4E"/>
    <w:rsid w:val="0011753D"/>
    <w:rsid w:val="00117B6E"/>
    <w:rsid w:val="00117DD8"/>
    <w:rsid w:val="00120040"/>
    <w:rsid w:val="001202E3"/>
    <w:rsid w:val="00120DD3"/>
    <w:rsid w:val="001213E1"/>
    <w:rsid w:val="00121773"/>
    <w:rsid w:val="00121D47"/>
    <w:rsid w:val="00121D87"/>
    <w:rsid w:val="00122CCC"/>
    <w:rsid w:val="00122D41"/>
    <w:rsid w:val="00123293"/>
    <w:rsid w:val="00123699"/>
    <w:rsid w:val="00123A1E"/>
    <w:rsid w:val="00124604"/>
    <w:rsid w:val="00124EED"/>
    <w:rsid w:val="00125E04"/>
    <w:rsid w:val="00125F42"/>
    <w:rsid w:val="00126555"/>
    <w:rsid w:val="001266E1"/>
    <w:rsid w:val="00126AA1"/>
    <w:rsid w:val="00126ACD"/>
    <w:rsid w:val="00126DBF"/>
    <w:rsid w:val="00126FE7"/>
    <w:rsid w:val="00127448"/>
    <w:rsid w:val="0013059D"/>
    <w:rsid w:val="00130803"/>
    <w:rsid w:val="00130E71"/>
    <w:rsid w:val="00131704"/>
    <w:rsid w:val="0013183E"/>
    <w:rsid w:val="00132112"/>
    <w:rsid w:val="00132DF7"/>
    <w:rsid w:val="00133E10"/>
    <w:rsid w:val="00133E8E"/>
    <w:rsid w:val="00134C16"/>
    <w:rsid w:val="00135C77"/>
    <w:rsid w:val="00135FDB"/>
    <w:rsid w:val="00137148"/>
    <w:rsid w:val="0013734B"/>
    <w:rsid w:val="00137A53"/>
    <w:rsid w:val="00137F49"/>
    <w:rsid w:val="00140222"/>
    <w:rsid w:val="0014083A"/>
    <w:rsid w:val="00141445"/>
    <w:rsid w:val="0014195A"/>
    <w:rsid w:val="00141A55"/>
    <w:rsid w:val="00141B24"/>
    <w:rsid w:val="00142A02"/>
    <w:rsid w:val="00142C54"/>
    <w:rsid w:val="00143446"/>
    <w:rsid w:val="00143939"/>
    <w:rsid w:val="00143B6F"/>
    <w:rsid w:val="001443AA"/>
    <w:rsid w:val="00144519"/>
    <w:rsid w:val="001446A3"/>
    <w:rsid w:val="00144A71"/>
    <w:rsid w:val="00144FAB"/>
    <w:rsid w:val="0014559E"/>
    <w:rsid w:val="0014566E"/>
    <w:rsid w:val="0014588A"/>
    <w:rsid w:val="00145D31"/>
    <w:rsid w:val="0014635A"/>
    <w:rsid w:val="001468C9"/>
    <w:rsid w:val="00150603"/>
    <w:rsid w:val="00150906"/>
    <w:rsid w:val="0015094C"/>
    <w:rsid w:val="00151E32"/>
    <w:rsid w:val="00151E34"/>
    <w:rsid w:val="001524A3"/>
    <w:rsid w:val="00152B26"/>
    <w:rsid w:val="00152B83"/>
    <w:rsid w:val="00153436"/>
    <w:rsid w:val="00153E7A"/>
    <w:rsid w:val="00154FB0"/>
    <w:rsid w:val="001550E1"/>
    <w:rsid w:val="00155395"/>
    <w:rsid w:val="00156DC8"/>
    <w:rsid w:val="001578BD"/>
    <w:rsid w:val="001600DA"/>
    <w:rsid w:val="0016033C"/>
    <w:rsid w:val="00160E4F"/>
    <w:rsid w:val="00161C14"/>
    <w:rsid w:val="00161CC1"/>
    <w:rsid w:val="00161F77"/>
    <w:rsid w:val="00163234"/>
    <w:rsid w:val="0016422C"/>
    <w:rsid w:val="001644DD"/>
    <w:rsid w:val="001648D4"/>
    <w:rsid w:val="001649D7"/>
    <w:rsid w:val="0016558B"/>
    <w:rsid w:val="001657C9"/>
    <w:rsid w:val="00165D65"/>
    <w:rsid w:val="0016781D"/>
    <w:rsid w:val="00167C88"/>
    <w:rsid w:val="00170431"/>
    <w:rsid w:val="00170703"/>
    <w:rsid w:val="00171F68"/>
    <w:rsid w:val="00172E6C"/>
    <w:rsid w:val="0017320B"/>
    <w:rsid w:val="0017362C"/>
    <w:rsid w:val="00173762"/>
    <w:rsid w:val="00173D27"/>
    <w:rsid w:val="0017422B"/>
    <w:rsid w:val="00174739"/>
    <w:rsid w:val="00175677"/>
    <w:rsid w:val="001762D7"/>
    <w:rsid w:val="0018062D"/>
    <w:rsid w:val="00180CCE"/>
    <w:rsid w:val="0018127C"/>
    <w:rsid w:val="00181369"/>
    <w:rsid w:val="00181EC8"/>
    <w:rsid w:val="00183C4D"/>
    <w:rsid w:val="00184211"/>
    <w:rsid w:val="00184349"/>
    <w:rsid w:val="001855DE"/>
    <w:rsid w:val="00185ABE"/>
    <w:rsid w:val="00186081"/>
    <w:rsid w:val="001873D6"/>
    <w:rsid w:val="00187899"/>
    <w:rsid w:val="00187C2A"/>
    <w:rsid w:val="00187DDA"/>
    <w:rsid w:val="001900B3"/>
    <w:rsid w:val="0019036D"/>
    <w:rsid w:val="001904E4"/>
    <w:rsid w:val="001920A7"/>
    <w:rsid w:val="001920D2"/>
    <w:rsid w:val="001927EF"/>
    <w:rsid w:val="00194297"/>
    <w:rsid w:val="00194550"/>
    <w:rsid w:val="00194597"/>
    <w:rsid w:val="00194698"/>
    <w:rsid w:val="0019495B"/>
    <w:rsid w:val="001953B0"/>
    <w:rsid w:val="001953F3"/>
    <w:rsid w:val="001954D0"/>
    <w:rsid w:val="00195976"/>
    <w:rsid w:val="00195F33"/>
    <w:rsid w:val="00196A56"/>
    <w:rsid w:val="00196A8A"/>
    <w:rsid w:val="00196D72"/>
    <w:rsid w:val="001971D0"/>
    <w:rsid w:val="001975AD"/>
    <w:rsid w:val="00197BAE"/>
    <w:rsid w:val="001A1BA3"/>
    <w:rsid w:val="001A21B0"/>
    <w:rsid w:val="001A4A4F"/>
    <w:rsid w:val="001A50F7"/>
    <w:rsid w:val="001A54BE"/>
    <w:rsid w:val="001A5EE1"/>
    <w:rsid w:val="001A6A8E"/>
    <w:rsid w:val="001A6AAD"/>
    <w:rsid w:val="001A7EE8"/>
    <w:rsid w:val="001A7FF9"/>
    <w:rsid w:val="001B03BD"/>
    <w:rsid w:val="001B08C1"/>
    <w:rsid w:val="001B092E"/>
    <w:rsid w:val="001B0B14"/>
    <w:rsid w:val="001B0CB2"/>
    <w:rsid w:val="001B1179"/>
    <w:rsid w:val="001B125F"/>
    <w:rsid w:val="001B1617"/>
    <w:rsid w:val="001B1CF4"/>
    <w:rsid w:val="001B1FE6"/>
    <w:rsid w:val="001B32B6"/>
    <w:rsid w:val="001B447B"/>
    <w:rsid w:val="001B47B4"/>
    <w:rsid w:val="001B49D5"/>
    <w:rsid w:val="001B49F3"/>
    <w:rsid w:val="001B4A01"/>
    <w:rsid w:val="001B504B"/>
    <w:rsid w:val="001B5C62"/>
    <w:rsid w:val="001B6DFE"/>
    <w:rsid w:val="001C06F5"/>
    <w:rsid w:val="001C0BF6"/>
    <w:rsid w:val="001C1CCD"/>
    <w:rsid w:val="001C2322"/>
    <w:rsid w:val="001C29FC"/>
    <w:rsid w:val="001C2EFF"/>
    <w:rsid w:val="001C412C"/>
    <w:rsid w:val="001C4D68"/>
    <w:rsid w:val="001C5998"/>
    <w:rsid w:val="001C5F31"/>
    <w:rsid w:val="001C62A4"/>
    <w:rsid w:val="001C63CF"/>
    <w:rsid w:val="001C6BCB"/>
    <w:rsid w:val="001C6CDA"/>
    <w:rsid w:val="001C77A1"/>
    <w:rsid w:val="001D0769"/>
    <w:rsid w:val="001D0847"/>
    <w:rsid w:val="001D0BD3"/>
    <w:rsid w:val="001D2334"/>
    <w:rsid w:val="001D3339"/>
    <w:rsid w:val="001D3874"/>
    <w:rsid w:val="001D3F75"/>
    <w:rsid w:val="001D5344"/>
    <w:rsid w:val="001D5AEE"/>
    <w:rsid w:val="001D6BED"/>
    <w:rsid w:val="001D6D3D"/>
    <w:rsid w:val="001D71D7"/>
    <w:rsid w:val="001D748F"/>
    <w:rsid w:val="001D773A"/>
    <w:rsid w:val="001D7B3A"/>
    <w:rsid w:val="001D7E75"/>
    <w:rsid w:val="001E0691"/>
    <w:rsid w:val="001E10A2"/>
    <w:rsid w:val="001E22D1"/>
    <w:rsid w:val="001E23C0"/>
    <w:rsid w:val="001E27BA"/>
    <w:rsid w:val="001E2B38"/>
    <w:rsid w:val="001E2D84"/>
    <w:rsid w:val="001E2E79"/>
    <w:rsid w:val="001E3383"/>
    <w:rsid w:val="001E495D"/>
    <w:rsid w:val="001E4F12"/>
    <w:rsid w:val="001E56D2"/>
    <w:rsid w:val="001E62F2"/>
    <w:rsid w:val="001E6A71"/>
    <w:rsid w:val="001E6CBB"/>
    <w:rsid w:val="001E7CA9"/>
    <w:rsid w:val="001E7D56"/>
    <w:rsid w:val="001F0131"/>
    <w:rsid w:val="001F0DE3"/>
    <w:rsid w:val="001F225F"/>
    <w:rsid w:val="001F4399"/>
    <w:rsid w:val="001F5651"/>
    <w:rsid w:val="001F5F86"/>
    <w:rsid w:val="001F6FEE"/>
    <w:rsid w:val="001F70A8"/>
    <w:rsid w:val="001F7186"/>
    <w:rsid w:val="001F7300"/>
    <w:rsid w:val="001F75DE"/>
    <w:rsid w:val="001F7B63"/>
    <w:rsid w:val="00200D58"/>
    <w:rsid w:val="00200FE9"/>
    <w:rsid w:val="00201311"/>
    <w:rsid w:val="002013BE"/>
    <w:rsid w:val="0020152F"/>
    <w:rsid w:val="002027B7"/>
    <w:rsid w:val="0020364D"/>
    <w:rsid w:val="00203CE8"/>
    <w:rsid w:val="002042DD"/>
    <w:rsid w:val="00204AD0"/>
    <w:rsid w:val="0020578E"/>
    <w:rsid w:val="00205B54"/>
    <w:rsid w:val="002063A4"/>
    <w:rsid w:val="00206942"/>
    <w:rsid w:val="00206E24"/>
    <w:rsid w:val="00206F97"/>
    <w:rsid w:val="002075B6"/>
    <w:rsid w:val="002075C3"/>
    <w:rsid w:val="00207F44"/>
    <w:rsid w:val="00210CBF"/>
    <w:rsid w:val="0021145B"/>
    <w:rsid w:val="0021151B"/>
    <w:rsid w:val="0021219C"/>
    <w:rsid w:val="00212488"/>
    <w:rsid w:val="00213B43"/>
    <w:rsid w:val="00214277"/>
    <w:rsid w:val="00214509"/>
    <w:rsid w:val="00215231"/>
    <w:rsid w:val="002160DC"/>
    <w:rsid w:val="00216134"/>
    <w:rsid w:val="002173C4"/>
    <w:rsid w:val="002174D9"/>
    <w:rsid w:val="002177B5"/>
    <w:rsid w:val="002200C9"/>
    <w:rsid w:val="0022016B"/>
    <w:rsid w:val="00220775"/>
    <w:rsid w:val="002216B6"/>
    <w:rsid w:val="00221B3E"/>
    <w:rsid w:val="00221E6B"/>
    <w:rsid w:val="00221EE9"/>
    <w:rsid w:val="0022204B"/>
    <w:rsid w:val="002223E8"/>
    <w:rsid w:val="00222C1C"/>
    <w:rsid w:val="00222F74"/>
    <w:rsid w:val="002230F5"/>
    <w:rsid w:val="0022372E"/>
    <w:rsid w:val="00223DBA"/>
    <w:rsid w:val="0022489C"/>
    <w:rsid w:val="00224B7F"/>
    <w:rsid w:val="002252C5"/>
    <w:rsid w:val="002259E6"/>
    <w:rsid w:val="002261D4"/>
    <w:rsid w:val="002267E2"/>
    <w:rsid w:val="00227165"/>
    <w:rsid w:val="002271BB"/>
    <w:rsid w:val="0022762D"/>
    <w:rsid w:val="0022771A"/>
    <w:rsid w:val="00230832"/>
    <w:rsid w:val="002312B1"/>
    <w:rsid w:val="00231887"/>
    <w:rsid w:val="00231AAD"/>
    <w:rsid w:val="00231AEA"/>
    <w:rsid w:val="00231D82"/>
    <w:rsid w:val="00231FE8"/>
    <w:rsid w:val="00232201"/>
    <w:rsid w:val="00232B6F"/>
    <w:rsid w:val="00232FEF"/>
    <w:rsid w:val="00233090"/>
    <w:rsid w:val="00233286"/>
    <w:rsid w:val="002338EE"/>
    <w:rsid w:val="002341B0"/>
    <w:rsid w:val="0023469F"/>
    <w:rsid w:val="00234806"/>
    <w:rsid w:val="002351BB"/>
    <w:rsid w:val="002351EA"/>
    <w:rsid w:val="00236293"/>
    <w:rsid w:val="00236670"/>
    <w:rsid w:val="00236CB3"/>
    <w:rsid w:val="002372ED"/>
    <w:rsid w:val="002378D6"/>
    <w:rsid w:val="0024005C"/>
    <w:rsid w:val="002406B2"/>
    <w:rsid w:val="00240BD5"/>
    <w:rsid w:val="00241341"/>
    <w:rsid w:val="00242223"/>
    <w:rsid w:val="0024347B"/>
    <w:rsid w:val="00243D0F"/>
    <w:rsid w:val="00243D36"/>
    <w:rsid w:val="00243DE1"/>
    <w:rsid w:val="00243FE7"/>
    <w:rsid w:val="00244DA1"/>
    <w:rsid w:val="002454B4"/>
    <w:rsid w:val="002454EC"/>
    <w:rsid w:val="0024634B"/>
    <w:rsid w:val="0024653F"/>
    <w:rsid w:val="00247707"/>
    <w:rsid w:val="002478CB"/>
    <w:rsid w:val="00247D5B"/>
    <w:rsid w:val="00247F13"/>
    <w:rsid w:val="00247FD5"/>
    <w:rsid w:val="00247FDF"/>
    <w:rsid w:val="002507D7"/>
    <w:rsid w:val="00251898"/>
    <w:rsid w:val="002529A2"/>
    <w:rsid w:val="002533BD"/>
    <w:rsid w:val="002554C6"/>
    <w:rsid w:val="00255671"/>
    <w:rsid w:val="00256943"/>
    <w:rsid w:val="00256BF1"/>
    <w:rsid w:val="00256CD3"/>
    <w:rsid w:val="00257153"/>
    <w:rsid w:val="00257380"/>
    <w:rsid w:val="00257A21"/>
    <w:rsid w:val="00257AA3"/>
    <w:rsid w:val="002604DB"/>
    <w:rsid w:val="002605F7"/>
    <w:rsid w:val="00260B35"/>
    <w:rsid w:val="0026116F"/>
    <w:rsid w:val="002622EC"/>
    <w:rsid w:val="00262591"/>
    <w:rsid w:val="00262699"/>
    <w:rsid w:val="002631E8"/>
    <w:rsid w:val="002631EE"/>
    <w:rsid w:val="00263541"/>
    <w:rsid w:val="00263A6C"/>
    <w:rsid w:val="00264283"/>
    <w:rsid w:val="00266630"/>
    <w:rsid w:val="00270506"/>
    <w:rsid w:val="002711C4"/>
    <w:rsid w:val="002718A5"/>
    <w:rsid w:val="00272EBB"/>
    <w:rsid w:val="002737B7"/>
    <w:rsid w:val="0027382C"/>
    <w:rsid w:val="00273EDA"/>
    <w:rsid w:val="00273F77"/>
    <w:rsid w:val="00274ABD"/>
    <w:rsid w:val="00274E2D"/>
    <w:rsid w:val="00274FB4"/>
    <w:rsid w:val="0027565C"/>
    <w:rsid w:val="00275A07"/>
    <w:rsid w:val="00275C0F"/>
    <w:rsid w:val="00277200"/>
    <w:rsid w:val="00277919"/>
    <w:rsid w:val="00277E91"/>
    <w:rsid w:val="00282FD5"/>
    <w:rsid w:val="00283134"/>
    <w:rsid w:val="00283447"/>
    <w:rsid w:val="00284157"/>
    <w:rsid w:val="00284B8C"/>
    <w:rsid w:val="00284CFE"/>
    <w:rsid w:val="00285281"/>
    <w:rsid w:val="002852D3"/>
    <w:rsid w:val="002860D0"/>
    <w:rsid w:val="00286740"/>
    <w:rsid w:val="002867A3"/>
    <w:rsid w:val="002868BA"/>
    <w:rsid w:val="00286EF9"/>
    <w:rsid w:val="00287B42"/>
    <w:rsid w:val="002900D8"/>
    <w:rsid w:val="00290134"/>
    <w:rsid w:val="002919DD"/>
    <w:rsid w:val="00291F3C"/>
    <w:rsid w:val="002929C5"/>
    <w:rsid w:val="002929D8"/>
    <w:rsid w:val="00292A9A"/>
    <w:rsid w:val="00292ACC"/>
    <w:rsid w:val="002935C2"/>
    <w:rsid w:val="0029376E"/>
    <w:rsid w:val="00293E7B"/>
    <w:rsid w:val="0029418D"/>
    <w:rsid w:val="0029450E"/>
    <w:rsid w:val="00294525"/>
    <w:rsid w:val="00294909"/>
    <w:rsid w:val="00294DE3"/>
    <w:rsid w:val="00296054"/>
    <w:rsid w:val="00296F99"/>
    <w:rsid w:val="00297404"/>
    <w:rsid w:val="0029788B"/>
    <w:rsid w:val="002A017E"/>
    <w:rsid w:val="002A02E3"/>
    <w:rsid w:val="002A0666"/>
    <w:rsid w:val="002A0A3B"/>
    <w:rsid w:val="002A0A65"/>
    <w:rsid w:val="002A2014"/>
    <w:rsid w:val="002A206E"/>
    <w:rsid w:val="002A237D"/>
    <w:rsid w:val="002A2673"/>
    <w:rsid w:val="002A37F5"/>
    <w:rsid w:val="002A3BD7"/>
    <w:rsid w:val="002A425E"/>
    <w:rsid w:val="002A4803"/>
    <w:rsid w:val="002A4C53"/>
    <w:rsid w:val="002A53D0"/>
    <w:rsid w:val="002A5574"/>
    <w:rsid w:val="002A5867"/>
    <w:rsid w:val="002A5D93"/>
    <w:rsid w:val="002A72E0"/>
    <w:rsid w:val="002A768D"/>
    <w:rsid w:val="002A7B16"/>
    <w:rsid w:val="002B030C"/>
    <w:rsid w:val="002B0672"/>
    <w:rsid w:val="002B0BBE"/>
    <w:rsid w:val="002B0E4E"/>
    <w:rsid w:val="002B101B"/>
    <w:rsid w:val="002B1479"/>
    <w:rsid w:val="002B18B3"/>
    <w:rsid w:val="002B1B4C"/>
    <w:rsid w:val="002B247F"/>
    <w:rsid w:val="002B24A1"/>
    <w:rsid w:val="002B3081"/>
    <w:rsid w:val="002B3329"/>
    <w:rsid w:val="002B3B92"/>
    <w:rsid w:val="002B3C4E"/>
    <w:rsid w:val="002B3D8C"/>
    <w:rsid w:val="002B4C02"/>
    <w:rsid w:val="002B566D"/>
    <w:rsid w:val="002B5D4A"/>
    <w:rsid w:val="002B5DE1"/>
    <w:rsid w:val="002B6680"/>
    <w:rsid w:val="002B7E06"/>
    <w:rsid w:val="002B7FB6"/>
    <w:rsid w:val="002C071D"/>
    <w:rsid w:val="002C145D"/>
    <w:rsid w:val="002C176E"/>
    <w:rsid w:val="002C1C8E"/>
    <w:rsid w:val="002C1EF3"/>
    <w:rsid w:val="002C1F1B"/>
    <w:rsid w:val="002C2595"/>
    <w:rsid w:val="002C27E5"/>
    <w:rsid w:val="002C285A"/>
    <w:rsid w:val="002C2C3E"/>
    <w:rsid w:val="002C2F68"/>
    <w:rsid w:val="002C404F"/>
    <w:rsid w:val="002C45D6"/>
    <w:rsid w:val="002C465F"/>
    <w:rsid w:val="002C4A6C"/>
    <w:rsid w:val="002C4F63"/>
    <w:rsid w:val="002C506B"/>
    <w:rsid w:val="002C5268"/>
    <w:rsid w:val="002C533E"/>
    <w:rsid w:val="002C6365"/>
    <w:rsid w:val="002D0107"/>
    <w:rsid w:val="002D027F"/>
    <w:rsid w:val="002D03CE"/>
    <w:rsid w:val="002D06E8"/>
    <w:rsid w:val="002D0C42"/>
    <w:rsid w:val="002D0E16"/>
    <w:rsid w:val="002D117D"/>
    <w:rsid w:val="002D12DF"/>
    <w:rsid w:val="002D17E1"/>
    <w:rsid w:val="002D1964"/>
    <w:rsid w:val="002D1BE9"/>
    <w:rsid w:val="002D2822"/>
    <w:rsid w:val="002D2E2B"/>
    <w:rsid w:val="002D4114"/>
    <w:rsid w:val="002D577C"/>
    <w:rsid w:val="002D5F3E"/>
    <w:rsid w:val="002D604C"/>
    <w:rsid w:val="002D7206"/>
    <w:rsid w:val="002D734C"/>
    <w:rsid w:val="002D7481"/>
    <w:rsid w:val="002D7656"/>
    <w:rsid w:val="002D794B"/>
    <w:rsid w:val="002D7A85"/>
    <w:rsid w:val="002D7B60"/>
    <w:rsid w:val="002D7E4D"/>
    <w:rsid w:val="002E0403"/>
    <w:rsid w:val="002E08A0"/>
    <w:rsid w:val="002E0D97"/>
    <w:rsid w:val="002E14C3"/>
    <w:rsid w:val="002E1521"/>
    <w:rsid w:val="002E1760"/>
    <w:rsid w:val="002E1813"/>
    <w:rsid w:val="002E19D4"/>
    <w:rsid w:val="002E1AA0"/>
    <w:rsid w:val="002E1C69"/>
    <w:rsid w:val="002E1D10"/>
    <w:rsid w:val="002E2425"/>
    <w:rsid w:val="002E26E0"/>
    <w:rsid w:val="002E2DCE"/>
    <w:rsid w:val="002E3BE8"/>
    <w:rsid w:val="002E3DC9"/>
    <w:rsid w:val="002E4686"/>
    <w:rsid w:val="002E4E0D"/>
    <w:rsid w:val="002E4F26"/>
    <w:rsid w:val="002E5C3C"/>
    <w:rsid w:val="002E6509"/>
    <w:rsid w:val="002E6BE8"/>
    <w:rsid w:val="002E73F3"/>
    <w:rsid w:val="002E756B"/>
    <w:rsid w:val="002E7849"/>
    <w:rsid w:val="002E7E3A"/>
    <w:rsid w:val="002F097B"/>
    <w:rsid w:val="002F1292"/>
    <w:rsid w:val="002F13AB"/>
    <w:rsid w:val="002F1E2D"/>
    <w:rsid w:val="002F2724"/>
    <w:rsid w:val="002F2889"/>
    <w:rsid w:val="002F2983"/>
    <w:rsid w:val="002F32A9"/>
    <w:rsid w:val="002F346D"/>
    <w:rsid w:val="002F3A2F"/>
    <w:rsid w:val="002F3C66"/>
    <w:rsid w:val="002F44DB"/>
    <w:rsid w:val="002F4761"/>
    <w:rsid w:val="002F4C49"/>
    <w:rsid w:val="002F506B"/>
    <w:rsid w:val="002F5C79"/>
    <w:rsid w:val="002F5F74"/>
    <w:rsid w:val="002F6EE1"/>
    <w:rsid w:val="002F7BB7"/>
    <w:rsid w:val="00300301"/>
    <w:rsid w:val="003019E2"/>
    <w:rsid w:val="00301ADF"/>
    <w:rsid w:val="00301E47"/>
    <w:rsid w:val="0030254E"/>
    <w:rsid w:val="003025A4"/>
    <w:rsid w:val="00302CE4"/>
    <w:rsid w:val="00303313"/>
    <w:rsid w:val="0030380A"/>
    <w:rsid w:val="00303A48"/>
    <w:rsid w:val="00303CAE"/>
    <w:rsid w:val="00303E6A"/>
    <w:rsid w:val="003044BD"/>
    <w:rsid w:val="00304672"/>
    <w:rsid w:val="00304F39"/>
    <w:rsid w:val="003056B8"/>
    <w:rsid w:val="00305740"/>
    <w:rsid w:val="0030584F"/>
    <w:rsid w:val="00306A75"/>
    <w:rsid w:val="00306AA8"/>
    <w:rsid w:val="003078EC"/>
    <w:rsid w:val="003104F0"/>
    <w:rsid w:val="003114E6"/>
    <w:rsid w:val="00311A67"/>
    <w:rsid w:val="00311A9F"/>
    <w:rsid w:val="00311F95"/>
    <w:rsid w:val="003122D6"/>
    <w:rsid w:val="003129E2"/>
    <w:rsid w:val="00312CEA"/>
    <w:rsid w:val="0031413F"/>
    <w:rsid w:val="003148BB"/>
    <w:rsid w:val="00316941"/>
    <w:rsid w:val="003169E1"/>
    <w:rsid w:val="00316A85"/>
    <w:rsid w:val="0031776A"/>
    <w:rsid w:val="00317976"/>
    <w:rsid w:val="00320107"/>
    <w:rsid w:val="0032126B"/>
    <w:rsid w:val="00322018"/>
    <w:rsid w:val="00322C88"/>
    <w:rsid w:val="00323087"/>
    <w:rsid w:val="003230DA"/>
    <w:rsid w:val="00323885"/>
    <w:rsid w:val="00324D42"/>
    <w:rsid w:val="00325BB1"/>
    <w:rsid w:val="00325DE7"/>
    <w:rsid w:val="00325FB5"/>
    <w:rsid w:val="00325FF7"/>
    <w:rsid w:val="0032632E"/>
    <w:rsid w:val="00327A35"/>
    <w:rsid w:val="00327D2F"/>
    <w:rsid w:val="00327ED8"/>
    <w:rsid w:val="0033014E"/>
    <w:rsid w:val="003301BA"/>
    <w:rsid w:val="00331475"/>
    <w:rsid w:val="0033229A"/>
    <w:rsid w:val="00332693"/>
    <w:rsid w:val="003326C6"/>
    <w:rsid w:val="00332A80"/>
    <w:rsid w:val="00333519"/>
    <w:rsid w:val="003341FD"/>
    <w:rsid w:val="00334404"/>
    <w:rsid w:val="003348A1"/>
    <w:rsid w:val="003361BD"/>
    <w:rsid w:val="00336C61"/>
    <w:rsid w:val="003371CF"/>
    <w:rsid w:val="003376FA"/>
    <w:rsid w:val="00340997"/>
    <w:rsid w:val="00340B4D"/>
    <w:rsid w:val="0034105D"/>
    <w:rsid w:val="00342099"/>
    <w:rsid w:val="00342166"/>
    <w:rsid w:val="003436E5"/>
    <w:rsid w:val="00344042"/>
    <w:rsid w:val="00344BA7"/>
    <w:rsid w:val="00344DCF"/>
    <w:rsid w:val="00344E3B"/>
    <w:rsid w:val="00344F8F"/>
    <w:rsid w:val="00345561"/>
    <w:rsid w:val="00345F7F"/>
    <w:rsid w:val="0034756E"/>
    <w:rsid w:val="003475B0"/>
    <w:rsid w:val="00347828"/>
    <w:rsid w:val="00347D98"/>
    <w:rsid w:val="00347FAB"/>
    <w:rsid w:val="00347FD5"/>
    <w:rsid w:val="0035013F"/>
    <w:rsid w:val="00350459"/>
    <w:rsid w:val="003504A3"/>
    <w:rsid w:val="0035056A"/>
    <w:rsid w:val="0035127F"/>
    <w:rsid w:val="003518F1"/>
    <w:rsid w:val="00351E87"/>
    <w:rsid w:val="00351F36"/>
    <w:rsid w:val="00352064"/>
    <w:rsid w:val="00352164"/>
    <w:rsid w:val="00352317"/>
    <w:rsid w:val="003525CB"/>
    <w:rsid w:val="003529A8"/>
    <w:rsid w:val="00352FBD"/>
    <w:rsid w:val="003530E8"/>
    <w:rsid w:val="0035323F"/>
    <w:rsid w:val="00354572"/>
    <w:rsid w:val="0035462D"/>
    <w:rsid w:val="00354C93"/>
    <w:rsid w:val="003557C2"/>
    <w:rsid w:val="00355EA9"/>
    <w:rsid w:val="003561B4"/>
    <w:rsid w:val="003563A9"/>
    <w:rsid w:val="003564C4"/>
    <w:rsid w:val="00356778"/>
    <w:rsid w:val="0035787D"/>
    <w:rsid w:val="003578DE"/>
    <w:rsid w:val="00357CB5"/>
    <w:rsid w:val="00360DBB"/>
    <w:rsid w:val="00360F15"/>
    <w:rsid w:val="00361369"/>
    <w:rsid w:val="00361456"/>
    <w:rsid w:val="003617E5"/>
    <w:rsid w:val="00361A12"/>
    <w:rsid w:val="003620B1"/>
    <w:rsid w:val="003624E8"/>
    <w:rsid w:val="00362636"/>
    <w:rsid w:val="00362C2F"/>
    <w:rsid w:val="00364A4E"/>
    <w:rsid w:val="003659CA"/>
    <w:rsid w:val="00365F6B"/>
    <w:rsid w:val="003664B1"/>
    <w:rsid w:val="0036664D"/>
    <w:rsid w:val="00367E9F"/>
    <w:rsid w:val="00367F67"/>
    <w:rsid w:val="00370655"/>
    <w:rsid w:val="00371340"/>
    <w:rsid w:val="003713B9"/>
    <w:rsid w:val="00371548"/>
    <w:rsid w:val="003719FA"/>
    <w:rsid w:val="00371C33"/>
    <w:rsid w:val="00371DD4"/>
    <w:rsid w:val="003720C9"/>
    <w:rsid w:val="00372149"/>
    <w:rsid w:val="003723AE"/>
    <w:rsid w:val="003731F9"/>
    <w:rsid w:val="003759E2"/>
    <w:rsid w:val="00376700"/>
    <w:rsid w:val="00377514"/>
    <w:rsid w:val="00377C61"/>
    <w:rsid w:val="0038003D"/>
    <w:rsid w:val="0038091F"/>
    <w:rsid w:val="00380986"/>
    <w:rsid w:val="0038286C"/>
    <w:rsid w:val="00382E35"/>
    <w:rsid w:val="00382E92"/>
    <w:rsid w:val="003834AB"/>
    <w:rsid w:val="00383552"/>
    <w:rsid w:val="003835DA"/>
    <w:rsid w:val="003836E6"/>
    <w:rsid w:val="00383827"/>
    <w:rsid w:val="00383A3C"/>
    <w:rsid w:val="00384EB0"/>
    <w:rsid w:val="0038510B"/>
    <w:rsid w:val="00385453"/>
    <w:rsid w:val="00385D1D"/>
    <w:rsid w:val="00386142"/>
    <w:rsid w:val="003866C3"/>
    <w:rsid w:val="00386999"/>
    <w:rsid w:val="00386A3D"/>
    <w:rsid w:val="0038750B"/>
    <w:rsid w:val="00387709"/>
    <w:rsid w:val="003903B0"/>
    <w:rsid w:val="00391EA1"/>
    <w:rsid w:val="003920FF"/>
    <w:rsid w:val="00393029"/>
    <w:rsid w:val="00393406"/>
    <w:rsid w:val="00394E85"/>
    <w:rsid w:val="00396257"/>
    <w:rsid w:val="00397473"/>
    <w:rsid w:val="003977E8"/>
    <w:rsid w:val="00397D6A"/>
    <w:rsid w:val="00397EB8"/>
    <w:rsid w:val="00397EFF"/>
    <w:rsid w:val="003A003A"/>
    <w:rsid w:val="003A07AB"/>
    <w:rsid w:val="003A086E"/>
    <w:rsid w:val="003A0F07"/>
    <w:rsid w:val="003A127D"/>
    <w:rsid w:val="003A1405"/>
    <w:rsid w:val="003A23FF"/>
    <w:rsid w:val="003A2490"/>
    <w:rsid w:val="003A274E"/>
    <w:rsid w:val="003A28C7"/>
    <w:rsid w:val="003A2A5B"/>
    <w:rsid w:val="003A3748"/>
    <w:rsid w:val="003A37B8"/>
    <w:rsid w:val="003A3D7A"/>
    <w:rsid w:val="003A3FC3"/>
    <w:rsid w:val="003A41B7"/>
    <w:rsid w:val="003A41CD"/>
    <w:rsid w:val="003A462C"/>
    <w:rsid w:val="003A4FD0"/>
    <w:rsid w:val="003A5002"/>
    <w:rsid w:val="003A53F5"/>
    <w:rsid w:val="003A54B2"/>
    <w:rsid w:val="003A6158"/>
    <w:rsid w:val="003A67B7"/>
    <w:rsid w:val="003A69D1"/>
    <w:rsid w:val="003A6FE9"/>
    <w:rsid w:val="003A71EF"/>
    <w:rsid w:val="003A72F8"/>
    <w:rsid w:val="003A7408"/>
    <w:rsid w:val="003A7705"/>
    <w:rsid w:val="003A7F75"/>
    <w:rsid w:val="003B0097"/>
    <w:rsid w:val="003B0972"/>
    <w:rsid w:val="003B0E19"/>
    <w:rsid w:val="003B1545"/>
    <w:rsid w:val="003B1BB6"/>
    <w:rsid w:val="003B2027"/>
    <w:rsid w:val="003B369C"/>
    <w:rsid w:val="003B4379"/>
    <w:rsid w:val="003B5661"/>
    <w:rsid w:val="003B5BF9"/>
    <w:rsid w:val="003B5FB7"/>
    <w:rsid w:val="003B6C9B"/>
    <w:rsid w:val="003B7218"/>
    <w:rsid w:val="003B76FE"/>
    <w:rsid w:val="003B78AC"/>
    <w:rsid w:val="003C035E"/>
    <w:rsid w:val="003C0418"/>
    <w:rsid w:val="003C0993"/>
    <w:rsid w:val="003C131A"/>
    <w:rsid w:val="003C16DB"/>
    <w:rsid w:val="003C18A5"/>
    <w:rsid w:val="003C26B8"/>
    <w:rsid w:val="003C311E"/>
    <w:rsid w:val="003C3267"/>
    <w:rsid w:val="003C409D"/>
    <w:rsid w:val="003C4411"/>
    <w:rsid w:val="003C48AE"/>
    <w:rsid w:val="003C4DA5"/>
    <w:rsid w:val="003C4FB7"/>
    <w:rsid w:val="003C5BA6"/>
    <w:rsid w:val="003C5F0F"/>
    <w:rsid w:val="003C63BE"/>
    <w:rsid w:val="003C6FD0"/>
    <w:rsid w:val="003C732E"/>
    <w:rsid w:val="003C737B"/>
    <w:rsid w:val="003C7673"/>
    <w:rsid w:val="003C7AC0"/>
    <w:rsid w:val="003D1977"/>
    <w:rsid w:val="003D2A85"/>
    <w:rsid w:val="003D2C88"/>
    <w:rsid w:val="003D2D89"/>
    <w:rsid w:val="003D34E6"/>
    <w:rsid w:val="003D3CFD"/>
    <w:rsid w:val="003D3EF7"/>
    <w:rsid w:val="003D4151"/>
    <w:rsid w:val="003D4184"/>
    <w:rsid w:val="003D4653"/>
    <w:rsid w:val="003D4F6B"/>
    <w:rsid w:val="003D5A31"/>
    <w:rsid w:val="003D68A6"/>
    <w:rsid w:val="003D7047"/>
    <w:rsid w:val="003D7072"/>
    <w:rsid w:val="003D7F78"/>
    <w:rsid w:val="003E022C"/>
    <w:rsid w:val="003E0B82"/>
    <w:rsid w:val="003E2FBD"/>
    <w:rsid w:val="003E3355"/>
    <w:rsid w:val="003E3533"/>
    <w:rsid w:val="003E3604"/>
    <w:rsid w:val="003E3B62"/>
    <w:rsid w:val="003E3FD2"/>
    <w:rsid w:val="003E42C4"/>
    <w:rsid w:val="003E456C"/>
    <w:rsid w:val="003E4988"/>
    <w:rsid w:val="003E4EB5"/>
    <w:rsid w:val="003E5314"/>
    <w:rsid w:val="003E54E9"/>
    <w:rsid w:val="003E58A2"/>
    <w:rsid w:val="003E5AAE"/>
    <w:rsid w:val="003E626B"/>
    <w:rsid w:val="003E6280"/>
    <w:rsid w:val="003E67FD"/>
    <w:rsid w:val="003E691A"/>
    <w:rsid w:val="003E6F2B"/>
    <w:rsid w:val="003E71F0"/>
    <w:rsid w:val="003E7A09"/>
    <w:rsid w:val="003F036B"/>
    <w:rsid w:val="003F0E85"/>
    <w:rsid w:val="003F1795"/>
    <w:rsid w:val="003F17E2"/>
    <w:rsid w:val="003F1B65"/>
    <w:rsid w:val="003F284A"/>
    <w:rsid w:val="003F32E1"/>
    <w:rsid w:val="003F3569"/>
    <w:rsid w:val="003F373A"/>
    <w:rsid w:val="003F3A9E"/>
    <w:rsid w:val="003F3C19"/>
    <w:rsid w:val="003F49E3"/>
    <w:rsid w:val="003F4C4E"/>
    <w:rsid w:val="003F716B"/>
    <w:rsid w:val="00400929"/>
    <w:rsid w:val="00400980"/>
    <w:rsid w:val="0040149F"/>
    <w:rsid w:val="00402217"/>
    <w:rsid w:val="004029B2"/>
    <w:rsid w:val="00402A0A"/>
    <w:rsid w:val="00403080"/>
    <w:rsid w:val="00403CCF"/>
    <w:rsid w:val="00403D5D"/>
    <w:rsid w:val="00403F75"/>
    <w:rsid w:val="00404CB5"/>
    <w:rsid w:val="00405251"/>
    <w:rsid w:val="00405301"/>
    <w:rsid w:val="00406066"/>
    <w:rsid w:val="0040613A"/>
    <w:rsid w:val="004062AD"/>
    <w:rsid w:val="00406FD9"/>
    <w:rsid w:val="0040712D"/>
    <w:rsid w:val="0040769E"/>
    <w:rsid w:val="004107E3"/>
    <w:rsid w:val="004108F0"/>
    <w:rsid w:val="00410C55"/>
    <w:rsid w:val="00410E79"/>
    <w:rsid w:val="00411724"/>
    <w:rsid w:val="00411CB9"/>
    <w:rsid w:val="00412276"/>
    <w:rsid w:val="00412293"/>
    <w:rsid w:val="00412C6A"/>
    <w:rsid w:val="00412D8A"/>
    <w:rsid w:val="00412E70"/>
    <w:rsid w:val="004130FA"/>
    <w:rsid w:val="00413866"/>
    <w:rsid w:val="00415EDF"/>
    <w:rsid w:val="0041604D"/>
    <w:rsid w:val="00416854"/>
    <w:rsid w:val="0041685F"/>
    <w:rsid w:val="00417725"/>
    <w:rsid w:val="0041779A"/>
    <w:rsid w:val="0042015B"/>
    <w:rsid w:val="00421216"/>
    <w:rsid w:val="00421753"/>
    <w:rsid w:val="0042198C"/>
    <w:rsid w:val="00421BF4"/>
    <w:rsid w:val="004220A5"/>
    <w:rsid w:val="00422C91"/>
    <w:rsid w:val="00423241"/>
    <w:rsid w:val="00423352"/>
    <w:rsid w:val="00423BD8"/>
    <w:rsid w:val="0042423F"/>
    <w:rsid w:val="004243EA"/>
    <w:rsid w:val="004244F0"/>
    <w:rsid w:val="00424F20"/>
    <w:rsid w:val="00425084"/>
    <w:rsid w:val="00425D2E"/>
    <w:rsid w:val="00425F9E"/>
    <w:rsid w:val="00426280"/>
    <w:rsid w:val="004267A6"/>
    <w:rsid w:val="00426E2A"/>
    <w:rsid w:val="00426E45"/>
    <w:rsid w:val="00427DDC"/>
    <w:rsid w:val="00427F5B"/>
    <w:rsid w:val="00430847"/>
    <w:rsid w:val="00430A55"/>
    <w:rsid w:val="00430B95"/>
    <w:rsid w:val="00431DDE"/>
    <w:rsid w:val="004320FF"/>
    <w:rsid w:val="004327F1"/>
    <w:rsid w:val="0043305D"/>
    <w:rsid w:val="004333FF"/>
    <w:rsid w:val="0043362F"/>
    <w:rsid w:val="00433B6F"/>
    <w:rsid w:val="00433C70"/>
    <w:rsid w:val="00434318"/>
    <w:rsid w:val="0043517D"/>
    <w:rsid w:val="004354A1"/>
    <w:rsid w:val="004355C3"/>
    <w:rsid w:val="00435DBF"/>
    <w:rsid w:val="00436053"/>
    <w:rsid w:val="00436187"/>
    <w:rsid w:val="00436B0D"/>
    <w:rsid w:val="00437F26"/>
    <w:rsid w:val="00440505"/>
    <w:rsid w:val="00440BFC"/>
    <w:rsid w:val="00441763"/>
    <w:rsid w:val="0044180B"/>
    <w:rsid w:val="004418BA"/>
    <w:rsid w:val="004426A8"/>
    <w:rsid w:val="00443146"/>
    <w:rsid w:val="00443156"/>
    <w:rsid w:val="0044373F"/>
    <w:rsid w:val="0044404B"/>
    <w:rsid w:val="00444097"/>
    <w:rsid w:val="0044429A"/>
    <w:rsid w:val="00444607"/>
    <w:rsid w:val="00444945"/>
    <w:rsid w:val="00444BA7"/>
    <w:rsid w:val="00445088"/>
    <w:rsid w:val="004451FF"/>
    <w:rsid w:val="00445487"/>
    <w:rsid w:val="00445890"/>
    <w:rsid w:val="004459D7"/>
    <w:rsid w:val="00445FDB"/>
    <w:rsid w:val="0044656C"/>
    <w:rsid w:val="00447F88"/>
    <w:rsid w:val="0045073E"/>
    <w:rsid w:val="00450952"/>
    <w:rsid w:val="00450CDF"/>
    <w:rsid w:val="00450E3A"/>
    <w:rsid w:val="00450E40"/>
    <w:rsid w:val="0045180F"/>
    <w:rsid w:val="00451D67"/>
    <w:rsid w:val="00451DC3"/>
    <w:rsid w:val="004526FA"/>
    <w:rsid w:val="00452C62"/>
    <w:rsid w:val="004530D4"/>
    <w:rsid w:val="00453CD8"/>
    <w:rsid w:val="00453D28"/>
    <w:rsid w:val="00453F0B"/>
    <w:rsid w:val="00454340"/>
    <w:rsid w:val="00454769"/>
    <w:rsid w:val="0045548F"/>
    <w:rsid w:val="00456008"/>
    <w:rsid w:val="00456892"/>
    <w:rsid w:val="00456D58"/>
    <w:rsid w:val="00457163"/>
    <w:rsid w:val="004573A6"/>
    <w:rsid w:val="00457932"/>
    <w:rsid w:val="00460F74"/>
    <w:rsid w:val="00461819"/>
    <w:rsid w:val="00461884"/>
    <w:rsid w:val="00461B62"/>
    <w:rsid w:val="00461CBD"/>
    <w:rsid w:val="004621D2"/>
    <w:rsid w:val="004624FD"/>
    <w:rsid w:val="00463957"/>
    <w:rsid w:val="00463C92"/>
    <w:rsid w:val="0046442E"/>
    <w:rsid w:val="00464894"/>
    <w:rsid w:val="004649B2"/>
    <w:rsid w:val="0046509D"/>
    <w:rsid w:val="00465F2A"/>
    <w:rsid w:val="00466991"/>
    <w:rsid w:val="00466F34"/>
    <w:rsid w:val="004677E1"/>
    <w:rsid w:val="00467BEF"/>
    <w:rsid w:val="0047064C"/>
    <w:rsid w:val="00471144"/>
    <w:rsid w:val="0047237D"/>
    <w:rsid w:val="0047262A"/>
    <w:rsid w:val="00472A0B"/>
    <w:rsid w:val="00472C91"/>
    <w:rsid w:val="00473855"/>
    <w:rsid w:val="00474160"/>
    <w:rsid w:val="00474D90"/>
    <w:rsid w:val="00474FAD"/>
    <w:rsid w:val="004760A7"/>
    <w:rsid w:val="004766D3"/>
    <w:rsid w:val="004766EE"/>
    <w:rsid w:val="00477539"/>
    <w:rsid w:val="00477686"/>
    <w:rsid w:val="00477B3B"/>
    <w:rsid w:val="0048024E"/>
    <w:rsid w:val="00480286"/>
    <w:rsid w:val="004804F5"/>
    <w:rsid w:val="0048059D"/>
    <w:rsid w:val="004818D5"/>
    <w:rsid w:val="0048198B"/>
    <w:rsid w:val="00482053"/>
    <w:rsid w:val="00482614"/>
    <w:rsid w:val="00483506"/>
    <w:rsid w:val="00483F96"/>
    <w:rsid w:val="00484550"/>
    <w:rsid w:val="00484C83"/>
    <w:rsid w:val="004853BD"/>
    <w:rsid w:val="00485688"/>
    <w:rsid w:val="004856F9"/>
    <w:rsid w:val="00485BAE"/>
    <w:rsid w:val="00485CF3"/>
    <w:rsid w:val="00486CC1"/>
    <w:rsid w:val="00487065"/>
    <w:rsid w:val="00490EE0"/>
    <w:rsid w:val="00491067"/>
    <w:rsid w:val="00491E89"/>
    <w:rsid w:val="00493169"/>
    <w:rsid w:val="00494050"/>
    <w:rsid w:val="004943E9"/>
    <w:rsid w:val="00494689"/>
    <w:rsid w:val="00495159"/>
    <w:rsid w:val="00495BFE"/>
    <w:rsid w:val="00496A41"/>
    <w:rsid w:val="004A0B94"/>
    <w:rsid w:val="004A0C71"/>
    <w:rsid w:val="004A0D2F"/>
    <w:rsid w:val="004A1E3F"/>
    <w:rsid w:val="004A30B5"/>
    <w:rsid w:val="004A3F7F"/>
    <w:rsid w:val="004A42E1"/>
    <w:rsid w:val="004A47ED"/>
    <w:rsid w:val="004A50C1"/>
    <w:rsid w:val="004A5826"/>
    <w:rsid w:val="004A5A73"/>
    <w:rsid w:val="004A6808"/>
    <w:rsid w:val="004A7722"/>
    <w:rsid w:val="004A77D7"/>
    <w:rsid w:val="004A7D85"/>
    <w:rsid w:val="004B162C"/>
    <w:rsid w:val="004B19E0"/>
    <w:rsid w:val="004B1DB3"/>
    <w:rsid w:val="004B36B4"/>
    <w:rsid w:val="004B373B"/>
    <w:rsid w:val="004B3A9C"/>
    <w:rsid w:val="004B46D6"/>
    <w:rsid w:val="004B4B19"/>
    <w:rsid w:val="004B5EDD"/>
    <w:rsid w:val="004B7F4D"/>
    <w:rsid w:val="004C0DF1"/>
    <w:rsid w:val="004C13D9"/>
    <w:rsid w:val="004C1876"/>
    <w:rsid w:val="004C1F08"/>
    <w:rsid w:val="004C1FE3"/>
    <w:rsid w:val="004C20EC"/>
    <w:rsid w:val="004C21BB"/>
    <w:rsid w:val="004C24FD"/>
    <w:rsid w:val="004C3081"/>
    <w:rsid w:val="004C31E3"/>
    <w:rsid w:val="004C3DBE"/>
    <w:rsid w:val="004C499B"/>
    <w:rsid w:val="004C4BCC"/>
    <w:rsid w:val="004C5567"/>
    <w:rsid w:val="004C55E2"/>
    <w:rsid w:val="004C5C96"/>
    <w:rsid w:val="004C5DF1"/>
    <w:rsid w:val="004C6078"/>
    <w:rsid w:val="004C777C"/>
    <w:rsid w:val="004C784F"/>
    <w:rsid w:val="004C7B16"/>
    <w:rsid w:val="004D06A4"/>
    <w:rsid w:val="004D0912"/>
    <w:rsid w:val="004D09CD"/>
    <w:rsid w:val="004D0A8F"/>
    <w:rsid w:val="004D17C8"/>
    <w:rsid w:val="004D1A32"/>
    <w:rsid w:val="004D2215"/>
    <w:rsid w:val="004D2799"/>
    <w:rsid w:val="004D2F09"/>
    <w:rsid w:val="004D2F9E"/>
    <w:rsid w:val="004D33A6"/>
    <w:rsid w:val="004D345E"/>
    <w:rsid w:val="004D370E"/>
    <w:rsid w:val="004D38DA"/>
    <w:rsid w:val="004D4631"/>
    <w:rsid w:val="004D475E"/>
    <w:rsid w:val="004D5529"/>
    <w:rsid w:val="004D5FE3"/>
    <w:rsid w:val="004D68ED"/>
    <w:rsid w:val="004D69B1"/>
    <w:rsid w:val="004D6C82"/>
    <w:rsid w:val="004E0163"/>
    <w:rsid w:val="004E02C8"/>
    <w:rsid w:val="004E0693"/>
    <w:rsid w:val="004E1023"/>
    <w:rsid w:val="004E103C"/>
    <w:rsid w:val="004E19B5"/>
    <w:rsid w:val="004E2626"/>
    <w:rsid w:val="004E3426"/>
    <w:rsid w:val="004E4636"/>
    <w:rsid w:val="004E48B4"/>
    <w:rsid w:val="004E59D4"/>
    <w:rsid w:val="004E7019"/>
    <w:rsid w:val="004E79AC"/>
    <w:rsid w:val="004E7B6A"/>
    <w:rsid w:val="004E7E12"/>
    <w:rsid w:val="004E7F65"/>
    <w:rsid w:val="004F0050"/>
    <w:rsid w:val="004F0747"/>
    <w:rsid w:val="004F1A81"/>
    <w:rsid w:val="004F1AD9"/>
    <w:rsid w:val="004F3B25"/>
    <w:rsid w:val="004F3DF0"/>
    <w:rsid w:val="004F5A1F"/>
    <w:rsid w:val="004F6306"/>
    <w:rsid w:val="004F7156"/>
    <w:rsid w:val="004F7660"/>
    <w:rsid w:val="004F7D9E"/>
    <w:rsid w:val="0050020D"/>
    <w:rsid w:val="005005A1"/>
    <w:rsid w:val="0050136A"/>
    <w:rsid w:val="00501739"/>
    <w:rsid w:val="00501C78"/>
    <w:rsid w:val="00501F81"/>
    <w:rsid w:val="00502593"/>
    <w:rsid w:val="005026F1"/>
    <w:rsid w:val="00502826"/>
    <w:rsid w:val="00502888"/>
    <w:rsid w:val="00502927"/>
    <w:rsid w:val="00503C8D"/>
    <w:rsid w:val="0050411E"/>
    <w:rsid w:val="00504531"/>
    <w:rsid w:val="005045FB"/>
    <w:rsid w:val="00504C19"/>
    <w:rsid w:val="00504C36"/>
    <w:rsid w:val="00504F1C"/>
    <w:rsid w:val="005055B7"/>
    <w:rsid w:val="005058BB"/>
    <w:rsid w:val="0050594B"/>
    <w:rsid w:val="0050602A"/>
    <w:rsid w:val="0050611F"/>
    <w:rsid w:val="0050625A"/>
    <w:rsid w:val="005065E5"/>
    <w:rsid w:val="00506AE6"/>
    <w:rsid w:val="00506B61"/>
    <w:rsid w:val="00506D59"/>
    <w:rsid w:val="005070CE"/>
    <w:rsid w:val="00507340"/>
    <w:rsid w:val="00507B2F"/>
    <w:rsid w:val="00512A2E"/>
    <w:rsid w:val="005137CE"/>
    <w:rsid w:val="00514484"/>
    <w:rsid w:val="005147BC"/>
    <w:rsid w:val="00514CC2"/>
    <w:rsid w:val="00514DA0"/>
    <w:rsid w:val="00514F62"/>
    <w:rsid w:val="005165FB"/>
    <w:rsid w:val="00517A9F"/>
    <w:rsid w:val="00520EFF"/>
    <w:rsid w:val="00521052"/>
    <w:rsid w:val="005211D5"/>
    <w:rsid w:val="005218D9"/>
    <w:rsid w:val="00521DB1"/>
    <w:rsid w:val="005220C8"/>
    <w:rsid w:val="00522747"/>
    <w:rsid w:val="005243BB"/>
    <w:rsid w:val="00524A74"/>
    <w:rsid w:val="00524B36"/>
    <w:rsid w:val="00524B55"/>
    <w:rsid w:val="00524E92"/>
    <w:rsid w:val="00525ECC"/>
    <w:rsid w:val="00526349"/>
    <w:rsid w:val="005263A8"/>
    <w:rsid w:val="005267F7"/>
    <w:rsid w:val="0052719A"/>
    <w:rsid w:val="005273E9"/>
    <w:rsid w:val="00527C20"/>
    <w:rsid w:val="00530258"/>
    <w:rsid w:val="0053032E"/>
    <w:rsid w:val="005309CB"/>
    <w:rsid w:val="005309FF"/>
    <w:rsid w:val="00530FDF"/>
    <w:rsid w:val="005324A6"/>
    <w:rsid w:val="00532BED"/>
    <w:rsid w:val="00532DB5"/>
    <w:rsid w:val="00532E47"/>
    <w:rsid w:val="00533DD2"/>
    <w:rsid w:val="00534215"/>
    <w:rsid w:val="005344C7"/>
    <w:rsid w:val="00534B61"/>
    <w:rsid w:val="00535062"/>
    <w:rsid w:val="005352E1"/>
    <w:rsid w:val="00535E21"/>
    <w:rsid w:val="00535F4C"/>
    <w:rsid w:val="00536104"/>
    <w:rsid w:val="00536186"/>
    <w:rsid w:val="00536DFE"/>
    <w:rsid w:val="00537A70"/>
    <w:rsid w:val="00540FE1"/>
    <w:rsid w:val="005417EC"/>
    <w:rsid w:val="00541B2A"/>
    <w:rsid w:val="00541DE6"/>
    <w:rsid w:val="0054218F"/>
    <w:rsid w:val="00542781"/>
    <w:rsid w:val="0054284B"/>
    <w:rsid w:val="00542BD4"/>
    <w:rsid w:val="00542BDF"/>
    <w:rsid w:val="0054400A"/>
    <w:rsid w:val="00544CBB"/>
    <w:rsid w:val="0054538B"/>
    <w:rsid w:val="005461A3"/>
    <w:rsid w:val="005469DF"/>
    <w:rsid w:val="00547DDA"/>
    <w:rsid w:val="005501AA"/>
    <w:rsid w:val="005501F8"/>
    <w:rsid w:val="0055047A"/>
    <w:rsid w:val="00550518"/>
    <w:rsid w:val="005508F3"/>
    <w:rsid w:val="00550B38"/>
    <w:rsid w:val="005510F9"/>
    <w:rsid w:val="005525B2"/>
    <w:rsid w:val="00552826"/>
    <w:rsid w:val="00552CD6"/>
    <w:rsid w:val="00552DC0"/>
    <w:rsid w:val="0055303A"/>
    <w:rsid w:val="005530F2"/>
    <w:rsid w:val="00553156"/>
    <w:rsid w:val="005536A5"/>
    <w:rsid w:val="00553C57"/>
    <w:rsid w:val="0055437C"/>
    <w:rsid w:val="005546BA"/>
    <w:rsid w:val="00554AEE"/>
    <w:rsid w:val="00555B38"/>
    <w:rsid w:val="00555ECA"/>
    <w:rsid w:val="00556307"/>
    <w:rsid w:val="00556A7B"/>
    <w:rsid w:val="00557F6B"/>
    <w:rsid w:val="00560626"/>
    <w:rsid w:val="00561307"/>
    <w:rsid w:val="005617DE"/>
    <w:rsid w:val="00562877"/>
    <w:rsid w:val="005628A6"/>
    <w:rsid w:val="005631B6"/>
    <w:rsid w:val="00563845"/>
    <w:rsid w:val="00564DA0"/>
    <w:rsid w:val="00564DDD"/>
    <w:rsid w:val="005652E1"/>
    <w:rsid w:val="00565758"/>
    <w:rsid w:val="005662CE"/>
    <w:rsid w:val="0056668F"/>
    <w:rsid w:val="00566B42"/>
    <w:rsid w:val="00566C1A"/>
    <w:rsid w:val="0056798F"/>
    <w:rsid w:val="00567E4A"/>
    <w:rsid w:val="00570721"/>
    <w:rsid w:val="00570F3D"/>
    <w:rsid w:val="00571C36"/>
    <w:rsid w:val="00571C81"/>
    <w:rsid w:val="00571EE5"/>
    <w:rsid w:val="00572D96"/>
    <w:rsid w:val="00573072"/>
    <w:rsid w:val="0057315F"/>
    <w:rsid w:val="005734F8"/>
    <w:rsid w:val="005738AA"/>
    <w:rsid w:val="00573CAF"/>
    <w:rsid w:val="00573F73"/>
    <w:rsid w:val="0057488F"/>
    <w:rsid w:val="00574D61"/>
    <w:rsid w:val="0057530B"/>
    <w:rsid w:val="00575F41"/>
    <w:rsid w:val="00575FE5"/>
    <w:rsid w:val="00576104"/>
    <w:rsid w:val="005761D9"/>
    <w:rsid w:val="005769F3"/>
    <w:rsid w:val="00576C9F"/>
    <w:rsid w:val="0057795A"/>
    <w:rsid w:val="005800FD"/>
    <w:rsid w:val="0058103E"/>
    <w:rsid w:val="005815C0"/>
    <w:rsid w:val="005817DE"/>
    <w:rsid w:val="0058445B"/>
    <w:rsid w:val="005844C4"/>
    <w:rsid w:val="00584985"/>
    <w:rsid w:val="005853BB"/>
    <w:rsid w:val="00585DBD"/>
    <w:rsid w:val="00585E66"/>
    <w:rsid w:val="00585EEC"/>
    <w:rsid w:val="00585F9A"/>
    <w:rsid w:val="00586200"/>
    <w:rsid w:val="0058640B"/>
    <w:rsid w:val="00586F09"/>
    <w:rsid w:val="00587132"/>
    <w:rsid w:val="00587849"/>
    <w:rsid w:val="005912BF"/>
    <w:rsid w:val="00591451"/>
    <w:rsid w:val="00591849"/>
    <w:rsid w:val="005920F4"/>
    <w:rsid w:val="0059271C"/>
    <w:rsid w:val="00593B97"/>
    <w:rsid w:val="005940B1"/>
    <w:rsid w:val="00594992"/>
    <w:rsid w:val="00594BA0"/>
    <w:rsid w:val="00594E33"/>
    <w:rsid w:val="00595F8D"/>
    <w:rsid w:val="0059607E"/>
    <w:rsid w:val="00597226"/>
    <w:rsid w:val="005973C2"/>
    <w:rsid w:val="00597879"/>
    <w:rsid w:val="005A033D"/>
    <w:rsid w:val="005A17EC"/>
    <w:rsid w:val="005A1F3F"/>
    <w:rsid w:val="005A288A"/>
    <w:rsid w:val="005A3114"/>
    <w:rsid w:val="005A3639"/>
    <w:rsid w:val="005A3E3C"/>
    <w:rsid w:val="005A5443"/>
    <w:rsid w:val="005A6CFA"/>
    <w:rsid w:val="005A76E9"/>
    <w:rsid w:val="005B0973"/>
    <w:rsid w:val="005B0BC5"/>
    <w:rsid w:val="005B0EAC"/>
    <w:rsid w:val="005B1191"/>
    <w:rsid w:val="005B13B6"/>
    <w:rsid w:val="005B1896"/>
    <w:rsid w:val="005B1AE8"/>
    <w:rsid w:val="005B23A6"/>
    <w:rsid w:val="005B262F"/>
    <w:rsid w:val="005B28A2"/>
    <w:rsid w:val="005B3091"/>
    <w:rsid w:val="005B3F8C"/>
    <w:rsid w:val="005B41A0"/>
    <w:rsid w:val="005B46EA"/>
    <w:rsid w:val="005B4C11"/>
    <w:rsid w:val="005B5E59"/>
    <w:rsid w:val="005B615A"/>
    <w:rsid w:val="005B62F1"/>
    <w:rsid w:val="005B65C9"/>
    <w:rsid w:val="005B677E"/>
    <w:rsid w:val="005B7F40"/>
    <w:rsid w:val="005C0143"/>
    <w:rsid w:val="005C052D"/>
    <w:rsid w:val="005C06C7"/>
    <w:rsid w:val="005C0B98"/>
    <w:rsid w:val="005C142B"/>
    <w:rsid w:val="005C1745"/>
    <w:rsid w:val="005C1A65"/>
    <w:rsid w:val="005C3A71"/>
    <w:rsid w:val="005C3FE1"/>
    <w:rsid w:val="005C45AB"/>
    <w:rsid w:val="005C4B67"/>
    <w:rsid w:val="005C4D0F"/>
    <w:rsid w:val="005C51F1"/>
    <w:rsid w:val="005C5A14"/>
    <w:rsid w:val="005C67C8"/>
    <w:rsid w:val="005C6A26"/>
    <w:rsid w:val="005C6EC7"/>
    <w:rsid w:val="005C7444"/>
    <w:rsid w:val="005D0079"/>
    <w:rsid w:val="005D0249"/>
    <w:rsid w:val="005D0473"/>
    <w:rsid w:val="005D095B"/>
    <w:rsid w:val="005D1380"/>
    <w:rsid w:val="005D1885"/>
    <w:rsid w:val="005D195C"/>
    <w:rsid w:val="005D241B"/>
    <w:rsid w:val="005D2D12"/>
    <w:rsid w:val="005D3AB7"/>
    <w:rsid w:val="005D3E95"/>
    <w:rsid w:val="005D4137"/>
    <w:rsid w:val="005D53F5"/>
    <w:rsid w:val="005D5753"/>
    <w:rsid w:val="005D59F5"/>
    <w:rsid w:val="005D5BE1"/>
    <w:rsid w:val="005D5BEE"/>
    <w:rsid w:val="005D6C03"/>
    <w:rsid w:val="005D6C88"/>
    <w:rsid w:val="005D6E8C"/>
    <w:rsid w:val="005D72E0"/>
    <w:rsid w:val="005D73BF"/>
    <w:rsid w:val="005D7CC8"/>
    <w:rsid w:val="005E0137"/>
    <w:rsid w:val="005E0567"/>
    <w:rsid w:val="005E0E13"/>
    <w:rsid w:val="005E11CA"/>
    <w:rsid w:val="005E15D5"/>
    <w:rsid w:val="005E37DF"/>
    <w:rsid w:val="005E3D94"/>
    <w:rsid w:val="005E45E6"/>
    <w:rsid w:val="005E46F8"/>
    <w:rsid w:val="005E478F"/>
    <w:rsid w:val="005E4AFA"/>
    <w:rsid w:val="005E4BF0"/>
    <w:rsid w:val="005E62AD"/>
    <w:rsid w:val="005E6746"/>
    <w:rsid w:val="005E67ED"/>
    <w:rsid w:val="005F0258"/>
    <w:rsid w:val="005F0491"/>
    <w:rsid w:val="005F0B4F"/>
    <w:rsid w:val="005F0BD1"/>
    <w:rsid w:val="005F100C"/>
    <w:rsid w:val="005F2088"/>
    <w:rsid w:val="005F37DC"/>
    <w:rsid w:val="005F5223"/>
    <w:rsid w:val="005F5E97"/>
    <w:rsid w:val="005F675B"/>
    <w:rsid w:val="005F68DA"/>
    <w:rsid w:val="005F6FFB"/>
    <w:rsid w:val="005F75E6"/>
    <w:rsid w:val="006009E9"/>
    <w:rsid w:val="00601313"/>
    <w:rsid w:val="006014DD"/>
    <w:rsid w:val="00601F7C"/>
    <w:rsid w:val="006022BC"/>
    <w:rsid w:val="00602A72"/>
    <w:rsid w:val="006030F9"/>
    <w:rsid w:val="0060377A"/>
    <w:rsid w:val="00603A60"/>
    <w:rsid w:val="00603A92"/>
    <w:rsid w:val="00603C99"/>
    <w:rsid w:val="0060401D"/>
    <w:rsid w:val="00605DAC"/>
    <w:rsid w:val="00605E81"/>
    <w:rsid w:val="006067C8"/>
    <w:rsid w:val="00606D18"/>
    <w:rsid w:val="00606E9A"/>
    <w:rsid w:val="0060709B"/>
    <w:rsid w:val="0060773B"/>
    <w:rsid w:val="00610539"/>
    <w:rsid w:val="00610DFB"/>
    <w:rsid w:val="006122D4"/>
    <w:rsid w:val="006143A2"/>
    <w:rsid w:val="006157B5"/>
    <w:rsid w:val="006158C6"/>
    <w:rsid w:val="00615B80"/>
    <w:rsid w:val="006162D1"/>
    <w:rsid w:val="006169AA"/>
    <w:rsid w:val="006169CC"/>
    <w:rsid w:val="00616E5C"/>
    <w:rsid w:val="00617D81"/>
    <w:rsid w:val="00620104"/>
    <w:rsid w:val="006207D5"/>
    <w:rsid w:val="00620E91"/>
    <w:rsid w:val="00621801"/>
    <w:rsid w:val="00622C1F"/>
    <w:rsid w:val="00623781"/>
    <w:rsid w:val="00623CE7"/>
    <w:rsid w:val="00624C42"/>
    <w:rsid w:val="006251C4"/>
    <w:rsid w:val="006254DD"/>
    <w:rsid w:val="00625E4E"/>
    <w:rsid w:val="00626B7D"/>
    <w:rsid w:val="00626ED8"/>
    <w:rsid w:val="00626FA5"/>
    <w:rsid w:val="00626FC6"/>
    <w:rsid w:val="00627D3A"/>
    <w:rsid w:val="006303B4"/>
    <w:rsid w:val="00631449"/>
    <w:rsid w:val="00631595"/>
    <w:rsid w:val="00631C45"/>
    <w:rsid w:val="0063310A"/>
    <w:rsid w:val="00633A8B"/>
    <w:rsid w:val="00633CEB"/>
    <w:rsid w:val="00633D3D"/>
    <w:rsid w:val="00634A21"/>
    <w:rsid w:val="00634B39"/>
    <w:rsid w:val="00634D57"/>
    <w:rsid w:val="00635FA3"/>
    <w:rsid w:val="0063635F"/>
    <w:rsid w:val="006364BC"/>
    <w:rsid w:val="00637B6D"/>
    <w:rsid w:val="00640517"/>
    <w:rsid w:val="00641703"/>
    <w:rsid w:val="00642082"/>
    <w:rsid w:val="00642B5E"/>
    <w:rsid w:val="00642D91"/>
    <w:rsid w:val="006431A6"/>
    <w:rsid w:val="00644B23"/>
    <w:rsid w:val="006459F6"/>
    <w:rsid w:val="00645E2C"/>
    <w:rsid w:val="00645EA1"/>
    <w:rsid w:val="00645F06"/>
    <w:rsid w:val="0064634D"/>
    <w:rsid w:val="0064691A"/>
    <w:rsid w:val="00646E3E"/>
    <w:rsid w:val="00650188"/>
    <w:rsid w:val="006501AD"/>
    <w:rsid w:val="00650DE8"/>
    <w:rsid w:val="00651754"/>
    <w:rsid w:val="00651985"/>
    <w:rsid w:val="00651B2F"/>
    <w:rsid w:val="00651BFA"/>
    <w:rsid w:val="00652A83"/>
    <w:rsid w:val="006539DC"/>
    <w:rsid w:val="00653DF6"/>
    <w:rsid w:val="00653E8A"/>
    <w:rsid w:val="006545E9"/>
    <w:rsid w:val="006558FA"/>
    <w:rsid w:val="00655CB3"/>
    <w:rsid w:val="00656308"/>
    <w:rsid w:val="00657131"/>
    <w:rsid w:val="006573B6"/>
    <w:rsid w:val="00657BB4"/>
    <w:rsid w:val="00660703"/>
    <w:rsid w:val="00660CE8"/>
    <w:rsid w:val="00660E0E"/>
    <w:rsid w:val="00660F5C"/>
    <w:rsid w:val="00661475"/>
    <w:rsid w:val="006618B0"/>
    <w:rsid w:val="00661A02"/>
    <w:rsid w:val="00661CF4"/>
    <w:rsid w:val="00662DF0"/>
    <w:rsid w:val="00662EBE"/>
    <w:rsid w:val="00663A80"/>
    <w:rsid w:val="00664255"/>
    <w:rsid w:val="00664913"/>
    <w:rsid w:val="00664DDE"/>
    <w:rsid w:val="00665A4B"/>
    <w:rsid w:val="006669A8"/>
    <w:rsid w:val="00667247"/>
    <w:rsid w:val="00667EF9"/>
    <w:rsid w:val="00667F08"/>
    <w:rsid w:val="00671115"/>
    <w:rsid w:val="00671315"/>
    <w:rsid w:val="006721AF"/>
    <w:rsid w:val="0067290D"/>
    <w:rsid w:val="00672BB4"/>
    <w:rsid w:val="00674AC1"/>
    <w:rsid w:val="00674BB9"/>
    <w:rsid w:val="006754C2"/>
    <w:rsid w:val="00676FC0"/>
    <w:rsid w:val="00677088"/>
    <w:rsid w:val="006771C5"/>
    <w:rsid w:val="00680260"/>
    <w:rsid w:val="006803A6"/>
    <w:rsid w:val="006805E3"/>
    <w:rsid w:val="00680B2C"/>
    <w:rsid w:val="0068138A"/>
    <w:rsid w:val="006814A5"/>
    <w:rsid w:val="00681889"/>
    <w:rsid w:val="00681959"/>
    <w:rsid w:val="00681979"/>
    <w:rsid w:val="00681FE0"/>
    <w:rsid w:val="006825C5"/>
    <w:rsid w:val="00682E0C"/>
    <w:rsid w:val="00682E9A"/>
    <w:rsid w:val="006836B4"/>
    <w:rsid w:val="00683A11"/>
    <w:rsid w:val="00684060"/>
    <w:rsid w:val="00684698"/>
    <w:rsid w:val="00684C68"/>
    <w:rsid w:val="00685030"/>
    <w:rsid w:val="00685A3C"/>
    <w:rsid w:val="00685A66"/>
    <w:rsid w:val="00685E08"/>
    <w:rsid w:val="006860D8"/>
    <w:rsid w:val="006864E2"/>
    <w:rsid w:val="00686659"/>
    <w:rsid w:val="006866C5"/>
    <w:rsid w:val="00687337"/>
    <w:rsid w:val="006875B5"/>
    <w:rsid w:val="006904E2"/>
    <w:rsid w:val="00690E00"/>
    <w:rsid w:val="006910F5"/>
    <w:rsid w:val="0069136E"/>
    <w:rsid w:val="006917D7"/>
    <w:rsid w:val="00691FAB"/>
    <w:rsid w:val="00692E2A"/>
    <w:rsid w:val="006936AB"/>
    <w:rsid w:val="00694011"/>
    <w:rsid w:val="00694079"/>
    <w:rsid w:val="0069559B"/>
    <w:rsid w:val="00695FAF"/>
    <w:rsid w:val="00696032"/>
    <w:rsid w:val="00696E38"/>
    <w:rsid w:val="00697807"/>
    <w:rsid w:val="00697A7A"/>
    <w:rsid w:val="006A01AB"/>
    <w:rsid w:val="006A0F59"/>
    <w:rsid w:val="006A139F"/>
    <w:rsid w:val="006A1F7E"/>
    <w:rsid w:val="006A3140"/>
    <w:rsid w:val="006A356C"/>
    <w:rsid w:val="006A3920"/>
    <w:rsid w:val="006A4365"/>
    <w:rsid w:val="006A4409"/>
    <w:rsid w:val="006A4C1D"/>
    <w:rsid w:val="006A5E34"/>
    <w:rsid w:val="006A6270"/>
    <w:rsid w:val="006A6BC7"/>
    <w:rsid w:val="006A6EBE"/>
    <w:rsid w:val="006A76F2"/>
    <w:rsid w:val="006A794A"/>
    <w:rsid w:val="006B01F8"/>
    <w:rsid w:val="006B0205"/>
    <w:rsid w:val="006B06B6"/>
    <w:rsid w:val="006B06D8"/>
    <w:rsid w:val="006B0D28"/>
    <w:rsid w:val="006B2008"/>
    <w:rsid w:val="006B21E8"/>
    <w:rsid w:val="006B3F72"/>
    <w:rsid w:val="006B44A3"/>
    <w:rsid w:val="006B44E9"/>
    <w:rsid w:val="006B450B"/>
    <w:rsid w:val="006B4527"/>
    <w:rsid w:val="006B487F"/>
    <w:rsid w:val="006B4BF0"/>
    <w:rsid w:val="006B6CE5"/>
    <w:rsid w:val="006B6D37"/>
    <w:rsid w:val="006B7202"/>
    <w:rsid w:val="006B730B"/>
    <w:rsid w:val="006B7A98"/>
    <w:rsid w:val="006C0509"/>
    <w:rsid w:val="006C070E"/>
    <w:rsid w:val="006C0DD9"/>
    <w:rsid w:val="006C0E93"/>
    <w:rsid w:val="006C1134"/>
    <w:rsid w:val="006C14EB"/>
    <w:rsid w:val="006C3132"/>
    <w:rsid w:val="006C39FC"/>
    <w:rsid w:val="006C3DDA"/>
    <w:rsid w:val="006C4445"/>
    <w:rsid w:val="006C4836"/>
    <w:rsid w:val="006C4BF7"/>
    <w:rsid w:val="006C54D9"/>
    <w:rsid w:val="006C76B4"/>
    <w:rsid w:val="006D130B"/>
    <w:rsid w:val="006D13AB"/>
    <w:rsid w:val="006D1605"/>
    <w:rsid w:val="006D2164"/>
    <w:rsid w:val="006D3112"/>
    <w:rsid w:val="006D3277"/>
    <w:rsid w:val="006D34D7"/>
    <w:rsid w:val="006D3CAF"/>
    <w:rsid w:val="006D3E26"/>
    <w:rsid w:val="006D441A"/>
    <w:rsid w:val="006D4B31"/>
    <w:rsid w:val="006D5492"/>
    <w:rsid w:val="006D5E34"/>
    <w:rsid w:val="006D6453"/>
    <w:rsid w:val="006D6B04"/>
    <w:rsid w:val="006D6E63"/>
    <w:rsid w:val="006D706D"/>
    <w:rsid w:val="006D7EFB"/>
    <w:rsid w:val="006E03CD"/>
    <w:rsid w:val="006E061B"/>
    <w:rsid w:val="006E1328"/>
    <w:rsid w:val="006E34C1"/>
    <w:rsid w:val="006E3770"/>
    <w:rsid w:val="006E377A"/>
    <w:rsid w:val="006E386F"/>
    <w:rsid w:val="006E3D39"/>
    <w:rsid w:val="006E4004"/>
    <w:rsid w:val="006E56DC"/>
    <w:rsid w:val="006E57A1"/>
    <w:rsid w:val="006E5AA6"/>
    <w:rsid w:val="006E5B9E"/>
    <w:rsid w:val="006E5C75"/>
    <w:rsid w:val="006E6672"/>
    <w:rsid w:val="006E6722"/>
    <w:rsid w:val="006E67DC"/>
    <w:rsid w:val="006E6B6F"/>
    <w:rsid w:val="006E7453"/>
    <w:rsid w:val="006E7B72"/>
    <w:rsid w:val="006F0DC3"/>
    <w:rsid w:val="006F0EB2"/>
    <w:rsid w:val="006F10F1"/>
    <w:rsid w:val="006F1128"/>
    <w:rsid w:val="006F1180"/>
    <w:rsid w:val="006F11FB"/>
    <w:rsid w:val="006F2676"/>
    <w:rsid w:val="006F2AF5"/>
    <w:rsid w:val="006F2C8D"/>
    <w:rsid w:val="006F2D19"/>
    <w:rsid w:val="006F306B"/>
    <w:rsid w:val="006F33A9"/>
    <w:rsid w:val="006F45D2"/>
    <w:rsid w:val="006F4625"/>
    <w:rsid w:val="006F49ED"/>
    <w:rsid w:val="006F5480"/>
    <w:rsid w:val="006F56A4"/>
    <w:rsid w:val="006F5FB7"/>
    <w:rsid w:val="006F5FCB"/>
    <w:rsid w:val="006F77F9"/>
    <w:rsid w:val="006F7C73"/>
    <w:rsid w:val="006F7D61"/>
    <w:rsid w:val="00700987"/>
    <w:rsid w:val="00700DDA"/>
    <w:rsid w:val="00701178"/>
    <w:rsid w:val="007016EC"/>
    <w:rsid w:val="007027B9"/>
    <w:rsid w:val="0070334A"/>
    <w:rsid w:val="00703C5E"/>
    <w:rsid w:val="00704E18"/>
    <w:rsid w:val="00705CA7"/>
    <w:rsid w:val="00706E42"/>
    <w:rsid w:val="00710B55"/>
    <w:rsid w:val="00711863"/>
    <w:rsid w:val="00712004"/>
    <w:rsid w:val="00713193"/>
    <w:rsid w:val="0071385F"/>
    <w:rsid w:val="007138D1"/>
    <w:rsid w:val="00713D8F"/>
    <w:rsid w:val="00714722"/>
    <w:rsid w:val="00714EBC"/>
    <w:rsid w:val="0071503A"/>
    <w:rsid w:val="00715561"/>
    <w:rsid w:val="00715E88"/>
    <w:rsid w:val="00716051"/>
    <w:rsid w:val="0071611A"/>
    <w:rsid w:val="00716A66"/>
    <w:rsid w:val="00716A70"/>
    <w:rsid w:val="00716D77"/>
    <w:rsid w:val="00716E03"/>
    <w:rsid w:val="00717AC2"/>
    <w:rsid w:val="0072098C"/>
    <w:rsid w:val="0072113E"/>
    <w:rsid w:val="0072172C"/>
    <w:rsid w:val="00721E6C"/>
    <w:rsid w:val="007225E4"/>
    <w:rsid w:val="007226B4"/>
    <w:rsid w:val="007247E1"/>
    <w:rsid w:val="00724FB8"/>
    <w:rsid w:val="00725063"/>
    <w:rsid w:val="00725C86"/>
    <w:rsid w:val="00726037"/>
    <w:rsid w:val="0072748D"/>
    <w:rsid w:val="00727548"/>
    <w:rsid w:val="00727878"/>
    <w:rsid w:val="00727DA2"/>
    <w:rsid w:val="007303F3"/>
    <w:rsid w:val="007306E5"/>
    <w:rsid w:val="00730E52"/>
    <w:rsid w:val="00730E86"/>
    <w:rsid w:val="00730FB6"/>
    <w:rsid w:val="007316ED"/>
    <w:rsid w:val="00731C2A"/>
    <w:rsid w:val="007321BC"/>
    <w:rsid w:val="00732398"/>
    <w:rsid w:val="007323C6"/>
    <w:rsid w:val="00732F0B"/>
    <w:rsid w:val="0073336B"/>
    <w:rsid w:val="00734683"/>
    <w:rsid w:val="00734A1D"/>
    <w:rsid w:val="00734CAA"/>
    <w:rsid w:val="007350AE"/>
    <w:rsid w:val="00735D92"/>
    <w:rsid w:val="0073672B"/>
    <w:rsid w:val="00736949"/>
    <w:rsid w:val="00736A5D"/>
    <w:rsid w:val="00736ED6"/>
    <w:rsid w:val="00736F7D"/>
    <w:rsid w:val="00737435"/>
    <w:rsid w:val="0073790D"/>
    <w:rsid w:val="007413CF"/>
    <w:rsid w:val="0074151C"/>
    <w:rsid w:val="00741D8E"/>
    <w:rsid w:val="00741E82"/>
    <w:rsid w:val="00742EC8"/>
    <w:rsid w:val="007434AA"/>
    <w:rsid w:val="00743DB0"/>
    <w:rsid w:val="00743DBE"/>
    <w:rsid w:val="00743EDF"/>
    <w:rsid w:val="0074488D"/>
    <w:rsid w:val="00745117"/>
    <w:rsid w:val="00745718"/>
    <w:rsid w:val="007459E6"/>
    <w:rsid w:val="007461E4"/>
    <w:rsid w:val="007466E1"/>
    <w:rsid w:val="0074798E"/>
    <w:rsid w:val="007506B2"/>
    <w:rsid w:val="007506CD"/>
    <w:rsid w:val="00751DD9"/>
    <w:rsid w:val="00752944"/>
    <w:rsid w:val="00752EA8"/>
    <w:rsid w:val="00753912"/>
    <w:rsid w:val="00754899"/>
    <w:rsid w:val="00755106"/>
    <w:rsid w:val="0075510B"/>
    <w:rsid w:val="0075519F"/>
    <w:rsid w:val="0075533C"/>
    <w:rsid w:val="007553C3"/>
    <w:rsid w:val="007553CD"/>
    <w:rsid w:val="00755970"/>
    <w:rsid w:val="007561D4"/>
    <w:rsid w:val="007563E4"/>
    <w:rsid w:val="00756442"/>
    <w:rsid w:val="00756A75"/>
    <w:rsid w:val="0075719B"/>
    <w:rsid w:val="00757581"/>
    <w:rsid w:val="00757C34"/>
    <w:rsid w:val="00760683"/>
    <w:rsid w:val="007611A0"/>
    <w:rsid w:val="00761E18"/>
    <w:rsid w:val="0076328C"/>
    <w:rsid w:val="00764FED"/>
    <w:rsid w:val="007658A0"/>
    <w:rsid w:val="00765A1E"/>
    <w:rsid w:val="007664B2"/>
    <w:rsid w:val="00766D1A"/>
    <w:rsid w:val="00767624"/>
    <w:rsid w:val="00767C15"/>
    <w:rsid w:val="00770130"/>
    <w:rsid w:val="00770720"/>
    <w:rsid w:val="00770AE5"/>
    <w:rsid w:val="00770CB9"/>
    <w:rsid w:val="00770D50"/>
    <w:rsid w:val="007712CF"/>
    <w:rsid w:val="00771DD6"/>
    <w:rsid w:val="00773CDF"/>
    <w:rsid w:val="007742BF"/>
    <w:rsid w:val="00774594"/>
    <w:rsid w:val="007745D2"/>
    <w:rsid w:val="00774700"/>
    <w:rsid w:val="00774B33"/>
    <w:rsid w:val="00774D13"/>
    <w:rsid w:val="007752D1"/>
    <w:rsid w:val="007754A3"/>
    <w:rsid w:val="00776996"/>
    <w:rsid w:val="00776ED9"/>
    <w:rsid w:val="00777820"/>
    <w:rsid w:val="007803A7"/>
    <w:rsid w:val="00780E65"/>
    <w:rsid w:val="00781296"/>
    <w:rsid w:val="00781BAE"/>
    <w:rsid w:val="00781EDF"/>
    <w:rsid w:val="00782026"/>
    <w:rsid w:val="00782493"/>
    <w:rsid w:val="00782BB8"/>
    <w:rsid w:val="00782DA0"/>
    <w:rsid w:val="00783836"/>
    <w:rsid w:val="00783DAC"/>
    <w:rsid w:val="00784021"/>
    <w:rsid w:val="007849D5"/>
    <w:rsid w:val="00784B83"/>
    <w:rsid w:val="00785466"/>
    <w:rsid w:val="0078548C"/>
    <w:rsid w:val="00785B68"/>
    <w:rsid w:val="00786084"/>
    <w:rsid w:val="00786156"/>
    <w:rsid w:val="0078757B"/>
    <w:rsid w:val="00787B9A"/>
    <w:rsid w:val="007901D1"/>
    <w:rsid w:val="00790309"/>
    <w:rsid w:val="00790C0A"/>
    <w:rsid w:val="0079133A"/>
    <w:rsid w:val="007922A8"/>
    <w:rsid w:val="0079253B"/>
    <w:rsid w:val="00792E5B"/>
    <w:rsid w:val="00792E91"/>
    <w:rsid w:val="00792F8E"/>
    <w:rsid w:val="00792FBF"/>
    <w:rsid w:val="00793F62"/>
    <w:rsid w:val="00794391"/>
    <w:rsid w:val="007945D4"/>
    <w:rsid w:val="007947CC"/>
    <w:rsid w:val="00794896"/>
    <w:rsid w:val="00795EC2"/>
    <w:rsid w:val="00796559"/>
    <w:rsid w:val="00796D3F"/>
    <w:rsid w:val="00797753"/>
    <w:rsid w:val="0079796B"/>
    <w:rsid w:val="007979CF"/>
    <w:rsid w:val="007A0AEA"/>
    <w:rsid w:val="007A1683"/>
    <w:rsid w:val="007A1716"/>
    <w:rsid w:val="007A2453"/>
    <w:rsid w:val="007A32E6"/>
    <w:rsid w:val="007A36F8"/>
    <w:rsid w:val="007A4D75"/>
    <w:rsid w:val="007A57EC"/>
    <w:rsid w:val="007A5C12"/>
    <w:rsid w:val="007A6577"/>
    <w:rsid w:val="007A6646"/>
    <w:rsid w:val="007A67C1"/>
    <w:rsid w:val="007A7CB0"/>
    <w:rsid w:val="007B049E"/>
    <w:rsid w:val="007B0CD2"/>
    <w:rsid w:val="007B1504"/>
    <w:rsid w:val="007B1FDC"/>
    <w:rsid w:val="007B43C3"/>
    <w:rsid w:val="007B559E"/>
    <w:rsid w:val="007B59EE"/>
    <w:rsid w:val="007B68A3"/>
    <w:rsid w:val="007B6BCE"/>
    <w:rsid w:val="007B6DF5"/>
    <w:rsid w:val="007B7019"/>
    <w:rsid w:val="007B7348"/>
    <w:rsid w:val="007B7636"/>
    <w:rsid w:val="007B7D21"/>
    <w:rsid w:val="007B7D79"/>
    <w:rsid w:val="007C0C0C"/>
    <w:rsid w:val="007C104A"/>
    <w:rsid w:val="007C106E"/>
    <w:rsid w:val="007C2541"/>
    <w:rsid w:val="007C3F39"/>
    <w:rsid w:val="007C4168"/>
    <w:rsid w:val="007C466C"/>
    <w:rsid w:val="007C46A6"/>
    <w:rsid w:val="007C5010"/>
    <w:rsid w:val="007C5FE7"/>
    <w:rsid w:val="007C6054"/>
    <w:rsid w:val="007C605A"/>
    <w:rsid w:val="007C6104"/>
    <w:rsid w:val="007C6853"/>
    <w:rsid w:val="007C6E83"/>
    <w:rsid w:val="007C7B3B"/>
    <w:rsid w:val="007C7BB0"/>
    <w:rsid w:val="007D0373"/>
    <w:rsid w:val="007D15A2"/>
    <w:rsid w:val="007D1955"/>
    <w:rsid w:val="007D1E57"/>
    <w:rsid w:val="007D21C1"/>
    <w:rsid w:val="007D2513"/>
    <w:rsid w:val="007D2CDA"/>
    <w:rsid w:val="007D2CF7"/>
    <w:rsid w:val="007D2E83"/>
    <w:rsid w:val="007D3271"/>
    <w:rsid w:val="007D4089"/>
    <w:rsid w:val="007D43A4"/>
    <w:rsid w:val="007D480C"/>
    <w:rsid w:val="007D557C"/>
    <w:rsid w:val="007D58CC"/>
    <w:rsid w:val="007D6149"/>
    <w:rsid w:val="007D62B0"/>
    <w:rsid w:val="007D66A8"/>
    <w:rsid w:val="007D679C"/>
    <w:rsid w:val="007D6861"/>
    <w:rsid w:val="007D6F23"/>
    <w:rsid w:val="007D78D7"/>
    <w:rsid w:val="007D7EF7"/>
    <w:rsid w:val="007E003F"/>
    <w:rsid w:val="007E04AB"/>
    <w:rsid w:val="007E181C"/>
    <w:rsid w:val="007E3B84"/>
    <w:rsid w:val="007E42CE"/>
    <w:rsid w:val="007E487E"/>
    <w:rsid w:val="007E5164"/>
    <w:rsid w:val="007E5181"/>
    <w:rsid w:val="007E5DC5"/>
    <w:rsid w:val="007E7679"/>
    <w:rsid w:val="007F0341"/>
    <w:rsid w:val="007F3221"/>
    <w:rsid w:val="007F35FD"/>
    <w:rsid w:val="007F379D"/>
    <w:rsid w:val="007F3D7D"/>
    <w:rsid w:val="007F432F"/>
    <w:rsid w:val="007F48FA"/>
    <w:rsid w:val="007F4C1C"/>
    <w:rsid w:val="007F4EF5"/>
    <w:rsid w:val="007F5587"/>
    <w:rsid w:val="007F6605"/>
    <w:rsid w:val="00800E35"/>
    <w:rsid w:val="00801684"/>
    <w:rsid w:val="008018D1"/>
    <w:rsid w:val="00802720"/>
    <w:rsid w:val="008029DB"/>
    <w:rsid w:val="00802E72"/>
    <w:rsid w:val="008035D3"/>
    <w:rsid w:val="00803BF2"/>
    <w:rsid w:val="00804E7C"/>
    <w:rsid w:val="00804EDE"/>
    <w:rsid w:val="00805DCC"/>
    <w:rsid w:val="00806188"/>
    <w:rsid w:val="0080777A"/>
    <w:rsid w:val="00810060"/>
    <w:rsid w:val="0081009C"/>
    <w:rsid w:val="00810776"/>
    <w:rsid w:val="008108A2"/>
    <w:rsid w:val="00811102"/>
    <w:rsid w:val="00811839"/>
    <w:rsid w:val="0081184C"/>
    <w:rsid w:val="008126F9"/>
    <w:rsid w:val="00813643"/>
    <w:rsid w:val="00813766"/>
    <w:rsid w:val="008138FA"/>
    <w:rsid w:val="00816092"/>
    <w:rsid w:val="008164F2"/>
    <w:rsid w:val="00816653"/>
    <w:rsid w:val="008166BC"/>
    <w:rsid w:val="00816A59"/>
    <w:rsid w:val="00817C3C"/>
    <w:rsid w:val="00820428"/>
    <w:rsid w:val="0082071B"/>
    <w:rsid w:val="0082074C"/>
    <w:rsid w:val="00820DA0"/>
    <w:rsid w:val="008210AF"/>
    <w:rsid w:val="00821395"/>
    <w:rsid w:val="00821BB0"/>
    <w:rsid w:val="00821C46"/>
    <w:rsid w:val="00821CC0"/>
    <w:rsid w:val="00821D5D"/>
    <w:rsid w:val="00822B6A"/>
    <w:rsid w:val="00822BD9"/>
    <w:rsid w:val="00822E82"/>
    <w:rsid w:val="00822F99"/>
    <w:rsid w:val="00823598"/>
    <w:rsid w:val="0082391A"/>
    <w:rsid w:val="00823AAC"/>
    <w:rsid w:val="00823C7E"/>
    <w:rsid w:val="00824899"/>
    <w:rsid w:val="00824ADC"/>
    <w:rsid w:val="0082523A"/>
    <w:rsid w:val="00825539"/>
    <w:rsid w:val="00825F8F"/>
    <w:rsid w:val="00825FFA"/>
    <w:rsid w:val="008272D3"/>
    <w:rsid w:val="00827EBF"/>
    <w:rsid w:val="00830E26"/>
    <w:rsid w:val="00832C77"/>
    <w:rsid w:val="00832DE4"/>
    <w:rsid w:val="008346A8"/>
    <w:rsid w:val="00835E72"/>
    <w:rsid w:val="00835EE1"/>
    <w:rsid w:val="008360FB"/>
    <w:rsid w:val="008370E3"/>
    <w:rsid w:val="00837F1D"/>
    <w:rsid w:val="00840181"/>
    <w:rsid w:val="00840F87"/>
    <w:rsid w:val="00842611"/>
    <w:rsid w:val="00843576"/>
    <w:rsid w:val="008437CC"/>
    <w:rsid w:val="00843B64"/>
    <w:rsid w:val="0084402A"/>
    <w:rsid w:val="008444FF"/>
    <w:rsid w:val="008447D4"/>
    <w:rsid w:val="00844B0D"/>
    <w:rsid w:val="00844DCD"/>
    <w:rsid w:val="00844E66"/>
    <w:rsid w:val="008450AF"/>
    <w:rsid w:val="008464BE"/>
    <w:rsid w:val="008464D1"/>
    <w:rsid w:val="00846819"/>
    <w:rsid w:val="00846C75"/>
    <w:rsid w:val="00846FFE"/>
    <w:rsid w:val="00847736"/>
    <w:rsid w:val="008478FC"/>
    <w:rsid w:val="00847DD7"/>
    <w:rsid w:val="0085013F"/>
    <w:rsid w:val="00850472"/>
    <w:rsid w:val="00850795"/>
    <w:rsid w:val="00850866"/>
    <w:rsid w:val="008515B6"/>
    <w:rsid w:val="00851869"/>
    <w:rsid w:val="00852ABD"/>
    <w:rsid w:val="00853E6A"/>
    <w:rsid w:val="00854D87"/>
    <w:rsid w:val="00854EB2"/>
    <w:rsid w:val="00856310"/>
    <w:rsid w:val="0086084B"/>
    <w:rsid w:val="00861B2B"/>
    <w:rsid w:val="00861F18"/>
    <w:rsid w:val="00862998"/>
    <w:rsid w:val="008632B9"/>
    <w:rsid w:val="00863618"/>
    <w:rsid w:val="008645EB"/>
    <w:rsid w:val="008647AF"/>
    <w:rsid w:val="0086554A"/>
    <w:rsid w:val="0086581A"/>
    <w:rsid w:val="0086599E"/>
    <w:rsid w:val="00865C95"/>
    <w:rsid w:val="008660DD"/>
    <w:rsid w:val="00866662"/>
    <w:rsid w:val="00867BFF"/>
    <w:rsid w:val="00871552"/>
    <w:rsid w:val="008715CD"/>
    <w:rsid w:val="00872330"/>
    <w:rsid w:val="008730BF"/>
    <w:rsid w:val="0087467D"/>
    <w:rsid w:val="00874DB7"/>
    <w:rsid w:val="008755AE"/>
    <w:rsid w:val="00875D73"/>
    <w:rsid w:val="00876307"/>
    <w:rsid w:val="00876752"/>
    <w:rsid w:val="0087676D"/>
    <w:rsid w:val="00877011"/>
    <w:rsid w:val="0087706D"/>
    <w:rsid w:val="008771C8"/>
    <w:rsid w:val="00877325"/>
    <w:rsid w:val="008774B0"/>
    <w:rsid w:val="00877532"/>
    <w:rsid w:val="0087762F"/>
    <w:rsid w:val="0087765D"/>
    <w:rsid w:val="00877A05"/>
    <w:rsid w:val="008828BE"/>
    <w:rsid w:val="00883206"/>
    <w:rsid w:val="00883777"/>
    <w:rsid w:val="00884356"/>
    <w:rsid w:val="0088480A"/>
    <w:rsid w:val="0088494B"/>
    <w:rsid w:val="00884AEC"/>
    <w:rsid w:val="00884DCA"/>
    <w:rsid w:val="008853D1"/>
    <w:rsid w:val="008863C1"/>
    <w:rsid w:val="00886EA0"/>
    <w:rsid w:val="0088736B"/>
    <w:rsid w:val="00887441"/>
    <w:rsid w:val="0088757A"/>
    <w:rsid w:val="00887B1D"/>
    <w:rsid w:val="00887BCD"/>
    <w:rsid w:val="00887C10"/>
    <w:rsid w:val="008905A5"/>
    <w:rsid w:val="00890910"/>
    <w:rsid w:val="00890A99"/>
    <w:rsid w:val="0089136D"/>
    <w:rsid w:val="00891432"/>
    <w:rsid w:val="008914D1"/>
    <w:rsid w:val="00891569"/>
    <w:rsid w:val="0089278F"/>
    <w:rsid w:val="00892B84"/>
    <w:rsid w:val="00892DD5"/>
    <w:rsid w:val="00893523"/>
    <w:rsid w:val="008936FC"/>
    <w:rsid w:val="00893896"/>
    <w:rsid w:val="00893C21"/>
    <w:rsid w:val="008948A6"/>
    <w:rsid w:val="00894974"/>
    <w:rsid w:val="00894B35"/>
    <w:rsid w:val="008957DD"/>
    <w:rsid w:val="008963DF"/>
    <w:rsid w:val="00896D7D"/>
    <w:rsid w:val="00896E7B"/>
    <w:rsid w:val="00897D98"/>
    <w:rsid w:val="008A02FA"/>
    <w:rsid w:val="008A042A"/>
    <w:rsid w:val="008A1E35"/>
    <w:rsid w:val="008A26B4"/>
    <w:rsid w:val="008A2815"/>
    <w:rsid w:val="008A350C"/>
    <w:rsid w:val="008A3E06"/>
    <w:rsid w:val="008A5018"/>
    <w:rsid w:val="008A641F"/>
    <w:rsid w:val="008A6C88"/>
    <w:rsid w:val="008A6DF2"/>
    <w:rsid w:val="008A7437"/>
    <w:rsid w:val="008A7807"/>
    <w:rsid w:val="008A7F96"/>
    <w:rsid w:val="008B0063"/>
    <w:rsid w:val="008B0E99"/>
    <w:rsid w:val="008B1C1C"/>
    <w:rsid w:val="008B2FA8"/>
    <w:rsid w:val="008B3D72"/>
    <w:rsid w:val="008B4740"/>
    <w:rsid w:val="008B4C49"/>
    <w:rsid w:val="008B4CC9"/>
    <w:rsid w:val="008B515E"/>
    <w:rsid w:val="008B6332"/>
    <w:rsid w:val="008B664B"/>
    <w:rsid w:val="008B66AE"/>
    <w:rsid w:val="008B69DC"/>
    <w:rsid w:val="008B6CAB"/>
    <w:rsid w:val="008B74DD"/>
    <w:rsid w:val="008C0252"/>
    <w:rsid w:val="008C053D"/>
    <w:rsid w:val="008C0D1E"/>
    <w:rsid w:val="008C123B"/>
    <w:rsid w:val="008C1610"/>
    <w:rsid w:val="008C1654"/>
    <w:rsid w:val="008C1B7C"/>
    <w:rsid w:val="008C1B8B"/>
    <w:rsid w:val="008C1E1F"/>
    <w:rsid w:val="008C3AC1"/>
    <w:rsid w:val="008C4BDD"/>
    <w:rsid w:val="008C539F"/>
    <w:rsid w:val="008C53BB"/>
    <w:rsid w:val="008C599E"/>
    <w:rsid w:val="008C62CB"/>
    <w:rsid w:val="008C680E"/>
    <w:rsid w:val="008C7718"/>
    <w:rsid w:val="008D186E"/>
    <w:rsid w:val="008D1899"/>
    <w:rsid w:val="008D21CC"/>
    <w:rsid w:val="008D23A1"/>
    <w:rsid w:val="008D249A"/>
    <w:rsid w:val="008D32ED"/>
    <w:rsid w:val="008D3AE0"/>
    <w:rsid w:val="008D3B6B"/>
    <w:rsid w:val="008D41FD"/>
    <w:rsid w:val="008D4F64"/>
    <w:rsid w:val="008D4FDD"/>
    <w:rsid w:val="008D5150"/>
    <w:rsid w:val="008D5A4F"/>
    <w:rsid w:val="008D6D1E"/>
    <w:rsid w:val="008D7800"/>
    <w:rsid w:val="008D7C99"/>
    <w:rsid w:val="008E0264"/>
    <w:rsid w:val="008E0721"/>
    <w:rsid w:val="008E08A0"/>
    <w:rsid w:val="008E0FCB"/>
    <w:rsid w:val="008E2E83"/>
    <w:rsid w:val="008E3709"/>
    <w:rsid w:val="008E3E40"/>
    <w:rsid w:val="008E47E3"/>
    <w:rsid w:val="008E4914"/>
    <w:rsid w:val="008E49F0"/>
    <w:rsid w:val="008E4C30"/>
    <w:rsid w:val="008E5032"/>
    <w:rsid w:val="008E5395"/>
    <w:rsid w:val="008E5941"/>
    <w:rsid w:val="008E63F9"/>
    <w:rsid w:val="008F0D72"/>
    <w:rsid w:val="008F1D4E"/>
    <w:rsid w:val="008F1F43"/>
    <w:rsid w:val="008F48C2"/>
    <w:rsid w:val="008F6CF3"/>
    <w:rsid w:val="00900059"/>
    <w:rsid w:val="0090156E"/>
    <w:rsid w:val="0090280C"/>
    <w:rsid w:val="00902CD3"/>
    <w:rsid w:val="00902E0E"/>
    <w:rsid w:val="00903523"/>
    <w:rsid w:val="0090359C"/>
    <w:rsid w:val="00904354"/>
    <w:rsid w:val="009047DD"/>
    <w:rsid w:val="00904A5E"/>
    <w:rsid w:val="00905496"/>
    <w:rsid w:val="009055E4"/>
    <w:rsid w:val="00905802"/>
    <w:rsid w:val="00905EE7"/>
    <w:rsid w:val="00907D78"/>
    <w:rsid w:val="00910296"/>
    <w:rsid w:val="00911EB9"/>
    <w:rsid w:val="00912B6F"/>
    <w:rsid w:val="00912EAC"/>
    <w:rsid w:val="0091366C"/>
    <w:rsid w:val="0091396F"/>
    <w:rsid w:val="00914B87"/>
    <w:rsid w:val="009150E4"/>
    <w:rsid w:val="00915970"/>
    <w:rsid w:val="0091644F"/>
    <w:rsid w:val="00916AD0"/>
    <w:rsid w:val="00916F22"/>
    <w:rsid w:val="00917AC5"/>
    <w:rsid w:val="00917E1F"/>
    <w:rsid w:val="009203F1"/>
    <w:rsid w:val="00920BF1"/>
    <w:rsid w:val="009211C9"/>
    <w:rsid w:val="0092178C"/>
    <w:rsid w:val="00921B96"/>
    <w:rsid w:val="00921CF6"/>
    <w:rsid w:val="0092396A"/>
    <w:rsid w:val="00923DAC"/>
    <w:rsid w:val="009248E2"/>
    <w:rsid w:val="0092547E"/>
    <w:rsid w:val="0092561B"/>
    <w:rsid w:val="0092633C"/>
    <w:rsid w:val="00926490"/>
    <w:rsid w:val="00926BF1"/>
    <w:rsid w:val="009272BE"/>
    <w:rsid w:val="00927A51"/>
    <w:rsid w:val="00930159"/>
    <w:rsid w:val="00930327"/>
    <w:rsid w:val="00930B88"/>
    <w:rsid w:val="00930EDB"/>
    <w:rsid w:val="009311DA"/>
    <w:rsid w:val="00932900"/>
    <w:rsid w:val="009330A2"/>
    <w:rsid w:val="00933234"/>
    <w:rsid w:val="00934222"/>
    <w:rsid w:val="00934EDE"/>
    <w:rsid w:val="00936187"/>
    <w:rsid w:val="00936258"/>
    <w:rsid w:val="009363C1"/>
    <w:rsid w:val="00937142"/>
    <w:rsid w:val="009372E3"/>
    <w:rsid w:val="0093752E"/>
    <w:rsid w:val="009378DC"/>
    <w:rsid w:val="009379C2"/>
    <w:rsid w:val="00940DCC"/>
    <w:rsid w:val="0094179A"/>
    <w:rsid w:val="00941B6E"/>
    <w:rsid w:val="009439CC"/>
    <w:rsid w:val="00944013"/>
    <w:rsid w:val="009440E3"/>
    <w:rsid w:val="00944589"/>
    <w:rsid w:val="0094459E"/>
    <w:rsid w:val="009447AE"/>
    <w:rsid w:val="00944DBC"/>
    <w:rsid w:val="00945259"/>
    <w:rsid w:val="00945774"/>
    <w:rsid w:val="0094600D"/>
    <w:rsid w:val="009464C0"/>
    <w:rsid w:val="009467DE"/>
    <w:rsid w:val="0094748B"/>
    <w:rsid w:val="00947D2B"/>
    <w:rsid w:val="00947E2F"/>
    <w:rsid w:val="00947FF1"/>
    <w:rsid w:val="009508D1"/>
    <w:rsid w:val="00950977"/>
    <w:rsid w:val="00950AE0"/>
    <w:rsid w:val="00950DBB"/>
    <w:rsid w:val="00951A7B"/>
    <w:rsid w:val="009564A6"/>
    <w:rsid w:val="00957FDA"/>
    <w:rsid w:val="0096027D"/>
    <w:rsid w:val="0096036C"/>
    <w:rsid w:val="0096093A"/>
    <w:rsid w:val="00960B60"/>
    <w:rsid w:val="009613B2"/>
    <w:rsid w:val="00961741"/>
    <w:rsid w:val="0096196E"/>
    <w:rsid w:val="00961A33"/>
    <w:rsid w:val="00961AB6"/>
    <w:rsid w:val="0096201A"/>
    <w:rsid w:val="00962995"/>
    <w:rsid w:val="00962EF0"/>
    <w:rsid w:val="009633D8"/>
    <w:rsid w:val="00963504"/>
    <w:rsid w:val="009637B6"/>
    <w:rsid w:val="00964864"/>
    <w:rsid w:val="00964977"/>
    <w:rsid w:val="009650F2"/>
    <w:rsid w:val="009658DF"/>
    <w:rsid w:val="009659CA"/>
    <w:rsid w:val="00965D4A"/>
    <w:rsid w:val="00966CA8"/>
    <w:rsid w:val="00966EBC"/>
    <w:rsid w:val="009671EE"/>
    <w:rsid w:val="00967269"/>
    <w:rsid w:val="00967621"/>
    <w:rsid w:val="00967696"/>
    <w:rsid w:val="00967A87"/>
    <w:rsid w:val="00967D6F"/>
    <w:rsid w:val="00967E6A"/>
    <w:rsid w:val="00970068"/>
    <w:rsid w:val="009705C2"/>
    <w:rsid w:val="009710AB"/>
    <w:rsid w:val="009714C8"/>
    <w:rsid w:val="00971A9F"/>
    <w:rsid w:val="00971B8C"/>
    <w:rsid w:val="00973F74"/>
    <w:rsid w:val="009748C3"/>
    <w:rsid w:val="009749DC"/>
    <w:rsid w:val="00974AD1"/>
    <w:rsid w:val="00974F20"/>
    <w:rsid w:val="0097532B"/>
    <w:rsid w:val="0097718C"/>
    <w:rsid w:val="00977385"/>
    <w:rsid w:val="00980797"/>
    <w:rsid w:val="00980AA3"/>
    <w:rsid w:val="00980E8B"/>
    <w:rsid w:val="00981204"/>
    <w:rsid w:val="00981409"/>
    <w:rsid w:val="00981616"/>
    <w:rsid w:val="00981686"/>
    <w:rsid w:val="00981B55"/>
    <w:rsid w:val="00983421"/>
    <w:rsid w:val="0098377C"/>
    <w:rsid w:val="00984045"/>
    <w:rsid w:val="00984752"/>
    <w:rsid w:val="009848CE"/>
    <w:rsid w:val="00985193"/>
    <w:rsid w:val="00985937"/>
    <w:rsid w:val="00986B10"/>
    <w:rsid w:val="00986C16"/>
    <w:rsid w:val="00987325"/>
    <w:rsid w:val="00990EBE"/>
    <w:rsid w:val="00991882"/>
    <w:rsid w:val="00991EB2"/>
    <w:rsid w:val="009935AC"/>
    <w:rsid w:val="00993B51"/>
    <w:rsid w:val="00993D32"/>
    <w:rsid w:val="00994123"/>
    <w:rsid w:val="0099513F"/>
    <w:rsid w:val="0099562A"/>
    <w:rsid w:val="00995C83"/>
    <w:rsid w:val="0099609D"/>
    <w:rsid w:val="0099641B"/>
    <w:rsid w:val="00996683"/>
    <w:rsid w:val="00996CF5"/>
    <w:rsid w:val="00997450"/>
    <w:rsid w:val="00997823"/>
    <w:rsid w:val="00997E17"/>
    <w:rsid w:val="009A055A"/>
    <w:rsid w:val="009A0991"/>
    <w:rsid w:val="009A0E1C"/>
    <w:rsid w:val="009A108E"/>
    <w:rsid w:val="009A1B73"/>
    <w:rsid w:val="009A28F5"/>
    <w:rsid w:val="009A35CA"/>
    <w:rsid w:val="009A3A50"/>
    <w:rsid w:val="009A47FC"/>
    <w:rsid w:val="009A5681"/>
    <w:rsid w:val="009A57CE"/>
    <w:rsid w:val="009A5B1C"/>
    <w:rsid w:val="009A6054"/>
    <w:rsid w:val="009B03DE"/>
    <w:rsid w:val="009B096A"/>
    <w:rsid w:val="009B150A"/>
    <w:rsid w:val="009B1AD2"/>
    <w:rsid w:val="009B28FA"/>
    <w:rsid w:val="009B395A"/>
    <w:rsid w:val="009B3B65"/>
    <w:rsid w:val="009B4038"/>
    <w:rsid w:val="009B4A0F"/>
    <w:rsid w:val="009B4D58"/>
    <w:rsid w:val="009B4DA7"/>
    <w:rsid w:val="009B669F"/>
    <w:rsid w:val="009B6840"/>
    <w:rsid w:val="009B706D"/>
    <w:rsid w:val="009B7320"/>
    <w:rsid w:val="009B77D4"/>
    <w:rsid w:val="009C07EC"/>
    <w:rsid w:val="009C11D2"/>
    <w:rsid w:val="009C22DA"/>
    <w:rsid w:val="009C2619"/>
    <w:rsid w:val="009C2751"/>
    <w:rsid w:val="009C2C39"/>
    <w:rsid w:val="009C2E74"/>
    <w:rsid w:val="009C2FB9"/>
    <w:rsid w:val="009C376C"/>
    <w:rsid w:val="009C3987"/>
    <w:rsid w:val="009C4BB0"/>
    <w:rsid w:val="009C52DB"/>
    <w:rsid w:val="009C5609"/>
    <w:rsid w:val="009C6A14"/>
    <w:rsid w:val="009C6C70"/>
    <w:rsid w:val="009D07DF"/>
    <w:rsid w:val="009D0922"/>
    <w:rsid w:val="009D0B63"/>
    <w:rsid w:val="009D2462"/>
    <w:rsid w:val="009D2583"/>
    <w:rsid w:val="009D30F4"/>
    <w:rsid w:val="009D347A"/>
    <w:rsid w:val="009D6015"/>
    <w:rsid w:val="009D6A1F"/>
    <w:rsid w:val="009D752C"/>
    <w:rsid w:val="009D7679"/>
    <w:rsid w:val="009D77C5"/>
    <w:rsid w:val="009E0528"/>
    <w:rsid w:val="009E0C55"/>
    <w:rsid w:val="009E11AC"/>
    <w:rsid w:val="009E2B80"/>
    <w:rsid w:val="009E307E"/>
    <w:rsid w:val="009E33DA"/>
    <w:rsid w:val="009E3527"/>
    <w:rsid w:val="009E3671"/>
    <w:rsid w:val="009E3917"/>
    <w:rsid w:val="009E4314"/>
    <w:rsid w:val="009E4777"/>
    <w:rsid w:val="009E664A"/>
    <w:rsid w:val="009E696D"/>
    <w:rsid w:val="009E6C41"/>
    <w:rsid w:val="009E6E68"/>
    <w:rsid w:val="009E6FF0"/>
    <w:rsid w:val="009E7CBB"/>
    <w:rsid w:val="009F0064"/>
    <w:rsid w:val="009F105A"/>
    <w:rsid w:val="009F1088"/>
    <w:rsid w:val="009F1880"/>
    <w:rsid w:val="009F23CB"/>
    <w:rsid w:val="009F27A4"/>
    <w:rsid w:val="009F39BA"/>
    <w:rsid w:val="009F3A32"/>
    <w:rsid w:val="009F3D1A"/>
    <w:rsid w:val="009F49FA"/>
    <w:rsid w:val="009F5937"/>
    <w:rsid w:val="009F5AF2"/>
    <w:rsid w:val="009F6867"/>
    <w:rsid w:val="009F6C84"/>
    <w:rsid w:val="00A0041A"/>
    <w:rsid w:val="00A00D0B"/>
    <w:rsid w:val="00A02FE1"/>
    <w:rsid w:val="00A030C7"/>
    <w:rsid w:val="00A0362B"/>
    <w:rsid w:val="00A039D1"/>
    <w:rsid w:val="00A03A4A"/>
    <w:rsid w:val="00A049AC"/>
    <w:rsid w:val="00A04FAD"/>
    <w:rsid w:val="00A0636E"/>
    <w:rsid w:val="00A06539"/>
    <w:rsid w:val="00A07870"/>
    <w:rsid w:val="00A07CDD"/>
    <w:rsid w:val="00A07F19"/>
    <w:rsid w:val="00A10272"/>
    <w:rsid w:val="00A10993"/>
    <w:rsid w:val="00A10ABB"/>
    <w:rsid w:val="00A11DCB"/>
    <w:rsid w:val="00A12160"/>
    <w:rsid w:val="00A122F1"/>
    <w:rsid w:val="00A12E0D"/>
    <w:rsid w:val="00A1348D"/>
    <w:rsid w:val="00A137E2"/>
    <w:rsid w:val="00A140B7"/>
    <w:rsid w:val="00A1489E"/>
    <w:rsid w:val="00A14AFB"/>
    <w:rsid w:val="00A14F2F"/>
    <w:rsid w:val="00A14F90"/>
    <w:rsid w:val="00A1570E"/>
    <w:rsid w:val="00A16126"/>
    <w:rsid w:val="00A17B29"/>
    <w:rsid w:val="00A17C06"/>
    <w:rsid w:val="00A21541"/>
    <w:rsid w:val="00A21BD2"/>
    <w:rsid w:val="00A221D5"/>
    <w:rsid w:val="00A22855"/>
    <w:rsid w:val="00A22FC1"/>
    <w:rsid w:val="00A232EE"/>
    <w:rsid w:val="00A232F9"/>
    <w:rsid w:val="00A24796"/>
    <w:rsid w:val="00A26D41"/>
    <w:rsid w:val="00A27C32"/>
    <w:rsid w:val="00A306CF"/>
    <w:rsid w:val="00A3131A"/>
    <w:rsid w:val="00A322B8"/>
    <w:rsid w:val="00A3283E"/>
    <w:rsid w:val="00A329DF"/>
    <w:rsid w:val="00A336A6"/>
    <w:rsid w:val="00A33BA9"/>
    <w:rsid w:val="00A37C1C"/>
    <w:rsid w:val="00A37F78"/>
    <w:rsid w:val="00A40116"/>
    <w:rsid w:val="00A4054E"/>
    <w:rsid w:val="00A40CB6"/>
    <w:rsid w:val="00A4175F"/>
    <w:rsid w:val="00A41A06"/>
    <w:rsid w:val="00A4324D"/>
    <w:rsid w:val="00A43C60"/>
    <w:rsid w:val="00A44411"/>
    <w:rsid w:val="00A44B20"/>
    <w:rsid w:val="00A44C6B"/>
    <w:rsid w:val="00A459D8"/>
    <w:rsid w:val="00A45C0B"/>
    <w:rsid w:val="00A462AC"/>
    <w:rsid w:val="00A465AF"/>
    <w:rsid w:val="00A469FA"/>
    <w:rsid w:val="00A46C56"/>
    <w:rsid w:val="00A50616"/>
    <w:rsid w:val="00A5065F"/>
    <w:rsid w:val="00A50E94"/>
    <w:rsid w:val="00A51925"/>
    <w:rsid w:val="00A5237D"/>
    <w:rsid w:val="00A52945"/>
    <w:rsid w:val="00A53A9B"/>
    <w:rsid w:val="00A53AB5"/>
    <w:rsid w:val="00A53BB9"/>
    <w:rsid w:val="00A5454E"/>
    <w:rsid w:val="00A54AFA"/>
    <w:rsid w:val="00A54B91"/>
    <w:rsid w:val="00A54ED0"/>
    <w:rsid w:val="00A55B01"/>
    <w:rsid w:val="00A55BF5"/>
    <w:rsid w:val="00A568B3"/>
    <w:rsid w:val="00A56B5B"/>
    <w:rsid w:val="00A5716C"/>
    <w:rsid w:val="00A57AA4"/>
    <w:rsid w:val="00A57F36"/>
    <w:rsid w:val="00A600EB"/>
    <w:rsid w:val="00A603FF"/>
    <w:rsid w:val="00A604CA"/>
    <w:rsid w:val="00A60C65"/>
    <w:rsid w:val="00A6116E"/>
    <w:rsid w:val="00A619B6"/>
    <w:rsid w:val="00A6205C"/>
    <w:rsid w:val="00A6243B"/>
    <w:rsid w:val="00A62E29"/>
    <w:rsid w:val="00A630B5"/>
    <w:rsid w:val="00A63AF0"/>
    <w:rsid w:val="00A644D4"/>
    <w:rsid w:val="00A64764"/>
    <w:rsid w:val="00A6552A"/>
    <w:rsid w:val="00A657DD"/>
    <w:rsid w:val="00A65D38"/>
    <w:rsid w:val="00A666A6"/>
    <w:rsid w:val="00A675FD"/>
    <w:rsid w:val="00A67C55"/>
    <w:rsid w:val="00A67CF0"/>
    <w:rsid w:val="00A70270"/>
    <w:rsid w:val="00A7127B"/>
    <w:rsid w:val="00A71300"/>
    <w:rsid w:val="00A714CB"/>
    <w:rsid w:val="00A714DB"/>
    <w:rsid w:val="00A72080"/>
    <w:rsid w:val="00A72437"/>
    <w:rsid w:val="00A732E7"/>
    <w:rsid w:val="00A733AB"/>
    <w:rsid w:val="00A736BA"/>
    <w:rsid w:val="00A738F9"/>
    <w:rsid w:val="00A739D8"/>
    <w:rsid w:val="00A73B56"/>
    <w:rsid w:val="00A74232"/>
    <w:rsid w:val="00A74361"/>
    <w:rsid w:val="00A749DF"/>
    <w:rsid w:val="00A7513F"/>
    <w:rsid w:val="00A77871"/>
    <w:rsid w:val="00A77C9F"/>
    <w:rsid w:val="00A803A8"/>
    <w:rsid w:val="00A80611"/>
    <w:rsid w:val="00A80EBD"/>
    <w:rsid w:val="00A81D23"/>
    <w:rsid w:val="00A8279D"/>
    <w:rsid w:val="00A82E26"/>
    <w:rsid w:val="00A831A7"/>
    <w:rsid w:val="00A83411"/>
    <w:rsid w:val="00A83B89"/>
    <w:rsid w:val="00A84B15"/>
    <w:rsid w:val="00A8518A"/>
    <w:rsid w:val="00A853E6"/>
    <w:rsid w:val="00A8548F"/>
    <w:rsid w:val="00A8558C"/>
    <w:rsid w:val="00A85780"/>
    <w:rsid w:val="00A85969"/>
    <w:rsid w:val="00A85B29"/>
    <w:rsid w:val="00A86724"/>
    <w:rsid w:val="00A86BCA"/>
    <w:rsid w:val="00A87016"/>
    <w:rsid w:val="00A8701B"/>
    <w:rsid w:val="00A87783"/>
    <w:rsid w:val="00A91433"/>
    <w:rsid w:val="00A91D39"/>
    <w:rsid w:val="00A92C43"/>
    <w:rsid w:val="00A939A3"/>
    <w:rsid w:val="00A93B68"/>
    <w:rsid w:val="00A944C9"/>
    <w:rsid w:val="00A94AAC"/>
    <w:rsid w:val="00A94C1C"/>
    <w:rsid w:val="00A95861"/>
    <w:rsid w:val="00A960E1"/>
    <w:rsid w:val="00A963C6"/>
    <w:rsid w:val="00A969B8"/>
    <w:rsid w:val="00A96B3D"/>
    <w:rsid w:val="00A97188"/>
    <w:rsid w:val="00A97AD8"/>
    <w:rsid w:val="00A97B5D"/>
    <w:rsid w:val="00AA0A52"/>
    <w:rsid w:val="00AA10AE"/>
    <w:rsid w:val="00AA12B6"/>
    <w:rsid w:val="00AA1CE7"/>
    <w:rsid w:val="00AA1D0B"/>
    <w:rsid w:val="00AA2752"/>
    <w:rsid w:val="00AA3E00"/>
    <w:rsid w:val="00AA3FB0"/>
    <w:rsid w:val="00AA410D"/>
    <w:rsid w:val="00AA4917"/>
    <w:rsid w:val="00AA4B19"/>
    <w:rsid w:val="00AA4BEF"/>
    <w:rsid w:val="00AA54E5"/>
    <w:rsid w:val="00AA5F61"/>
    <w:rsid w:val="00AA612D"/>
    <w:rsid w:val="00AA68DB"/>
    <w:rsid w:val="00AA6F72"/>
    <w:rsid w:val="00AA7087"/>
    <w:rsid w:val="00AA7184"/>
    <w:rsid w:val="00AA78C5"/>
    <w:rsid w:val="00AB035F"/>
    <w:rsid w:val="00AB1437"/>
    <w:rsid w:val="00AB1C43"/>
    <w:rsid w:val="00AB2B72"/>
    <w:rsid w:val="00AB41D4"/>
    <w:rsid w:val="00AB4817"/>
    <w:rsid w:val="00AB5340"/>
    <w:rsid w:val="00AB53B6"/>
    <w:rsid w:val="00AB558A"/>
    <w:rsid w:val="00AB584C"/>
    <w:rsid w:val="00AB6128"/>
    <w:rsid w:val="00AB6A39"/>
    <w:rsid w:val="00AB761B"/>
    <w:rsid w:val="00AB7AD6"/>
    <w:rsid w:val="00AB7B89"/>
    <w:rsid w:val="00AB7BE0"/>
    <w:rsid w:val="00AC010E"/>
    <w:rsid w:val="00AC01CC"/>
    <w:rsid w:val="00AC02EC"/>
    <w:rsid w:val="00AC09BA"/>
    <w:rsid w:val="00AC0ACE"/>
    <w:rsid w:val="00AC0C95"/>
    <w:rsid w:val="00AC0E19"/>
    <w:rsid w:val="00AC0EB1"/>
    <w:rsid w:val="00AC1005"/>
    <w:rsid w:val="00AC11B3"/>
    <w:rsid w:val="00AC12B8"/>
    <w:rsid w:val="00AC1423"/>
    <w:rsid w:val="00AC16B8"/>
    <w:rsid w:val="00AC1B9F"/>
    <w:rsid w:val="00AC1FC7"/>
    <w:rsid w:val="00AC273D"/>
    <w:rsid w:val="00AC2AD2"/>
    <w:rsid w:val="00AC37ED"/>
    <w:rsid w:val="00AC44C6"/>
    <w:rsid w:val="00AC52DA"/>
    <w:rsid w:val="00AC56E2"/>
    <w:rsid w:val="00AC5722"/>
    <w:rsid w:val="00AC57AF"/>
    <w:rsid w:val="00AC60FB"/>
    <w:rsid w:val="00AC63AD"/>
    <w:rsid w:val="00AC6712"/>
    <w:rsid w:val="00AC74D6"/>
    <w:rsid w:val="00AC7B98"/>
    <w:rsid w:val="00AC7C96"/>
    <w:rsid w:val="00AD007A"/>
    <w:rsid w:val="00AD1406"/>
    <w:rsid w:val="00AD1D26"/>
    <w:rsid w:val="00AD1DD3"/>
    <w:rsid w:val="00AD31E9"/>
    <w:rsid w:val="00AD3890"/>
    <w:rsid w:val="00AD4580"/>
    <w:rsid w:val="00AD47F1"/>
    <w:rsid w:val="00AD4C51"/>
    <w:rsid w:val="00AD5A20"/>
    <w:rsid w:val="00AD5EC7"/>
    <w:rsid w:val="00AD6796"/>
    <w:rsid w:val="00AD7C08"/>
    <w:rsid w:val="00AD7FD7"/>
    <w:rsid w:val="00AD7FDB"/>
    <w:rsid w:val="00AD7FE1"/>
    <w:rsid w:val="00AE0733"/>
    <w:rsid w:val="00AE13D9"/>
    <w:rsid w:val="00AE166B"/>
    <w:rsid w:val="00AE1E6F"/>
    <w:rsid w:val="00AE2162"/>
    <w:rsid w:val="00AE237D"/>
    <w:rsid w:val="00AE27C0"/>
    <w:rsid w:val="00AE2A3D"/>
    <w:rsid w:val="00AE2D8B"/>
    <w:rsid w:val="00AE39CB"/>
    <w:rsid w:val="00AE42E4"/>
    <w:rsid w:val="00AE4F4A"/>
    <w:rsid w:val="00AE502A"/>
    <w:rsid w:val="00AE520E"/>
    <w:rsid w:val="00AE57DF"/>
    <w:rsid w:val="00AE5F56"/>
    <w:rsid w:val="00AE6019"/>
    <w:rsid w:val="00AE6F24"/>
    <w:rsid w:val="00AE78D9"/>
    <w:rsid w:val="00AE7B5E"/>
    <w:rsid w:val="00AF0403"/>
    <w:rsid w:val="00AF110B"/>
    <w:rsid w:val="00AF232C"/>
    <w:rsid w:val="00AF2C63"/>
    <w:rsid w:val="00AF44F1"/>
    <w:rsid w:val="00AF4567"/>
    <w:rsid w:val="00AF4CCD"/>
    <w:rsid w:val="00AF5545"/>
    <w:rsid w:val="00AF5E9E"/>
    <w:rsid w:val="00AF6352"/>
    <w:rsid w:val="00AF6379"/>
    <w:rsid w:val="00AF71D0"/>
    <w:rsid w:val="00AF7C07"/>
    <w:rsid w:val="00AF7F3D"/>
    <w:rsid w:val="00B00C8C"/>
    <w:rsid w:val="00B01B1F"/>
    <w:rsid w:val="00B02421"/>
    <w:rsid w:val="00B02B3A"/>
    <w:rsid w:val="00B03360"/>
    <w:rsid w:val="00B036AF"/>
    <w:rsid w:val="00B0471B"/>
    <w:rsid w:val="00B0477A"/>
    <w:rsid w:val="00B04917"/>
    <w:rsid w:val="00B04FD5"/>
    <w:rsid w:val="00B05762"/>
    <w:rsid w:val="00B057FD"/>
    <w:rsid w:val="00B0593A"/>
    <w:rsid w:val="00B065D2"/>
    <w:rsid w:val="00B10021"/>
    <w:rsid w:val="00B1034C"/>
    <w:rsid w:val="00B11171"/>
    <w:rsid w:val="00B11ACD"/>
    <w:rsid w:val="00B120AC"/>
    <w:rsid w:val="00B124B1"/>
    <w:rsid w:val="00B12585"/>
    <w:rsid w:val="00B1347A"/>
    <w:rsid w:val="00B13848"/>
    <w:rsid w:val="00B13C3A"/>
    <w:rsid w:val="00B13F31"/>
    <w:rsid w:val="00B143BC"/>
    <w:rsid w:val="00B15A61"/>
    <w:rsid w:val="00B16945"/>
    <w:rsid w:val="00B1772D"/>
    <w:rsid w:val="00B17D12"/>
    <w:rsid w:val="00B22746"/>
    <w:rsid w:val="00B22C11"/>
    <w:rsid w:val="00B22C93"/>
    <w:rsid w:val="00B231AE"/>
    <w:rsid w:val="00B232A6"/>
    <w:rsid w:val="00B23EE3"/>
    <w:rsid w:val="00B241DB"/>
    <w:rsid w:val="00B25418"/>
    <w:rsid w:val="00B2581F"/>
    <w:rsid w:val="00B25CFE"/>
    <w:rsid w:val="00B26890"/>
    <w:rsid w:val="00B26935"/>
    <w:rsid w:val="00B2699B"/>
    <w:rsid w:val="00B27352"/>
    <w:rsid w:val="00B27589"/>
    <w:rsid w:val="00B27B14"/>
    <w:rsid w:val="00B27E6B"/>
    <w:rsid w:val="00B3009B"/>
    <w:rsid w:val="00B30AE9"/>
    <w:rsid w:val="00B30F14"/>
    <w:rsid w:val="00B30F57"/>
    <w:rsid w:val="00B31632"/>
    <w:rsid w:val="00B31C17"/>
    <w:rsid w:val="00B320D1"/>
    <w:rsid w:val="00B322FC"/>
    <w:rsid w:val="00B325C6"/>
    <w:rsid w:val="00B3286A"/>
    <w:rsid w:val="00B334DB"/>
    <w:rsid w:val="00B3390A"/>
    <w:rsid w:val="00B339CE"/>
    <w:rsid w:val="00B33F52"/>
    <w:rsid w:val="00B343BA"/>
    <w:rsid w:val="00B34DAF"/>
    <w:rsid w:val="00B350AE"/>
    <w:rsid w:val="00B36908"/>
    <w:rsid w:val="00B36972"/>
    <w:rsid w:val="00B3698F"/>
    <w:rsid w:val="00B37212"/>
    <w:rsid w:val="00B37B14"/>
    <w:rsid w:val="00B37EF9"/>
    <w:rsid w:val="00B400A7"/>
    <w:rsid w:val="00B405B7"/>
    <w:rsid w:val="00B40F8B"/>
    <w:rsid w:val="00B41849"/>
    <w:rsid w:val="00B42409"/>
    <w:rsid w:val="00B4276C"/>
    <w:rsid w:val="00B428F1"/>
    <w:rsid w:val="00B4332A"/>
    <w:rsid w:val="00B44019"/>
    <w:rsid w:val="00B440BC"/>
    <w:rsid w:val="00B442D9"/>
    <w:rsid w:val="00B45661"/>
    <w:rsid w:val="00B45782"/>
    <w:rsid w:val="00B45CFF"/>
    <w:rsid w:val="00B45E6D"/>
    <w:rsid w:val="00B465BC"/>
    <w:rsid w:val="00B46D79"/>
    <w:rsid w:val="00B47694"/>
    <w:rsid w:val="00B51149"/>
    <w:rsid w:val="00B511E0"/>
    <w:rsid w:val="00B51AAA"/>
    <w:rsid w:val="00B51E50"/>
    <w:rsid w:val="00B52222"/>
    <w:rsid w:val="00B5231A"/>
    <w:rsid w:val="00B52D13"/>
    <w:rsid w:val="00B52D74"/>
    <w:rsid w:val="00B53121"/>
    <w:rsid w:val="00B539BE"/>
    <w:rsid w:val="00B539E6"/>
    <w:rsid w:val="00B54E59"/>
    <w:rsid w:val="00B54FE7"/>
    <w:rsid w:val="00B550E0"/>
    <w:rsid w:val="00B5792C"/>
    <w:rsid w:val="00B57C47"/>
    <w:rsid w:val="00B57D63"/>
    <w:rsid w:val="00B6034F"/>
    <w:rsid w:val="00B60EC4"/>
    <w:rsid w:val="00B60ED5"/>
    <w:rsid w:val="00B61406"/>
    <w:rsid w:val="00B62C08"/>
    <w:rsid w:val="00B63826"/>
    <w:rsid w:val="00B64069"/>
    <w:rsid w:val="00B64736"/>
    <w:rsid w:val="00B64F86"/>
    <w:rsid w:val="00B651D6"/>
    <w:rsid w:val="00B656D4"/>
    <w:rsid w:val="00B6613B"/>
    <w:rsid w:val="00B66706"/>
    <w:rsid w:val="00B66901"/>
    <w:rsid w:val="00B669F9"/>
    <w:rsid w:val="00B66AF1"/>
    <w:rsid w:val="00B66B31"/>
    <w:rsid w:val="00B6717C"/>
    <w:rsid w:val="00B673AB"/>
    <w:rsid w:val="00B67D14"/>
    <w:rsid w:val="00B70420"/>
    <w:rsid w:val="00B706A6"/>
    <w:rsid w:val="00B70AF0"/>
    <w:rsid w:val="00B70CAE"/>
    <w:rsid w:val="00B70F0C"/>
    <w:rsid w:val="00B714FE"/>
    <w:rsid w:val="00B71B3F"/>
    <w:rsid w:val="00B71E6D"/>
    <w:rsid w:val="00B71F1E"/>
    <w:rsid w:val="00B72070"/>
    <w:rsid w:val="00B721FB"/>
    <w:rsid w:val="00B7320C"/>
    <w:rsid w:val="00B73911"/>
    <w:rsid w:val="00B73B3C"/>
    <w:rsid w:val="00B73FEC"/>
    <w:rsid w:val="00B74809"/>
    <w:rsid w:val="00B75813"/>
    <w:rsid w:val="00B761A6"/>
    <w:rsid w:val="00B7629A"/>
    <w:rsid w:val="00B7664A"/>
    <w:rsid w:val="00B768B2"/>
    <w:rsid w:val="00B771CF"/>
    <w:rsid w:val="00B778AA"/>
    <w:rsid w:val="00B779C7"/>
    <w:rsid w:val="00B779E1"/>
    <w:rsid w:val="00B805AD"/>
    <w:rsid w:val="00B80728"/>
    <w:rsid w:val="00B80C1D"/>
    <w:rsid w:val="00B80F94"/>
    <w:rsid w:val="00B81281"/>
    <w:rsid w:val="00B812B9"/>
    <w:rsid w:val="00B81A64"/>
    <w:rsid w:val="00B81C34"/>
    <w:rsid w:val="00B82447"/>
    <w:rsid w:val="00B827D8"/>
    <w:rsid w:val="00B82B3B"/>
    <w:rsid w:val="00B83ADE"/>
    <w:rsid w:val="00B844B3"/>
    <w:rsid w:val="00B844C8"/>
    <w:rsid w:val="00B852D5"/>
    <w:rsid w:val="00B859A3"/>
    <w:rsid w:val="00B86AF8"/>
    <w:rsid w:val="00B86BB2"/>
    <w:rsid w:val="00B877D4"/>
    <w:rsid w:val="00B87A12"/>
    <w:rsid w:val="00B91A9A"/>
    <w:rsid w:val="00B91DB4"/>
    <w:rsid w:val="00B91EE1"/>
    <w:rsid w:val="00B92526"/>
    <w:rsid w:val="00B925AF"/>
    <w:rsid w:val="00B93589"/>
    <w:rsid w:val="00B93C97"/>
    <w:rsid w:val="00B93CE0"/>
    <w:rsid w:val="00B95DF8"/>
    <w:rsid w:val="00B9616E"/>
    <w:rsid w:val="00B9620C"/>
    <w:rsid w:val="00B96845"/>
    <w:rsid w:val="00B96F2B"/>
    <w:rsid w:val="00B9757F"/>
    <w:rsid w:val="00B977D4"/>
    <w:rsid w:val="00B97D7E"/>
    <w:rsid w:val="00BA0090"/>
    <w:rsid w:val="00BA0865"/>
    <w:rsid w:val="00BA10CA"/>
    <w:rsid w:val="00BA125E"/>
    <w:rsid w:val="00BA1435"/>
    <w:rsid w:val="00BA177B"/>
    <w:rsid w:val="00BA1A67"/>
    <w:rsid w:val="00BA23E6"/>
    <w:rsid w:val="00BA2600"/>
    <w:rsid w:val="00BA288A"/>
    <w:rsid w:val="00BA28B8"/>
    <w:rsid w:val="00BA2E64"/>
    <w:rsid w:val="00BA6321"/>
    <w:rsid w:val="00BA66D1"/>
    <w:rsid w:val="00BA6B41"/>
    <w:rsid w:val="00BA6CE3"/>
    <w:rsid w:val="00BA7C3E"/>
    <w:rsid w:val="00BA7E0C"/>
    <w:rsid w:val="00BB00DD"/>
    <w:rsid w:val="00BB014A"/>
    <w:rsid w:val="00BB0636"/>
    <w:rsid w:val="00BB0A28"/>
    <w:rsid w:val="00BB0F93"/>
    <w:rsid w:val="00BB1CA0"/>
    <w:rsid w:val="00BB1CA4"/>
    <w:rsid w:val="00BB1FD0"/>
    <w:rsid w:val="00BB2D64"/>
    <w:rsid w:val="00BB2F67"/>
    <w:rsid w:val="00BB4041"/>
    <w:rsid w:val="00BB4559"/>
    <w:rsid w:val="00BB49DE"/>
    <w:rsid w:val="00BB6820"/>
    <w:rsid w:val="00BB6F9D"/>
    <w:rsid w:val="00BB7264"/>
    <w:rsid w:val="00BB73C5"/>
    <w:rsid w:val="00BB765B"/>
    <w:rsid w:val="00BB7BF6"/>
    <w:rsid w:val="00BB7D5C"/>
    <w:rsid w:val="00BC0797"/>
    <w:rsid w:val="00BC07FE"/>
    <w:rsid w:val="00BC14AA"/>
    <w:rsid w:val="00BC1705"/>
    <w:rsid w:val="00BC266B"/>
    <w:rsid w:val="00BC2D71"/>
    <w:rsid w:val="00BC2E1A"/>
    <w:rsid w:val="00BC3C35"/>
    <w:rsid w:val="00BC4951"/>
    <w:rsid w:val="00BC49DE"/>
    <w:rsid w:val="00BC4A22"/>
    <w:rsid w:val="00BC4B11"/>
    <w:rsid w:val="00BC5195"/>
    <w:rsid w:val="00BC5774"/>
    <w:rsid w:val="00BC5B41"/>
    <w:rsid w:val="00BC5BB5"/>
    <w:rsid w:val="00BC6E88"/>
    <w:rsid w:val="00BC71C8"/>
    <w:rsid w:val="00BC79A3"/>
    <w:rsid w:val="00BD0163"/>
    <w:rsid w:val="00BD05A0"/>
    <w:rsid w:val="00BD0977"/>
    <w:rsid w:val="00BD13AE"/>
    <w:rsid w:val="00BD159E"/>
    <w:rsid w:val="00BD1903"/>
    <w:rsid w:val="00BD1F0D"/>
    <w:rsid w:val="00BD21F1"/>
    <w:rsid w:val="00BD2CB2"/>
    <w:rsid w:val="00BD2E29"/>
    <w:rsid w:val="00BD2ED4"/>
    <w:rsid w:val="00BD3324"/>
    <w:rsid w:val="00BD34C3"/>
    <w:rsid w:val="00BD43A1"/>
    <w:rsid w:val="00BD45E9"/>
    <w:rsid w:val="00BD4EAD"/>
    <w:rsid w:val="00BD61A8"/>
    <w:rsid w:val="00BD663D"/>
    <w:rsid w:val="00BD6652"/>
    <w:rsid w:val="00BE0C06"/>
    <w:rsid w:val="00BE1D9F"/>
    <w:rsid w:val="00BE2B86"/>
    <w:rsid w:val="00BE4282"/>
    <w:rsid w:val="00BE4510"/>
    <w:rsid w:val="00BE4F52"/>
    <w:rsid w:val="00BE500E"/>
    <w:rsid w:val="00BE57A4"/>
    <w:rsid w:val="00BE58A5"/>
    <w:rsid w:val="00BE5B5F"/>
    <w:rsid w:val="00BE6612"/>
    <w:rsid w:val="00BE6DD1"/>
    <w:rsid w:val="00BE7443"/>
    <w:rsid w:val="00BE7C55"/>
    <w:rsid w:val="00BF027E"/>
    <w:rsid w:val="00BF210F"/>
    <w:rsid w:val="00BF2A85"/>
    <w:rsid w:val="00BF45B7"/>
    <w:rsid w:val="00BF75FA"/>
    <w:rsid w:val="00C002DE"/>
    <w:rsid w:val="00C0057E"/>
    <w:rsid w:val="00C00800"/>
    <w:rsid w:val="00C0086A"/>
    <w:rsid w:val="00C019EC"/>
    <w:rsid w:val="00C0275D"/>
    <w:rsid w:val="00C02B02"/>
    <w:rsid w:val="00C0351A"/>
    <w:rsid w:val="00C03769"/>
    <w:rsid w:val="00C045F5"/>
    <w:rsid w:val="00C0481F"/>
    <w:rsid w:val="00C04AB3"/>
    <w:rsid w:val="00C04C47"/>
    <w:rsid w:val="00C051BB"/>
    <w:rsid w:val="00C0536E"/>
    <w:rsid w:val="00C05418"/>
    <w:rsid w:val="00C05502"/>
    <w:rsid w:val="00C05EB1"/>
    <w:rsid w:val="00C06325"/>
    <w:rsid w:val="00C06633"/>
    <w:rsid w:val="00C0766D"/>
    <w:rsid w:val="00C07CBE"/>
    <w:rsid w:val="00C07D92"/>
    <w:rsid w:val="00C07FF6"/>
    <w:rsid w:val="00C1089D"/>
    <w:rsid w:val="00C11898"/>
    <w:rsid w:val="00C119F1"/>
    <w:rsid w:val="00C11CDC"/>
    <w:rsid w:val="00C11D85"/>
    <w:rsid w:val="00C11E98"/>
    <w:rsid w:val="00C1210D"/>
    <w:rsid w:val="00C128A3"/>
    <w:rsid w:val="00C13886"/>
    <w:rsid w:val="00C14737"/>
    <w:rsid w:val="00C150C5"/>
    <w:rsid w:val="00C165BF"/>
    <w:rsid w:val="00C16E37"/>
    <w:rsid w:val="00C1728F"/>
    <w:rsid w:val="00C17742"/>
    <w:rsid w:val="00C20BB9"/>
    <w:rsid w:val="00C219E4"/>
    <w:rsid w:val="00C21A67"/>
    <w:rsid w:val="00C23E87"/>
    <w:rsid w:val="00C24505"/>
    <w:rsid w:val="00C24794"/>
    <w:rsid w:val="00C255B3"/>
    <w:rsid w:val="00C2564B"/>
    <w:rsid w:val="00C256F4"/>
    <w:rsid w:val="00C259CE"/>
    <w:rsid w:val="00C25E5D"/>
    <w:rsid w:val="00C263D3"/>
    <w:rsid w:val="00C26482"/>
    <w:rsid w:val="00C26EEE"/>
    <w:rsid w:val="00C26F55"/>
    <w:rsid w:val="00C302DE"/>
    <w:rsid w:val="00C30C63"/>
    <w:rsid w:val="00C31597"/>
    <w:rsid w:val="00C31826"/>
    <w:rsid w:val="00C3183D"/>
    <w:rsid w:val="00C31B15"/>
    <w:rsid w:val="00C32292"/>
    <w:rsid w:val="00C32A14"/>
    <w:rsid w:val="00C32B37"/>
    <w:rsid w:val="00C340BF"/>
    <w:rsid w:val="00C345FB"/>
    <w:rsid w:val="00C353F8"/>
    <w:rsid w:val="00C3689E"/>
    <w:rsid w:val="00C36B8B"/>
    <w:rsid w:val="00C36F52"/>
    <w:rsid w:val="00C3757F"/>
    <w:rsid w:val="00C4003A"/>
    <w:rsid w:val="00C401C4"/>
    <w:rsid w:val="00C40E2E"/>
    <w:rsid w:val="00C422A3"/>
    <w:rsid w:val="00C426D8"/>
    <w:rsid w:val="00C43C69"/>
    <w:rsid w:val="00C4419B"/>
    <w:rsid w:val="00C4528A"/>
    <w:rsid w:val="00C46B02"/>
    <w:rsid w:val="00C46DEB"/>
    <w:rsid w:val="00C47DBF"/>
    <w:rsid w:val="00C505AB"/>
    <w:rsid w:val="00C51043"/>
    <w:rsid w:val="00C51203"/>
    <w:rsid w:val="00C515AE"/>
    <w:rsid w:val="00C523DD"/>
    <w:rsid w:val="00C52739"/>
    <w:rsid w:val="00C53666"/>
    <w:rsid w:val="00C544AA"/>
    <w:rsid w:val="00C54AC2"/>
    <w:rsid w:val="00C552FF"/>
    <w:rsid w:val="00C558DA"/>
    <w:rsid w:val="00C55AF3"/>
    <w:rsid w:val="00C55F0F"/>
    <w:rsid w:val="00C56079"/>
    <w:rsid w:val="00C5666F"/>
    <w:rsid w:val="00C577FB"/>
    <w:rsid w:val="00C579D1"/>
    <w:rsid w:val="00C57EAF"/>
    <w:rsid w:val="00C57EF2"/>
    <w:rsid w:val="00C600B8"/>
    <w:rsid w:val="00C603AE"/>
    <w:rsid w:val="00C60E76"/>
    <w:rsid w:val="00C6396F"/>
    <w:rsid w:val="00C640C0"/>
    <w:rsid w:val="00C651F2"/>
    <w:rsid w:val="00C65603"/>
    <w:rsid w:val="00C6617A"/>
    <w:rsid w:val="00C66373"/>
    <w:rsid w:val="00C66C61"/>
    <w:rsid w:val="00C67908"/>
    <w:rsid w:val="00C67A28"/>
    <w:rsid w:val="00C67C2F"/>
    <w:rsid w:val="00C70DF1"/>
    <w:rsid w:val="00C715D4"/>
    <w:rsid w:val="00C7197B"/>
    <w:rsid w:val="00C7239A"/>
    <w:rsid w:val="00C7296F"/>
    <w:rsid w:val="00C73A0D"/>
    <w:rsid w:val="00C73AB1"/>
    <w:rsid w:val="00C73E00"/>
    <w:rsid w:val="00C749BC"/>
    <w:rsid w:val="00C74BCE"/>
    <w:rsid w:val="00C74F83"/>
    <w:rsid w:val="00C7523D"/>
    <w:rsid w:val="00C75561"/>
    <w:rsid w:val="00C758AA"/>
    <w:rsid w:val="00C75C7C"/>
    <w:rsid w:val="00C76A24"/>
    <w:rsid w:val="00C76A9A"/>
    <w:rsid w:val="00C76B50"/>
    <w:rsid w:val="00C76E02"/>
    <w:rsid w:val="00C770A1"/>
    <w:rsid w:val="00C77576"/>
    <w:rsid w:val="00C77863"/>
    <w:rsid w:val="00C80165"/>
    <w:rsid w:val="00C80279"/>
    <w:rsid w:val="00C80D21"/>
    <w:rsid w:val="00C81A72"/>
    <w:rsid w:val="00C82382"/>
    <w:rsid w:val="00C825C6"/>
    <w:rsid w:val="00C82F4C"/>
    <w:rsid w:val="00C82F75"/>
    <w:rsid w:val="00C83289"/>
    <w:rsid w:val="00C83356"/>
    <w:rsid w:val="00C83CBA"/>
    <w:rsid w:val="00C8452B"/>
    <w:rsid w:val="00C8473E"/>
    <w:rsid w:val="00C84759"/>
    <w:rsid w:val="00C84B92"/>
    <w:rsid w:val="00C8534D"/>
    <w:rsid w:val="00C8560B"/>
    <w:rsid w:val="00C85BEB"/>
    <w:rsid w:val="00C86FCD"/>
    <w:rsid w:val="00C879C5"/>
    <w:rsid w:val="00C87FB5"/>
    <w:rsid w:val="00C9018A"/>
    <w:rsid w:val="00C90323"/>
    <w:rsid w:val="00C90885"/>
    <w:rsid w:val="00C908FB"/>
    <w:rsid w:val="00C90AF5"/>
    <w:rsid w:val="00C90B70"/>
    <w:rsid w:val="00C91E35"/>
    <w:rsid w:val="00C92329"/>
    <w:rsid w:val="00C92628"/>
    <w:rsid w:val="00C93058"/>
    <w:rsid w:val="00C9346A"/>
    <w:rsid w:val="00C94796"/>
    <w:rsid w:val="00C95053"/>
    <w:rsid w:val="00C951E0"/>
    <w:rsid w:val="00C956EB"/>
    <w:rsid w:val="00C957A7"/>
    <w:rsid w:val="00C9581A"/>
    <w:rsid w:val="00C95FB6"/>
    <w:rsid w:val="00C96873"/>
    <w:rsid w:val="00C96CE4"/>
    <w:rsid w:val="00C976FC"/>
    <w:rsid w:val="00C97719"/>
    <w:rsid w:val="00CA0F92"/>
    <w:rsid w:val="00CA1013"/>
    <w:rsid w:val="00CA1B18"/>
    <w:rsid w:val="00CA1EFF"/>
    <w:rsid w:val="00CA2AAB"/>
    <w:rsid w:val="00CA2ABE"/>
    <w:rsid w:val="00CA2DDF"/>
    <w:rsid w:val="00CA2E9A"/>
    <w:rsid w:val="00CA3297"/>
    <w:rsid w:val="00CA3A9C"/>
    <w:rsid w:val="00CA3B75"/>
    <w:rsid w:val="00CA4F0E"/>
    <w:rsid w:val="00CA51E1"/>
    <w:rsid w:val="00CA5CE4"/>
    <w:rsid w:val="00CA6BBD"/>
    <w:rsid w:val="00CA6C7F"/>
    <w:rsid w:val="00CA76A7"/>
    <w:rsid w:val="00CA79D2"/>
    <w:rsid w:val="00CA79D8"/>
    <w:rsid w:val="00CA7A94"/>
    <w:rsid w:val="00CB0F31"/>
    <w:rsid w:val="00CB1075"/>
    <w:rsid w:val="00CB10BF"/>
    <w:rsid w:val="00CB1EC6"/>
    <w:rsid w:val="00CB1ED8"/>
    <w:rsid w:val="00CB2D58"/>
    <w:rsid w:val="00CB31D2"/>
    <w:rsid w:val="00CB3A08"/>
    <w:rsid w:val="00CB3AF4"/>
    <w:rsid w:val="00CB4B8D"/>
    <w:rsid w:val="00CB5899"/>
    <w:rsid w:val="00CB6015"/>
    <w:rsid w:val="00CB6E59"/>
    <w:rsid w:val="00CB6F8C"/>
    <w:rsid w:val="00CB7244"/>
    <w:rsid w:val="00CC0260"/>
    <w:rsid w:val="00CC0AF5"/>
    <w:rsid w:val="00CC10A6"/>
    <w:rsid w:val="00CC1607"/>
    <w:rsid w:val="00CC2520"/>
    <w:rsid w:val="00CC318F"/>
    <w:rsid w:val="00CC3203"/>
    <w:rsid w:val="00CC3257"/>
    <w:rsid w:val="00CC502B"/>
    <w:rsid w:val="00CC5C79"/>
    <w:rsid w:val="00CC6282"/>
    <w:rsid w:val="00CC67CD"/>
    <w:rsid w:val="00CC6C37"/>
    <w:rsid w:val="00CC7327"/>
    <w:rsid w:val="00CD237E"/>
    <w:rsid w:val="00CD311D"/>
    <w:rsid w:val="00CD34FD"/>
    <w:rsid w:val="00CD363B"/>
    <w:rsid w:val="00CD4CA8"/>
    <w:rsid w:val="00CD4E77"/>
    <w:rsid w:val="00CD4F47"/>
    <w:rsid w:val="00CD581E"/>
    <w:rsid w:val="00CD58E5"/>
    <w:rsid w:val="00CD5B67"/>
    <w:rsid w:val="00CD5EB8"/>
    <w:rsid w:val="00CD68F5"/>
    <w:rsid w:val="00CD7044"/>
    <w:rsid w:val="00CE030D"/>
    <w:rsid w:val="00CE0893"/>
    <w:rsid w:val="00CE08B1"/>
    <w:rsid w:val="00CE08B9"/>
    <w:rsid w:val="00CE0CC0"/>
    <w:rsid w:val="00CE0F5D"/>
    <w:rsid w:val="00CE1E90"/>
    <w:rsid w:val="00CE2795"/>
    <w:rsid w:val="00CE2C43"/>
    <w:rsid w:val="00CE34FB"/>
    <w:rsid w:val="00CE3B77"/>
    <w:rsid w:val="00CE402A"/>
    <w:rsid w:val="00CE5021"/>
    <w:rsid w:val="00CE524C"/>
    <w:rsid w:val="00CE5648"/>
    <w:rsid w:val="00CE5AA4"/>
    <w:rsid w:val="00CE642B"/>
    <w:rsid w:val="00CE6FF8"/>
    <w:rsid w:val="00CE7E9B"/>
    <w:rsid w:val="00CF01AB"/>
    <w:rsid w:val="00CF0450"/>
    <w:rsid w:val="00CF0ABC"/>
    <w:rsid w:val="00CF141F"/>
    <w:rsid w:val="00CF1F26"/>
    <w:rsid w:val="00CF24B9"/>
    <w:rsid w:val="00CF2513"/>
    <w:rsid w:val="00CF3815"/>
    <w:rsid w:val="00CF3A10"/>
    <w:rsid w:val="00CF45C4"/>
    <w:rsid w:val="00CF4777"/>
    <w:rsid w:val="00CF55B5"/>
    <w:rsid w:val="00CF5AF8"/>
    <w:rsid w:val="00CF63B7"/>
    <w:rsid w:val="00CF695D"/>
    <w:rsid w:val="00CF75E8"/>
    <w:rsid w:val="00CF7DA3"/>
    <w:rsid w:val="00D0090A"/>
    <w:rsid w:val="00D009A0"/>
    <w:rsid w:val="00D00BDD"/>
    <w:rsid w:val="00D01772"/>
    <w:rsid w:val="00D01BCC"/>
    <w:rsid w:val="00D01C84"/>
    <w:rsid w:val="00D0244D"/>
    <w:rsid w:val="00D02B28"/>
    <w:rsid w:val="00D035D0"/>
    <w:rsid w:val="00D03A02"/>
    <w:rsid w:val="00D03DE9"/>
    <w:rsid w:val="00D04115"/>
    <w:rsid w:val="00D04838"/>
    <w:rsid w:val="00D05697"/>
    <w:rsid w:val="00D05C66"/>
    <w:rsid w:val="00D06461"/>
    <w:rsid w:val="00D0670A"/>
    <w:rsid w:val="00D067BB"/>
    <w:rsid w:val="00D1004D"/>
    <w:rsid w:val="00D10526"/>
    <w:rsid w:val="00D11012"/>
    <w:rsid w:val="00D11A62"/>
    <w:rsid w:val="00D11ED2"/>
    <w:rsid w:val="00D1217F"/>
    <w:rsid w:val="00D12856"/>
    <w:rsid w:val="00D129BB"/>
    <w:rsid w:val="00D12E0B"/>
    <w:rsid w:val="00D134AA"/>
    <w:rsid w:val="00D1352A"/>
    <w:rsid w:val="00D13A3A"/>
    <w:rsid w:val="00D13EDE"/>
    <w:rsid w:val="00D14134"/>
    <w:rsid w:val="00D145E2"/>
    <w:rsid w:val="00D1574C"/>
    <w:rsid w:val="00D15859"/>
    <w:rsid w:val="00D16079"/>
    <w:rsid w:val="00D169AF"/>
    <w:rsid w:val="00D169BB"/>
    <w:rsid w:val="00D16B57"/>
    <w:rsid w:val="00D17FDF"/>
    <w:rsid w:val="00D202B8"/>
    <w:rsid w:val="00D21A27"/>
    <w:rsid w:val="00D22FDC"/>
    <w:rsid w:val="00D24697"/>
    <w:rsid w:val="00D25249"/>
    <w:rsid w:val="00D255A7"/>
    <w:rsid w:val="00D25AE7"/>
    <w:rsid w:val="00D263ED"/>
    <w:rsid w:val="00D27AE2"/>
    <w:rsid w:val="00D27B92"/>
    <w:rsid w:val="00D30C05"/>
    <w:rsid w:val="00D31040"/>
    <w:rsid w:val="00D31128"/>
    <w:rsid w:val="00D31497"/>
    <w:rsid w:val="00D31B8E"/>
    <w:rsid w:val="00D31F25"/>
    <w:rsid w:val="00D31F49"/>
    <w:rsid w:val="00D325CF"/>
    <w:rsid w:val="00D329CB"/>
    <w:rsid w:val="00D32A58"/>
    <w:rsid w:val="00D32D48"/>
    <w:rsid w:val="00D32DE9"/>
    <w:rsid w:val="00D33055"/>
    <w:rsid w:val="00D33339"/>
    <w:rsid w:val="00D3380B"/>
    <w:rsid w:val="00D34725"/>
    <w:rsid w:val="00D34790"/>
    <w:rsid w:val="00D3597D"/>
    <w:rsid w:val="00D3685D"/>
    <w:rsid w:val="00D37332"/>
    <w:rsid w:val="00D40862"/>
    <w:rsid w:val="00D41639"/>
    <w:rsid w:val="00D439AD"/>
    <w:rsid w:val="00D44100"/>
    <w:rsid w:val="00D44172"/>
    <w:rsid w:val="00D443A5"/>
    <w:rsid w:val="00D45139"/>
    <w:rsid w:val="00D4537B"/>
    <w:rsid w:val="00D4552B"/>
    <w:rsid w:val="00D45BEC"/>
    <w:rsid w:val="00D462E6"/>
    <w:rsid w:val="00D46356"/>
    <w:rsid w:val="00D47C21"/>
    <w:rsid w:val="00D502E6"/>
    <w:rsid w:val="00D5110C"/>
    <w:rsid w:val="00D51D2A"/>
    <w:rsid w:val="00D521F6"/>
    <w:rsid w:val="00D52362"/>
    <w:rsid w:val="00D52452"/>
    <w:rsid w:val="00D5267C"/>
    <w:rsid w:val="00D52972"/>
    <w:rsid w:val="00D536E0"/>
    <w:rsid w:val="00D5372D"/>
    <w:rsid w:val="00D53883"/>
    <w:rsid w:val="00D54542"/>
    <w:rsid w:val="00D54C67"/>
    <w:rsid w:val="00D5714E"/>
    <w:rsid w:val="00D5741F"/>
    <w:rsid w:val="00D57693"/>
    <w:rsid w:val="00D57B01"/>
    <w:rsid w:val="00D57D98"/>
    <w:rsid w:val="00D57F24"/>
    <w:rsid w:val="00D605A5"/>
    <w:rsid w:val="00D6076B"/>
    <w:rsid w:val="00D61A20"/>
    <w:rsid w:val="00D62AD9"/>
    <w:rsid w:val="00D62DE2"/>
    <w:rsid w:val="00D62EF4"/>
    <w:rsid w:val="00D63019"/>
    <w:rsid w:val="00D6367A"/>
    <w:rsid w:val="00D63B8C"/>
    <w:rsid w:val="00D65114"/>
    <w:rsid w:val="00D6550F"/>
    <w:rsid w:val="00D66671"/>
    <w:rsid w:val="00D67D66"/>
    <w:rsid w:val="00D70B51"/>
    <w:rsid w:val="00D70BE8"/>
    <w:rsid w:val="00D70DA6"/>
    <w:rsid w:val="00D729AA"/>
    <w:rsid w:val="00D72CB6"/>
    <w:rsid w:val="00D72CE7"/>
    <w:rsid w:val="00D7326F"/>
    <w:rsid w:val="00D733F2"/>
    <w:rsid w:val="00D73918"/>
    <w:rsid w:val="00D739CC"/>
    <w:rsid w:val="00D73B7B"/>
    <w:rsid w:val="00D745B8"/>
    <w:rsid w:val="00D75702"/>
    <w:rsid w:val="00D75856"/>
    <w:rsid w:val="00D75963"/>
    <w:rsid w:val="00D75F19"/>
    <w:rsid w:val="00D76D65"/>
    <w:rsid w:val="00D76D6E"/>
    <w:rsid w:val="00D76ED3"/>
    <w:rsid w:val="00D80293"/>
    <w:rsid w:val="00D8086B"/>
    <w:rsid w:val="00D8093D"/>
    <w:rsid w:val="00D80B46"/>
    <w:rsid w:val="00D8108C"/>
    <w:rsid w:val="00D8114C"/>
    <w:rsid w:val="00D813A3"/>
    <w:rsid w:val="00D81850"/>
    <w:rsid w:val="00D81F56"/>
    <w:rsid w:val="00D828A8"/>
    <w:rsid w:val="00D83337"/>
    <w:rsid w:val="00D83C9E"/>
    <w:rsid w:val="00D8422A"/>
    <w:rsid w:val="00D842AE"/>
    <w:rsid w:val="00D8492C"/>
    <w:rsid w:val="00D8535C"/>
    <w:rsid w:val="00D854CF"/>
    <w:rsid w:val="00D85880"/>
    <w:rsid w:val="00D85A03"/>
    <w:rsid w:val="00D85ECC"/>
    <w:rsid w:val="00D86603"/>
    <w:rsid w:val="00D90ABB"/>
    <w:rsid w:val="00D91552"/>
    <w:rsid w:val="00D91B82"/>
    <w:rsid w:val="00D9211C"/>
    <w:rsid w:val="00D923F6"/>
    <w:rsid w:val="00D92449"/>
    <w:rsid w:val="00D92C7D"/>
    <w:rsid w:val="00D92DE0"/>
    <w:rsid w:val="00D92FEF"/>
    <w:rsid w:val="00D93066"/>
    <w:rsid w:val="00D931E3"/>
    <w:rsid w:val="00D93A0F"/>
    <w:rsid w:val="00D96AE6"/>
    <w:rsid w:val="00D9713E"/>
    <w:rsid w:val="00D973DE"/>
    <w:rsid w:val="00D9744D"/>
    <w:rsid w:val="00D97463"/>
    <w:rsid w:val="00DA02CA"/>
    <w:rsid w:val="00DA0702"/>
    <w:rsid w:val="00DA1152"/>
    <w:rsid w:val="00DA1BCA"/>
    <w:rsid w:val="00DA1C12"/>
    <w:rsid w:val="00DA2957"/>
    <w:rsid w:val="00DA3130"/>
    <w:rsid w:val="00DA3488"/>
    <w:rsid w:val="00DA3967"/>
    <w:rsid w:val="00DA3FFA"/>
    <w:rsid w:val="00DA4C5D"/>
    <w:rsid w:val="00DA51C3"/>
    <w:rsid w:val="00DA5445"/>
    <w:rsid w:val="00DA5941"/>
    <w:rsid w:val="00DA5B36"/>
    <w:rsid w:val="00DA7299"/>
    <w:rsid w:val="00DB1E7F"/>
    <w:rsid w:val="00DB2516"/>
    <w:rsid w:val="00DB25A9"/>
    <w:rsid w:val="00DB2AB8"/>
    <w:rsid w:val="00DB36B7"/>
    <w:rsid w:val="00DB392D"/>
    <w:rsid w:val="00DB3E23"/>
    <w:rsid w:val="00DB4523"/>
    <w:rsid w:val="00DB4C4F"/>
    <w:rsid w:val="00DB533D"/>
    <w:rsid w:val="00DB5F47"/>
    <w:rsid w:val="00DB6335"/>
    <w:rsid w:val="00DB6CC1"/>
    <w:rsid w:val="00DB76B4"/>
    <w:rsid w:val="00DB7932"/>
    <w:rsid w:val="00DC0E4E"/>
    <w:rsid w:val="00DC11BD"/>
    <w:rsid w:val="00DC2954"/>
    <w:rsid w:val="00DC2A75"/>
    <w:rsid w:val="00DC2FBE"/>
    <w:rsid w:val="00DC3E8F"/>
    <w:rsid w:val="00DC46FF"/>
    <w:rsid w:val="00DC4C08"/>
    <w:rsid w:val="00DC506B"/>
    <w:rsid w:val="00DC522A"/>
    <w:rsid w:val="00DC5254"/>
    <w:rsid w:val="00DC5D3A"/>
    <w:rsid w:val="00DC5F15"/>
    <w:rsid w:val="00DC6671"/>
    <w:rsid w:val="00DC67C7"/>
    <w:rsid w:val="00DC7538"/>
    <w:rsid w:val="00DC7F52"/>
    <w:rsid w:val="00DD0B3F"/>
    <w:rsid w:val="00DD159C"/>
    <w:rsid w:val="00DD1A4F"/>
    <w:rsid w:val="00DD2027"/>
    <w:rsid w:val="00DD2616"/>
    <w:rsid w:val="00DD3107"/>
    <w:rsid w:val="00DD43E4"/>
    <w:rsid w:val="00DD5773"/>
    <w:rsid w:val="00DD5892"/>
    <w:rsid w:val="00DD5976"/>
    <w:rsid w:val="00DD5EFF"/>
    <w:rsid w:val="00DD660D"/>
    <w:rsid w:val="00DD6865"/>
    <w:rsid w:val="00DD6E90"/>
    <w:rsid w:val="00DD7A51"/>
    <w:rsid w:val="00DD7C2C"/>
    <w:rsid w:val="00DD7E6E"/>
    <w:rsid w:val="00DE00BF"/>
    <w:rsid w:val="00DE0A13"/>
    <w:rsid w:val="00DE0B41"/>
    <w:rsid w:val="00DE0DC3"/>
    <w:rsid w:val="00DE13D0"/>
    <w:rsid w:val="00DE1687"/>
    <w:rsid w:val="00DE1A4E"/>
    <w:rsid w:val="00DE1CAF"/>
    <w:rsid w:val="00DE20EE"/>
    <w:rsid w:val="00DE23DE"/>
    <w:rsid w:val="00DE4CBE"/>
    <w:rsid w:val="00DE4D22"/>
    <w:rsid w:val="00DE57C7"/>
    <w:rsid w:val="00DE59AA"/>
    <w:rsid w:val="00DE5C52"/>
    <w:rsid w:val="00DE6A6C"/>
    <w:rsid w:val="00DE6DDD"/>
    <w:rsid w:val="00DE6E55"/>
    <w:rsid w:val="00DE796D"/>
    <w:rsid w:val="00DF01DA"/>
    <w:rsid w:val="00DF092F"/>
    <w:rsid w:val="00DF09CD"/>
    <w:rsid w:val="00DF0BFD"/>
    <w:rsid w:val="00DF1064"/>
    <w:rsid w:val="00DF1234"/>
    <w:rsid w:val="00DF24FE"/>
    <w:rsid w:val="00DF267C"/>
    <w:rsid w:val="00DF313D"/>
    <w:rsid w:val="00DF32FE"/>
    <w:rsid w:val="00DF47B7"/>
    <w:rsid w:val="00DF50BA"/>
    <w:rsid w:val="00DF5660"/>
    <w:rsid w:val="00DF5749"/>
    <w:rsid w:val="00DF58FA"/>
    <w:rsid w:val="00DF5B1D"/>
    <w:rsid w:val="00DF5BAF"/>
    <w:rsid w:val="00DF74DD"/>
    <w:rsid w:val="00DF7549"/>
    <w:rsid w:val="00DF7E77"/>
    <w:rsid w:val="00DFF261"/>
    <w:rsid w:val="00E004BD"/>
    <w:rsid w:val="00E00866"/>
    <w:rsid w:val="00E00E9A"/>
    <w:rsid w:val="00E01188"/>
    <w:rsid w:val="00E01463"/>
    <w:rsid w:val="00E017E8"/>
    <w:rsid w:val="00E02173"/>
    <w:rsid w:val="00E02515"/>
    <w:rsid w:val="00E02892"/>
    <w:rsid w:val="00E03086"/>
    <w:rsid w:val="00E03825"/>
    <w:rsid w:val="00E047BC"/>
    <w:rsid w:val="00E047D2"/>
    <w:rsid w:val="00E0572C"/>
    <w:rsid w:val="00E060F7"/>
    <w:rsid w:val="00E06797"/>
    <w:rsid w:val="00E06902"/>
    <w:rsid w:val="00E06DB9"/>
    <w:rsid w:val="00E078E2"/>
    <w:rsid w:val="00E103B0"/>
    <w:rsid w:val="00E10A3B"/>
    <w:rsid w:val="00E122BC"/>
    <w:rsid w:val="00E1265B"/>
    <w:rsid w:val="00E12AF8"/>
    <w:rsid w:val="00E12F5D"/>
    <w:rsid w:val="00E13B48"/>
    <w:rsid w:val="00E1404F"/>
    <w:rsid w:val="00E14B86"/>
    <w:rsid w:val="00E14D1B"/>
    <w:rsid w:val="00E156ED"/>
    <w:rsid w:val="00E16D3D"/>
    <w:rsid w:val="00E20D1B"/>
    <w:rsid w:val="00E212EF"/>
    <w:rsid w:val="00E21456"/>
    <w:rsid w:val="00E21C83"/>
    <w:rsid w:val="00E22A28"/>
    <w:rsid w:val="00E22CED"/>
    <w:rsid w:val="00E23F34"/>
    <w:rsid w:val="00E23F95"/>
    <w:rsid w:val="00E24289"/>
    <w:rsid w:val="00E24405"/>
    <w:rsid w:val="00E24ADA"/>
    <w:rsid w:val="00E24E53"/>
    <w:rsid w:val="00E256F6"/>
    <w:rsid w:val="00E256FC"/>
    <w:rsid w:val="00E25A52"/>
    <w:rsid w:val="00E25AFC"/>
    <w:rsid w:val="00E265C3"/>
    <w:rsid w:val="00E2672A"/>
    <w:rsid w:val="00E27022"/>
    <w:rsid w:val="00E27B9D"/>
    <w:rsid w:val="00E27DF4"/>
    <w:rsid w:val="00E306A8"/>
    <w:rsid w:val="00E30F4D"/>
    <w:rsid w:val="00E317D0"/>
    <w:rsid w:val="00E317FD"/>
    <w:rsid w:val="00E322A4"/>
    <w:rsid w:val="00E3245E"/>
    <w:rsid w:val="00E32B0B"/>
    <w:rsid w:val="00E32F59"/>
    <w:rsid w:val="00E3342F"/>
    <w:rsid w:val="00E33CF1"/>
    <w:rsid w:val="00E34BB8"/>
    <w:rsid w:val="00E35761"/>
    <w:rsid w:val="00E35AEE"/>
    <w:rsid w:val="00E35B18"/>
    <w:rsid w:val="00E366E4"/>
    <w:rsid w:val="00E36AB8"/>
    <w:rsid w:val="00E36B43"/>
    <w:rsid w:val="00E36BB3"/>
    <w:rsid w:val="00E36D13"/>
    <w:rsid w:val="00E36D54"/>
    <w:rsid w:val="00E37CDD"/>
    <w:rsid w:val="00E404C7"/>
    <w:rsid w:val="00E404EE"/>
    <w:rsid w:val="00E40EFA"/>
    <w:rsid w:val="00E422CF"/>
    <w:rsid w:val="00E42E25"/>
    <w:rsid w:val="00E44376"/>
    <w:rsid w:val="00E4450E"/>
    <w:rsid w:val="00E445C5"/>
    <w:rsid w:val="00E4464F"/>
    <w:rsid w:val="00E44C2B"/>
    <w:rsid w:val="00E44C69"/>
    <w:rsid w:val="00E44F0A"/>
    <w:rsid w:val="00E44F25"/>
    <w:rsid w:val="00E453F9"/>
    <w:rsid w:val="00E45BF8"/>
    <w:rsid w:val="00E45CF6"/>
    <w:rsid w:val="00E4629E"/>
    <w:rsid w:val="00E46CF2"/>
    <w:rsid w:val="00E46D9A"/>
    <w:rsid w:val="00E471BA"/>
    <w:rsid w:val="00E4759E"/>
    <w:rsid w:val="00E47D1A"/>
    <w:rsid w:val="00E50372"/>
    <w:rsid w:val="00E504E1"/>
    <w:rsid w:val="00E509D1"/>
    <w:rsid w:val="00E509DF"/>
    <w:rsid w:val="00E50B45"/>
    <w:rsid w:val="00E50D12"/>
    <w:rsid w:val="00E51051"/>
    <w:rsid w:val="00E51C75"/>
    <w:rsid w:val="00E52CFC"/>
    <w:rsid w:val="00E54188"/>
    <w:rsid w:val="00E5463A"/>
    <w:rsid w:val="00E54B81"/>
    <w:rsid w:val="00E558A8"/>
    <w:rsid w:val="00E55C88"/>
    <w:rsid w:val="00E565FF"/>
    <w:rsid w:val="00E56A22"/>
    <w:rsid w:val="00E56B36"/>
    <w:rsid w:val="00E60090"/>
    <w:rsid w:val="00E600D6"/>
    <w:rsid w:val="00E60BFE"/>
    <w:rsid w:val="00E613AF"/>
    <w:rsid w:val="00E62771"/>
    <w:rsid w:val="00E6289E"/>
    <w:rsid w:val="00E628FC"/>
    <w:rsid w:val="00E62AD3"/>
    <w:rsid w:val="00E62CD8"/>
    <w:rsid w:val="00E63476"/>
    <w:rsid w:val="00E640F2"/>
    <w:rsid w:val="00E64559"/>
    <w:rsid w:val="00E651D3"/>
    <w:rsid w:val="00E65388"/>
    <w:rsid w:val="00E65D94"/>
    <w:rsid w:val="00E65E80"/>
    <w:rsid w:val="00E65F77"/>
    <w:rsid w:val="00E67833"/>
    <w:rsid w:val="00E7012C"/>
    <w:rsid w:val="00E714A9"/>
    <w:rsid w:val="00E7195A"/>
    <w:rsid w:val="00E729BE"/>
    <w:rsid w:val="00E731C8"/>
    <w:rsid w:val="00E73F57"/>
    <w:rsid w:val="00E74369"/>
    <w:rsid w:val="00E745E0"/>
    <w:rsid w:val="00E75565"/>
    <w:rsid w:val="00E761C2"/>
    <w:rsid w:val="00E767AE"/>
    <w:rsid w:val="00E76A6E"/>
    <w:rsid w:val="00E77A61"/>
    <w:rsid w:val="00E80143"/>
    <w:rsid w:val="00E8053C"/>
    <w:rsid w:val="00E80723"/>
    <w:rsid w:val="00E80FAD"/>
    <w:rsid w:val="00E8105D"/>
    <w:rsid w:val="00E818E2"/>
    <w:rsid w:val="00E82239"/>
    <w:rsid w:val="00E825E8"/>
    <w:rsid w:val="00E8288D"/>
    <w:rsid w:val="00E84009"/>
    <w:rsid w:val="00E84C1D"/>
    <w:rsid w:val="00E84FC7"/>
    <w:rsid w:val="00E85418"/>
    <w:rsid w:val="00E8581A"/>
    <w:rsid w:val="00E85B7D"/>
    <w:rsid w:val="00E86632"/>
    <w:rsid w:val="00E8753C"/>
    <w:rsid w:val="00E87A57"/>
    <w:rsid w:val="00E9024C"/>
    <w:rsid w:val="00E90745"/>
    <w:rsid w:val="00E9121B"/>
    <w:rsid w:val="00E91F17"/>
    <w:rsid w:val="00E94245"/>
    <w:rsid w:val="00E943FF"/>
    <w:rsid w:val="00E94548"/>
    <w:rsid w:val="00E94B48"/>
    <w:rsid w:val="00E95863"/>
    <w:rsid w:val="00E9656C"/>
    <w:rsid w:val="00E96722"/>
    <w:rsid w:val="00E9689C"/>
    <w:rsid w:val="00E96C91"/>
    <w:rsid w:val="00E97C4A"/>
    <w:rsid w:val="00EA00DC"/>
    <w:rsid w:val="00EA0AE2"/>
    <w:rsid w:val="00EA1063"/>
    <w:rsid w:val="00EA1DA9"/>
    <w:rsid w:val="00EA292F"/>
    <w:rsid w:val="00EA39E5"/>
    <w:rsid w:val="00EA4125"/>
    <w:rsid w:val="00EA4BCB"/>
    <w:rsid w:val="00EA5CD0"/>
    <w:rsid w:val="00EA5E77"/>
    <w:rsid w:val="00EA6374"/>
    <w:rsid w:val="00EA6D70"/>
    <w:rsid w:val="00EA7076"/>
    <w:rsid w:val="00EA7198"/>
    <w:rsid w:val="00EA7470"/>
    <w:rsid w:val="00EA78FA"/>
    <w:rsid w:val="00EA79E9"/>
    <w:rsid w:val="00EA7D82"/>
    <w:rsid w:val="00EB004C"/>
    <w:rsid w:val="00EB01B5"/>
    <w:rsid w:val="00EB0924"/>
    <w:rsid w:val="00EB14EE"/>
    <w:rsid w:val="00EB204E"/>
    <w:rsid w:val="00EB2F13"/>
    <w:rsid w:val="00EB3106"/>
    <w:rsid w:val="00EB3AEA"/>
    <w:rsid w:val="00EB3B29"/>
    <w:rsid w:val="00EB3DBB"/>
    <w:rsid w:val="00EB42FE"/>
    <w:rsid w:val="00EB509B"/>
    <w:rsid w:val="00EB5895"/>
    <w:rsid w:val="00EB5CEA"/>
    <w:rsid w:val="00EB5F1F"/>
    <w:rsid w:val="00EB5F91"/>
    <w:rsid w:val="00EB6247"/>
    <w:rsid w:val="00EB69CD"/>
    <w:rsid w:val="00EB7338"/>
    <w:rsid w:val="00EB7497"/>
    <w:rsid w:val="00EB76BD"/>
    <w:rsid w:val="00EB773A"/>
    <w:rsid w:val="00EB7BD5"/>
    <w:rsid w:val="00EB7E69"/>
    <w:rsid w:val="00EC0731"/>
    <w:rsid w:val="00EC0850"/>
    <w:rsid w:val="00EC0B8E"/>
    <w:rsid w:val="00EC15C4"/>
    <w:rsid w:val="00EC1843"/>
    <w:rsid w:val="00EC1C4A"/>
    <w:rsid w:val="00EC39E8"/>
    <w:rsid w:val="00EC3E57"/>
    <w:rsid w:val="00EC45B9"/>
    <w:rsid w:val="00EC4E7E"/>
    <w:rsid w:val="00EC545C"/>
    <w:rsid w:val="00EC5809"/>
    <w:rsid w:val="00EC5A46"/>
    <w:rsid w:val="00EC5D5E"/>
    <w:rsid w:val="00EC63E2"/>
    <w:rsid w:val="00EC71BD"/>
    <w:rsid w:val="00EC769D"/>
    <w:rsid w:val="00ED0021"/>
    <w:rsid w:val="00ED0087"/>
    <w:rsid w:val="00ED096E"/>
    <w:rsid w:val="00ED1786"/>
    <w:rsid w:val="00ED1B8E"/>
    <w:rsid w:val="00ED1E10"/>
    <w:rsid w:val="00ED1EC8"/>
    <w:rsid w:val="00ED1F3E"/>
    <w:rsid w:val="00ED3FEA"/>
    <w:rsid w:val="00ED4D5D"/>
    <w:rsid w:val="00ED5430"/>
    <w:rsid w:val="00ED6011"/>
    <w:rsid w:val="00ED64C5"/>
    <w:rsid w:val="00ED7099"/>
    <w:rsid w:val="00ED71F4"/>
    <w:rsid w:val="00ED7590"/>
    <w:rsid w:val="00ED7E40"/>
    <w:rsid w:val="00ED7F39"/>
    <w:rsid w:val="00EE035A"/>
    <w:rsid w:val="00EE1706"/>
    <w:rsid w:val="00EE1764"/>
    <w:rsid w:val="00EE1BA8"/>
    <w:rsid w:val="00EE1E98"/>
    <w:rsid w:val="00EE26F0"/>
    <w:rsid w:val="00EE2E6F"/>
    <w:rsid w:val="00EE3731"/>
    <w:rsid w:val="00EE3749"/>
    <w:rsid w:val="00EE397B"/>
    <w:rsid w:val="00EE3D39"/>
    <w:rsid w:val="00EE4256"/>
    <w:rsid w:val="00EE5215"/>
    <w:rsid w:val="00EE5261"/>
    <w:rsid w:val="00EE587E"/>
    <w:rsid w:val="00EE77C0"/>
    <w:rsid w:val="00EE7D91"/>
    <w:rsid w:val="00EF09AE"/>
    <w:rsid w:val="00EF0B00"/>
    <w:rsid w:val="00EF178D"/>
    <w:rsid w:val="00EF22B3"/>
    <w:rsid w:val="00EF2B50"/>
    <w:rsid w:val="00EF2D86"/>
    <w:rsid w:val="00EF3662"/>
    <w:rsid w:val="00EF3E1A"/>
    <w:rsid w:val="00EF3E65"/>
    <w:rsid w:val="00EF3E80"/>
    <w:rsid w:val="00EF3F76"/>
    <w:rsid w:val="00EF41F9"/>
    <w:rsid w:val="00EF44A6"/>
    <w:rsid w:val="00EF44AE"/>
    <w:rsid w:val="00EF469A"/>
    <w:rsid w:val="00EF50A2"/>
    <w:rsid w:val="00EF52CE"/>
    <w:rsid w:val="00EF58FD"/>
    <w:rsid w:val="00EF596A"/>
    <w:rsid w:val="00EF5BBA"/>
    <w:rsid w:val="00EF5D50"/>
    <w:rsid w:val="00EF7834"/>
    <w:rsid w:val="00EF7901"/>
    <w:rsid w:val="00F006A4"/>
    <w:rsid w:val="00F01036"/>
    <w:rsid w:val="00F01BA2"/>
    <w:rsid w:val="00F01E6E"/>
    <w:rsid w:val="00F0257E"/>
    <w:rsid w:val="00F02798"/>
    <w:rsid w:val="00F02B0C"/>
    <w:rsid w:val="00F02D6C"/>
    <w:rsid w:val="00F02F9E"/>
    <w:rsid w:val="00F02FFB"/>
    <w:rsid w:val="00F03269"/>
    <w:rsid w:val="00F032B1"/>
    <w:rsid w:val="00F03B69"/>
    <w:rsid w:val="00F03C36"/>
    <w:rsid w:val="00F03F82"/>
    <w:rsid w:val="00F03FEA"/>
    <w:rsid w:val="00F04167"/>
    <w:rsid w:val="00F0437E"/>
    <w:rsid w:val="00F04CEA"/>
    <w:rsid w:val="00F053F3"/>
    <w:rsid w:val="00F05833"/>
    <w:rsid w:val="00F05C09"/>
    <w:rsid w:val="00F05E76"/>
    <w:rsid w:val="00F05F0A"/>
    <w:rsid w:val="00F0626D"/>
    <w:rsid w:val="00F063B0"/>
    <w:rsid w:val="00F064C3"/>
    <w:rsid w:val="00F07A50"/>
    <w:rsid w:val="00F07BB6"/>
    <w:rsid w:val="00F07FDF"/>
    <w:rsid w:val="00F107EF"/>
    <w:rsid w:val="00F113DA"/>
    <w:rsid w:val="00F12352"/>
    <w:rsid w:val="00F14BEC"/>
    <w:rsid w:val="00F166D3"/>
    <w:rsid w:val="00F16EC1"/>
    <w:rsid w:val="00F17C96"/>
    <w:rsid w:val="00F20959"/>
    <w:rsid w:val="00F20A88"/>
    <w:rsid w:val="00F227E2"/>
    <w:rsid w:val="00F23184"/>
    <w:rsid w:val="00F23AF2"/>
    <w:rsid w:val="00F24BF4"/>
    <w:rsid w:val="00F255D0"/>
    <w:rsid w:val="00F255EA"/>
    <w:rsid w:val="00F25801"/>
    <w:rsid w:val="00F258BC"/>
    <w:rsid w:val="00F25EC1"/>
    <w:rsid w:val="00F273C9"/>
    <w:rsid w:val="00F279C4"/>
    <w:rsid w:val="00F310E6"/>
    <w:rsid w:val="00F3158A"/>
    <w:rsid w:val="00F31E8B"/>
    <w:rsid w:val="00F3234F"/>
    <w:rsid w:val="00F325F0"/>
    <w:rsid w:val="00F32631"/>
    <w:rsid w:val="00F32A68"/>
    <w:rsid w:val="00F33F37"/>
    <w:rsid w:val="00F349DE"/>
    <w:rsid w:val="00F354A7"/>
    <w:rsid w:val="00F35B2F"/>
    <w:rsid w:val="00F36044"/>
    <w:rsid w:val="00F371D7"/>
    <w:rsid w:val="00F37B4F"/>
    <w:rsid w:val="00F37DC8"/>
    <w:rsid w:val="00F40280"/>
    <w:rsid w:val="00F41174"/>
    <w:rsid w:val="00F4148F"/>
    <w:rsid w:val="00F41B0B"/>
    <w:rsid w:val="00F41D06"/>
    <w:rsid w:val="00F423FA"/>
    <w:rsid w:val="00F4299F"/>
    <w:rsid w:val="00F42C88"/>
    <w:rsid w:val="00F439B3"/>
    <w:rsid w:val="00F43C1C"/>
    <w:rsid w:val="00F44098"/>
    <w:rsid w:val="00F44DE6"/>
    <w:rsid w:val="00F4586F"/>
    <w:rsid w:val="00F45C88"/>
    <w:rsid w:val="00F45F45"/>
    <w:rsid w:val="00F478A8"/>
    <w:rsid w:val="00F502DD"/>
    <w:rsid w:val="00F50F86"/>
    <w:rsid w:val="00F511D5"/>
    <w:rsid w:val="00F52C4D"/>
    <w:rsid w:val="00F5303F"/>
    <w:rsid w:val="00F5311D"/>
    <w:rsid w:val="00F5381F"/>
    <w:rsid w:val="00F53B86"/>
    <w:rsid w:val="00F541C6"/>
    <w:rsid w:val="00F544AB"/>
    <w:rsid w:val="00F5477A"/>
    <w:rsid w:val="00F55155"/>
    <w:rsid w:val="00F553E0"/>
    <w:rsid w:val="00F55BA7"/>
    <w:rsid w:val="00F560BF"/>
    <w:rsid w:val="00F56491"/>
    <w:rsid w:val="00F57D5D"/>
    <w:rsid w:val="00F57DA7"/>
    <w:rsid w:val="00F613C6"/>
    <w:rsid w:val="00F61621"/>
    <w:rsid w:val="00F61DD8"/>
    <w:rsid w:val="00F61F1D"/>
    <w:rsid w:val="00F6202F"/>
    <w:rsid w:val="00F626D3"/>
    <w:rsid w:val="00F62A32"/>
    <w:rsid w:val="00F62B66"/>
    <w:rsid w:val="00F62BD2"/>
    <w:rsid w:val="00F638FC"/>
    <w:rsid w:val="00F63F1A"/>
    <w:rsid w:val="00F64D51"/>
    <w:rsid w:val="00F64EC1"/>
    <w:rsid w:val="00F650C3"/>
    <w:rsid w:val="00F65317"/>
    <w:rsid w:val="00F65D85"/>
    <w:rsid w:val="00F65F25"/>
    <w:rsid w:val="00F66398"/>
    <w:rsid w:val="00F70A08"/>
    <w:rsid w:val="00F70C75"/>
    <w:rsid w:val="00F70FCF"/>
    <w:rsid w:val="00F7109E"/>
    <w:rsid w:val="00F719DE"/>
    <w:rsid w:val="00F7203C"/>
    <w:rsid w:val="00F72336"/>
    <w:rsid w:val="00F72358"/>
    <w:rsid w:val="00F72A00"/>
    <w:rsid w:val="00F72B58"/>
    <w:rsid w:val="00F73D6D"/>
    <w:rsid w:val="00F73DC4"/>
    <w:rsid w:val="00F74630"/>
    <w:rsid w:val="00F752FF"/>
    <w:rsid w:val="00F75453"/>
    <w:rsid w:val="00F76716"/>
    <w:rsid w:val="00F76B99"/>
    <w:rsid w:val="00F77A8E"/>
    <w:rsid w:val="00F77EE2"/>
    <w:rsid w:val="00F77FAF"/>
    <w:rsid w:val="00F8056A"/>
    <w:rsid w:val="00F8091E"/>
    <w:rsid w:val="00F80AD8"/>
    <w:rsid w:val="00F8147A"/>
    <w:rsid w:val="00F815C2"/>
    <w:rsid w:val="00F8169D"/>
    <w:rsid w:val="00F82D20"/>
    <w:rsid w:val="00F84271"/>
    <w:rsid w:val="00F850D2"/>
    <w:rsid w:val="00F8567D"/>
    <w:rsid w:val="00F86046"/>
    <w:rsid w:val="00F8615C"/>
    <w:rsid w:val="00F87607"/>
    <w:rsid w:val="00F87AB4"/>
    <w:rsid w:val="00F87BAA"/>
    <w:rsid w:val="00F87ED0"/>
    <w:rsid w:val="00F90D64"/>
    <w:rsid w:val="00F91CEE"/>
    <w:rsid w:val="00F91D68"/>
    <w:rsid w:val="00F925E8"/>
    <w:rsid w:val="00F92EA2"/>
    <w:rsid w:val="00F92F80"/>
    <w:rsid w:val="00F93DC8"/>
    <w:rsid w:val="00F93E13"/>
    <w:rsid w:val="00F954C5"/>
    <w:rsid w:val="00F956E7"/>
    <w:rsid w:val="00F95B60"/>
    <w:rsid w:val="00F95E8F"/>
    <w:rsid w:val="00F96137"/>
    <w:rsid w:val="00F96294"/>
    <w:rsid w:val="00F969E5"/>
    <w:rsid w:val="00F97560"/>
    <w:rsid w:val="00F9780E"/>
    <w:rsid w:val="00F97AEE"/>
    <w:rsid w:val="00F97E52"/>
    <w:rsid w:val="00FA1C95"/>
    <w:rsid w:val="00FA24BB"/>
    <w:rsid w:val="00FA283D"/>
    <w:rsid w:val="00FA29B5"/>
    <w:rsid w:val="00FA375F"/>
    <w:rsid w:val="00FA3BA3"/>
    <w:rsid w:val="00FA44D1"/>
    <w:rsid w:val="00FA4D18"/>
    <w:rsid w:val="00FA5E50"/>
    <w:rsid w:val="00FA69A4"/>
    <w:rsid w:val="00FA6BB0"/>
    <w:rsid w:val="00FA780A"/>
    <w:rsid w:val="00FB0C8E"/>
    <w:rsid w:val="00FB1812"/>
    <w:rsid w:val="00FB1D6D"/>
    <w:rsid w:val="00FB23AA"/>
    <w:rsid w:val="00FB25D5"/>
    <w:rsid w:val="00FB3136"/>
    <w:rsid w:val="00FB3BF3"/>
    <w:rsid w:val="00FB3E34"/>
    <w:rsid w:val="00FB4DDB"/>
    <w:rsid w:val="00FB62AB"/>
    <w:rsid w:val="00FB63ED"/>
    <w:rsid w:val="00FB650E"/>
    <w:rsid w:val="00FB65E9"/>
    <w:rsid w:val="00FB685C"/>
    <w:rsid w:val="00FB69CD"/>
    <w:rsid w:val="00FB6FA0"/>
    <w:rsid w:val="00FB723A"/>
    <w:rsid w:val="00FB75C9"/>
    <w:rsid w:val="00FC017F"/>
    <w:rsid w:val="00FC05A3"/>
    <w:rsid w:val="00FC075B"/>
    <w:rsid w:val="00FC09BF"/>
    <w:rsid w:val="00FC1C0B"/>
    <w:rsid w:val="00FC253F"/>
    <w:rsid w:val="00FC2725"/>
    <w:rsid w:val="00FC2C16"/>
    <w:rsid w:val="00FC2E4A"/>
    <w:rsid w:val="00FC2FD1"/>
    <w:rsid w:val="00FC3C0F"/>
    <w:rsid w:val="00FC3D44"/>
    <w:rsid w:val="00FC3EC0"/>
    <w:rsid w:val="00FC4787"/>
    <w:rsid w:val="00FC4B66"/>
    <w:rsid w:val="00FC54D3"/>
    <w:rsid w:val="00FC5516"/>
    <w:rsid w:val="00FC587A"/>
    <w:rsid w:val="00FC5A45"/>
    <w:rsid w:val="00FC5FFB"/>
    <w:rsid w:val="00FC6170"/>
    <w:rsid w:val="00FC6BAA"/>
    <w:rsid w:val="00FC6C36"/>
    <w:rsid w:val="00FD0F61"/>
    <w:rsid w:val="00FD16F9"/>
    <w:rsid w:val="00FD2D77"/>
    <w:rsid w:val="00FD3D6C"/>
    <w:rsid w:val="00FD43EF"/>
    <w:rsid w:val="00FD4BA6"/>
    <w:rsid w:val="00FD5860"/>
    <w:rsid w:val="00FE01CB"/>
    <w:rsid w:val="00FE1A95"/>
    <w:rsid w:val="00FE1CE1"/>
    <w:rsid w:val="00FE22A1"/>
    <w:rsid w:val="00FE2511"/>
    <w:rsid w:val="00FE28CA"/>
    <w:rsid w:val="00FE339B"/>
    <w:rsid w:val="00FE352D"/>
    <w:rsid w:val="00FE3F9D"/>
    <w:rsid w:val="00FE40A9"/>
    <w:rsid w:val="00FE40EB"/>
    <w:rsid w:val="00FE42A0"/>
    <w:rsid w:val="00FE4599"/>
    <w:rsid w:val="00FE4D02"/>
    <w:rsid w:val="00FE50F7"/>
    <w:rsid w:val="00FE51C9"/>
    <w:rsid w:val="00FE58B0"/>
    <w:rsid w:val="00FE58BB"/>
    <w:rsid w:val="00FE58F1"/>
    <w:rsid w:val="00FE5980"/>
    <w:rsid w:val="00FE5A5B"/>
    <w:rsid w:val="00FE60F2"/>
    <w:rsid w:val="00FE63C8"/>
    <w:rsid w:val="00FE6C88"/>
    <w:rsid w:val="00FE74D6"/>
    <w:rsid w:val="00FE7915"/>
    <w:rsid w:val="00FE7B2F"/>
    <w:rsid w:val="00FE7D62"/>
    <w:rsid w:val="00FF0310"/>
    <w:rsid w:val="00FF1707"/>
    <w:rsid w:val="00FF1A49"/>
    <w:rsid w:val="00FF2195"/>
    <w:rsid w:val="00FF3819"/>
    <w:rsid w:val="00FF4516"/>
    <w:rsid w:val="00FF481C"/>
    <w:rsid w:val="00FF4D32"/>
    <w:rsid w:val="00FF4E61"/>
    <w:rsid w:val="00FF4F2A"/>
    <w:rsid w:val="00FF6176"/>
    <w:rsid w:val="00FF7719"/>
    <w:rsid w:val="0128EEB5"/>
    <w:rsid w:val="0231846E"/>
    <w:rsid w:val="03345EF8"/>
    <w:rsid w:val="034B1E6E"/>
    <w:rsid w:val="040FC399"/>
    <w:rsid w:val="0416392A"/>
    <w:rsid w:val="04BF48EE"/>
    <w:rsid w:val="052BACE1"/>
    <w:rsid w:val="05C1C7BE"/>
    <w:rsid w:val="05E854ED"/>
    <w:rsid w:val="08206007"/>
    <w:rsid w:val="0A2C9420"/>
    <w:rsid w:val="0B897BBB"/>
    <w:rsid w:val="0DF2E6BA"/>
    <w:rsid w:val="1209D0C6"/>
    <w:rsid w:val="14E7ABF6"/>
    <w:rsid w:val="152AC6C8"/>
    <w:rsid w:val="16057356"/>
    <w:rsid w:val="170BD6DD"/>
    <w:rsid w:val="1783B8E8"/>
    <w:rsid w:val="17D6F52A"/>
    <w:rsid w:val="1831998B"/>
    <w:rsid w:val="18A5B045"/>
    <w:rsid w:val="18D39CB1"/>
    <w:rsid w:val="1AE65596"/>
    <w:rsid w:val="1B3151F9"/>
    <w:rsid w:val="1D3618CA"/>
    <w:rsid w:val="1D4B6801"/>
    <w:rsid w:val="23453153"/>
    <w:rsid w:val="24C0972B"/>
    <w:rsid w:val="2549017C"/>
    <w:rsid w:val="257D4CC4"/>
    <w:rsid w:val="25D74D02"/>
    <w:rsid w:val="26E083A0"/>
    <w:rsid w:val="272ED723"/>
    <w:rsid w:val="287BB468"/>
    <w:rsid w:val="293D0F88"/>
    <w:rsid w:val="2AEFD8D4"/>
    <w:rsid w:val="2B40BE0A"/>
    <w:rsid w:val="2C754F4C"/>
    <w:rsid w:val="2CDD4113"/>
    <w:rsid w:val="2D2F236D"/>
    <w:rsid w:val="2DA30175"/>
    <w:rsid w:val="2F373EE1"/>
    <w:rsid w:val="2F4A0520"/>
    <w:rsid w:val="2FC35851"/>
    <w:rsid w:val="30AC9B88"/>
    <w:rsid w:val="313EE8BB"/>
    <w:rsid w:val="31CB60E2"/>
    <w:rsid w:val="322CCE8B"/>
    <w:rsid w:val="3434C3B2"/>
    <w:rsid w:val="344F202F"/>
    <w:rsid w:val="35945954"/>
    <w:rsid w:val="37F22D68"/>
    <w:rsid w:val="3953BE67"/>
    <w:rsid w:val="3D09D2C3"/>
    <w:rsid w:val="3E6A9CDC"/>
    <w:rsid w:val="41BEE8A0"/>
    <w:rsid w:val="42B19D0C"/>
    <w:rsid w:val="44EC9B99"/>
    <w:rsid w:val="4570D284"/>
    <w:rsid w:val="462FE0F6"/>
    <w:rsid w:val="46C08620"/>
    <w:rsid w:val="470B97BE"/>
    <w:rsid w:val="471F5714"/>
    <w:rsid w:val="4793F505"/>
    <w:rsid w:val="48506A00"/>
    <w:rsid w:val="48B4FF91"/>
    <w:rsid w:val="4C885491"/>
    <w:rsid w:val="4F61F79D"/>
    <w:rsid w:val="53EA90FB"/>
    <w:rsid w:val="548495EF"/>
    <w:rsid w:val="549CDF07"/>
    <w:rsid w:val="54CD96E5"/>
    <w:rsid w:val="5506DC0E"/>
    <w:rsid w:val="5558913F"/>
    <w:rsid w:val="55675764"/>
    <w:rsid w:val="55D15D50"/>
    <w:rsid w:val="56146B76"/>
    <w:rsid w:val="56ED96F1"/>
    <w:rsid w:val="575CD044"/>
    <w:rsid w:val="58A703DC"/>
    <w:rsid w:val="59064442"/>
    <w:rsid w:val="5A4B366B"/>
    <w:rsid w:val="5A81CD5B"/>
    <w:rsid w:val="5AB6BDDF"/>
    <w:rsid w:val="5E686CCF"/>
    <w:rsid w:val="5E916E0C"/>
    <w:rsid w:val="5EC58E66"/>
    <w:rsid w:val="60154D92"/>
    <w:rsid w:val="61D203B2"/>
    <w:rsid w:val="63C30B4C"/>
    <w:rsid w:val="63E9A3B4"/>
    <w:rsid w:val="6506D777"/>
    <w:rsid w:val="6539CB9E"/>
    <w:rsid w:val="65760C63"/>
    <w:rsid w:val="6586FC13"/>
    <w:rsid w:val="67008318"/>
    <w:rsid w:val="6729092E"/>
    <w:rsid w:val="67484B62"/>
    <w:rsid w:val="68B8DF59"/>
    <w:rsid w:val="69F9B004"/>
    <w:rsid w:val="6A3A1A01"/>
    <w:rsid w:val="6AFD2398"/>
    <w:rsid w:val="6C19A5C7"/>
    <w:rsid w:val="6C2BA37B"/>
    <w:rsid w:val="6C4CAB30"/>
    <w:rsid w:val="6DE3D472"/>
    <w:rsid w:val="6EA264CA"/>
    <w:rsid w:val="6EB0119F"/>
    <w:rsid w:val="6FD3858A"/>
    <w:rsid w:val="6FDC5FEB"/>
    <w:rsid w:val="7003E666"/>
    <w:rsid w:val="70C93EA0"/>
    <w:rsid w:val="71024397"/>
    <w:rsid w:val="7162F1D7"/>
    <w:rsid w:val="72258FB7"/>
    <w:rsid w:val="72925808"/>
    <w:rsid w:val="730EE2E0"/>
    <w:rsid w:val="7378178D"/>
    <w:rsid w:val="7398F762"/>
    <w:rsid w:val="73C794BE"/>
    <w:rsid w:val="74A841FA"/>
    <w:rsid w:val="75C814C5"/>
    <w:rsid w:val="761D8C91"/>
    <w:rsid w:val="76EE7BB7"/>
    <w:rsid w:val="77AF596A"/>
    <w:rsid w:val="78FB03F5"/>
    <w:rsid w:val="79E8190B"/>
    <w:rsid w:val="7AFE026A"/>
    <w:rsid w:val="7C0B23D2"/>
    <w:rsid w:val="7EC3F1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B83D"/>
  <w15:chartTrackingRefBased/>
  <w15:docId w15:val="{29C1FD11-9DBF-4A06-BF86-E3CBB96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C6054"/>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7C6054"/>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7C6054"/>
    <w:pPr>
      <w:numPr>
        <w:numId w:val="26"/>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7C6054"/>
    <w:pPr>
      <w:numPr>
        <w:numId w:val="27"/>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7C6054"/>
    <w:pPr>
      <w:numPr>
        <w:numId w:val="3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7C6054"/>
    <w:pPr>
      <w:numPr>
        <w:numId w:val="28"/>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7C6054"/>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7C6054"/>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7C6054"/>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7C6054"/>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6054"/>
    <w:rPr>
      <w:rFonts w:ascii="Times New Roman" w:hAnsi="Times New Roman"/>
      <w:b/>
      <w:sz w:val="18"/>
      <w:lang w:val="fr-FR"/>
    </w:rPr>
  </w:style>
  <w:style w:type="table" w:customStyle="1" w:styleId="Tabledocright">
    <w:name w:val="Table_doc_right"/>
    <w:basedOn w:val="TableNormal"/>
    <w:rsid w:val="007C605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6054"/>
    <w:pPr>
      <w:ind w:left="1000"/>
    </w:pPr>
    <w:rPr>
      <w:sz w:val="18"/>
      <w:szCs w:val="18"/>
    </w:rPr>
  </w:style>
  <w:style w:type="paragraph" w:styleId="TOC7">
    <w:name w:val="toc 7"/>
    <w:basedOn w:val="Normal"/>
    <w:next w:val="Normal"/>
    <w:autoRedefine/>
    <w:semiHidden/>
    <w:rsid w:val="007C6054"/>
    <w:pPr>
      <w:ind w:left="1200"/>
    </w:pPr>
    <w:rPr>
      <w:sz w:val="18"/>
      <w:szCs w:val="18"/>
    </w:rPr>
  </w:style>
  <w:style w:type="paragraph" w:styleId="TOC8">
    <w:name w:val="toc 8"/>
    <w:basedOn w:val="Normal"/>
    <w:next w:val="Normal"/>
    <w:autoRedefine/>
    <w:semiHidden/>
    <w:rsid w:val="007C6054"/>
    <w:pPr>
      <w:ind w:left="1400"/>
    </w:pPr>
    <w:rPr>
      <w:sz w:val="18"/>
      <w:szCs w:val="18"/>
    </w:rPr>
  </w:style>
  <w:style w:type="paragraph" w:styleId="TOC9">
    <w:name w:val="toc 9"/>
    <w:basedOn w:val="Normal"/>
    <w:next w:val="Normal"/>
    <w:autoRedefine/>
    <w:semiHidden/>
    <w:rsid w:val="007C6054"/>
    <w:pPr>
      <w:ind w:left="1600"/>
    </w:pPr>
    <w:rPr>
      <w:sz w:val="18"/>
      <w:szCs w:val="18"/>
    </w:rPr>
  </w:style>
  <w:style w:type="paragraph" w:customStyle="1" w:styleId="Titlefigure">
    <w:name w:val="Title_figure"/>
    <w:basedOn w:val="Titletable"/>
    <w:next w:val="NormalNonumber"/>
    <w:rsid w:val="007C6054"/>
    <w:rPr>
      <w:bCs w:val="0"/>
    </w:rPr>
  </w:style>
  <w:style w:type="paragraph" w:styleId="TableofFigures">
    <w:name w:val="table of figures"/>
    <w:basedOn w:val="Normal"/>
    <w:next w:val="Normal"/>
    <w:autoRedefine/>
    <w:semiHidden/>
    <w:rsid w:val="007C6054"/>
    <w:pPr>
      <w:ind w:left="1814" w:hanging="567"/>
    </w:pPr>
  </w:style>
  <w:style w:type="paragraph" w:customStyle="1" w:styleId="CH1">
    <w:name w:val="CH1"/>
    <w:basedOn w:val="Normal-pool"/>
    <w:next w:val="CH2"/>
    <w:qFormat/>
    <w:rsid w:val="007C605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7C6054"/>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C6054"/>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7C6054"/>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7C605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7C6054"/>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81009C"/>
    <w:pPr>
      <w:tabs>
        <w:tab w:val="left" w:pos="4321"/>
        <w:tab w:val="right" w:pos="8641"/>
      </w:tabs>
      <w:spacing w:before="60" w:after="120"/>
    </w:pPr>
    <w:rPr>
      <w:b/>
      <w:sz w:val="18"/>
    </w:rPr>
  </w:style>
  <w:style w:type="paragraph" w:customStyle="1" w:styleId="Footer-pool">
    <w:name w:val="Footer-pool"/>
    <w:basedOn w:val="Normal"/>
    <w:next w:val="Normal"/>
    <w:rsid w:val="007C6054"/>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7C6054"/>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7C6054"/>
    <w:pPr>
      <w:tabs>
        <w:tab w:val="left" w:pos="624"/>
        <w:tab w:val="left" w:pos="1247"/>
        <w:tab w:val="left" w:pos="1871"/>
        <w:tab w:val="left" w:pos="2495"/>
        <w:tab w:val="left" w:pos="3119"/>
        <w:tab w:val="left" w:pos="3742"/>
        <w:tab w:val="left" w:pos="4366"/>
      </w:tabs>
    </w:p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7C6054"/>
    <w:pPr>
      <w:tabs>
        <w:tab w:val="left" w:pos="4082"/>
      </w:tabs>
      <w:spacing w:before="20" w:after="40"/>
      <w:ind w:left="1247"/>
    </w:pPr>
    <w:rPr>
      <w:sz w:val="18"/>
    </w:rPr>
  </w:style>
  <w:style w:type="table" w:customStyle="1" w:styleId="AATable">
    <w:name w:val="AA_Table"/>
    <w:basedOn w:val="TableNormal"/>
    <w:semiHidden/>
    <w:rsid w:val="0081009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6054"/>
    <w:pPr>
      <w:keepNext/>
      <w:keepLines/>
      <w:suppressAutoHyphens/>
    </w:pPr>
    <w:rPr>
      <w:b/>
    </w:rPr>
  </w:style>
  <w:style w:type="paragraph" w:customStyle="1" w:styleId="AATitle2">
    <w:name w:val="AA_Title2"/>
    <w:basedOn w:val="AATitle"/>
    <w:qFormat/>
    <w:rsid w:val="007C6054"/>
    <w:pPr>
      <w:keepNext w:val="0"/>
      <w:keepLines w:val="0"/>
      <w:spacing w:before="120" w:after="120"/>
    </w:pPr>
  </w:style>
  <w:style w:type="paragraph" w:customStyle="1" w:styleId="BBTitle">
    <w:name w:val="BB_Title"/>
    <w:basedOn w:val="Normal-pool"/>
    <w:qFormat/>
    <w:rsid w:val="007C6054"/>
    <w:pPr>
      <w:keepNext/>
      <w:keepLines/>
      <w:suppressAutoHyphens/>
      <w:spacing w:before="320" w:after="240"/>
      <w:ind w:left="1247" w:right="567"/>
    </w:pPr>
    <w:rPr>
      <w:b/>
      <w:sz w:val="28"/>
      <w:szCs w:val="28"/>
    </w:rPr>
  </w:style>
  <w:style w:type="paragraph" w:styleId="Footer">
    <w:name w:val="footer"/>
    <w:basedOn w:val="Normal"/>
    <w:link w:val="FooterChar"/>
    <w:uiPriority w:val="99"/>
    <w:rsid w:val="007C6054"/>
    <w:pPr>
      <w:tabs>
        <w:tab w:val="clear" w:pos="1247"/>
        <w:tab w:val="clear" w:pos="1814"/>
        <w:tab w:val="clear" w:pos="2381"/>
        <w:tab w:val="clear" w:pos="2948"/>
        <w:tab w:val="clear" w:pos="3515"/>
        <w:tab w:val="center" w:pos="4513"/>
        <w:tab w:val="right" w:pos="9026"/>
      </w:tabs>
    </w:pPr>
  </w:style>
  <w:style w:type="paragraph" w:styleId="Header">
    <w:name w:val="header"/>
    <w:basedOn w:val="Normal"/>
    <w:link w:val="HeaderChar"/>
    <w:uiPriority w:val="99"/>
    <w:rsid w:val="007C6054"/>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C6054"/>
    <w:rPr>
      <w:color w:val="0000FF"/>
      <w:u w:val="none"/>
      <w:lang w:val="fr-FR"/>
    </w:rPr>
  </w:style>
  <w:style w:type="numbering" w:customStyle="1" w:styleId="Normallist">
    <w:name w:val="Normal_list"/>
    <w:basedOn w:val="NoList"/>
    <w:rsid w:val="007C6054"/>
    <w:pPr>
      <w:numPr>
        <w:numId w:val="1"/>
      </w:numPr>
    </w:pPr>
  </w:style>
  <w:style w:type="paragraph" w:customStyle="1" w:styleId="NormalNonumber">
    <w:name w:val="Normal_No_number"/>
    <w:basedOn w:val="Normal-pool"/>
    <w:qFormat/>
    <w:rsid w:val="007C6054"/>
    <w:pPr>
      <w:spacing w:after="120"/>
      <w:ind w:left="1247"/>
    </w:pPr>
  </w:style>
  <w:style w:type="paragraph" w:customStyle="1" w:styleId="Normalnumber">
    <w:name w:val="Normal_number"/>
    <w:basedOn w:val="Normal"/>
    <w:link w:val="NormalnumberChar"/>
    <w:qFormat/>
    <w:rsid w:val="007C6054"/>
    <w:pPr>
      <w:numPr>
        <w:numId w:val="32"/>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7C6054"/>
    <w:pPr>
      <w:keepNext/>
      <w:keepLines/>
      <w:suppressAutoHyphens/>
      <w:spacing w:after="60"/>
      <w:ind w:left="1247"/>
    </w:pPr>
    <w:rPr>
      <w:b/>
      <w:bCs/>
    </w:rPr>
  </w:style>
  <w:style w:type="paragraph" w:styleId="TOC1">
    <w:name w:val="toc 1"/>
    <w:basedOn w:val="Normal"/>
    <w:next w:val="Normal"/>
    <w:autoRedefine/>
    <w:uiPriority w:val="39"/>
    <w:unhideWhenUsed/>
    <w:rsid w:val="007C6054"/>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7C6054"/>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7C6054"/>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7C6054"/>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7C6054"/>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7C6054"/>
    <w:rPr>
      <w:b/>
      <w:bCs/>
      <w:sz w:val="28"/>
      <w:szCs w:val="22"/>
    </w:rPr>
  </w:style>
  <w:style w:type="paragraph" w:customStyle="1" w:styleId="ZZAnxtitle">
    <w:name w:val="ZZ_Anx_title"/>
    <w:basedOn w:val="Normal-pool"/>
    <w:rsid w:val="007C6054"/>
    <w:pPr>
      <w:spacing w:before="360" w:after="120"/>
      <w:ind w:left="1247"/>
    </w:pPr>
    <w:rPr>
      <w:b/>
      <w:bCs/>
      <w:sz w:val="28"/>
      <w:szCs w:val="26"/>
    </w:rPr>
  </w:style>
  <w:style w:type="paragraph" w:styleId="NormalWeb">
    <w:name w:val="Normal (Web)"/>
    <w:basedOn w:val="Normal"/>
    <w:uiPriority w:val="99"/>
    <w:unhideWhenUsed/>
    <w:rsid w:val="0081009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6054"/>
    <w:pPr>
      <w:spacing w:before="40" w:after="40"/>
    </w:pPr>
    <w:rPr>
      <w:sz w:val="18"/>
    </w:rPr>
  </w:style>
  <w:style w:type="paragraph" w:customStyle="1" w:styleId="Footnote-Text">
    <w:name w:val="Footnote-Text"/>
    <w:basedOn w:val="Normal-pool"/>
    <w:rsid w:val="007C6054"/>
    <w:pPr>
      <w:spacing w:before="20" w:after="40"/>
      <w:ind w:left="1247"/>
    </w:pPr>
    <w:rPr>
      <w:sz w:val="18"/>
    </w:rPr>
  </w:style>
  <w:style w:type="character" w:customStyle="1" w:styleId="Normal-poolChar">
    <w:name w:val="Normal-pool Char"/>
    <w:link w:val="Normal-pool"/>
    <w:locked/>
    <w:rsid w:val="0081009C"/>
  </w:style>
  <w:style w:type="paragraph" w:customStyle="1" w:styleId="AConvName">
    <w:name w:val="A_ConvName"/>
    <w:basedOn w:val="Normal-pool"/>
    <w:next w:val="Normal-pool"/>
    <w:rsid w:val="007C6054"/>
    <w:pPr>
      <w:tabs>
        <w:tab w:val="clear" w:pos="1247"/>
      </w:tabs>
      <w:spacing w:before="120" w:after="240"/>
    </w:pPr>
    <w:rPr>
      <w:rFonts w:ascii="Arial" w:hAnsi="Arial"/>
      <w:b/>
      <w:sz w:val="28"/>
    </w:rPr>
  </w:style>
  <w:style w:type="paragraph" w:customStyle="1" w:styleId="ASymbol">
    <w:name w:val="A_Symbol"/>
    <w:basedOn w:val="Normal-pool"/>
    <w:rsid w:val="007C6054"/>
    <w:pPr>
      <w:tabs>
        <w:tab w:val="clear" w:pos="1247"/>
      </w:tabs>
    </w:pPr>
  </w:style>
  <w:style w:type="paragraph" w:customStyle="1" w:styleId="AText">
    <w:name w:val="A_Text"/>
    <w:basedOn w:val="Normal-pool"/>
    <w:rsid w:val="007C6054"/>
    <w:pPr>
      <w:spacing w:before="120"/>
    </w:pPr>
  </w:style>
  <w:style w:type="paragraph" w:customStyle="1" w:styleId="ATwoLetters">
    <w:name w:val="A_TwoLetters"/>
    <w:basedOn w:val="Normal-pool"/>
    <w:next w:val="Normal-pool"/>
    <w:rsid w:val="007C605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C605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81009C"/>
    <w:rPr>
      <w:rFonts w:ascii="Tahoma" w:hAnsi="Tahoma" w:cs="Tahoma"/>
      <w:sz w:val="16"/>
      <w:szCs w:val="16"/>
    </w:rPr>
  </w:style>
  <w:style w:type="character" w:customStyle="1" w:styleId="BalloonTextChar">
    <w:name w:val="Balloon Text Char"/>
    <w:basedOn w:val="DefaultParagraphFont"/>
    <w:link w:val="BalloonText"/>
    <w:rsid w:val="0081009C"/>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7C6054"/>
    <w:rPr>
      <w:sz w:val="16"/>
      <w:szCs w:val="16"/>
      <w:lang w:val="fr-FR"/>
    </w:rPr>
  </w:style>
  <w:style w:type="paragraph" w:styleId="CommentText">
    <w:name w:val="annotation text"/>
    <w:basedOn w:val="Normal"/>
    <w:link w:val="CommentTextChar"/>
    <w:unhideWhenUsed/>
    <w:rsid w:val="007C6054"/>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7C6054"/>
    <w:rPr>
      <w:rFonts w:eastAsia="Times New Roman"/>
      <w:lang w:val="fr-FR" w:eastAsia="en-US"/>
    </w:rPr>
  </w:style>
  <w:style w:type="paragraph" w:styleId="CommentSubject">
    <w:name w:val="annotation subject"/>
    <w:basedOn w:val="CommentText"/>
    <w:next w:val="CommentText"/>
    <w:link w:val="CommentSubjectChar"/>
    <w:semiHidden/>
    <w:unhideWhenUsed/>
    <w:rsid w:val="007C6054"/>
    <w:rPr>
      <w:b/>
      <w:bCs/>
    </w:rPr>
  </w:style>
  <w:style w:type="character" w:customStyle="1" w:styleId="CommentSubjectChar">
    <w:name w:val="Comment Subject Char"/>
    <w:basedOn w:val="CommentTextChar"/>
    <w:link w:val="CommentSubject"/>
    <w:semiHidden/>
    <w:rsid w:val="007C6054"/>
    <w:rPr>
      <w:rFonts w:eastAsia="Times New Roman"/>
      <w:b/>
      <w:bCs/>
      <w:lang w:val="fr-FR" w:eastAsia="en-US"/>
    </w:rPr>
  </w:style>
  <w:style w:type="character" w:styleId="FollowedHyperlink">
    <w:name w:val="FollowedHyperlink"/>
    <w:uiPriority w:val="99"/>
    <w:semiHidden/>
    <w:rsid w:val="007C6054"/>
    <w:rPr>
      <w:color w:val="0000FF"/>
      <w:u w:val="none"/>
      <w:lang w:val="fr-FR"/>
    </w:rPr>
  </w:style>
  <w:style w:type="character" w:customStyle="1" w:styleId="FooterChar">
    <w:name w:val="Footer Char"/>
    <w:basedOn w:val="DefaultParagraphFont"/>
    <w:link w:val="Footer"/>
    <w:uiPriority w:val="99"/>
    <w:rsid w:val="007C6054"/>
    <w:rPr>
      <w:rFonts w:eastAsia="Times New Roman"/>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81009C"/>
    <w:rPr>
      <w:rFonts w:eastAsia="Times New Roman"/>
      <w:sz w:val="18"/>
      <w:lang w:val="fr-FR" w:eastAsia="en-US"/>
    </w:rPr>
  </w:style>
  <w:style w:type="character" w:customStyle="1" w:styleId="HeaderChar">
    <w:name w:val="Header Char"/>
    <w:basedOn w:val="DefaultParagraphFont"/>
    <w:link w:val="Header"/>
    <w:uiPriority w:val="99"/>
    <w:rsid w:val="007C6054"/>
    <w:rPr>
      <w:rFonts w:eastAsia="Times New Roman"/>
      <w:lang w:val="fr-FR" w:eastAsia="en-US"/>
    </w:rPr>
  </w:style>
  <w:style w:type="character" w:customStyle="1" w:styleId="Heading1Char">
    <w:name w:val="Heading 1 Char"/>
    <w:basedOn w:val="DefaultParagraphFont"/>
    <w:link w:val="Heading1"/>
    <w:rsid w:val="007C6054"/>
    <w:rPr>
      <w:rFonts w:eastAsia="Times New Roman"/>
      <w:b/>
      <w:sz w:val="28"/>
      <w:szCs w:val="28"/>
      <w:lang w:val="fr-FR"/>
    </w:rPr>
  </w:style>
  <w:style w:type="character" w:customStyle="1" w:styleId="Heading2Char">
    <w:name w:val="Heading 2 Char"/>
    <w:basedOn w:val="DefaultParagraphFont"/>
    <w:link w:val="Heading2"/>
    <w:rsid w:val="007C6054"/>
    <w:rPr>
      <w:rFonts w:eastAsia="Times New Roman"/>
      <w:b/>
      <w:sz w:val="24"/>
      <w:szCs w:val="24"/>
      <w:lang w:val="fr-FR"/>
    </w:rPr>
  </w:style>
  <w:style w:type="character" w:customStyle="1" w:styleId="Heading3Char">
    <w:name w:val="Heading 3 Char"/>
    <w:basedOn w:val="DefaultParagraphFont"/>
    <w:link w:val="Heading3"/>
    <w:rsid w:val="007C6054"/>
    <w:rPr>
      <w:rFonts w:eastAsia="Times New Roman"/>
      <w:b/>
      <w:lang w:val="fr-FR"/>
    </w:rPr>
  </w:style>
  <w:style w:type="character" w:customStyle="1" w:styleId="Heading4Char">
    <w:name w:val="Heading 4 Char"/>
    <w:basedOn w:val="DefaultParagraphFont"/>
    <w:link w:val="Heading4"/>
    <w:rsid w:val="007C6054"/>
    <w:rPr>
      <w:rFonts w:eastAsia="Times New Roman"/>
      <w:b/>
      <w:lang w:val="fr-FR" w:eastAsia="en-US"/>
    </w:rPr>
  </w:style>
  <w:style w:type="character" w:customStyle="1" w:styleId="Heading5Char">
    <w:name w:val="Heading 5 Char"/>
    <w:basedOn w:val="DefaultParagraphFont"/>
    <w:link w:val="Heading5"/>
    <w:rsid w:val="007C6054"/>
    <w:rPr>
      <w:rFonts w:eastAsia="Times New Roman"/>
      <w:b/>
      <w:lang w:val="fr-FR"/>
    </w:rPr>
  </w:style>
  <w:style w:type="character" w:customStyle="1" w:styleId="Heading6Char">
    <w:name w:val="Heading 6 Char"/>
    <w:basedOn w:val="DefaultParagraphFont"/>
    <w:link w:val="Heading6"/>
    <w:rsid w:val="007C6054"/>
    <w:rPr>
      <w:rFonts w:eastAsia="Times New Roman"/>
      <w:bCs/>
      <w:sz w:val="24"/>
      <w:lang w:val="fr-FR"/>
    </w:rPr>
  </w:style>
  <w:style w:type="character" w:customStyle="1" w:styleId="Heading7Char">
    <w:name w:val="Heading 7 Char"/>
    <w:basedOn w:val="DefaultParagraphFont"/>
    <w:link w:val="Heading7"/>
    <w:rsid w:val="007C6054"/>
    <w:rPr>
      <w:rFonts w:eastAsia="Times New Roman"/>
      <w:b/>
      <w:snapToGrid w:val="0"/>
      <w:u w:val="single"/>
      <w:lang w:val="fr-FR"/>
    </w:rPr>
  </w:style>
  <w:style w:type="character" w:customStyle="1" w:styleId="Heading8Char">
    <w:name w:val="Heading 8 Char"/>
    <w:basedOn w:val="DefaultParagraphFont"/>
    <w:link w:val="Heading8"/>
    <w:rsid w:val="007C6054"/>
    <w:rPr>
      <w:rFonts w:eastAsia="Times New Roman"/>
      <w:b/>
      <w:snapToGrid w:val="0"/>
      <w:u w:val="single"/>
      <w:lang w:val="fr-FR"/>
    </w:rPr>
  </w:style>
  <w:style w:type="character" w:customStyle="1" w:styleId="Heading9Char">
    <w:name w:val="Heading 9 Char"/>
    <w:basedOn w:val="DefaultParagraphFont"/>
    <w:link w:val="Heading9"/>
    <w:rsid w:val="007C6054"/>
    <w:rPr>
      <w:rFonts w:eastAsia="Times New Roman"/>
      <w:snapToGrid w:val="0"/>
      <w:u w:val="single"/>
      <w:lang w:val="fr-FR"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81009C"/>
    <w:pPr>
      <w:ind w:left="720"/>
      <w:contextualSpacing/>
    </w:pPr>
  </w:style>
  <w:style w:type="paragraph" w:styleId="NoSpacing">
    <w:name w:val="No Spacing"/>
    <w:uiPriority w:val="1"/>
    <w:semiHidden/>
    <w:qFormat/>
    <w:rsid w:val="0081009C"/>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C6054"/>
    <w:rPr>
      <w:rFonts w:eastAsia="Times New Roman"/>
      <w:lang w:eastAsia="en-US"/>
    </w:rPr>
  </w:style>
  <w:style w:type="character" w:styleId="PlaceholderText">
    <w:name w:val="Placeholder Text"/>
    <w:basedOn w:val="DefaultParagraphFont"/>
    <w:uiPriority w:val="99"/>
    <w:semiHidden/>
    <w:rsid w:val="0081009C"/>
    <w:rPr>
      <w:color w:val="808080"/>
      <w:lang w:val="fr-FR"/>
    </w:rPr>
  </w:style>
  <w:style w:type="table" w:styleId="TableGrid">
    <w:name w:val="Table Grid"/>
    <w:basedOn w:val="TableNormal"/>
    <w:rsid w:val="0081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6054"/>
    <w:pPr>
      <w:spacing w:before="120" w:after="240"/>
    </w:pPr>
    <w:rPr>
      <w:rFonts w:eastAsia="Times New Roman"/>
    </w:rPr>
  </w:style>
  <w:style w:type="character" w:customStyle="1" w:styleId="ALogoChar">
    <w:name w:val="A_Logo Char"/>
    <w:basedOn w:val="DefaultParagraphFont"/>
    <w:link w:val="ALogo"/>
    <w:rsid w:val="007C6054"/>
    <w:rPr>
      <w:rFonts w:eastAsia="Times New Roman"/>
      <w:lang w:val="fr-FR"/>
    </w:rPr>
  </w:style>
  <w:style w:type="paragraph" w:customStyle="1" w:styleId="ASpacer">
    <w:name w:val="A_Spacer"/>
    <w:basedOn w:val="Normal-pool"/>
    <w:link w:val="ASpacerChar"/>
    <w:qFormat/>
    <w:rsid w:val="007C6054"/>
    <w:rPr>
      <w:rFonts w:eastAsia="Times New Roman"/>
      <w:sz w:val="2"/>
    </w:rPr>
  </w:style>
  <w:style w:type="character" w:customStyle="1" w:styleId="ASpacerChar">
    <w:name w:val="A_Spacer Char"/>
    <w:basedOn w:val="DefaultParagraphFont"/>
    <w:link w:val="ASpacer"/>
    <w:rsid w:val="007C6054"/>
    <w:rPr>
      <w:rFonts w:eastAsia="Times New Roman"/>
      <w:sz w:val="2"/>
      <w:lang w:val="fr-FR"/>
    </w:rPr>
  </w:style>
  <w:style w:type="paragraph" w:customStyle="1" w:styleId="AATitle1">
    <w:name w:val="AA_Title1"/>
    <w:basedOn w:val="Normal-pool"/>
    <w:qFormat/>
    <w:rsid w:val="007C6054"/>
  </w:style>
  <w:style w:type="character" w:styleId="UnresolvedMention">
    <w:name w:val="Unresolved Mention"/>
    <w:basedOn w:val="DefaultParagraphFont"/>
    <w:uiPriority w:val="99"/>
    <w:semiHidden/>
    <w:rsid w:val="0081009C"/>
    <w:rPr>
      <w:color w:val="605E5C"/>
      <w:shd w:val="clear" w:color="auto" w:fill="E1DFDD"/>
      <w:lang w:val="fr-FR"/>
    </w:rPr>
  </w:style>
  <w:style w:type="paragraph" w:customStyle="1" w:styleId="ANormal">
    <w:name w:val="A_Normal"/>
    <w:basedOn w:val="Normal-pool"/>
    <w:qFormat/>
    <w:rsid w:val="007C6054"/>
    <w:rPr>
      <w:rFonts w:eastAsia="Times New Roman"/>
    </w:rPr>
  </w:style>
  <w:style w:type="paragraph" w:customStyle="1" w:styleId="AText0">
    <w:name w:val="A_Text0"/>
    <w:basedOn w:val="AText"/>
    <w:next w:val="Normal-pool"/>
    <w:qFormat/>
    <w:rsid w:val="007C6054"/>
    <w:pPr>
      <w:spacing w:before="0" w:after="120"/>
    </w:pPr>
    <w:rPr>
      <w:rFonts w:eastAsia="Times New Roman"/>
    </w:rPr>
  </w:style>
  <w:style w:type="paragraph" w:styleId="Bibliography">
    <w:name w:val="Bibliography"/>
    <w:basedOn w:val="Normal"/>
    <w:next w:val="Normal"/>
    <w:uiPriority w:val="37"/>
    <w:semiHidden/>
    <w:rsid w:val="0081009C"/>
  </w:style>
  <w:style w:type="paragraph" w:styleId="BlockText">
    <w:name w:val="Block Text"/>
    <w:basedOn w:val="Normal"/>
    <w:semiHidden/>
    <w:unhideWhenUsed/>
    <w:rsid w:val="008100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1009C"/>
    <w:pPr>
      <w:spacing w:after="120"/>
    </w:pPr>
  </w:style>
  <w:style w:type="character" w:customStyle="1" w:styleId="BodyTextChar">
    <w:name w:val="Body Text Char"/>
    <w:basedOn w:val="DefaultParagraphFont"/>
    <w:link w:val="BodyText"/>
    <w:semiHidden/>
    <w:rsid w:val="0081009C"/>
    <w:rPr>
      <w:rFonts w:eastAsia="Times New Roman"/>
      <w:lang w:val="fr-FR" w:eastAsia="en-US"/>
    </w:rPr>
  </w:style>
  <w:style w:type="paragraph" w:styleId="BodyText2">
    <w:name w:val="Body Text 2"/>
    <w:basedOn w:val="Normal"/>
    <w:link w:val="BodyText2Char"/>
    <w:semiHidden/>
    <w:unhideWhenUsed/>
    <w:rsid w:val="0081009C"/>
    <w:pPr>
      <w:spacing w:after="120" w:line="480" w:lineRule="auto"/>
    </w:pPr>
  </w:style>
  <w:style w:type="character" w:customStyle="1" w:styleId="BodyText2Char">
    <w:name w:val="Body Text 2 Char"/>
    <w:basedOn w:val="DefaultParagraphFont"/>
    <w:link w:val="BodyText2"/>
    <w:semiHidden/>
    <w:rsid w:val="0081009C"/>
    <w:rPr>
      <w:rFonts w:eastAsia="Times New Roman"/>
      <w:lang w:val="fr-FR" w:eastAsia="en-US"/>
    </w:rPr>
  </w:style>
  <w:style w:type="paragraph" w:styleId="BodyText3">
    <w:name w:val="Body Text 3"/>
    <w:basedOn w:val="Normal"/>
    <w:link w:val="BodyText3Char"/>
    <w:semiHidden/>
    <w:unhideWhenUsed/>
    <w:rsid w:val="0081009C"/>
    <w:pPr>
      <w:spacing w:after="120"/>
    </w:pPr>
    <w:rPr>
      <w:sz w:val="16"/>
      <w:szCs w:val="16"/>
    </w:rPr>
  </w:style>
  <w:style w:type="character" w:customStyle="1" w:styleId="BodyText3Char">
    <w:name w:val="Body Text 3 Char"/>
    <w:basedOn w:val="DefaultParagraphFont"/>
    <w:link w:val="BodyText3"/>
    <w:semiHidden/>
    <w:rsid w:val="0081009C"/>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81009C"/>
    <w:pPr>
      <w:spacing w:after="0"/>
      <w:ind w:firstLine="360"/>
    </w:pPr>
  </w:style>
  <w:style w:type="character" w:customStyle="1" w:styleId="BodyTextFirstIndentChar">
    <w:name w:val="Body Text First Indent Char"/>
    <w:basedOn w:val="BodyTextChar"/>
    <w:link w:val="BodyTextFirstIndent"/>
    <w:semiHidden/>
    <w:rsid w:val="0081009C"/>
    <w:rPr>
      <w:rFonts w:eastAsia="Times New Roman"/>
      <w:lang w:val="fr-FR" w:eastAsia="en-US"/>
    </w:rPr>
  </w:style>
  <w:style w:type="paragraph" w:styleId="BodyTextIndent">
    <w:name w:val="Body Text Indent"/>
    <w:basedOn w:val="Normal"/>
    <w:link w:val="BodyTextIndentChar"/>
    <w:semiHidden/>
    <w:unhideWhenUsed/>
    <w:rsid w:val="0081009C"/>
    <w:pPr>
      <w:spacing w:after="120"/>
      <w:ind w:left="283"/>
    </w:pPr>
  </w:style>
  <w:style w:type="character" w:customStyle="1" w:styleId="BodyTextIndentChar">
    <w:name w:val="Body Text Indent Char"/>
    <w:basedOn w:val="DefaultParagraphFont"/>
    <w:link w:val="BodyTextIndent"/>
    <w:semiHidden/>
    <w:rsid w:val="0081009C"/>
    <w:rPr>
      <w:rFonts w:eastAsia="Times New Roman"/>
      <w:lang w:val="fr-FR" w:eastAsia="en-US"/>
    </w:rPr>
  </w:style>
  <w:style w:type="paragraph" w:styleId="BodyTextFirstIndent2">
    <w:name w:val="Body Text First Indent 2"/>
    <w:basedOn w:val="BodyTextIndent"/>
    <w:link w:val="BodyTextFirstIndent2Char"/>
    <w:semiHidden/>
    <w:unhideWhenUsed/>
    <w:rsid w:val="0081009C"/>
    <w:pPr>
      <w:spacing w:after="0"/>
      <w:ind w:left="360" w:firstLine="360"/>
    </w:pPr>
  </w:style>
  <w:style w:type="character" w:customStyle="1" w:styleId="BodyTextFirstIndent2Char">
    <w:name w:val="Body Text First Indent 2 Char"/>
    <w:basedOn w:val="BodyTextIndentChar"/>
    <w:link w:val="BodyTextFirstIndent2"/>
    <w:semiHidden/>
    <w:rsid w:val="0081009C"/>
    <w:rPr>
      <w:rFonts w:eastAsia="Times New Roman"/>
      <w:lang w:val="fr-FR" w:eastAsia="en-US"/>
    </w:rPr>
  </w:style>
  <w:style w:type="paragraph" w:styleId="BodyTextIndent2">
    <w:name w:val="Body Text Indent 2"/>
    <w:basedOn w:val="Normal"/>
    <w:link w:val="BodyTextIndent2Char"/>
    <w:semiHidden/>
    <w:unhideWhenUsed/>
    <w:rsid w:val="0081009C"/>
    <w:pPr>
      <w:spacing w:after="120" w:line="480" w:lineRule="auto"/>
      <w:ind w:left="283"/>
    </w:pPr>
  </w:style>
  <w:style w:type="character" w:customStyle="1" w:styleId="BodyTextIndent2Char">
    <w:name w:val="Body Text Indent 2 Char"/>
    <w:basedOn w:val="DefaultParagraphFont"/>
    <w:link w:val="BodyTextIndent2"/>
    <w:semiHidden/>
    <w:rsid w:val="0081009C"/>
    <w:rPr>
      <w:rFonts w:eastAsia="Times New Roman"/>
      <w:lang w:val="fr-FR" w:eastAsia="en-US"/>
    </w:rPr>
  </w:style>
  <w:style w:type="paragraph" w:styleId="BodyTextIndent3">
    <w:name w:val="Body Text Indent 3"/>
    <w:basedOn w:val="Normal"/>
    <w:link w:val="BodyTextIndent3Char"/>
    <w:semiHidden/>
    <w:unhideWhenUsed/>
    <w:rsid w:val="0081009C"/>
    <w:pPr>
      <w:spacing w:after="120"/>
      <w:ind w:left="283"/>
    </w:pPr>
    <w:rPr>
      <w:sz w:val="16"/>
      <w:szCs w:val="16"/>
    </w:rPr>
  </w:style>
  <w:style w:type="character" w:customStyle="1" w:styleId="BodyTextIndent3Char">
    <w:name w:val="Body Text Indent 3 Char"/>
    <w:basedOn w:val="DefaultParagraphFont"/>
    <w:link w:val="BodyTextIndent3"/>
    <w:semiHidden/>
    <w:rsid w:val="0081009C"/>
    <w:rPr>
      <w:rFonts w:eastAsia="Times New Roman"/>
      <w:sz w:val="16"/>
      <w:szCs w:val="16"/>
      <w:lang w:val="fr-FR" w:eastAsia="en-US"/>
    </w:rPr>
  </w:style>
  <w:style w:type="character" w:styleId="BookTitle">
    <w:name w:val="Book Title"/>
    <w:basedOn w:val="DefaultParagraphFont"/>
    <w:uiPriority w:val="33"/>
    <w:semiHidden/>
    <w:qFormat/>
    <w:rsid w:val="0081009C"/>
    <w:rPr>
      <w:b/>
      <w:bCs/>
      <w:i/>
      <w:iCs/>
      <w:spacing w:val="5"/>
      <w:lang w:val="fr-FR"/>
    </w:rPr>
  </w:style>
  <w:style w:type="paragraph" w:styleId="Caption">
    <w:name w:val="caption"/>
    <w:basedOn w:val="Normal"/>
    <w:next w:val="Normal"/>
    <w:semiHidden/>
    <w:unhideWhenUsed/>
    <w:qFormat/>
    <w:rsid w:val="0081009C"/>
    <w:pPr>
      <w:spacing w:after="200"/>
    </w:pPr>
    <w:rPr>
      <w:i/>
      <w:iCs/>
      <w:color w:val="1F497D" w:themeColor="text2"/>
      <w:sz w:val="18"/>
      <w:szCs w:val="18"/>
    </w:rPr>
  </w:style>
  <w:style w:type="paragraph" w:styleId="Closing">
    <w:name w:val="Closing"/>
    <w:basedOn w:val="Normal"/>
    <w:link w:val="ClosingChar"/>
    <w:semiHidden/>
    <w:unhideWhenUsed/>
    <w:rsid w:val="0081009C"/>
    <w:pPr>
      <w:ind w:left="4252"/>
    </w:pPr>
  </w:style>
  <w:style w:type="character" w:customStyle="1" w:styleId="ClosingChar">
    <w:name w:val="Closing Char"/>
    <w:basedOn w:val="DefaultParagraphFont"/>
    <w:link w:val="Closing"/>
    <w:semiHidden/>
    <w:rsid w:val="0081009C"/>
    <w:rPr>
      <w:rFonts w:eastAsia="Times New Roman"/>
      <w:lang w:val="fr-FR" w:eastAsia="en-US"/>
    </w:rPr>
  </w:style>
  <w:style w:type="table" w:styleId="ColorfulGrid">
    <w:name w:val="Colorful Grid"/>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100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100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00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100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100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100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100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100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100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00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00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00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100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00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00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100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00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100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100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100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100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100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1009C"/>
  </w:style>
  <w:style w:type="character" w:customStyle="1" w:styleId="DateChar">
    <w:name w:val="Date Char"/>
    <w:basedOn w:val="DefaultParagraphFont"/>
    <w:link w:val="Date"/>
    <w:semiHidden/>
    <w:rsid w:val="0081009C"/>
    <w:rPr>
      <w:rFonts w:eastAsia="Times New Roman"/>
      <w:lang w:val="fr-FR" w:eastAsia="en-US"/>
    </w:rPr>
  </w:style>
  <w:style w:type="paragraph" w:styleId="DocumentMap">
    <w:name w:val="Document Map"/>
    <w:basedOn w:val="Normal"/>
    <w:link w:val="DocumentMapChar"/>
    <w:semiHidden/>
    <w:unhideWhenUsed/>
    <w:rsid w:val="0081009C"/>
    <w:rPr>
      <w:rFonts w:ascii="Segoe UI" w:hAnsi="Segoe UI" w:cs="Segoe UI"/>
      <w:sz w:val="16"/>
      <w:szCs w:val="16"/>
    </w:rPr>
  </w:style>
  <w:style w:type="character" w:customStyle="1" w:styleId="DocumentMapChar">
    <w:name w:val="Document Map Char"/>
    <w:basedOn w:val="DefaultParagraphFont"/>
    <w:link w:val="DocumentMap"/>
    <w:semiHidden/>
    <w:rsid w:val="0081009C"/>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81009C"/>
  </w:style>
  <w:style w:type="character" w:customStyle="1" w:styleId="E-mailSignatureChar">
    <w:name w:val="E-mail Signature Char"/>
    <w:basedOn w:val="DefaultParagraphFont"/>
    <w:link w:val="E-mailSignature"/>
    <w:semiHidden/>
    <w:rsid w:val="0081009C"/>
    <w:rPr>
      <w:rFonts w:eastAsia="Times New Roman"/>
      <w:lang w:val="fr-FR" w:eastAsia="en-US"/>
    </w:rPr>
  </w:style>
  <w:style w:type="character" w:styleId="Emphasis">
    <w:name w:val="Emphasis"/>
    <w:basedOn w:val="DefaultParagraphFont"/>
    <w:semiHidden/>
    <w:qFormat/>
    <w:rsid w:val="0081009C"/>
    <w:rPr>
      <w:i/>
      <w:iCs/>
      <w:lang w:val="fr-FR"/>
    </w:rPr>
  </w:style>
  <w:style w:type="character" w:styleId="EndnoteReference">
    <w:name w:val="endnote reference"/>
    <w:basedOn w:val="DefaultParagraphFont"/>
    <w:semiHidden/>
    <w:unhideWhenUsed/>
    <w:rsid w:val="0081009C"/>
    <w:rPr>
      <w:vertAlign w:val="superscript"/>
      <w:lang w:val="fr-FR"/>
    </w:rPr>
  </w:style>
  <w:style w:type="paragraph" w:styleId="EndnoteText">
    <w:name w:val="endnote text"/>
    <w:basedOn w:val="Normal"/>
    <w:link w:val="EndnoteTextChar"/>
    <w:semiHidden/>
    <w:unhideWhenUsed/>
    <w:rsid w:val="0081009C"/>
  </w:style>
  <w:style w:type="character" w:customStyle="1" w:styleId="EndnoteTextChar">
    <w:name w:val="Endnote Text Char"/>
    <w:basedOn w:val="DefaultParagraphFont"/>
    <w:link w:val="EndnoteText"/>
    <w:semiHidden/>
    <w:rsid w:val="0081009C"/>
    <w:rPr>
      <w:rFonts w:eastAsia="Times New Roman"/>
      <w:lang w:val="fr-FR" w:eastAsia="en-US"/>
    </w:rPr>
  </w:style>
  <w:style w:type="paragraph" w:styleId="EnvelopeAddress">
    <w:name w:val="envelope address"/>
    <w:basedOn w:val="Normal"/>
    <w:semiHidden/>
    <w:unhideWhenUsed/>
    <w:rsid w:val="0081009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1009C"/>
    <w:rPr>
      <w:rFonts w:asciiTheme="majorHAnsi" w:eastAsiaTheme="majorEastAsia" w:hAnsiTheme="majorHAnsi" w:cstheme="majorBidi"/>
    </w:rPr>
  </w:style>
  <w:style w:type="table" w:styleId="GridTable1Light">
    <w:name w:val="Grid Table 1 Light"/>
    <w:basedOn w:val="TableNormal"/>
    <w:uiPriority w:val="46"/>
    <w:rsid w:val="008100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1009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009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009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09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009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1009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100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009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1009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1009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1009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1009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1009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100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00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100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100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100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100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100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100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00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100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100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100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100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100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100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100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009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1009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1009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1009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1009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1009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100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009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1009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1009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1009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1009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1009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1009C"/>
    <w:rPr>
      <w:color w:val="2B579A"/>
      <w:shd w:val="clear" w:color="auto" w:fill="E1DFDD"/>
      <w:lang w:val="fr-FR"/>
    </w:rPr>
  </w:style>
  <w:style w:type="character" w:styleId="HTMLAcronym">
    <w:name w:val="HTML Acronym"/>
    <w:basedOn w:val="DefaultParagraphFont"/>
    <w:semiHidden/>
    <w:unhideWhenUsed/>
    <w:rsid w:val="0081009C"/>
    <w:rPr>
      <w:lang w:val="fr-FR"/>
    </w:rPr>
  </w:style>
  <w:style w:type="paragraph" w:styleId="HTMLAddress">
    <w:name w:val="HTML Address"/>
    <w:basedOn w:val="Normal"/>
    <w:link w:val="HTMLAddressChar"/>
    <w:semiHidden/>
    <w:unhideWhenUsed/>
    <w:rsid w:val="0081009C"/>
    <w:rPr>
      <w:i/>
      <w:iCs/>
    </w:rPr>
  </w:style>
  <w:style w:type="character" w:customStyle="1" w:styleId="HTMLAddressChar">
    <w:name w:val="HTML Address Char"/>
    <w:basedOn w:val="DefaultParagraphFont"/>
    <w:link w:val="HTMLAddress"/>
    <w:semiHidden/>
    <w:rsid w:val="0081009C"/>
    <w:rPr>
      <w:rFonts w:eastAsia="Times New Roman"/>
      <w:i/>
      <w:iCs/>
      <w:lang w:val="fr-FR" w:eastAsia="en-US"/>
    </w:rPr>
  </w:style>
  <w:style w:type="character" w:styleId="HTMLCite">
    <w:name w:val="HTML Cite"/>
    <w:basedOn w:val="DefaultParagraphFont"/>
    <w:semiHidden/>
    <w:unhideWhenUsed/>
    <w:rsid w:val="0081009C"/>
    <w:rPr>
      <w:i/>
      <w:iCs/>
      <w:lang w:val="fr-FR"/>
    </w:rPr>
  </w:style>
  <w:style w:type="character" w:styleId="HTMLCode">
    <w:name w:val="HTML Code"/>
    <w:basedOn w:val="DefaultParagraphFont"/>
    <w:semiHidden/>
    <w:unhideWhenUsed/>
    <w:rsid w:val="0081009C"/>
    <w:rPr>
      <w:rFonts w:ascii="Consolas" w:hAnsi="Consolas"/>
      <w:sz w:val="20"/>
      <w:szCs w:val="20"/>
      <w:lang w:val="fr-FR"/>
    </w:rPr>
  </w:style>
  <w:style w:type="character" w:styleId="HTMLDefinition">
    <w:name w:val="HTML Definition"/>
    <w:basedOn w:val="DefaultParagraphFont"/>
    <w:semiHidden/>
    <w:unhideWhenUsed/>
    <w:rsid w:val="0081009C"/>
    <w:rPr>
      <w:i/>
      <w:iCs/>
      <w:lang w:val="fr-FR"/>
    </w:rPr>
  </w:style>
  <w:style w:type="character" w:styleId="HTMLKeyboard">
    <w:name w:val="HTML Keyboard"/>
    <w:basedOn w:val="DefaultParagraphFont"/>
    <w:semiHidden/>
    <w:unhideWhenUsed/>
    <w:rsid w:val="0081009C"/>
    <w:rPr>
      <w:rFonts w:ascii="Consolas" w:hAnsi="Consolas"/>
      <w:sz w:val="20"/>
      <w:szCs w:val="20"/>
      <w:lang w:val="fr-FR"/>
    </w:rPr>
  </w:style>
  <w:style w:type="paragraph" w:styleId="HTMLPreformatted">
    <w:name w:val="HTML Preformatted"/>
    <w:basedOn w:val="Normal"/>
    <w:link w:val="HTMLPreformattedChar"/>
    <w:semiHidden/>
    <w:unhideWhenUsed/>
    <w:rsid w:val="0081009C"/>
    <w:rPr>
      <w:rFonts w:ascii="Consolas" w:hAnsi="Consolas"/>
    </w:rPr>
  </w:style>
  <w:style w:type="character" w:customStyle="1" w:styleId="HTMLPreformattedChar">
    <w:name w:val="HTML Preformatted Char"/>
    <w:basedOn w:val="DefaultParagraphFont"/>
    <w:link w:val="HTMLPreformatted"/>
    <w:semiHidden/>
    <w:rsid w:val="0081009C"/>
    <w:rPr>
      <w:rFonts w:ascii="Consolas" w:eastAsia="Times New Roman" w:hAnsi="Consolas"/>
      <w:lang w:val="fr-FR" w:eastAsia="en-US"/>
    </w:rPr>
  </w:style>
  <w:style w:type="character" w:styleId="HTMLSample">
    <w:name w:val="HTML Sample"/>
    <w:basedOn w:val="DefaultParagraphFont"/>
    <w:semiHidden/>
    <w:unhideWhenUsed/>
    <w:rsid w:val="0081009C"/>
    <w:rPr>
      <w:rFonts w:ascii="Consolas" w:hAnsi="Consolas"/>
      <w:sz w:val="24"/>
      <w:szCs w:val="24"/>
      <w:lang w:val="fr-FR"/>
    </w:rPr>
  </w:style>
  <w:style w:type="character" w:styleId="HTMLTypewriter">
    <w:name w:val="HTML Typewriter"/>
    <w:basedOn w:val="DefaultParagraphFont"/>
    <w:semiHidden/>
    <w:unhideWhenUsed/>
    <w:rsid w:val="0081009C"/>
    <w:rPr>
      <w:rFonts w:ascii="Consolas" w:hAnsi="Consolas"/>
      <w:sz w:val="20"/>
      <w:szCs w:val="20"/>
      <w:lang w:val="fr-FR"/>
    </w:rPr>
  </w:style>
  <w:style w:type="character" w:styleId="HTMLVariable">
    <w:name w:val="HTML Variable"/>
    <w:basedOn w:val="DefaultParagraphFont"/>
    <w:semiHidden/>
    <w:unhideWhenUsed/>
    <w:rsid w:val="0081009C"/>
    <w:rPr>
      <w:i/>
      <w:iCs/>
      <w:lang w:val="fr-FR"/>
    </w:rPr>
  </w:style>
  <w:style w:type="paragraph" w:styleId="Index1">
    <w:name w:val="index 1"/>
    <w:basedOn w:val="Normal"/>
    <w:next w:val="Normal"/>
    <w:autoRedefine/>
    <w:semiHidden/>
    <w:unhideWhenUsed/>
    <w:rsid w:val="0081009C"/>
    <w:pPr>
      <w:tabs>
        <w:tab w:val="clear" w:pos="1247"/>
      </w:tabs>
      <w:ind w:left="200" w:hanging="200"/>
    </w:pPr>
  </w:style>
  <w:style w:type="paragraph" w:styleId="Index2">
    <w:name w:val="index 2"/>
    <w:basedOn w:val="Normal"/>
    <w:next w:val="Normal"/>
    <w:autoRedefine/>
    <w:semiHidden/>
    <w:unhideWhenUsed/>
    <w:rsid w:val="0081009C"/>
    <w:pPr>
      <w:tabs>
        <w:tab w:val="clear" w:pos="1247"/>
      </w:tabs>
      <w:ind w:left="400" w:hanging="200"/>
    </w:pPr>
  </w:style>
  <w:style w:type="paragraph" w:styleId="Index3">
    <w:name w:val="index 3"/>
    <w:basedOn w:val="Normal"/>
    <w:next w:val="Normal"/>
    <w:autoRedefine/>
    <w:semiHidden/>
    <w:unhideWhenUsed/>
    <w:rsid w:val="0081009C"/>
    <w:pPr>
      <w:tabs>
        <w:tab w:val="clear" w:pos="1247"/>
      </w:tabs>
      <w:ind w:left="600" w:hanging="200"/>
    </w:pPr>
  </w:style>
  <w:style w:type="paragraph" w:styleId="Index4">
    <w:name w:val="index 4"/>
    <w:basedOn w:val="Normal"/>
    <w:next w:val="Normal"/>
    <w:autoRedefine/>
    <w:semiHidden/>
    <w:unhideWhenUsed/>
    <w:rsid w:val="0081009C"/>
    <w:pPr>
      <w:tabs>
        <w:tab w:val="clear" w:pos="1247"/>
      </w:tabs>
      <w:ind w:left="800" w:hanging="200"/>
    </w:pPr>
  </w:style>
  <w:style w:type="paragraph" w:styleId="Index5">
    <w:name w:val="index 5"/>
    <w:basedOn w:val="Normal"/>
    <w:next w:val="Normal"/>
    <w:autoRedefine/>
    <w:semiHidden/>
    <w:unhideWhenUsed/>
    <w:rsid w:val="0081009C"/>
    <w:pPr>
      <w:tabs>
        <w:tab w:val="clear" w:pos="1247"/>
      </w:tabs>
      <w:ind w:left="1000" w:hanging="200"/>
    </w:pPr>
  </w:style>
  <w:style w:type="paragraph" w:styleId="Index6">
    <w:name w:val="index 6"/>
    <w:basedOn w:val="Normal"/>
    <w:next w:val="Normal"/>
    <w:autoRedefine/>
    <w:semiHidden/>
    <w:unhideWhenUsed/>
    <w:rsid w:val="0081009C"/>
    <w:pPr>
      <w:tabs>
        <w:tab w:val="clear" w:pos="1247"/>
      </w:tabs>
      <w:ind w:left="1200" w:hanging="200"/>
    </w:pPr>
  </w:style>
  <w:style w:type="paragraph" w:styleId="Index7">
    <w:name w:val="index 7"/>
    <w:basedOn w:val="Normal"/>
    <w:next w:val="Normal"/>
    <w:autoRedefine/>
    <w:semiHidden/>
    <w:unhideWhenUsed/>
    <w:rsid w:val="0081009C"/>
    <w:pPr>
      <w:tabs>
        <w:tab w:val="clear" w:pos="1247"/>
      </w:tabs>
      <w:ind w:left="1400" w:hanging="200"/>
    </w:pPr>
  </w:style>
  <w:style w:type="paragraph" w:styleId="Index8">
    <w:name w:val="index 8"/>
    <w:basedOn w:val="Normal"/>
    <w:next w:val="Normal"/>
    <w:autoRedefine/>
    <w:semiHidden/>
    <w:unhideWhenUsed/>
    <w:rsid w:val="0081009C"/>
    <w:pPr>
      <w:tabs>
        <w:tab w:val="clear" w:pos="1247"/>
      </w:tabs>
      <w:ind w:left="1600" w:hanging="200"/>
    </w:pPr>
  </w:style>
  <w:style w:type="paragraph" w:styleId="Index9">
    <w:name w:val="index 9"/>
    <w:basedOn w:val="Normal"/>
    <w:next w:val="Normal"/>
    <w:autoRedefine/>
    <w:semiHidden/>
    <w:unhideWhenUsed/>
    <w:rsid w:val="0081009C"/>
    <w:pPr>
      <w:tabs>
        <w:tab w:val="clear" w:pos="1247"/>
      </w:tabs>
      <w:ind w:left="1800" w:hanging="200"/>
    </w:pPr>
  </w:style>
  <w:style w:type="paragraph" w:styleId="IndexHeading">
    <w:name w:val="index heading"/>
    <w:basedOn w:val="Normal"/>
    <w:next w:val="Index1"/>
    <w:semiHidden/>
    <w:unhideWhenUsed/>
    <w:rsid w:val="0081009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1009C"/>
    <w:rPr>
      <w:i/>
      <w:iCs/>
      <w:color w:val="4F81BD" w:themeColor="accent1"/>
      <w:lang w:val="fr-FR"/>
    </w:rPr>
  </w:style>
  <w:style w:type="paragraph" w:styleId="IntenseQuote">
    <w:name w:val="Intense Quote"/>
    <w:basedOn w:val="Normal"/>
    <w:next w:val="Normal"/>
    <w:link w:val="IntenseQuoteChar"/>
    <w:uiPriority w:val="30"/>
    <w:semiHidden/>
    <w:qFormat/>
    <w:rsid w:val="008100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1009C"/>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81009C"/>
    <w:rPr>
      <w:b/>
      <w:bCs/>
      <w:smallCaps/>
      <w:color w:val="4F81BD" w:themeColor="accent1"/>
      <w:spacing w:val="5"/>
      <w:lang w:val="fr-FR"/>
    </w:rPr>
  </w:style>
  <w:style w:type="table" w:styleId="LightGrid">
    <w:name w:val="Light Grid"/>
    <w:basedOn w:val="TableNormal"/>
    <w:uiPriority w:val="62"/>
    <w:semiHidden/>
    <w:unhideWhenUsed/>
    <w:rsid w:val="008100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00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100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100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100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100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100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100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00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100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100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100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100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100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100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00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100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100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100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100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100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1009C"/>
    <w:rPr>
      <w:lang w:val="fr-FR"/>
    </w:rPr>
  </w:style>
  <w:style w:type="paragraph" w:styleId="List">
    <w:name w:val="List"/>
    <w:basedOn w:val="Normal"/>
    <w:semiHidden/>
    <w:unhideWhenUsed/>
    <w:rsid w:val="0081009C"/>
    <w:pPr>
      <w:ind w:left="283" w:hanging="283"/>
      <w:contextualSpacing/>
    </w:pPr>
  </w:style>
  <w:style w:type="paragraph" w:styleId="List2">
    <w:name w:val="List 2"/>
    <w:basedOn w:val="Normal"/>
    <w:semiHidden/>
    <w:unhideWhenUsed/>
    <w:rsid w:val="0081009C"/>
    <w:pPr>
      <w:ind w:left="566" w:hanging="283"/>
      <w:contextualSpacing/>
    </w:pPr>
  </w:style>
  <w:style w:type="paragraph" w:styleId="List3">
    <w:name w:val="List 3"/>
    <w:basedOn w:val="Normal"/>
    <w:semiHidden/>
    <w:unhideWhenUsed/>
    <w:rsid w:val="0081009C"/>
    <w:pPr>
      <w:ind w:left="849" w:hanging="283"/>
      <w:contextualSpacing/>
    </w:pPr>
  </w:style>
  <w:style w:type="paragraph" w:styleId="List4">
    <w:name w:val="List 4"/>
    <w:basedOn w:val="Normal"/>
    <w:semiHidden/>
    <w:unhideWhenUsed/>
    <w:rsid w:val="0081009C"/>
    <w:pPr>
      <w:ind w:left="1132" w:hanging="283"/>
      <w:contextualSpacing/>
    </w:pPr>
  </w:style>
  <w:style w:type="paragraph" w:styleId="List5">
    <w:name w:val="List 5"/>
    <w:basedOn w:val="Normal"/>
    <w:semiHidden/>
    <w:unhideWhenUsed/>
    <w:rsid w:val="0081009C"/>
    <w:pPr>
      <w:ind w:left="1415" w:hanging="283"/>
      <w:contextualSpacing/>
    </w:pPr>
  </w:style>
  <w:style w:type="paragraph" w:styleId="ListBullet">
    <w:name w:val="List Bullet"/>
    <w:basedOn w:val="Normal"/>
    <w:semiHidden/>
    <w:rsid w:val="0081009C"/>
    <w:pPr>
      <w:numPr>
        <w:numId w:val="3"/>
      </w:numPr>
      <w:contextualSpacing/>
    </w:pPr>
  </w:style>
  <w:style w:type="paragraph" w:styleId="ListBullet2">
    <w:name w:val="List Bullet 2"/>
    <w:basedOn w:val="Normal"/>
    <w:semiHidden/>
    <w:unhideWhenUsed/>
    <w:rsid w:val="0081009C"/>
    <w:pPr>
      <w:numPr>
        <w:numId w:val="4"/>
      </w:numPr>
      <w:contextualSpacing/>
    </w:pPr>
  </w:style>
  <w:style w:type="paragraph" w:styleId="ListBullet3">
    <w:name w:val="List Bullet 3"/>
    <w:basedOn w:val="Normal"/>
    <w:semiHidden/>
    <w:unhideWhenUsed/>
    <w:rsid w:val="0081009C"/>
    <w:pPr>
      <w:numPr>
        <w:numId w:val="5"/>
      </w:numPr>
      <w:contextualSpacing/>
    </w:pPr>
  </w:style>
  <w:style w:type="paragraph" w:styleId="ListBullet4">
    <w:name w:val="List Bullet 4"/>
    <w:basedOn w:val="Normal"/>
    <w:semiHidden/>
    <w:unhideWhenUsed/>
    <w:rsid w:val="0081009C"/>
    <w:pPr>
      <w:numPr>
        <w:numId w:val="6"/>
      </w:numPr>
      <w:contextualSpacing/>
    </w:pPr>
  </w:style>
  <w:style w:type="paragraph" w:styleId="ListBullet5">
    <w:name w:val="List Bullet 5"/>
    <w:basedOn w:val="Normal"/>
    <w:semiHidden/>
    <w:unhideWhenUsed/>
    <w:rsid w:val="0081009C"/>
    <w:pPr>
      <w:numPr>
        <w:numId w:val="7"/>
      </w:numPr>
      <w:contextualSpacing/>
    </w:pPr>
  </w:style>
  <w:style w:type="paragraph" w:styleId="ListContinue">
    <w:name w:val="List Continue"/>
    <w:basedOn w:val="Normal"/>
    <w:semiHidden/>
    <w:unhideWhenUsed/>
    <w:rsid w:val="0081009C"/>
    <w:pPr>
      <w:spacing w:after="120"/>
      <w:ind w:left="283"/>
      <w:contextualSpacing/>
    </w:pPr>
  </w:style>
  <w:style w:type="paragraph" w:styleId="ListContinue2">
    <w:name w:val="List Continue 2"/>
    <w:basedOn w:val="Normal"/>
    <w:semiHidden/>
    <w:unhideWhenUsed/>
    <w:rsid w:val="0081009C"/>
    <w:pPr>
      <w:spacing w:after="120"/>
      <w:ind w:left="566"/>
      <w:contextualSpacing/>
    </w:pPr>
  </w:style>
  <w:style w:type="paragraph" w:styleId="ListContinue3">
    <w:name w:val="List Continue 3"/>
    <w:basedOn w:val="Normal"/>
    <w:semiHidden/>
    <w:rsid w:val="0081009C"/>
    <w:pPr>
      <w:spacing w:after="120"/>
      <w:ind w:left="849"/>
      <w:contextualSpacing/>
    </w:pPr>
  </w:style>
  <w:style w:type="paragraph" w:styleId="ListContinue4">
    <w:name w:val="List Continue 4"/>
    <w:basedOn w:val="Normal"/>
    <w:semiHidden/>
    <w:rsid w:val="0081009C"/>
    <w:pPr>
      <w:spacing w:after="120"/>
      <w:ind w:left="1132"/>
      <w:contextualSpacing/>
    </w:pPr>
  </w:style>
  <w:style w:type="paragraph" w:styleId="ListContinue5">
    <w:name w:val="List Continue 5"/>
    <w:basedOn w:val="Normal"/>
    <w:semiHidden/>
    <w:rsid w:val="0081009C"/>
    <w:pPr>
      <w:spacing w:after="120"/>
      <w:ind w:left="1415"/>
      <w:contextualSpacing/>
    </w:pPr>
  </w:style>
  <w:style w:type="paragraph" w:styleId="ListNumber">
    <w:name w:val="List Number"/>
    <w:basedOn w:val="Normal"/>
    <w:semiHidden/>
    <w:rsid w:val="007C6054"/>
    <w:pPr>
      <w:numPr>
        <w:numId w:val="8"/>
      </w:numPr>
      <w:contextualSpacing/>
    </w:pPr>
  </w:style>
  <w:style w:type="paragraph" w:styleId="ListNumber2">
    <w:name w:val="List Number 2"/>
    <w:basedOn w:val="Normal"/>
    <w:semiHidden/>
    <w:unhideWhenUsed/>
    <w:rsid w:val="0081009C"/>
    <w:pPr>
      <w:numPr>
        <w:numId w:val="9"/>
      </w:numPr>
      <w:contextualSpacing/>
    </w:pPr>
  </w:style>
  <w:style w:type="paragraph" w:styleId="ListNumber3">
    <w:name w:val="List Number 3"/>
    <w:basedOn w:val="Normal"/>
    <w:semiHidden/>
    <w:unhideWhenUsed/>
    <w:rsid w:val="0081009C"/>
    <w:pPr>
      <w:numPr>
        <w:numId w:val="10"/>
      </w:numPr>
      <w:contextualSpacing/>
    </w:pPr>
  </w:style>
  <w:style w:type="paragraph" w:styleId="ListNumber4">
    <w:name w:val="List Number 4"/>
    <w:basedOn w:val="Normal"/>
    <w:semiHidden/>
    <w:unhideWhenUsed/>
    <w:rsid w:val="0081009C"/>
    <w:pPr>
      <w:numPr>
        <w:numId w:val="11"/>
      </w:numPr>
      <w:contextualSpacing/>
    </w:pPr>
  </w:style>
  <w:style w:type="paragraph" w:styleId="ListNumber5">
    <w:name w:val="List Number 5"/>
    <w:basedOn w:val="Normal"/>
    <w:semiHidden/>
    <w:unhideWhenUsed/>
    <w:rsid w:val="0081009C"/>
    <w:pPr>
      <w:numPr>
        <w:numId w:val="12"/>
      </w:numPr>
      <w:contextualSpacing/>
    </w:pPr>
  </w:style>
  <w:style w:type="table" w:styleId="ListTable1Light">
    <w:name w:val="List Table 1 Light"/>
    <w:basedOn w:val="TableNormal"/>
    <w:uiPriority w:val="46"/>
    <w:rsid w:val="0081009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009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1009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1009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1009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1009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1009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1009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009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1009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1009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1009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1009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1009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100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009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1009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1009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1009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1009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1009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100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00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100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100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100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100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100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1009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009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009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009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009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009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009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009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009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1009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1009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1009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1009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1009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1009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009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009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009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009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009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009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1009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81009C"/>
    <w:rPr>
      <w:rFonts w:ascii="Consolas" w:eastAsia="Times New Roman" w:hAnsi="Consolas"/>
      <w:lang w:val="fr-FR" w:eastAsia="en-US"/>
    </w:rPr>
  </w:style>
  <w:style w:type="table" w:styleId="MediumGrid1">
    <w:name w:val="Medium Grid 1"/>
    <w:basedOn w:val="TableNormal"/>
    <w:uiPriority w:val="67"/>
    <w:semiHidden/>
    <w:unhideWhenUsed/>
    <w:rsid w:val="008100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00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100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100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100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100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100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100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100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00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100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100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100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100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100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009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00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00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00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00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00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00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00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100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1009C"/>
    <w:rPr>
      <w:color w:val="2B579A"/>
      <w:shd w:val="clear" w:color="auto" w:fill="E1DFDD"/>
      <w:lang w:val="fr-FR"/>
    </w:rPr>
  </w:style>
  <w:style w:type="paragraph" w:styleId="MessageHeader">
    <w:name w:val="Message Header"/>
    <w:basedOn w:val="Normal"/>
    <w:link w:val="MessageHeaderChar"/>
    <w:semiHidden/>
    <w:rsid w:val="008100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1009C"/>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81009C"/>
    <w:pPr>
      <w:ind w:left="720"/>
    </w:pPr>
  </w:style>
  <w:style w:type="paragraph" w:styleId="NoteHeading">
    <w:name w:val="Note Heading"/>
    <w:basedOn w:val="Normal"/>
    <w:next w:val="Normal"/>
    <w:link w:val="NoteHeadingChar"/>
    <w:semiHidden/>
    <w:unhideWhenUsed/>
    <w:rsid w:val="0081009C"/>
  </w:style>
  <w:style w:type="character" w:customStyle="1" w:styleId="NoteHeadingChar">
    <w:name w:val="Note Heading Char"/>
    <w:basedOn w:val="DefaultParagraphFont"/>
    <w:link w:val="NoteHeading"/>
    <w:semiHidden/>
    <w:rsid w:val="0081009C"/>
    <w:rPr>
      <w:rFonts w:eastAsia="Times New Roman"/>
      <w:lang w:val="fr-FR" w:eastAsia="en-US"/>
    </w:rPr>
  </w:style>
  <w:style w:type="table" w:styleId="PlainTable1">
    <w:name w:val="Plain Table 1"/>
    <w:basedOn w:val="TableNormal"/>
    <w:uiPriority w:val="41"/>
    <w:rsid w:val="008100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00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009C"/>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00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009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1009C"/>
    <w:rPr>
      <w:rFonts w:ascii="Consolas" w:hAnsi="Consolas"/>
      <w:sz w:val="21"/>
      <w:szCs w:val="21"/>
    </w:rPr>
  </w:style>
  <w:style w:type="character" w:customStyle="1" w:styleId="PlainTextChar">
    <w:name w:val="Plain Text Char"/>
    <w:basedOn w:val="DefaultParagraphFont"/>
    <w:link w:val="PlainText"/>
    <w:semiHidden/>
    <w:rsid w:val="0081009C"/>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8100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1009C"/>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81009C"/>
  </w:style>
  <w:style w:type="character" w:customStyle="1" w:styleId="SalutationChar">
    <w:name w:val="Salutation Char"/>
    <w:basedOn w:val="DefaultParagraphFont"/>
    <w:link w:val="Salutation"/>
    <w:semiHidden/>
    <w:rsid w:val="0081009C"/>
    <w:rPr>
      <w:rFonts w:eastAsia="Times New Roman"/>
      <w:lang w:val="fr-FR" w:eastAsia="en-US"/>
    </w:rPr>
  </w:style>
  <w:style w:type="paragraph" w:styleId="Signature">
    <w:name w:val="Signature"/>
    <w:basedOn w:val="Normal"/>
    <w:link w:val="SignatureChar"/>
    <w:semiHidden/>
    <w:unhideWhenUsed/>
    <w:rsid w:val="0081009C"/>
    <w:pPr>
      <w:ind w:left="4252"/>
    </w:pPr>
  </w:style>
  <w:style w:type="character" w:customStyle="1" w:styleId="SignatureChar">
    <w:name w:val="Signature Char"/>
    <w:basedOn w:val="DefaultParagraphFont"/>
    <w:link w:val="Signature"/>
    <w:semiHidden/>
    <w:rsid w:val="0081009C"/>
    <w:rPr>
      <w:rFonts w:eastAsia="Times New Roman"/>
      <w:lang w:val="fr-FR" w:eastAsia="en-US"/>
    </w:rPr>
  </w:style>
  <w:style w:type="character" w:styleId="SmartHyperlink">
    <w:name w:val="Smart Hyperlink"/>
    <w:basedOn w:val="DefaultParagraphFont"/>
    <w:uiPriority w:val="99"/>
    <w:semiHidden/>
    <w:rsid w:val="0081009C"/>
    <w:rPr>
      <w:u w:val="dotted"/>
      <w:lang w:val="fr-FR"/>
    </w:rPr>
  </w:style>
  <w:style w:type="character" w:styleId="SmartLink">
    <w:name w:val="Smart Link"/>
    <w:basedOn w:val="DefaultParagraphFont"/>
    <w:uiPriority w:val="99"/>
    <w:semiHidden/>
    <w:unhideWhenUsed/>
    <w:rsid w:val="0081009C"/>
    <w:rPr>
      <w:color w:val="0000FF"/>
      <w:u w:val="single"/>
      <w:shd w:val="clear" w:color="auto" w:fill="F3F2F1"/>
      <w:lang w:val="fr-FR"/>
    </w:rPr>
  </w:style>
  <w:style w:type="character" w:styleId="Strong">
    <w:name w:val="Strong"/>
    <w:basedOn w:val="DefaultParagraphFont"/>
    <w:semiHidden/>
    <w:qFormat/>
    <w:rsid w:val="0081009C"/>
    <w:rPr>
      <w:b/>
      <w:bCs/>
      <w:lang w:val="fr-FR"/>
    </w:rPr>
  </w:style>
  <w:style w:type="paragraph" w:styleId="Subtitle">
    <w:name w:val="Subtitle"/>
    <w:basedOn w:val="Normal"/>
    <w:next w:val="Normal"/>
    <w:link w:val="SubtitleChar"/>
    <w:semiHidden/>
    <w:qFormat/>
    <w:rsid w:val="008100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1009C"/>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81009C"/>
    <w:rPr>
      <w:i/>
      <w:iCs/>
      <w:color w:val="404040" w:themeColor="text1" w:themeTint="BF"/>
      <w:lang w:val="fr-FR"/>
    </w:rPr>
  </w:style>
  <w:style w:type="character" w:styleId="SubtleReference">
    <w:name w:val="Subtle Reference"/>
    <w:basedOn w:val="DefaultParagraphFont"/>
    <w:uiPriority w:val="31"/>
    <w:semiHidden/>
    <w:qFormat/>
    <w:rsid w:val="0081009C"/>
    <w:rPr>
      <w:smallCaps/>
      <w:color w:val="5A5A5A" w:themeColor="text1" w:themeTint="A5"/>
      <w:lang w:val="fr-FR"/>
    </w:rPr>
  </w:style>
  <w:style w:type="table" w:styleId="Table3Deffects1">
    <w:name w:val="Table 3D effects 1"/>
    <w:basedOn w:val="TableNormal"/>
    <w:semiHidden/>
    <w:unhideWhenUsed/>
    <w:rsid w:val="0081009C"/>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1009C"/>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1009C"/>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1009C"/>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1009C"/>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1009C"/>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1009C"/>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1009C"/>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1009C"/>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1009C"/>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1009C"/>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1009C"/>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100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1009C"/>
    <w:pPr>
      <w:tabs>
        <w:tab w:val="clear" w:pos="1247"/>
      </w:tabs>
      <w:ind w:left="200" w:hanging="200"/>
    </w:pPr>
  </w:style>
  <w:style w:type="table" w:styleId="TableProfessional">
    <w:name w:val="Table Professional"/>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1009C"/>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1009C"/>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1009C"/>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1009C"/>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1009C"/>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1009C"/>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1009C"/>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100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1009C"/>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81009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1009C"/>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eop">
    <w:name w:val="eop"/>
    <w:basedOn w:val="DefaultParagraphFont"/>
    <w:rsid w:val="00344E3B"/>
    <w:rPr>
      <w:lang w:val="fr-FR"/>
    </w:rPr>
  </w:style>
  <w:style w:type="paragraph" w:styleId="Revision">
    <w:name w:val="Revision"/>
    <w:hidden/>
    <w:uiPriority w:val="99"/>
    <w:semiHidden/>
    <w:rsid w:val="00065A68"/>
    <w:rPr>
      <w:rFonts w:eastAsia="Times New Roman"/>
      <w:lang w:val="en-US" w:eastAsia="en-US"/>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7C6054"/>
    <w:rPr>
      <w:rFonts w:eastAsia="Times New Roman"/>
      <w:szCs w:val="18"/>
      <w:vertAlign w:val="superscript"/>
      <w:lang w:val="fr-FR" w:eastAsia="en-US"/>
    </w:rPr>
  </w:style>
  <w:style w:type="character" w:customStyle="1" w:styleId="preferred">
    <w:name w:val="preferred"/>
    <w:basedOn w:val="DefaultParagraphFont"/>
    <w:rsid w:val="003A7408"/>
    <w:rPr>
      <w:lang w:val="fr-FR"/>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00301"/>
    <w:pPr>
      <w:tabs>
        <w:tab w:val="clear" w:pos="1247"/>
        <w:tab w:val="clear" w:pos="1814"/>
        <w:tab w:val="clear" w:pos="2381"/>
        <w:tab w:val="clear" w:pos="2948"/>
        <w:tab w:val="clear" w:pos="3515"/>
      </w:tabs>
      <w:spacing w:after="160" w:line="240" w:lineRule="exact"/>
      <w:jc w:val="both"/>
    </w:pPr>
    <w:rPr>
      <w:szCs w:val="18"/>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865C95"/>
    <w:rPr>
      <w:rFonts w:eastAsia="Times New Roman"/>
      <w:lang w:val="fr-FR"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nhideWhenUsed/>
    <w:rsid w:val="00562877"/>
    <w:pPr>
      <w:tabs>
        <w:tab w:val="clear" w:pos="1247"/>
        <w:tab w:val="clear" w:pos="1814"/>
        <w:tab w:val="clear" w:pos="2381"/>
        <w:tab w:val="clear" w:pos="2948"/>
        <w:tab w:val="clear" w:pos="3515"/>
      </w:tabs>
      <w:spacing w:before="120" w:after="160" w:line="240" w:lineRule="exact"/>
    </w:pPr>
    <w:rPr>
      <w:rFonts w:eastAsiaTheme="minorHAnsi" w:cstheme="minorBidi"/>
      <w:szCs w:val="18"/>
      <w:vertAlign w:val="superscript"/>
    </w:rPr>
  </w:style>
  <w:style w:type="paragraph" w:customStyle="1" w:styleId="Normalpool">
    <w:name w:val="Normal_pool"/>
    <w:link w:val="NormalpoolChar"/>
    <w:semiHidden/>
    <w:rsid w:val="00504531"/>
    <w:pPr>
      <w:tabs>
        <w:tab w:val="left" w:pos="1247"/>
        <w:tab w:val="left" w:pos="1814"/>
        <w:tab w:val="left" w:pos="2381"/>
        <w:tab w:val="left" w:pos="2948"/>
        <w:tab w:val="left" w:pos="3515"/>
        <w:tab w:val="left" w:pos="4082"/>
      </w:tabs>
    </w:pPr>
    <w:rPr>
      <w:rFonts w:eastAsia="Times New Roman"/>
      <w:lang w:eastAsia="en-US"/>
    </w:rPr>
  </w:style>
  <w:style w:type="character" w:customStyle="1" w:styleId="NormalpoolChar">
    <w:name w:val="Normal_pool Char"/>
    <w:link w:val="Normalpool"/>
    <w:semiHidden/>
    <w:locked/>
    <w:rsid w:val="00504531"/>
    <w:rPr>
      <w:rFonts w:eastAsia="Times New Roman"/>
      <w:lang w:eastAsia="en-US"/>
    </w:rPr>
  </w:style>
  <w:style w:type="paragraph" w:customStyle="1" w:styleId="paragraph">
    <w:name w:val="paragraph"/>
    <w:basedOn w:val="Normal"/>
    <w:rsid w:val="00570721"/>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570721"/>
    <w:rPr>
      <w:lang w:val="fr-FR"/>
    </w:rPr>
  </w:style>
  <w:style w:type="character" w:customStyle="1" w:styleId="scxw192172823">
    <w:name w:val="scxw192172823"/>
    <w:basedOn w:val="DefaultParagraphFont"/>
    <w:rsid w:val="00570721"/>
    <w:rPr>
      <w:lang w:val="fr-FR"/>
    </w:rPr>
  </w:style>
  <w:style w:type="paragraph" w:customStyle="1" w:styleId="Footer-jobnumber">
    <w:name w:val="Footer-jobnumber"/>
    <w:basedOn w:val="Normal-pool"/>
    <w:qFormat/>
    <w:rsid w:val="007C6054"/>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7C6054"/>
    <w:pPr>
      <w:spacing w:before="6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367">
      <w:bodyDiv w:val="1"/>
      <w:marLeft w:val="0"/>
      <w:marRight w:val="0"/>
      <w:marTop w:val="0"/>
      <w:marBottom w:val="0"/>
      <w:divBdr>
        <w:top w:val="none" w:sz="0" w:space="0" w:color="auto"/>
        <w:left w:val="none" w:sz="0" w:space="0" w:color="auto"/>
        <w:bottom w:val="none" w:sz="0" w:space="0" w:color="auto"/>
        <w:right w:val="none" w:sz="0" w:space="0" w:color="auto"/>
      </w:divBdr>
    </w:div>
    <w:div w:id="78714570">
      <w:bodyDiv w:val="1"/>
      <w:marLeft w:val="0"/>
      <w:marRight w:val="0"/>
      <w:marTop w:val="0"/>
      <w:marBottom w:val="0"/>
      <w:divBdr>
        <w:top w:val="none" w:sz="0" w:space="0" w:color="auto"/>
        <w:left w:val="none" w:sz="0" w:space="0" w:color="auto"/>
        <w:bottom w:val="none" w:sz="0" w:space="0" w:color="auto"/>
        <w:right w:val="none" w:sz="0" w:space="0" w:color="auto"/>
      </w:divBdr>
    </w:div>
    <w:div w:id="139929299">
      <w:bodyDiv w:val="1"/>
      <w:marLeft w:val="0"/>
      <w:marRight w:val="0"/>
      <w:marTop w:val="0"/>
      <w:marBottom w:val="0"/>
      <w:divBdr>
        <w:top w:val="none" w:sz="0" w:space="0" w:color="auto"/>
        <w:left w:val="none" w:sz="0" w:space="0" w:color="auto"/>
        <w:bottom w:val="none" w:sz="0" w:space="0" w:color="auto"/>
        <w:right w:val="none" w:sz="0" w:space="0" w:color="auto"/>
      </w:divBdr>
    </w:div>
    <w:div w:id="292637831">
      <w:bodyDiv w:val="1"/>
      <w:marLeft w:val="0"/>
      <w:marRight w:val="0"/>
      <w:marTop w:val="0"/>
      <w:marBottom w:val="0"/>
      <w:divBdr>
        <w:top w:val="none" w:sz="0" w:space="0" w:color="auto"/>
        <w:left w:val="none" w:sz="0" w:space="0" w:color="auto"/>
        <w:bottom w:val="none" w:sz="0" w:space="0" w:color="auto"/>
        <w:right w:val="none" w:sz="0" w:space="0" w:color="auto"/>
      </w:divBdr>
    </w:div>
    <w:div w:id="318273455">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691227088">
      <w:bodyDiv w:val="1"/>
      <w:marLeft w:val="0"/>
      <w:marRight w:val="0"/>
      <w:marTop w:val="0"/>
      <w:marBottom w:val="0"/>
      <w:divBdr>
        <w:top w:val="none" w:sz="0" w:space="0" w:color="auto"/>
        <w:left w:val="none" w:sz="0" w:space="0" w:color="auto"/>
        <w:bottom w:val="none" w:sz="0" w:space="0" w:color="auto"/>
        <w:right w:val="none" w:sz="0" w:space="0" w:color="auto"/>
      </w:divBdr>
    </w:div>
    <w:div w:id="712925477">
      <w:bodyDiv w:val="1"/>
      <w:marLeft w:val="0"/>
      <w:marRight w:val="0"/>
      <w:marTop w:val="0"/>
      <w:marBottom w:val="0"/>
      <w:divBdr>
        <w:top w:val="none" w:sz="0" w:space="0" w:color="auto"/>
        <w:left w:val="none" w:sz="0" w:space="0" w:color="auto"/>
        <w:bottom w:val="none" w:sz="0" w:space="0" w:color="auto"/>
        <w:right w:val="none" w:sz="0" w:space="0" w:color="auto"/>
      </w:divBdr>
    </w:div>
    <w:div w:id="916406101">
      <w:bodyDiv w:val="1"/>
      <w:marLeft w:val="0"/>
      <w:marRight w:val="0"/>
      <w:marTop w:val="0"/>
      <w:marBottom w:val="0"/>
      <w:divBdr>
        <w:top w:val="none" w:sz="0" w:space="0" w:color="auto"/>
        <w:left w:val="none" w:sz="0" w:space="0" w:color="auto"/>
        <w:bottom w:val="none" w:sz="0" w:space="0" w:color="auto"/>
        <w:right w:val="none" w:sz="0" w:space="0" w:color="auto"/>
      </w:divBdr>
    </w:div>
    <w:div w:id="952059947">
      <w:bodyDiv w:val="1"/>
      <w:marLeft w:val="0"/>
      <w:marRight w:val="0"/>
      <w:marTop w:val="0"/>
      <w:marBottom w:val="0"/>
      <w:divBdr>
        <w:top w:val="none" w:sz="0" w:space="0" w:color="auto"/>
        <w:left w:val="none" w:sz="0" w:space="0" w:color="auto"/>
        <w:bottom w:val="none" w:sz="0" w:space="0" w:color="auto"/>
        <w:right w:val="none" w:sz="0" w:space="0" w:color="auto"/>
      </w:divBdr>
    </w:div>
    <w:div w:id="1147236225">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01550532">
      <w:bodyDiv w:val="1"/>
      <w:marLeft w:val="0"/>
      <w:marRight w:val="0"/>
      <w:marTop w:val="0"/>
      <w:marBottom w:val="0"/>
      <w:divBdr>
        <w:top w:val="none" w:sz="0" w:space="0" w:color="auto"/>
        <w:left w:val="none" w:sz="0" w:space="0" w:color="auto"/>
        <w:bottom w:val="none" w:sz="0" w:space="0" w:color="auto"/>
        <w:right w:val="none" w:sz="0" w:space="0" w:color="auto"/>
      </w:divBdr>
    </w:div>
    <w:div w:id="1232038992">
      <w:bodyDiv w:val="1"/>
      <w:marLeft w:val="0"/>
      <w:marRight w:val="0"/>
      <w:marTop w:val="0"/>
      <w:marBottom w:val="0"/>
      <w:divBdr>
        <w:top w:val="none" w:sz="0" w:space="0" w:color="auto"/>
        <w:left w:val="none" w:sz="0" w:space="0" w:color="auto"/>
        <w:bottom w:val="none" w:sz="0" w:space="0" w:color="auto"/>
        <w:right w:val="none" w:sz="0" w:space="0" w:color="auto"/>
      </w:divBdr>
    </w:div>
    <w:div w:id="1236281853">
      <w:bodyDiv w:val="1"/>
      <w:marLeft w:val="0"/>
      <w:marRight w:val="0"/>
      <w:marTop w:val="0"/>
      <w:marBottom w:val="0"/>
      <w:divBdr>
        <w:top w:val="none" w:sz="0" w:space="0" w:color="auto"/>
        <w:left w:val="none" w:sz="0" w:space="0" w:color="auto"/>
        <w:bottom w:val="none" w:sz="0" w:space="0" w:color="auto"/>
        <w:right w:val="none" w:sz="0" w:space="0" w:color="auto"/>
      </w:divBdr>
    </w:div>
    <w:div w:id="1270239796">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65294011">
      <w:bodyDiv w:val="1"/>
      <w:marLeft w:val="0"/>
      <w:marRight w:val="0"/>
      <w:marTop w:val="0"/>
      <w:marBottom w:val="0"/>
      <w:divBdr>
        <w:top w:val="none" w:sz="0" w:space="0" w:color="auto"/>
        <w:left w:val="none" w:sz="0" w:space="0" w:color="auto"/>
        <w:bottom w:val="none" w:sz="0" w:space="0" w:color="auto"/>
        <w:right w:val="none" w:sz="0" w:space="0" w:color="auto"/>
      </w:divBdr>
    </w:div>
    <w:div w:id="1628782495">
      <w:bodyDiv w:val="1"/>
      <w:marLeft w:val="0"/>
      <w:marRight w:val="0"/>
      <w:marTop w:val="0"/>
      <w:marBottom w:val="0"/>
      <w:divBdr>
        <w:top w:val="none" w:sz="0" w:space="0" w:color="auto"/>
        <w:left w:val="none" w:sz="0" w:space="0" w:color="auto"/>
        <w:bottom w:val="none" w:sz="0" w:space="0" w:color="auto"/>
        <w:right w:val="none" w:sz="0" w:space="0" w:color="auto"/>
      </w:divBdr>
    </w:div>
    <w:div w:id="1743520784">
      <w:bodyDiv w:val="1"/>
      <w:marLeft w:val="0"/>
      <w:marRight w:val="0"/>
      <w:marTop w:val="0"/>
      <w:marBottom w:val="0"/>
      <w:divBdr>
        <w:top w:val="none" w:sz="0" w:space="0" w:color="auto"/>
        <w:left w:val="none" w:sz="0" w:space="0" w:color="auto"/>
        <w:bottom w:val="none" w:sz="0" w:space="0" w:color="auto"/>
        <w:right w:val="none" w:sz="0" w:space="0" w:color="auto"/>
      </w:divBdr>
    </w:div>
    <w:div w:id="1887981447">
      <w:bodyDiv w:val="1"/>
      <w:marLeft w:val="0"/>
      <w:marRight w:val="0"/>
      <w:marTop w:val="0"/>
      <w:marBottom w:val="0"/>
      <w:divBdr>
        <w:top w:val="none" w:sz="0" w:space="0" w:color="auto"/>
        <w:left w:val="none" w:sz="0" w:space="0" w:color="auto"/>
        <w:bottom w:val="none" w:sz="0" w:space="0" w:color="auto"/>
        <w:right w:val="none" w:sz="0" w:space="0" w:color="auto"/>
      </w:divBdr>
    </w:div>
    <w:div w:id="20061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topics/mercury-supply-sources-and-trade/intersessional-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fr/parties/reporting" TargetMode="External"/><Relationship Id="rId2" Type="http://schemas.openxmlformats.org/officeDocument/2006/relationships/customXml" Target="../customXml/item2.xml"/><Relationship Id="rId16" Type="http://schemas.openxmlformats.org/officeDocument/2006/relationships/hyperlink" Target="https://minamataconvention.org/en/news/minamata-convention-and-unssc-launch-minamata-tools-online-learning-plat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inamataconvention.org/en/events/minamata-online-mercury-supply-sources-and-tra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fr/events/la-mise-en-oeuvre-des-dispositions-commerciales-de-la-convention-de-minamat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fr/resources/2024-fact-sheet-mercury-trade" TargetMode="External"/><Relationship Id="rId1" Type="http://schemas.openxmlformats.org/officeDocument/2006/relationships/hyperlink" Target="https://minamataconvention.org/en/topics/mercury-supply-sources-and-trade/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8e99bad0-3155-475a-8063-b4d93685c2ad">
      <UserInfo>
        <DisplayName>Lara Ognibene</DisplayName>
        <AccountId>16</AccountId>
        <AccountType/>
      </UserInfo>
      <UserInfo>
        <DisplayName>Monika Stankiewicz</DisplayName>
        <AccountId>19</AccountId>
        <AccountType/>
      </UserInfo>
      <UserInfo>
        <DisplayName>My Linh Doan</DisplayName>
        <AccountId>73</AccountId>
        <AccountType/>
      </UserInfo>
    </SharedWithUsers>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25a4600d-fc45-4aed-ad1e-9b44b590e5cc"/>
    <ds:schemaRef ds:uri="786100a8-bbaa-48b6-aa10-6d2082f346b4"/>
    <ds:schemaRef ds:uri="8e99bad0-3155-475a-8063-b4d93685c2ad"/>
    <ds:schemaRef ds:uri="822da31b-d518-49e2-88cd-1351ccd720a8"/>
  </ds:schemaRefs>
</ds:datastoreItem>
</file>

<file path=customXml/itemProps4.xml><?xml version="1.0" encoding="utf-8"?>
<ds:datastoreItem xmlns:ds="http://schemas.openxmlformats.org/officeDocument/2006/customXml" ds:itemID="{37AE5AA6-4818-49D0-8314-C19C6442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PlainPage_EN.dotm</Template>
  <TotalTime>2</TotalTime>
  <Pages>13</Pages>
  <Words>7360</Words>
  <Characters>41952</Characters>
  <Application>Microsoft Office Word</Application>
  <DocSecurity>0</DocSecurity>
  <PresentationFormat/>
  <Lines>349</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49214</CharactersWithSpaces>
  <SharedDoc>false</SharedDoc>
  <HyperlinkBase/>
  <HLinks>
    <vt:vector size="36" baseType="variant">
      <vt:variant>
        <vt:i4>6750249</vt:i4>
      </vt:variant>
      <vt:variant>
        <vt:i4>9</vt:i4>
      </vt:variant>
      <vt:variant>
        <vt:i4>0</vt:i4>
      </vt:variant>
      <vt:variant>
        <vt:i4>5</vt:i4>
      </vt:variant>
      <vt:variant>
        <vt:lpwstr>https://minamataconvention.org/fr/parties/reporting</vt:lpwstr>
      </vt:variant>
      <vt:variant>
        <vt:lpwstr/>
      </vt:variant>
      <vt:variant>
        <vt:i4>7405676</vt:i4>
      </vt:variant>
      <vt:variant>
        <vt:i4>6</vt:i4>
      </vt:variant>
      <vt:variant>
        <vt:i4>0</vt:i4>
      </vt:variant>
      <vt:variant>
        <vt:i4>5</vt:i4>
      </vt:variant>
      <vt:variant>
        <vt:lpwstr>https://minamataconvention.org/en/news/minamata-convention-and-unssc-launch-minamata-tools-online-learning-platform</vt:lpwstr>
      </vt:variant>
      <vt:variant>
        <vt:lpwstr/>
      </vt:variant>
      <vt:variant>
        <vt:i4>4456452</vt:i4>
      </vt:variant>
      <vt:variant>
        <vt:i4>3</vt:i4>
      </vt:variant>
      <vt:variant>
        <vt:i4>0</vt:i4>
      </vt:variant>
      <vt:variant>
        <vt:i4>5</vt:i4>
      </vt:variant>
      <vt:variant>
        <vt:lpwstr>https://minamataconvention.org/en/events/minamata-online-mercury-supply-sources-and-trade</vt:lpwstr>
      </vt:variant>
      <vt:variant>
        <vt:lpwstr/>
      </vt:variant>
      <vt:variant>
        <vt:i4>1245205</vt:i4>
      </vt:variant>
      <vt:variant>
        <vt:i4>0</vt:i4>
      </vt:variant>
      <vt:variant>
        <vt:i4>0</vt:i4>
      </vt:variant>
      <vt:variant>
        <vt:i4>5</vt:i4>
      </vt:variant>
      <vt:variant>
        <vt:lpwstr>https://minamataconvention.org/fr/events/la-mise-en-oeuvre-des-dispositions-commerciales-de-la-convention-de-minamata</vt:lpwstr>
      </vt:variant>
      <vt:variant>
        <vt:lpwstr/>
      </vt:variant>
      <vt:variant>
        <vt:i4>5832720</vt:i4>
      </vt:variant>
      <vt:variant>
        <vt:i4>3</vt:i4>
      </vt:variant>
      <vt:variant>
        <vt:i4>0</vt:i4>
      </vt:variant>
      <vt:variant>
        <vt:i4>5</vt:i4>
      </vt:variant>
      <vt:variant>
        <vt:lpwstr>https://minamataconvention.org/fr/resources/2024-fact-sheet-mercury-trade</vt:lpwstr>
      </vt:variant>
      <vt:variant>
        <vt:lpwstr/>
      </vt:variant>
      <vt:variant>
        <vt:i4>4521999</vt:i4>
      </vt:variant>
      <vt:variant>
        <vt:i4>0</vt:i4>
      </vt:variant>
      <vt:variant>
        <vt:i4>0</vt:i4>
      </vt:variant>
      <vt:variant>
        <vt:i4>5</vt:i4>
      </vt:variant>
      <vt:variant>
        <vt:lpwstr>https://minamataconvention.org/en/topics/mercury-supply-sources-and-trade/intersessional-work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My Linh Doan</cp:lastModifiedBy>
  <cp:revision>5</cp:revision>
  <cp:lastPrinted>2025-09-18T07:50:00Z</cp:lastPrinted>
  <dcterms:created xsi:type="dcterms:W3CDTF">2025-09-18T07:49:00Z</dcterms:created>
  <dcterms:modified xsi:type="dcterms:W3CDTF">2025-09-18T08:55:00Z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