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1D5F21" w:rsidRPr="00153AFF" w14:paraId="04D12481" w14:textId="77777777" w:rsidTr="001D5F21">
        <w:trPr>
          <w:trHeight w:val="850"/>
        </w:trPr>
        <w:tc>
          <w:tcPr>
            <w:tcW w:w="1559" w:type="dxa"/>
          </w:tcPr>
          <w:p w14:paraId="3881CD63" w14:textId="0DD60098" w:rsidR="001D5F21" w:rsidRPr="00153AFF" w:rsidRDefault="001D5F21" w:rsidP="001D5F21">
            <w:pPr>
              <w:pStyle w:val="AUnitedNations"/>
              <w:rPr>
                <w:rFonts w:eastAsiaTheme="minorEastAsia"/>
              </w:rPr>
            </w:pPr>
            <w:r w:rsidRPr="00153AFF">
              <w:rPr>
                <w:rFonts w:eastAsiaTheme="minorEastAsia"/>
              </w:rPr>
              <w:t xml:space="preserve">UNITED </w:t>
            </w:r>
            <w:r w:rsidRPr="00153AFF">
              <w:rPr>
                <w:rFonts w:eastAsiaTheme="minorEastAsia"/>
              </w:rPr>
              <w:br/>
              <w:t>NATIONS</w:t>
            </w:r>
          </w:p>
        </w:tc>
        <w:tc>
          <w:tcPr>
            <w:tcW w:w="6520" w:type="dxa"/>
          </w:tcPr>
          <w:p w14:paraId="66B11F49" w14:textId="191C3E5B" w:rsidR="001D5F21" w:rsidRPr="00153AFF" w:rsidRDefault="001D5F21" w:rsidP="001D5F21">
            <w:pPr>
              <w:pStyle w:val="Normal-pool"/>
              <w:rPr>
                <w:rFonts w:eastAsiaTheme="minorEastAsia"/>
              </w:rPr>
            </w:pPr>
            <w:r w:rsidRPr="00153AFF">
              <w:rPr>
                <w:rFonts w:eastAsiaTheme="minorEastAsia"/>
                <w:noProof/>
              </w:rPr>
              <w:drawing>
                <wp:anchor distT="0" distB="0" distL="114300" distR="114300" simplePos="0" relativeHeight="251658240" behindDoc="0" locked="0" layoutInCell="1" allowOverlap="1" wp14:anchorId="6B90DC9B" wp14:editId="0759D4F9">
                  <wp:simplePos x="0" y="0"/>
                  <wp:positionH relativeFrom="column">
                    <wp:posOffset>-187</wp:posOffset>
                  </wp:positionH>
                  <wp:positionV relativeFrom="paragraph">
                    <wp:posOffset>-2204</wp:posOffset>
                  </wp:positionV>
                  <wp:extent cx="1269153" cy="573559"/>
                  <wp:effectExtent l="0" t="0" r="7620" b="0"/>
                  <wp:wrapNone/>
                  <wp:docPr id="1356711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1107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40A28EF" w14:textId="77777777" w:rsidR="001D5F21" w:rsidRPr="00153AFF" w:rsidRDefault="001D5F21" w:rsidP="001D5F21">
            <w:pPr>
              <w:pStyle w:val="Normal-pool"/>
              <w:rPr>
                <w:rFonts w:eastAsiaTheme="minorEastAsia"/>
              </w:rPr>
            </w:pPr>
          </w:p>
        </w:tc>
      </w:tr>
    </w:tbl>
    <w:p w14:paraId="42DC99DE" w14:textId="77777777" w:rsidR="006533B3" w:rsidRPr="00153AFF" w:rsidRDefault="006533B3" w:rsidP="001D5F21">
      <w:pPr>
        <w:pStyle w:val="ASpacer"/>
        <w:rPr>
          <w:rFonts w:eastAsiaTheme="minorEastAsia"/>
        </w:rPr>
      </w:pPr>
    </w:p>
    <w:tbl>
      <w:tblPr>
        <w:tblW w:w="9496" w:type="dxa"/>
        <w:tblLook w:val="0000" w:firstRow="0" w:lastRow="0" w:firstColumn="0" w:lastColumn="0" w:noHBand="0" w:noVBand="0"/>
      </w:tblPr>
      <w:tblGrid>
        <w:gridCol w:w="6378"/>
        <w:gridCol w:w="3118"/>
      </w:tblGrid>
      <w:tr w:rsidR="001D5F21" w:rsidRPr="00153AFF" w14:paraId="722C00C1" w14:textId="77777777" w:rsidTr="001D5F21">
        <w:trPr>
          <w:trHeight w:val="340"/>
        </w:trPr>
        <w:tc>
          <w:tcPr>
            <w:tcW w:w="3358" w:type="pct"/>
            <w:vAlign w:val="bottom"/>
          </w:tcPr>
          <w:p w14:paraId="1A494F13" w14:textId="77777777" w:rsidR="001D5F21" w:rsidRPr="00153AFF" w:rsidRDefault="001D5F21" w:rsidP="001D5F21">
            <w:pPr>
              <w:pStyle w:val="Normal-pool"/>
              <w:rPr>
                <w:rFonts w:eastAsiaTheme="minorEastAsia"/>
              </w:rPr>
            </w:pPr>
          </w:p>
        </w:tc>
        <w:tc>
          <w:tcPr>
            <w:tcW w:w="1642" w:type="pct"/>
            <w:noWrap/>
            <w:vAlign w:val="bottom"/>
          </w:tcPr>
          <w:p w14:paraId="096B3DBC" w14:textId="7E7D2830" w:rsidR="001D5F21" w:rsidRPr="00153AFF" w:rsidRDefault="001D5F21" w:rsidP="001D5F21">
            <w:pPr>
              <w:pStyle w:val="ASymbol"/>
            </w:pPr>
            <w:r w:rsidRPr="00153AFF">
              <w:rPr>
                <w:b/>
                <w:sz w:val="28"/>
              </w:rPr>
              <w:t>UNEP</w:t>
            </w:r>
            <w:r w:rsidRPr="00153AFF">
              <w:t>/MC/COP.</w:t>
            </w:r>
            <w:bookmarkStart w:id="0" w:name="Symbol1A"/>
            <w:r w:rsidRPr="00153AFF">
              <w:t>6</w:t>
            </w:r>
            <w:bookmarkStart w:id="1" w:name="Symbol1B"/>
            <w:bookmarkEnd w:id="0"/>
            <w:r w:rsidR="00403AB8" w:rsidRPr="00153AFF">
              <w:t>/5</w:t>
            </w:r>
            <w:bookmarkEnd w:id="1"/>
          </w:p>
        </w:tc>
      </w:tr>
    </w:tbl>
    <w:p w14:paraId="46F84FE2" w14:textId="77777777" w:rsidR="001D5F21" w:rsidRPr="00153AFF" w:rsidRDefault="001D5F21" w:rsidP="001D5F21">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5F21" w:rsidRPr="00153AFF" w14:paraId="6C076368" w14:textId="77777777" w:rsidTr="001D5F21">
        <w:trPr>
          <w:trHeight w:val="2098"/>
        </w:trPr>
        <w:tc>
          <w:tcPr>
            <w:tcW w:w="3685" w:type="dxa"/>
          </w:tcPr>
          <w:p w14:paraId="23ED1B84" w14:textId="3241CD3C" w:rsidR="001D5F21" w:rsidRPr="00153AFF" w:rsidRDefault="001D5F21" w:rsidP="001D5F21">
            <w:pPr>
              <w:pStyle w:val="ALogo"/>
              <w:rPr>
                <w:rFonts w:eastAsiaTheme="minorEastAsia"/>
              </w:rPr>
            </w:pPr>
            <w:r w:rsidRPr="00153AFF">
              <w:rPr>
                <w:rFonts w:eastAsiaTheme="minorEastAsia"/>
                <w:noProof/>
              </w:rPr>
              <w:drawing>
                <wp:inline distT="0" distB="0" distL="0" distR="0" wp14:anchorId="216B3A29" wp14:editId="2A7E42F2">
                  <wp:extent cx="2202815" cy="1028700"/>
                  <wp:effectExtent l="0" t="0" r="6985" b="0"/>
                  <wp:docPr id="425057238" name="Picture 2"/>
                  <wp:cNvGraphicFramePr/>
                  <a:graphic xmlns:a="http://schemas.openxmlformats.org/drawingml/2006/main">
                    <a:graphicData uri="http://schemas.openxmlformats.org/drawingml/2006/picture">
                      <pic:pic xmlns:pic="http://schemas.openxmlformats.org/drawingml/2006/picture">
                        <pic:nvPicPr>
                          <pic:cNvPr id="4250572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153AFF">
              <w:rPr>
                <w:rFonts w:eastAsiaTheme="minorEastAsia"/>
              </w:rPr>
              <w:t xml:space="preserve"> </w:t>
            </w:r>
          </w:p>
          <w:p w14:paraId="05134A6D" w14:textId="15EC43AE" w:rsidR="001D5F21" w:rsidRPr="00153AFF" w:rsidRDefault="001D5F21" w:rsidP="001D5F21">
            <w:pPr>
              <w:pStyle w:val="ALogo"/>
              <w:rPr>
                <w:rFonts w:eastAsiaTheme="minorEastAsia"/>
              </w:rPr>
            </w:pPr>
          </w:p>
        </w:tc>
        <w:tc>
          <w:tcPr>
            <w:tcW w:w="2693" w:type="dxa"/>
          </w:tcPr>
          <w:p w14:paraId="501AFBC8" w14:textId="77777777" w:rsidR="001D5F21" w:rsidRPr="00153AFF" w:rsidRDefault="001D5F21" w:rsidP="001D5F21">
            <w:pPr>
              <w:pStyle w:val="Normal-pool"/>
              <w:rPr>
                <w:rFonts w:eastAsiaTheme="minorEastAsia"/>
              </w:rPr>
            </w:pPr>
          </w:p>
        </w:tc>
        <w:tc>
          <w:tcPr>
            <w:tcW w:w="3118" w:type="dxa"/>
          </w:tcPr>
          <w:p w14:paraId="46DE9B64" w14:textId="418D3D2E" w:rsidR="001D5F21" w:rsidRPr="00153AFF" w:rsidRDefault="001D5F21" w:rsidP="001D5F21">
            <w:pPr>
              <w:pStyle w:val="AText"/>
              <w:rPr>
                <w:rFonts w:eastAsiaTheme="minorEastAsia"/>
              </w:rPr>
            </w:pPr>
            <w:r w:rsidRPr="00153AFF">
              <w:rPr>
                <w:rFonts w:eastAsiaTheme="minorEastAsia"/>
              </w:rPr>
              <w:t xml:space="preserve">Distr.: </w:t>
            </w:r>
            <w:bookmarkStart w:id="2" w:name="Distribution"/>
            <w:r w:rsidR="00403AB8" w:rsidRPr="00153AFF">
              <w:rPr>
                <w:rFonts w:eastAsiaTheme="minorEastAsia"/>
              </w:rPr>
              <w:t>General</w:t>
            </w:r>
            <w:bookmarkEnd w:id="2"/>
            <w:r w:rsidRPr="00153AFF">
              <w:rPr>
                <w:rFonts w:eastAsiaTheme="minorEastAsia"/>
              </w:rPr>
              <w:t xml:space="preserve"> </w:t>
            </w:r>
          </w:p>
          <w:p w14:paraId="2E25A10E" w14:textId="1CE2653F" w:rsidR="001D5F21" w:rsidRPr="00153AFF" w:rsidRDefault="00403AB8" w:rsidP="001D5F21">
            <w:pPr>
              <w:pStyle w:val="AText0"/>
              <w:rPr>
                <w:rFonts w:eastAsiaTheme="minorEastAsia"/>
              </w:rPr>
            </w:pPr>
            <w:bookmarkStart w:id="3" w:name="DistributionDate"/>
            <w:r w:rsidRPr="00153AFF">
              <w:rPr>
                <w:rFonts w:eastAsiaTheme="minorEastAsia"/>
              </w:rPr>
              <w:t>31 July 2025</w:t>
            </w:r>
            <w:bookmarkEnd w:id="3"/>
            <w:r w:rsidR="001D5F21" w:rsidRPr="00153AFF">
              <w:rPr>
                <w:rFonts w:eastAsiaTheme="minorEastAsia"/>
              </w:rPr>
              <w:t xml:space="preserve"> </w:t>
            </w:r>
          </w:p>
          <w:p w14:paraId="363A0CBC" w14:textId="072E1D4D" w:rsidR="001D5F21" w:rsidRPr="00153AFF" w:rsidRDefault="001D5F21" w:rsidP="001D5F21">
            <w:pPr>
              <w:pStyle w:val="AText"/>
              <w:rPr>
                <w:rFonts w:eastAsiaTheme="minorEastAsia"/>
              </w:rPr>
            </w:pPr>
            <w:bookmarkStart w:id="4" w:name="DistributionLang"/>
            <w:r w:rsidRPr="00153AFF">
              <w:rPr>
                <w:rFonts w:eastAsiaTheme="minorEastAsia"/>
              </w:rPr>
              <w:t>Original: English</w:t>
            </w:r>
            <w:bookmarkEnd w:id="4"/>
          </w:p>
        </w:tc>
      </w:tr>
    </w:tbl>
    <w:p w14:paraId="0D6E4370" w14:textId="77777777" w:rsidR="001D5F21" w:rsidRPr="00153AFF" w:rsidRDefault="001D5F21" w:rsidP="001D5F21">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5F21" w:rsidRPr="00153AFF" w14:paraId="51F27107" w14:textId="77777777" w:rsidTr="001D5F21">
        <w:trPr>
          <w:trHeight w:val="57"/>
        </w:trPr>
        <w:tc>
          <w:tcPr>
            <w:tcW w:w="5301" w:type="dxa"/>
          </w:tcPr>
          <w:p w14:paraId="09F5EE31" w14:textId="77777777" w:rsidR="001D5F21" w:rsidRPr="00153AFF" w:rsidRDefault="001D5F21" w:rsidP="001D5F21">
            <w:pPr>
              <w:pStyle w:val="AATitle"/>
              <w:rPr>
                <w:rFonts w:eastAsiaTheme="minorEastAsia"/>
              </w:rPr>
            </w:pPr>
            <w:bookmarkStart w:id="5" w:name="CorNot1Text"/>
            <w:r w:rsidRPr="00153AFF">
              <w:rPr>
                <w:rFonts w:eastAsiaTheme="minorEastAsia"/>
              </w:rPr>
              <w:t xml:space="preserve">Conference of the Parties to the </w:t>
            </w:r>
            <w:r w:rsidRPr="00153AFF">
              <w:rPr>
                <w:rFonts w:eastAsiaTheme="minorEastAsia"/>
              </w:rPr>
              <w:br/>
              <w:t xml:space="preserve">Minamata Convention on Mercury </w:t>
            </w:r>
          </w:p>
          <w:p w14:paraId="068B8755" w14:textId="5F8775B2" w:rsidR="001D5F21" w:rsidRPr="00153AFF" w:rsidRDefault="001D5F21" w:rsidP="001D5F21">
            <w:pPr>
              <w:pStyle w:val="AATitle"/>
              <w:rPr>
                <w:rFonts w:eastAsiaTheme="minorEastAsia"/>
              </w:rPr>
            </w:pPr>
            <w:r w:rsidRPr="00153AFF">
              <w:rPr>
                <w:rFonts w:eastAsiaTheme="minorEastAsia"/>
              </w:rPr>
              <w:t>Sixth meeting</w:t>
            </w:r>
            <w:bookmarkEnd w:id="5"/>
            <w:r w:rsidRPr="00153AFF">
              <w:rPr>
                <w:rFonts w:eastAsiaTheme="minorEastAsia"/>
              </w:rPr>
              <w:t xml:space="preserve"> </w:t>
            </w:r>
          </w:p>
          <w:p w14:paraId="5A095833" w14:textId="27FB64EB" w:rsidR="001D5F21" w:rsidRPr="00153AFF" w:rsidRDefault="001D5F21" w:rsidP="001D5F21">
            <w:pPr>
              <w:pStyle w:val="AATitle1"/>
              <w:rPr>
                <w:rFonts w:eastAsiaTheme="minorEastAsia"/>
              </w:rPr>
            </w:pPr>
            <w:bookmarkStart w:id="6" w:name="CorNot1VenueDate"/>
            <w:r w:rsidRPr="00153AFF">
              <w:rPr>
                <w:rFonts w:eastAsiaTheme="minorEastAsia"/>
              </w:rPr>
              <w:t>Geneva, 3–7 November 2025</w:t>
            </w:r>
            <w:bookmarkEnd w:id="6"/>
            <w:r w:rsidRPr="00153AFF">
              <w:rPr>
                <w:rFonts w:eastAsiaTheme="minorEastAsia"/>
              </w:rPr>
              <w:t xml:space="preserve"> </w:t>
            </w:r>
          </w:p>
          <w:p w14:paraId="575D2BF3" w14:textId="4AE1D658" w:rsidR="001D5F21" w:rsidRPr="00153AFF" w:rsidRDefault="00403AB8" w:rsidP="001D5F21">
            <w:pPr>
              <w:pStyle w:val="AATitle1"/>
              <w:rPr>
                <w:rFonts w:eastAsiaTheme="minorEastAsia"/>
              </w:rPr>
            </w:pPr>
            <w:bookmarkStart w:id="7" w:name="CorNot1AgItem"/>
            <w:r w:rsidRPr="00153AFF">
              <w:rPr>
                <w:rFonts w:eastAsiaTheme="minorEastAsia"/>
              </w:rPr>
              <w:t>Item 4 (a) of the provisional agenda</w:t>
            </w:r>
            <w:bookmarkEnd w:id="7"/>
            <w:r w:rsidR="0033149A" w:rsidRPr="00153AFF">
              <w:rPr>
                <w:bCs/>
              </w:rPr>
              <w:footnoteReference w:customMarkFollows="1" w:id="2"/>
              <w:t>*</w:t>
            </w:r>
            <w:r w:rsidR="001D5F21" w:rsidRPr="00153AFF">
              <w:rPr>
                <w:rFonts w:eastAsiaTheme="minorEastAsia"/>
              </w:rPr>
              <w:t xml:space="preserve"> </w:t>
            </w:r>
          </w:p>
          <w:p w14:paraId="236AAF10" w14:textId="2200085B" w:rsidR="001D5F21" w:rsidRPr="00153AFF" w:rsidRDefault="00403AB8" w:rsidP="001D5F21">
            <w:pPr>
              <w:pStyle w:val="AATitle2"/>
              <w:rPr>
                <w:rFonts w:eastAsiaTheme="minorEastAsia"/>
              </w:rPr>
            </w:pPr>
            <w:bookmarkStart w:id="9" w:name="CorNot1AgTitle"/>
            <w:r w:rsidRPr="00153AFF">
              <w:rPr>
                <w:rFonts w:eastAsiaTheme="minorEastAsia"/>
              </w:rPr>
              <w:t>Matters for consideration or action by the Conference of the Parties: mercury supply sources and trade</w:t>
            </w:r>
            <w:bookmarkEnd w:id="9"/>
            <w:r w:rsidR="001D5F21" w:rsidRPr="00153AFF">
              <w:rPr>
                <w:rFonts w:eastAsiaTheme="minorEastAsia"/>
              </w:rPr>
              <w:t xml:space="preserve"> </w:t>
            </w:r>
          </w:p>
        </w:tc>
        <w:tc>
          <w:tcPr>
            <w:tcW w:w="4195" w:type="dxa"/>
          </w:tcPr>
          <w:p w14:paraId="4ECAB79A" w14:textId="77777777" w:rsidR="001D5F21" w:rsidRPr="00153AFF" w:rsidRDefault="001D5F21" w:rsidP="001D5F21">
            <w:pPr>
              <w:pStyle w:val="Normal-pool"/>
              <w:rPr>
                <w:rFonts w:eastAsiaTheme="minorEastAsia"/>
              </w:rPr>
            </w:pPr>
          </w:p>
        </w:tc>
      </w:tr>
    </w:tbl>
    <w:p w14:paraId="38A3CF91" w14:textId="77777777" w:rsidR="001D5F21" w:rsidRPr="00153AFF" w:rsidRDefault="001D5F21" w:rsidP="001D5F21">
      <w:pPr>
        <w:pStyle w:val="BBTitle"/>
      </w:pPr>
      <w:r w:rsidRPr="00153AFF">
        <w:rPr>
          <w:noProof/>
        </w:rPr>
        <w:t>Implementation of decision MC-5/2 on mercury supply sources and trade</w:t>
      </w:r>
    </w:p>
    <w:p w14:paraId="7F5ECF9B" w14:textId="77777777" w:rsidR="001D5F21" w:rsidRPr="00153AFF" w:rsidRDefault="001D5F21" w:rsidP="001D5F21">
      <w:pPr>
        <w:pStyle w:val="CH2"/>
      </w:pPr>
      <w:r w:rsidRPr="00153AFF">
        <w:tab/>
      </w:r>
      <w:r w:rsidRPr="00153AFF">
        <w:tab/>
        <w:t>Note by the secretariat</w:t>
      </w:r>
    </w:p>
    <w:p w14:paraId="734F56A8" w14:textId="77777777" w:rsidR="001D5F21" w:rsidRPr="00153AFF" w:rsidRDefault="001D5F21" w:rsidP="47A2ED6C">
      <w:pPr>
        <w:pStyle w:val="CH1"/>
      </w:pPr>
      <w:r w:rsidRPr="00153AFF">
        <w:tab/>
        <w:t>I.</w:t>
      </w:r>
      <w:r w:rsidRPr="00153AFF">
        <w:tab/>
        <w:t>Introduction</w:t>
      </w:r>
    </w:p>
    <w:p w14:paraId="45BC53DB" w14:textId="644ADDEA"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The present note provides information on the implementation of decision MC-5/2 on mercury supply sources and trade</w:t>
      </w:r>
      <w:r w:rsidRPr="00153AFF">
        <w:rPr>
          <w:rFonts w:eastAsia="MS Mincho"/>
          <w:lang w:eastAsia="ja-JP"/>
        </w:rPr>
        <w:t xml:space="preserve">. Information on the implementation of </w:t>
      </w:r>
      <w:r w:rsidRPr="00153AFF">
        <w:t>decision MC-5/3 on the study of the global supply, production, trade and use of mercury compounds</w:t>
      </w:r>
      <w:r w:rsidRPr="00153AFF">
        <w:rPr>
          <w:rFonts w:eastAsia="MS Mincho"/>
          <w:lang w:eastAsia="ja-JP"/>
        </w:rPr>
        <w:t xml:space="preserve"> is provided in document UNEP/MC/COP.6/5/Add.1</w:t>
      </w:r>
      <w:r w:rsidRPr="00153AFF">
        <w:t>. The present note also presents relevant information from the second short national reports, as well as previous reports, submitted by parties pursuant to article 21 of the Minamata Convention on Mercury, and on relevant work carried out by the Implementation and Compliance Committee of the Convention pursuant to article 15 during the intersessional period between the fifth and the sixth meetings of the Conference of the Parties to the Convention. More information on the second short national reports is available in documents UNEP/MC/COP.6/15 and UNEP/MC/COP.6/INF/20. The report on the work of the Implementation and Compliance Committee, including recommendations, is set out in document UNEP/MC/COP.6/14.</w:t>
      </w:r>
    </w:p>
    <w:p w14:paraId="64E9D6E4" w14:textId="77777777" w:rsidR="001D5F21" w:rsidRPr="00153AFF" w:rsidRDefault="001D5F21" w:rsidP="00A553D3">
      <w:pPr>
        <w:pStyle w:val="CH1"/>
      </w:pPr>
      <w:r w:rsidRPr="00153AFF">
        <w:rPr>
          <w:bCs/>
        </w:rPr>
        <w:tab/>
      </w:r>
      <w:r w:rsidRPr="00153AFF">
        <w:t>II.</w:t>
      </w:r>
      <w:r w:rsidRPr="00153AFF">
        <w:rPr>
          <w:bCs/>
        </w:rPr>
        <w:tab/>
      </w:r>
      <w:r w:rsidRPr="00153AFF">
        <w:t>Implementation</w:t>
      </w:r>
    </w:p>
    <w:p w14:paraId="79E5DCF7" w14:textId="27304A41" w:rsidR="001D5F21" w:rsidRPr="00153AFF" w:rsidRDefault="001D5F21" w:rsidP="00A553D3">
      <w:pPr>
        <w:pStyle w:val="CH2"/>
      </w:pPr>
      <w:r w:rsidRPr="00153AFF">
        <w:tab/>
        <w:t>A.</w:t>
      </w:r>
      <w:r w:rsidRPr="00153AFF">
        <w:tab/>
        <w:t>Primary mercury mining (para</w:t>
      </w:r>
      <w:r w:rsidR="00D63E2E" w:rsidRPr="00153AFF">
        <w:t>.</w:t>
      </w:r>
      <w:r w:rsidRPr="00153AFF">
        <w:t xml:space="preserve"> 1 of decision MC-5/2)</w:t>
      </w:r>
    </w:p>
    <w:p w14:paraId="025ADE67" w14:textId="4F33127A"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The Conference of the Parties recalled, in paragraph 1 of decision MC-5/2, that, pursuant to paragraphs 3 and 4 of article 3, parties are required to control primary mercury mining</w:t>
      </w:r>
      <w:r w:rsidR="00011018" w:rsidRPr="00153AFF">
        <w:t>,</w:t>
      </w:r>
      <w:r w:rsidRPr="00153AFF">
        <w:t xml:space="preserve"> and encouraged parties to report on all primary mercury mining activities being carried out in their territories, irrespective of their status as formal, informal or illegal, in their next national reports. The secretariat’s analyses of the second short national reports, which were due to be submitted by the end of 2023, and of previous reports, reveal that </w:t>
      </w:r>
      <w:r w:rsidR="00642F5F" w:rsidRPr="00153AFF">
        <w:t xml:space="preserve">two </w:t>
      </w:r>
      <w:r w:rsidRPr="00153AFF">
        <w:t>parties with important mercury deposits (Indonesia and Mexico) raised the issue of informal or illegal primary mining in their territories either in their response to question 3.1</w:t>
      </w:r>
      <w:r w:rsidRPr="00153AFF">
        <w:rPr>
          <w:vertAlign w:val="superscript"/>
        </w:rPr>
        <w:footnoteReference w:id="3"/>
      </w:r>
      <w:r w:rsidRPr="00153AFF">
        <w:t xml:space="preserve"> or in part C</w:t>
      </w:r>
      <w:r w:rsidRPr="00153AFF">
        <w:rPr>
          <w:vertAlign w:val="superscript"/>
        </w:rPr>
        <w:footnoteReference w:id="4"/>
      </w:r>
      <w:r w:rsidRPr="00153AFF">
        <w:t xml:space="preserve"> of their national reports. One party (Indonesia) formally </w:t>
      </w:r>
      <w:r w:rsidRPr="00153AFF">
        <w:lastRenderedPageBreak/>
        <w:t>reported the issue of illegal primary mercury mining in its second short national report (</w:t>
      </w:r>
      <w:r w:rsidR="00C54C5A" w:rsidRPr="00153AFF">
        <w:t xml:space="preserve">submitted in </w:t>
      </w:r>
      <w:r w:rsidRPr="00153AFF">
        <w:t xml:space="preserve">2023). The party also raised illegal primary mercury mining as a challenge in meeting the objective of the Convention in part C of its full national report (2021) and in its short national report (2019). </w:t>
      </w:r>
      <w:r w:rsidR="00086C68" w:rsidRPr="00153AFF">
        <w:t xml:space="preserve">The other </w:t>
      </w:r>
      <w:r w:rsidRPr="00153AFF">
        <w:rPr>
          <w:rFonts w:eastAsia="MS Mincho"/>
          <w:lang w:eastAsia="ja-JP"/>
        </w:rPr>
        <w:t>p</w:t>
      </w:r>
      <w:r w:rsidRPr="00153AFF">
        <w:t>arty (Mexico) provided the production data from formal primary mercury mines in its territory in its response to question 3.1 of its second short national report and acknowledged that it did not have data on the production from illegal primary mercury mining operations. The same party</w:t>
      </w:r>
      <w:r w:rsidRPr="00153AFF" w:rsidDel="001E62F2">
        <w:t xml:space="preserve"> </w:t>
      </w:r>
      <w:r w:rsidRPr="00153AFF">
        <w:t>had already mentioned in its full national report (</w:t>
      </w:r>
      <w:r w:rsidR="00A260B1" w:rsidRPr="00153AFF">
        <w:t xml:space="preserve">submitted in </w:t>
      </w:r>
      <w:r w:rsidRPr="00153AFF">
        <w:t xml:space="preserve">2021) the persistence of mercury production that might be additional to its known closed mines. </w:t>
      </w:r>
    </w:p>
    <w:p w14:paraId="7312D3D5" w14:textId="1C218712" w:rsidR="001D5F21" w:rsidRPr="00153AFF" w:rsidRDefault="001D5F21" w:rsidP="000558CE">
      <w:pPr>
        <w:pStyle w:val="Normalnumber"/>
        <w:tabs>
          <w:tab w:val="clear" w:pos="1247"/>
          <w:tab w:val="clear" w:pos="1814"/>
          <w:tab w:val="clear" w:pos="2381"/>
          <w:tab w:val="clear" w:pos="2948"/>
          <w:tab w:val="clear" w:pos="3515"/>
          <w:tab w:val="left" w:pos="624"/>
        </w:tabs>
        <w:ind w:left="1247"/>
      </w:pPr>
      <w:r w:rsidRPr="00153AFF">
        <w:t>In th</w:t>
      </w:r>
      <w:r w:rsidR="008722FB" w:rsidRPr="00153AFF">
        <w:t>at</w:t>
      </w:r>
      <w:r w:rsidRPr="00153AFF">
        <w:t xml:space="preserve"> respect, the Implementation and Compliance Committee </w:t>
      </w:r>
      <w:r w:rsidR="00A260B1" w:rsidRPr="00153AFF">
        <w:t xml:space="preserve">at its seventh meeting </w:t>
      </w:r>
      <w:r w:rsidRPr="00153AFF">
        <w:t xml:space="preserve">took note </w:t>
      </w:r>
      <w:r w:rsidR="00A260B1" w:rsidRPr="00153AFF">
        <w:t xml:space="preserve">of the fact </w:t>
      </w:r>
      <w:r w:rsidRPr="00153AFF">
        <w:t xml:space="preserve">that parties with important mercury deposits had raised the presence of informal or illegal primary mining in their territories since the first reporting cycle. The Committee recommended, in paragraph 3 (b) of the review of issues of compliance and implementation under the Convention on the basis of national reporting set out in the annex to document UNEP/MC/COP.6/14, that the Conference of the Parties, at its sixth meeting, consider inviting parties to submit information on experiences and challenges faced in the implementation of paragraph 3 of article 3, specifically taking into account any information already provided in response to paragraph 4 of decision MC-5/2 (see </w:t>
      </w:r>
      <w:r w:rsidR="00843142" w:rsidRPr="00153AFF">
        <w:t>section D</w:t>
      </w:r>
      <w:r w:rsidRPr="00153AFF">
        <w:t xml:space="preserve"> below).</w:t>
      </w:r>
      <w:r w:rsidR="00153AFF" w:rsidRPr="00153AFF">
        <w:t xml:space="preserve"> On the basis of the recommendation, the secretariat prepared operational paragraph 3 of the draft decision set out in the annex to the present note, for consideration by the Conference of the Parties at its sixth meeting</w:t>
      </w:r>
      <w:r w:rsidRPr="00153AFF">
        <w:t xml:space="preserve">. Furthermore, the Committee decided to re-examine the issue at its next meeting in the light of available information and to consider any appropriate conclusion or recommendation to provide to the Conference of the Parties. </w:t>
      </w:r>
    </w:p>
    <w:p w14:paraId="345577FC" w14:textId="76E806F1"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rPr>
          <w:rFonts w:eastAsia="MS Mincho"/>
          <w:lang w:eastAsia="ja-JP"/>
        </w:rPr>
        <w:t xml:space="preserve">It is worth noting that a project funded by the Global Environment Facility (GEF) seeking to reduce global environmental risks through the monitoring and development of alternative livelihoods for </w:t>
      </w:r>
      <w:r w:rsidRPr="00153AFF">
        <w:t>the</w:t>
      </w:r>
      <w:r w:rsidRPr="00153AFF">
        <w:rPr>
          <w:rFonts w:eastAsia="MS Mincho"/>
          <w:lang w:eastAsia="ja-JP"/>
        </w:rPr>
        <w:t xml:space="preserve"> primary mercury mining sector in Mexico</w:t>
      </w:r>
      <w:r w:rsidR="00006621" w:rsidRPr="00153AFF">
        <w:rPr>
          <w:rStyle w:val="FootnoteReference"/>
          <w:rFonts w:eastAsia="MS Mincho"/>
          <w:lang w:eastAsia="ja-JP"/>
        </w:rPr>
        <w:footnoteReference w:id="5"/>
      </w:r>
      <w:r w:rsidRPr="00153AFF">
        <w:rPr>
          <w:rFonts w:eastAsia="MS Mincho"/>
          <w:lang w:eastAsia="ja-JP"/>
        </w:rPr>
        <w:t xml:space="preserve"> is being implemented by the United Nations Environment Programme (UNEP) from 2021 to 2026. The project aims to characterize primary mercury mining in Mexico and reinforce control mechanisms, leading to the permanent closure of mercury mines by 2032 without affecting the situation of miners and their families. The implementation of the project may </w:t>
      </w:r>
      <w:r w:rsidR="00AD6FD2" w:rsidRPr="00153AFF">
        <w:rPr>
          <w:rFonts w:eastAsia="MS Mincho"/>
          <w:lang w:eastAsia="ja-JP"/>
        </w:rPr>
        <w:t xml:space="preserve">provide </w:t>
      </w:r>
      <w:r w:rsidRPr="00153AFF">
        <w:rPr>
          <w:rFonts w:eastAsia="MS Mincho"/>
          <w:lang w:eastAsia="ja-JP"/>
        </w:rPr>
        <w:t>valuable information that supports parties in fulfilling their obligations to regulate primary mercury mining.</w:t>
      </w:r>
    </w:p>
    <w:p w14:paraId="4DE8D4CA" w14:textId="3E5F4B61" w:rsidR="001D5F21" w:rsidRPr="00153AFF" w:rsidRDefault="001D5F21" w:rsidP="00A553D3">
      <w:pPr>
        <w:pStyle w:val="CH2"/>
      </w:pPr>
      <w:r w:rsidRPr="00153AFF">
        <w:tab/>
        <w:t>B.</w:t>
      </w:r>
      <w:r w:rsidRPr="00153AFF">
        <w:tab/>
        <w:t>Information on exports of mercury without consent (para</w:t>
      </w:r>
      <w:r w:rsidR="00D63E2E" w:rsidRPr="00153AFF">
        <w:t>.</w:t>
      </w:r>
      <w:r w:rsidRPr="00153AFF">
        <w:t xml:space="preserve"> 2 of decision </w:t>
      </w:r>
      <w:r w:rsidR="008D0DB4" w:rsidRPr="00153AFF">
        <w:t>MC</w:t>
      </w:r>
      <w:r w:rsidR="008D0DB4" w:rsidRPr="00153AFF">
        <w:noBreakHyphen/>
      </w:r>
      <w:r w:rsidRPr="00153AFF">
        <w:t>5/2)</w:t>
      </w:r>
    </w:p>
    <w:p w14:paraId="783825D7" w14:textId="77777777"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 xml:space="preserve">In paragraph 2 of decision MC-5/2, the Conference of the Parties encouraged parties that did not receive consent for all exports of mercury from the party’s territory to provide more information, if any, in their next national reports, including on measures taken to prevent exports which are not in compliance with the Convention. In this respect, the secretariat’s analysis of the second short national reports concluded that four parties had provided such information, as follows: </w:t>
      </w:r>
    </w:p>
    <w:p w14:paraId="1D10AEDB" w14:textId="38A732E3" w:rsidR="001D5F21" w:rsidRPr="00153AFF" w:rsidRDefault="001D5F21" w:rsidP="00E816CC">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153AFF">
        <w:t>One party (Antigua and Barbuda) reported a</w:t>
      </w:r>
      <w:r w:rsidR="00D45D14" w:rsidRPr="00153AFF">
        <w:t xml:space="preserve"> case of</w:t>
      </w:r>
      <w:r w:rsidRPr="00153AFF">
        <w:t xml:space="preserve"> export without consent in 2022. The party reported that documents were </w:t>
      </w:r>
      <w:r w:rsidR="00D45D14" w:rsidRPr="00153AFF">
        <w:t xml:space="preserve">subsequently </w:t>
      </w:r>
      <w:r w:rsidRPr="00153AFF">
        <w:t>submitted that satisfied its national focal point that the stocks had been disposed of in an environmentally sound manner;</w:t>
      </w:r>
    </w:p>
    <w:p w14:paraId="2410C3E1" w14:textId="401AC2A2" w:rsidR="001D5F21" w:rsidRPr="00153AFF" w:rsidRDefault="001D5F21" w:rsidP="00A553D3">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153AFF">
        <w:t xml:space="preserve">One party (Burkina Faso) reported the presence of illegal domestic trade </w:t>
      </w:r>
      <w:r w:rsidR="00B71F16" w:rsidRPr="00153AFF">
        <w:t>in</w:t>
      </w:r>
      <w:r w:rsidRPr="00153AFF">
        <w:t xml:space="preserve"> mercury in small quantities. The report also confirmed the absences, in its territory, of primary mercury mining and stocks of mercury. The party provided more information on illegally imported mercury in its territory and illegal re-export in response to paragraph 4 of decision MC-5/2 (see </w:t>
      </w:r>
      <w:r w:rsidR="2C58A2D9" w:rsidRPr="00153AFF">
        <w:t xml:space="preserve">section D </w:t>
      </w:r>
      <w:r w:rsidRPr="00153AFF">
        <w:t>below on the matter);</w:t>
      </w:r>
    </w:p>
    <w:p w14:paraId="32374AAF" w14:textId="5DA9A81A" w:rsidR="001D5F21" w:rsidRPr="00153AFF" w:rsidRDefault="001D5F21" w:rsidP="00E816CC">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153AFF">
        <w:t xml:space="preserve">One party (Australia) reported that it had denied a request to export elemental mercury to a non-party for gold extraction purposes on the basis that the non-party could not provide certification that measures were in place to ensure the protection of human health and the environment; </w:t>
      </w:r>
    </w:p>
    <w:p w14:paraId="0E38DB0B" w14:textId="117EB947" w:rsidR="001D5F21" w:rsidRPr="00153AFF" w:rsidRDefault="001D5F21" w:rsidP="00A553D3">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153AFF">
        <w:t>One party (Canada) reported on a case arising from an incorrect report on the quantity of mercury that had been exported to another party. The party reported that the case had been referred to enforcement for review and action, as appropriate.</w:t>
      </w:r>
    </w:p>
    <w:p w14:paraId="3637E2B4" w14:textId="09CCDDBA" w:rsidR="001D5F21" w:rsidRPr="00153AFF" w:rsidRDefault="001D5F21" w:rsidP="00153AFF">
      <w:pPr>
        <w:pStyle w:val="Normalnumber"/>
        <w:keepNext/>
        <w:keepLines/>
        <w:tabs>
          <w:tab w:val="clear" w:pos="1247"/>
          <w:tab w:val="clear" w:pos="1814"/>
          <w:tab w:val="clear" w:pos="2381"/>
          <w:tab w:val="clear" w:pos="2948"/>
          <w:tab w:val="clear" w:pos="3515"/>
          <w:tab w:val="left" w:pos="624"/>
        </w:tabs>
        <w:ind w:left="1247"/>
      </w:pPr>
      <w:r w:rsidRPr="00153AFF">
        <w:lastRenderedPageBreak/>
        <w:t xml:space="preserve">The secretariat’s analysis of the second short national reports also revealed that </w:t>
      </w:r>
      <w:r w:rsidR="007A006F" w:rsidRPr="00153AFF">
        <w:t xml:space="preserve">16 </w:t>
      </w:r>
      <w:r w:rsidRPr="00153AFF">
        <w:t>parties</w:t>
      </w:r>
      <w:r w:rsidRPr="00153AFF">
        <w:rPr>
          <w:rStyle w:val="FootnoteReference"/>
        </w:rPr>
        <w:footnoteReference w:id="6"/>
      </w:r>
      <w:r w:rsidRPr="00153AFF">
        <w:t xml:space="preserve"> reported neither receiving consent nor relying on a general notification of consent for all exports of mercury from their territories, about which they provided no explanation. The secretariat </w:t>
      </w:r>
      <w:r w:rsidR="000868A2" w:rsidRPr="00153AFF">
        <w:t>was unable to</w:t>
      </w:r>
      <w:r w:rsidRPr="00153AFF">
        <w:t xml:space="preserve"> determine from the reports whether the responses indicated that no exports had occurred, or </w:t>
      </w:r>
      <w:r w:rsidR="00AF47FF" w:rsidRPr="00153AFF">
        <w:t>whether</w:t>
      </w:r>
      <w:r w:rsidRPr="00153AFF">
        <w:t xml:space="preserve"> trade had occurred that did not conform with article 3 of the Convention.  </w:t>
      </w:r>
    </w:p>
    <w:p w14:paraId="1900E597" w14:textId="661F5C8C"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 xml:space="preserve">The secretariat’s analysis of the second short national reports also highlighted challenges in implementing article 3, particularly </w:t>
      </w:r>
      <w:r w:rsidR="009B7B49" w:rsidRPr="00153AFF">
        <w:t>owing</w:t>
      </w:r>
      <w:r w:rsidRPr="00153AFF">
        <w:t xml:space="preserve"> to incomplete trade </w:t>
      </w:r>
      <w:r w:rsidR="00D425CE" w:rsidRPr="00153AFF">
        <w:t xml:space="preserve">consent </w:t>
      </w:r>
      <w:r w:rsidRPr="00153AFF">
        <w:t xml:space="preserve">forms and uncertainty </w:t>
      </w:r>
      <w:r w:rsidR="009B7B49" w:rsidRPr="00153AFF">
        <w:t>regarding</w:t>
      </w:r>
      <w:r w:rsidRPr="00153AFF">
        <w:t xml:space="preserve"> the fulfilment of the requirement </w:t>
      </w:r>
      <w:r w:rsidR="00B335CC" w:rsidRPr="00153AFF">
        <w:t>for</w:t>
      </w:r>
      <w:r w:rsidRPr="00153AFF">
        <w:t xml:space="preserve"> consent to the import of mercury required under article 3. In particular, missing information related to: (a) consent granted; (b) source of mercury exported; and (c) signature of the trade </w:t>
      </w:r>
      <w:r w:rsidR="00D425CE" w:rsidRPr="00153AFF">
        <w:t xml:space="preserve">consent </w:t>
      </w:r>
      <w:r w:rsidRPr="00153AFF">
        <w:t xml:space="preserve">form by the national focal point. Out of seven parties that reported having received consent to export, four parties (Japan, Mexico, Peru and Switzerland) submitted trade </w:t>
      </w:r>
      <w:r w:rsidR="00D425CE" w:rsidRPr="00153AFF">
        <w:t xml:space="preserve">consent </w:t>
      </w:r>
      <w:r w:rsidRPr="00153AFF">
        <w:t>forms with their second short national reports</w:t>
      </w:r>
      <w:r w:rsidRPr="00153AFF">
        <w:rPr>
          <w:rFonts w:asciiTheme="majorBidi" w:hAnsiTheme="majorBidi" w:cstheme="majorBidi"/>
        </w:rPr>
        <w:t xml:space="preserve">. </w:t>
      </w:r>
      <w:r w:rsidR="00E3283A" w:rsidRPr="00153AFF">
        <w:t>Of the t</w:t>
      </w:r>
      <w:r w:rsidRPr="00153AFF">
        <w:t xml:space="preserve">hree parties </w:t>
      </w:r>
      <w:r w:rsidR="00E3283A" w:rsidRPr="00153AFF">
        <w:t xml:space="preserve">that </w:t>
      </w:r>
      <w:r w:rsidRPr="00153AFF">
        <w:t>did not submit trade consent forms</w:t>
      </w:r>
      <w:r w:rsidR="00E3283A" w:rsidRPr="00153AFF">
        <w:t>,</w:t>
      </w:r>
      <w:r w:rsidRPr="00153AFF">
        <w:t xml:space="preserve"> one (Canada) indicated that it relied on a general notification of consent</w:t>
      </w:r>
      <w:r w:rsidR="00BF3662" w:rsidRPr="00153AFF">
        <w:t>;</w:t>
      </w:r>
      <w:r w:rsidRPr="00153AFF">
        <w:t xml:space="preserve"> </w:t>
      </w:r>
      <w:r w:rsidR="00BF3662" w:rsidRPr="00153AFF">
        <w:t>another</w:t>
      </w:r>
      <w:r w:rsidRPr="00153AFF">
        <w:t xml:space="preserve"> (Italy) </w:t>
      </w:r>
      <w:r w:rsidR="0071487C" w:rsidRPr="00153AFF">
        <w:t xml:space="preserve">that it </w:t>
      </w:r>
      <w:r w:rsidRPr="00153AFF">
        <w:t xml:space="preserve">was not yet a party </w:t>
      </w:r>
      <w:r w:rsidR="00BF3662" w:rsidRPr="00153AFF">
        <w:t xml:space="preserve">to the Convention </w:t>
      </w:r>
      <w:r w:rsidRPr="00153AFF">
        <w:t xml:space="preserve">when </w:t>
      </w:r>
      <w:r w:rsidR="0071487C" w:rsidRPr="00153AFF">
        <w:t xml:space="preserve">the </w:t>
      </w:r>
      <w:r w:rsidRPr="00153AFF">
        <w:t>reported trade took place</w:t>
      </w:r>
      <w:r w:rsidR="00BF3662" w:rsidRPr="00153AFF">
        <w:t>;</w:t>
      </w:r>
      <w:r w:rsidRPr="00153AFF">
        <w:t xml:space="preserve"> and </w:t>
      </w:r>
      <w:r w:rsidR="00BF3662" w:rsidRPr="00153AFF">
        <w:t xml:space="preserve">the third </w:t>
      </w:r>
      <w:r w:rsidRPr="00153AFF">
        <w:rPr>
          <w:rFonts w:asciiTheme="majorBidi" w:hAnsiTheme="majorBidi" w:cstheme="majorBidi"/>
        </w:rPr>
        <w:t>(Thailand) provided other information in the form of tables or general comments, which did not show that all requirements</w:t>
      </w:r>
      <w:r w:rsidR="006D7520" w:rsidRPr="00153AFF">
        <w:rPr>
          <w:rFonts w:asciiTheme="majorBidi" w:hAnsiTheme="majorBidi" w:cstheme="majorBidi"/>
        </w:rPr>
        <w:t xml:space="preserve"> </w:t>
      </w:r>
      <w:r w:rsidRPr="00153AFF">
        <w:rPr>
          <w:rFonts w:asciiTheme="majorBidi" w:hAnsiTheme="majorBidi" w:cstheme="majorBidi"/>
        </w:rPr>
        <w:t>of article 3</w:t>
      </w:r>
      <w:r w:rsidR="006D7520" w:rsidRPr="00153AFF">
        <w:rPr>
          <w:rFonts w:asciiTheme="majorBidi" w:hAnsiTheme="majorBidi" w:cstheme="majorBidi"/>
        </w:rPr>
        <w:t xml:space="preserve">, such as evidence of consent, </w:t>
      </w:r>
      <w:r w:rsidRPr="00153AFF">
        <w:rPr>
          <w:rFonts w:asciiTheme="majorBidi" w:hAnsiTheme="majorBidi" w:cstheme="majorBidi"/>
        </w:rPr>
        <w:t xml:space="preserve">had been met. More information on the matter is provided in paragraph </w:t>
      </w:r>
      <w:r w:rsidR="00C75848" w:rsidRPr="00A05B80">
        <w:rPr>
          <w:rFonts w:asciiTheme="majorBidi" w:hAnsiTheme="majorBidi" w:cstheme="majorBidi"/>
        </w:rPr>
        <w:t>22</w:t>
      </w:r>
      <w:r w:rsidRPr="00153AFF">
        <w:rPr>
          <w:rFonts w:asciiTheme="majorBidi" w:hAnsiTheme="majorBidi" w:cstheme="majorBidi"/>
        </w:rPr>
        <w:t xml:space="preserve"> of document UNEP/MC/COP.6/INF/20.</w:t>
      </w:r>
    </w:p>
    <w:p w14:paraId="52748F4C" w14:textId="401CE418"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rPr>
          <w:rFonts w:asciiTheme="majorBidi" w:hAnsiTheme="majorBidi" w:cstheme="majorBidi"/>
        </w:rPr>
        <w:t xml:space="preserve">In decision </w:t>
      </w:r>
      <w:r w:rsidRPr="00153AFF">
        <w:t>MC</w:t>
      </w:r>
      <w:r w:rsidRPr="00153AFF">
        <w:rPr>
          <w:rFonts w:asciiTheme="majorBidi" w:hAnsiTheme="majorBidi" w:cstheme="majorBidi"/>
        </w:rPr>
        <w:t>-4/8, the Conference of the Parties called on parties that had received consent to export mercury to parties and/or non-parties to provide to the secretariat either copies of the consent forms used or other suitable information in their reports submitted pursuant to article 21 of the Convention to show that the relevant requirements of article 3 of the Convention ha</w:t>
      </w:r>
      <w:r w:rsidR="007A455D" w:rsidRPr="00153AFF">
        <w:rPr>
          <w:rFonts w:asciiTheme="majorBidi" w:hAnsiTheme="majorBidi" w:cstheme="majorBidi"/>
        </w:rPr>
        <w:t>d</w:t>
      </w:r>
      <w:r w:rsidRPr="00153AFF">
        <w:rPr>
          <w:rFonts w:asciiTheme="majorBidi" w:hAnsiTheme="majorBidi" w:cstheme="majorBidi"/>
        </w:rPr>
        <w:t xml:space="preserve"> been met</w:t>
      </w:r>
      <w:r w:rsidRPr="00153AFF" w:rsidDel="00130803">
        <w:rPr>
          <w:rFonts w:asciiTheme="majorBidi" w:hAnsiTheme="majorBidi" w:cstheme="majorBidi"/>
        </w:rPr>
        <w:t>.</w:t>
      </w:r>
      <w:r w:rsidRPr="00153AFF">
        <w:t xml:space="preserve"> </w:t>
      </w:r>
    </w:p>
    <w:p w14:paraId="5CAA2E59" w14:textId="517AA498"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It is also worth noting that one party (Peru) included in its second short national report a proposal to optimize the written consent procedure for the import of mercury, including the provision of information on transit countries, re-export points and the role of free-trade zones, and the establishment of a deadline for receipt of response</w:t>
      </w:r>
      <w:r w:rsidR="000330D1" w:rsidRPr="00153AFF">
        <w:t>s</w:t>
      </w:r>
      <w:r w:rsidRPr="00153AFF">
        <w:t xml:space="preserve"> from parties concerned. The same party also raised the need to improve identification of intended uses of traded mercury, strengthen capacities of border control agents, and </w:t>
      </w:r>
      <w:r w:rsidR="00E25ABF" w:rsidRPr="00153AFF">
        <w:t xml:space="preserve">advance </w:t>
      </w:r>
      <w:r w:rsidRPr="00153AFF">
        <w:t>the develop</w:t>
      </w:r>
      <w:r w:rsidR="00B411F3" w:rsidRPr="00153AFF">
        <w:t>ment of</w:t>
      </w:r>
      <w:r w:rsidRPr="00153AFF">
        <w:t xml:space="preserve"> protocols to identify, seize, transport, handle and label mercury. </w:t>
      </w:r>
    </w:p>
    <w:p w14:paraId="07C10113" w14:textId="690949D0" w:rsidR="001D5F21" w:rsidRPr="00153AFF" w:rsidRDefault="001D5F21" w:rsidP="00A553D3">
      <w:pPr>
        <w:pStyle w:val="CH2"/>
      </w:pPr>
      <w:r w:rsidRPr="00153AFF">
        <w:tab/>
        <w:t>C.</w:t>
      </w:r>
      <w:r w:rsidRPr="00153AFF">
        <w:tab/>
        <w:t>Joint campaigns and training opportunities to strengthen the capacity of enforcement officers (para</w:t>
      </w:r>
      <w:r w:rsidR="00D63E2E" w:rsidRPr="00153AFF">
        <w:t>.</w:t>
      </w:r>
      <w:r w:rsidRPr="00153AFF">
        <w:t xml:space="preserve"> 3 of decision MC-5/2)</w:t>
      </w:r>
    </w:p>
    <w:p w14:paraId="1252E93B" w14:textId="77777777"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 xml:space="preserve">In paragraph 3 of decision MC-5/2, the Conference of the Parties encouraged parties to promote joint campaigns and training opportunities to strengthen the capacity of enforcement officers, including customs officers, to control mercury trade at the national level. </w:t>
      </w:r>
    </w:p>
    <w:p w14:paraId="11CA402C" w14:textId="109448BB"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 xml:space="preserve">UNEP is implementing a project, funded by Japan, entitled “Project for promoting the Minamata Convention on Mercury by making the most of Japan's knowledge and experiences”, to support its Member States in the implementation of the Convention. The project gives particular attention to information exchange, awareness and education, research, development, and monitoring. In-person as well as online training sessions to enhance monitoring of trade </w:t>
      </w:r>
      <w:r w:rsidR="00B71F16" w:rsidRPr="00153AFF">
        <w:t>in</w:t>
      </w:r>
      <w:r w:rsidRPr="00153AFF">
        <w:t xml:space="preserve"> mercury and mercury compounds were organized in </w:t>
      </w:r>
      <w:r w:rsidR="03008DD9" w:rsidRPr="00153AFF">
        <w:t xml:space="preserve">between May and August </w:t>
      </w:r>
      <w:r w:rsidRPr="00153AFF">
        <w:t>2025 for representatives of ministries of environment, ministries of health and customs authorities. Participating countries included: India, Indonesia, Japan, Malaysia, Maldives, Mongolia, Nepal, Palau, Philippines, Sri Lanka, Thailand and Viet Nam.</w:t>
      </w:r>
    </w:p>
    <w:p w14:paraId="170C9341" w14:textId="23B6E2D6" w:rsidR="001D5F21" w:rsidRPr="00153AFF" w:rsidRDefault="001D5F21" w:rsidP="00A553D3">
      <w:pPr>
        <w:pStyle w:val="CH2"/>
      </w:pPr>
      <w:r w:rsidRPr="00153AFF">
        <w:tab/>
        <w:t>D.</w:t>
      </w:r>
      <w:r w:rsidRPr="00153AFF">
        <w:tab/>
        <w:t>Experiences and challenges faced in the implementation of article 3 as well as information on activities undertaken in relation to the Bali Declaration on combating illegal trade in mercury (para</w:t>
      </w:r>
      <w:r w:rsidR="00D63E2E" w:rsidRPr="00153AFF">
        <w:t>.</w:t>
      </w:r>
      <w:r w:rsidRPr="00153AFF">
        <w:t xml:space="preserve"> 4 of decision MC-5/2)</w:t>
      </w:r>
    </w:p>
    <w:p w14:paraId="5879F217" w14:textId="4E66E93D"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 xml:space="preserve">In paragraph 4 of decision MC-5/2, the Conference of the Parties invited parties to submit to the </w:t>
      </w:r>
      <w:r w:rsidR="009816D2" w:rsidRPr="00153AFF">
        <w:t>s</w:t>
      </w:r>
      <w:r w:rsidRPr="00153AFF">
        <w:t xml:space="preserve">ecretariat information on experiences and challenges faced in the implementation of article 3 as well as information on activities undertaken in relation to the Bali </w:t>
      </w:r>
      <w:r w:rsidR="00D86112" w:rsidRPr="00153AFF">
        <w:t>D</w:t>
      </w:r>
      <w:r w:rsidRPr="00153AFF">
        <w:t xml:space="preserve">eclaration on combating illegal trade in mercury by March 2025, and requested the </w:t>
      </w:r>
      <w:r w:rsidR="00390BA1" w:rsidRPr="00153AFF">
        <w:t>s</w:t>
      </w:r>
      <w:r w:rsidRPr="00153AFF">
        <w:t xml:space="preserve">ecretariat to compile the information received for consideration by the Conference of the Parties at its sixth meeting. </w:t>
      </w:r>
    </w:p>
    <w:p w14:paraId="59492F26" w14:textId="18E454F7"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lastRenderedPageBreak/>
        <w:t xml:space="preserve">The following eight parties provided information in response to paragraph 4 of decision </w:t>
      </w:r>
      <w:r w:rsidR="00153AFF" w:rsidRPr="00153AFF">
        <w:t>MC</w:t>
      </w:r>
      <w:r w:rsidR="00153AFF" w:rsidRPr="00153AFF">
        <w:noBreakHyphen/>
      </w:r>
      <w:r w:rsidRPr="00153AFF">
        <w:t xml:space="preserve">5/2: Burkina Faso, Canada, Indonesia, Japan, Peru, Philippines, Senegal and Togo.  </w:t>
      </w:r>
    </w:p>
    <w:p w14:paraId="67A2B9FE" w14:textId="09B3E058"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 xml:space="preserve">The </w:t>
      </w:r>
      <w:r w:rsidR="00AE5D74" w:rsidRPr="00153AFF">
        <w:t>secretariat prepared a summary of the</w:t>
      </w:r>
      <w:r w:rsidR="00CE2CCF" w:rsidRPr="00153AFF">
        <w:t xml:space="preserve"> varied</w:t>
      </w:r>
      <w:r w:rsidR="00AE5D74" w:rsidRPr="00153AFF">
        <w:t xml:space="preserve"> </w:t>
      </w:r>
      <w:r w:rsidRPr="00153AFF">
        <w:t xml:space="preserve">information </w:t>
      </w:r>
      <w:r w:rsidRPr="00153AFF">
        <w:rPr>
          <w:noProof/>
        </w:rPr>
        <w:t>shared by parties</w:t>
      </w:r>
      <w:r w:rsidR="009356B5" w:rsidRPr="00153AFF">
        <w:rPr>
          <w:noProof/>
        </w:rPr>
        <w:t xml:space="preserve"> (</w:t>
      </w:r>
      <w:r w:rsidRPr="00153AFF">
        <w:t>UNEP/MC/COP.6/INF/6</w:t>
      </w:r>
      <w:r w:rsidR="009356B5" w:rsidRPr="00153AFF">
        <w:t>)</w:t>
      </w:r>
      <w:r w:rsidR="00781538" w:rsidRPr="00153AFF">
        <w:t>, and</w:t>
      </w:r>
      <w:r w:rsidR="00AE5D74" w:rsidRPr="00153AFF">
        <w:rPr>
          <w:noProof/>
        </w:rPr>
        <w:t xml:space="preserve"> </w:t>
      </w:r>
      <w:r w:rsidR="009356B5" w:rsidRPr="00153AFF">
        <w:rPr>
          <w:noProof/>
        </w:rPr>
        <w:t xml:space="preserve">made </w:t>
      </w:r>
      <w:r w:rsidR="00AE5D74" w:rsidRPr="00153AFF">
        <w:rPr>
          <w:noProof/>
        </w:rPr>
        <w:t>the submission</w:t>
      </w:r>
      <w:r w:rsidR="009356B5" w:rsidRPr="00153AFF">
        <w:rPr>
          <w:noProof/>
        </w:rPr>
        <w:t>s</w:t>
      </w:r>
      <w:r w:rsidRPr="00153AFF">
        <w:rPr>
          <w:noProof/>
        </w:rPr>
        <w:t xml:space="preserve"> available on </w:t>
      </w:r>
      <w:r w:rsidRPr="00153AFF">
        <w:t xml:space="preserve">the Convention </w:t>
      </w:r>
      <w:hyperlink r:id="rId13" w:history="1">
        <w:r w:rsidRPr="00153AFF">
          <w:rPr>
            <w:rStyle w:val="Hyperlink"/>
          </w:rPr>
          <w:t>website</w:t>
        </w:r>
      </w:hyperlink>
      <w:r w:rsidRPr="00153AFF">
        <w:t>.</w:t>
      </w:r>
      <w:r w:rsidRPr="00153AFF">
        <w:rPr>
          <w:noProof/>
        </w:rPr>
        <w:t xml:space="preserve"> Challenges mostly related to the implementation of trade-related obligations under article 3, </w:t>
      </w:r>
      <w:r w:rsidR="00AF60CA" w:rsidRPr="00153AFF">
        <w:rPr>
          <w:noProof/>
        </w:rPr>
        <w:t>including</w:t>
      </w:r>
      <w:r w:rsidRPr="00153AFF">
        <w:rPr>
          <w:noProof/>
        </w:rPr>
        <w:t>:</w:t>
      </w:r>
    </w:p>
    <w:p w14:paraId="68C62268" w14:textId="54B23D99" w:rsidR="001D5F21" w:rsidRPr="00153AFF" w:rsidRDefault="001D5F21" w:rsidP="00E816CC">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153AFF">
        <w:rPr>
          <w:noProof/>
        </w:rPr>
        <w:t xml:space="preserve">Illegal, </w:t>
      </w:r>
      <w:r w:rsidRPr="00153AFF">
        <w:t>informal</w:t>
      </w:r>
      <w:r w:rsidRPr="00153AFF">
        <w:rPr>
          <w:noProof/>
        </w:rPr>
        <w:t xml:space="preserve"> and unreported trade across national borders; </w:t>
      </w:r>
    </w:p>
    <w:p w14:paraId="1422E785" w14:textId="54F2082C" w:rsidR="001D5F21" w:rsidRPr="00153AFF" w:rsidRDefault="001D5F21" w:rsidP="00E816CC">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153AFF">
        <w:rPr>
          <w:rFonts w:eastAsia="SimSun"/>
        </w:rPr>
        <w:t xml:space="preserve">Illegal transit and re-export of mercury; </w:t>
      </w:r>
    </w:p>
    <w:p w14:paraId="1A1896D6" w14:textId="6A3FBAD7" w:rsidR="001D5F21" w:rsidRPr="00153AFF" w:rsidRDefault="001D5F21" w:rsidP="00E816CC">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153AFF">
        <w:rPr>
          <w:rFonts w:eastAsia="SimSun"/>
        </w:rPr>
        <w:t xml:space="preserve">Illegal </w:t>
      </w:r>
      <w:r w:rsidRPr="00153AFF">
        <w:rPr>
          <w:noProof/>
        </w:rPr>
        <w:t>trade</w:t>
      </w:r>
      <w:r w:rsidRPr="00153AFF">
        <w:rPr>
          <w:rFonts w:eastAsia="SimSun"/>
        </w:rPr>
        <w:t xml:space="preserve"> </w:t>
      </w:r>
      <w:r w:rsidR="00B71F16" w:rsidRPr="00153AFF">
        <w:rPr>
          <w:rFonts w:eastAsia="SimSun"/>
        </w:rPr>
        <w:t>in</w:t>
      </w:r>
      <w:r w:rsidRPr="00153AFF">
        <w:rPr>
          <w:rFonts w:eastAsia="SimSun"/>
        </w:rPr>
        <w:t xml:space="preserve"> mercury for use in artisanal and small-scale gold mining</w:t>
      </w:r>
      <w:r w:rsidR="00D1745E" w:rsidRPr="00153AFF">
        <w:rPr>
          <w:rFonts w:eastAsia="SimSun"/>
        </w:rPr>
        <w:t xml:space="preserve"> (ASGM)</w:t>
      </w:r>
      <w:r w:rsidRPr="00153AFF">
        <w:rPr>
          <w:rFonts w:eastAsia="SimSun"/>
        </w:rPr>
        <w:t>;</w:t>
      </w:r>
      <w:r w:rsidRPr="00153AFF">
        <w:rPr>
          <w:noProof/>
        </w:rPr>
        <w:t xml:space="preserve"> </w:t>
      </w:r>
    </w:p>
    <w:p w14:paraId="3C5F4817" w14:textId="29EFB255" w:rsidR="001D5F21" w:rsidRPr="00153AFF" w:rsidRDefault="001D5F21" w:rsidP="00E816CC">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153AFF">
        <w:rPr>
          <w:noProof/>
        </w:rPr>
        <w:t xml:space="preserve">Discrepancy in trade data; </w:t>
      </w:r>
    </w:p>
    <w:p w14:paraId="2E5D649C" w14:textId="6B9933C1" w:rsidR="001D5F21" w:rsidRPr="00153AFF" w:rsidRDefault="001D5F21" w:rsidP="00E816CC">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rFonts w:eastAsia="SimSun"/>
        </w:rPr>
      </w:pPr>
      <w:r w:rsidRPr="00153AFF">
        <w:rPr>
          <w:rFonts w:eastAsia="SimSun"/>
        </w:rPr>
        <w:t xml:space="preserve">Lack </w:t>
      </w:r>
      <w:r w:rsidRPr="00153AFF">
        <w:rPr>
          <w:noProof/>
        </w:rPr>
        <w:t>of</w:t>
      </w:r>
      <w:r w:rsidRPr="00153AFF">
        <w:rPr>
          <w:rFonts w:eastAsia="SimSun"/>
        </w:rPr>
        <w:t xml:space="preserve"> </w:t>
      </w:r>
      <w:r w:rsidRPr="00153AFF">
        <w:rPr>
          <w:noProof/>
        </w:rPr>
        <w:t>resources</w:t>
      </w:r>
      <w:r w:rsidRPr="00153AFF">
        <w:rPr>
          <w:rFonts w:eastAsia="SimSun"/>
        </w:rPr>
        <w:t xml:space="preserve"> for control at the border and of infrastructure for seized mercury; </w:t>
      </w:r>
    </w:p>
    <w:p w14:paraId="4FE98EBC" w14:textId="51A2A655" w:rsidR="001D5F21" w:rsidRPr="00153AFF" w:rsidRDefault="001D5F21" w:rsidP="00E816CC">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rFonts w:eastAsia="SimSun"/>
        </w:rPr>
      </w:pPr>
      <w:r w:rsidRPr="00153AFF">
        <w:rPr>
          <w:noProof/>
        </w:rPr>
        <w:t>Unknown</w:t>
      </w:r>
      <w:r w:rsidRPr="00153AFF">
        <w:rPr>
          <w:rFonts w:eastAsia="SimSun"/>
        </w:rPr>
        <w:t xml:space="preserve"> origin and importer of mercury; </w:t>
      </w:r>
    </w:p>
    <w:p w14:paraId="4E15A8E0" w14:textId="67D3EC0F" w:rsidR="001D5F21" w:rsidRPr="00153AFF" w:rsidRDefault="001D5F21" w:rsidP="00E816CC">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rFonts w:eastAsia="SimSun"/>
        </w:rPr>
      </w:pPr>
      <w:r w:rsidRPr="00153AFF">
        <w:rPr>
          <w:noProof/>
        </w:rPr>
        <w:t>Illegal</w:t>
      </w:r>
      <w:r w:rsidRPr="00153AFF">
        <w:rPr>
          <w:rFonts w:eastAsia="SimSun"/>
        </w:rPr>
        <w:t xml:space="preserve"> online trading. </w:t>
      </w:r>
    </w:p>
    <w:p w14:paraId="2FFC6667" w14:textId="61EA8314" w:rsidR="001D5F21" w:rsidRPr="00153AFF" w:rsidRDefault="00AF60CA" w:rsidP="001D5F21">
      <w:pPr>
        <w:pStyle w:val="Normalnumber"/>
        <w:tabs>
          <w:tab w:val="clear" w:pos="1247"/>
          <w:tab w:val="clear" w:pos="1814"/>
          <w:tab w:val="clear" w:pos="2381"/>
          <w:tab w:val="clear" w:pos="2948"/>
          <w:tab w:val="clear" w:pos="3515"/>
          <w:tab w:val="left" w:pos="624"/>
        </w:tabs>
        <w:ind w:left="1247"/>
      </w:pPr>
      <w:r w:rsidRPr="00153AFF">
        <w:rPr>
          <w:noProof/>
        </w:rPr>
        <w:t>O</w:t>
      </w:r>
      <w:r w:rsidR="001D5F21" w:rsidRPr="00153AFF">
        <w:rPr>
          <w:noProof/>
        </w:rPr>
        <w:t>ne party (</w:t>
      </w:r>
      <w:r w:rsidR="001D5F21" w:rsidRPr="00153AFF">
        <w:rPr>
          <w:rFonts w:eastAsia="SimSun"/>
        </w:rPr>
        <w:t xml:space="preserve">Indonesia) indicated that official trade statistics showed no recorded imports of elemental mercury into Indonesia in recent years. However, its Minamata Initial Assessment estimated </w:t>
      </w:r>
      <w:r w:rsidR="001D5F21" w:rsidRPr="00153AFF">
        <w:t>significant</w:t>
      </w:r>
      <w:r w:rsidR="001D5F21" w:rsidRPr="00153AFF">
        <w:rPr>
          <w:rFonts w:eastAsia="SimSun"/>
        </w:rPr>
        <w:t xml:space="preserve"> mercury use in </w:t>
      </w:r>
      <w:r w:rsidR="00D1745E" w:rsidRPr="00153AFF">
        <w:rPr>
          <w:rFonts w:eastAsia="SimSun"/>
        </w:rPr>
        <w:t>ASGM</w:t>
      </w:r>
      <w:r w:rsidR="001D5F21" w:rsidRPr="00153AFF">
        <w:rPr>
          <w:rFonts w:eastAsia="SimSun"/>
        </w:rPr>
        <w:t xml:space="preserve">, revealing a gap between reported imports and actual usage. The same party further pointed out that the discrepancy highlighted the prevalence of unrecorded and illegal mercury trade. Another party (Burkina Faso) submitted information on the existence of illegal and unreported trade from another party as well as illegal re-export of mercury to other parties in the region for use in </w:t>
      </w:r>
      <w:r w:rsidR="00D1745E" w:rsidRPr="00153AFF">
        <w:rPr>
          <w:rFonts w:eastAsia="SimSun"/>
        </w:rPr>
        <w:t>ASGM</w:t>
      </w:r>
      <w:r w:rsidR="001D5F21" w:rsidRPr="00153AFF">
        <w:rPr>
          <w:rFonts w:eastAsia="SimSun"/>
        </w:rPr>
        <w:t xml:space="preserve">. </w:t>
      </w:r>
    </w:p>
    <w:p w14:paraId="00F14CC5" w14:textId="22D3B434"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rPr>
          <w:noProof/>
        </w:rPr>
        <w:t xml:space="preserve">One party </w:t>
      </w:r>
      <w:r w:rsidRPr="00153AFF">
        <w:t>(</w:t>
      </w:r>
      <w:r w:rsidRPr="00153AFF">
        <w:rPr>
          <w:rFonts w:eastAsia="SimSun"/>
        </w:rPr>
        <w:t xml:space="preserve">Indonesia) </w:t>
      </w:r>
      <w:r w:rsidRPr="00153AFF">
        <w:t xml:space="preserve">provided information on illegal primary mining activities found in its territory as a potential source of mercury and challenge to the implementation of article 3. The </w:t>
      </w:r>
      <w:r w:rsidR="004E1594" w:rsidRPr="00153AFF">
        <w:t>p</w:t>
      </w:r>
      <w:r w:rsidRPr="00153AFF">
        <w:t>arty reported on</w:t>
      </w:r>
      <w:r w:rsidR="00375D39" w:rsidRPr="00153AFF">
        <w:t xml:space="preserve"> police and</w:t>
      </w:r>
      <w:r w:rsidRPr="00153AFF">
        <w:t xml:space="preserve"> Government</w:t>
      </w:r>
      <w:r w:rsidR="00375D39" w:rsidRPr="00153AFF">
        <w:t xml:space="preserve"> </w:t>
      </w:r>
      <w:r w:rsidRPr="00153AFF">
        <w:t xml:space="preserve">efforts to control illegal cinnabar mining with the objective of </w:t>
      </w:r>
      <w:r w:rsidR="00375D39" w:rsidRPr="00153AFF">
        <w:t xml:space="preserve">its </w:t>
      </w:r>
      <w:r w:rsidRPr="00153AFF">
        <w:t>eliminati</w:t>
      </w:r>
      <w:r w:rsidR="00375D39" w:rsidRPr="00153AFF">
        <w:t>o</w:t>
      </w:r>
      <w:r w:rsidRPr="00153AFF">
        <w:t>n.</w:t>
      </w:r>
    </w:p>
    <w:p w14:paraId="441AE2C1" w14:textId="2EB4F300"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Parties</w:t>
      </w:r>
      <w:r w:rsidRPr="00153AFF">
        <w:rPr>
          <w:noProof/>
        </w:rPr>
        <w:t xml:space="preserve"> also shared experiences o</w:t>
      </w:r>
      <w:r w:rsidRPr="00153AFF">
        <w:t xml:space="preserve">n how they are supporting implementation of </w:t>
      </w:r>
      <w:r w:rsidRPr="00153AFF">
        <w:rPr>
          <w:noProof/>
        </w:rPr>
        <w:t>article</w:t>
      </w:r>
      <w:r w:rsidRPr="00153AFF">
        <w:t xml:space="preserve"> 3, which included:</w:t>
      </w:r>
    </w:p>
    <w:p w14:paraId="5679E100" w14:textId="6EDB251B" w:rsidR="001D5F21" w:rsidRPr="00153AFF" w:rsidRDefault="001D5F21" w:rsidP="00E816CC">
      <w:pPr>
        <w:pStyle w:val="Normalnumber"/>
        <w:numPr>
          <w:ilvl w:val="1"/>
          <w:numId w:val="1"/>
        </w:numPr>
        <w:tabs>
          <w:tab w:val="clear" w:pos="1247"/>
          <w:tab w:val="clear" w:pos="1814"/>
          <w:tab w:val="clear" w:pos="2381"/>
          <w:tab w:val="clear" w:pos="2948"/>
          <w:tab w:val="clear" w:pos="3515"/>
          <w:tab w:val="left" w:pos="624"/>
        </w:tabs>
      </w:pPr>
      <w:r w:rsidRPr="00153AFF">
        <w:rPr>
          <w:noProof/>
        </w:rPr>
        <w:t xml:space="preserve">Existing </w:t>
      </w:r>
      <w:r w:rsidRPr="00153AFF">
        <w:t xml:space="preserve">national </w:t>
      </w:r>
      <w:r w:rsidRPr="00153AFF">
        <w:rPr>
          <w:noProof/>
        </w:rPr>
        <w:t>laws</w:t>
      </w:r>
      <w:r w:rsidRPr="00153AFF">
        <w:t xml:space="preserve"> and </w:t>
      </w:r>
      <w:r w:rsidRPr="00153AFF">
        <w:rPr>
          <w:noProof/>
        </w:rPr>
        <w:t xml:space="preserve">regulations </w:t>
      </w:r>
      <w:r w:rsidRPr="00153AFF">
        <w:t>to control trade adopted in compliance with article 3;</w:t>
      </w:r>
    </w:p>
    <w:p w14:paraId="1CB9AEF8" w14:textId="6836A486" w:rsidR="001D5F21" w:rsidRPr="00153AFF" w:rsidRDefault="001D5F21" w:rsidP="00E816CC">
      <w:pPr>
        <w:pStyle w:val="Normalnumber"/>
        <w:numPr>
          <w:ilvl w:val="1"/>
          <w:numId w:val="1"/>
        </w:numPr>
        <w:tabs>
          <w:tab w:val="clear" w:pos="1247"/>
          <w:tab w:val="clear" w:pos="1814"/>
          <w:tab w:val="clear" w:pos="2381"/>
          <w:tab w:val="clear" w:pos="2948"/>
          <w:tab w:val="clear" w:pos="3515"/>
          <w:tab w:val="left" w:pos="624"/>
        </w:tabs>
      </w:pPr>
      <w:r w:rsidRPr="00153AFF">
        <w:t xml:space="preserve">National initiatives to tackle the issue of illegal trade </w:t>
      </w:r>
      <w:r w:rsidR="00B71F16" w:rsidRPr="00153AFF">
        <w:t>in</w:t>
      </w:r>
      <w:r w:rsidRPr="00153AFF">
        <w:t xml:space="preserve"> mercury, including online trade; </w:t>
      </w:r>
    </w:p>
    <w:p w14:paraId="1A7A1E23" w14:textId="758A75EA" w:rsidR="001D5F21" w:rsidRPr="00153AFF" w:rsidRDefault="001D5F21" w:rsidP="00E816CC">
      <w:pPr>
        <w:pStyle w:val="Normalnumber"/>
        <w:numPr>
          <w:ilvl w:val="1"/>
          <w:numId w:val="1"/>
        </w:numPr>
        <w:tabs>
          <w:tab w:val="clear" w:pos="1247"/>
          <w:tab w:val="clear" w:pos="1814"/>
          <w:tab w:val="clear" w:pos="2381"/>
          <w:tab w:val="clear" w:pos="2948"/>
          <w:tab w:val="clear" w:pos="3515"/>
          <w:tab w:val="left" w:pos="624"/>
        </w:tabs>
      </w:pPr>
      <w:r w:rsidRPr="00153AFF">
        <w:t xml:space="preserve">Existing projects funded by GEF, such as planetGOLD and the Specific International Programme to Support Capacity-Building and Technical Assistance; </w:t>
      </w:r>
    </w:p>
    <w:p w14:paraId="59E2E77A" w14:textId="5BDA8D6A" w:rsidR="001D5F21" w:rsidRPr="00153AFF" w:rsidRDefault="001D5F21" w:rsidP="00E816CC">
      <w:pPr>
        <w:pStyle w:val="Normalnumber"/>
        <w:numPr>
          <w:ilvl w:val="1"/>
          <w:numId w:val="1"/>
        </w:numPr>
        <w:tabs>
          <w:tab w:val="clear" w:pos="1247"/>
          <w:tab w:val="clear" w:pos="1814"/>
          <w:tab w:val="clear" w:pos="2381"/>
          <w:tab w:val="clear" w:pos="2948"/>
          <w:tab w:val="clear" w:pos="3515"/>
          <w:tab w:val="left" w:pos="624"/>
        </w:tabs>
      </w:pPr>
      <w:r w:rsidRPr="00153AFF">
        <w:t xml:space="preserve">Relevant projects funded by </w:t>
      </w:r>
      <w:r w:rsidR="00E4694F" w:rsidRPr="00153AFF">
        <w:t xml:space="preserve">the </w:t>
      </w:r>
      <w:r w:rsidRPr="00153AFF">
        <w:t>Artisanal Gold Council and others;</w:t>
      </w:r>
    </w:p>
    <w:p w14:paraId="70D70716" w14:textId="65159E23" w:rsidR="001D5F21" w:rsidRPr="00153AFF" w:rsidRDefault="001D5F21" w:rsidP="00E816CC">
      <w:pPr>
        <w:pStyle w:val="Normalnumber"/>
        <w:numPr>
          <w:ilvl w:val="1"/>
          <w:numId w:val="1"/>
        </w:numPr>
        <w:tabs>
          <w:tab w:val="clear" w:pos="1247"/>
          <w:tab w:val="clear" w:pos="1814"/>
          <w:tab w:val="clear" w:pos="2381"/>
          <w:tab w:val="clear" w:pos="2948"/>
          <w:tab w:val="clear" w:pos="3515"/>
          <w:tab w:val="left" w:pos="624"/>
        </w:tabs>
      </w:pPr>
      <w:r w:rsidRPr="00153AFF">
        <w:t>Examples of enforcement responses related to cases of illegal or unrep</w:t>
      </w:r>
      <w:r w:rsidRPr="00153AFF">
        <w:rPr>
          <w:noProof/>
        </w:rPr>
        <w:t>o</w:t>
      </w:r>
      <w:r w:rsidRPr="00153AFF">
        <w:t xml:space="preserve">rted trade </w:t>
      </w:r>
      <w:r w:rsidR="00B71F16" w:rsidRPr="00153AFF">
        <w:t>in</w:t>
      </w:r>
      <w:r w:rsidRPr="00153AFF">
        <w:t xml:space="preserve"> mercury.</w:t>
      </w:r>
    </w:p>
    <w:p w14:paraId="0437DA0C" w14:textId="5BE7EB08"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 xml:space="preserve">Furthermore, parties provided information on </w:t>
      </w:r>
      <w:r w:rsidRPr="00153AFF">
        <w:rPr>
          <w:noProof/>
        </w:rPr>
        <w:t xml:space="preserve">activities undertaken in relation to the Bali declaration. </w:t>
      </w:r>
      <w:r w:rsidRPr="00153AFF">
        <w:rPr>
          <w:rFonts w:eastAsia="SimSun"/>
        </w:rPr>
        <w:t xml:space="preserve">The ministries of environment of Indonesia and Japan </w:t>
      </w:r>
      <w:r w:rsidR="000E28FB" w:rsidRPr="00153AFF">
        <w:rPr>
          <w:rFonts w:eastAsia="SimSun"/>
        </w:rPr>
        <w:t xml:space="preserve">jointly </w:t>
      </w:r>
      <w:r w:rsidRPr="00153AFF">
        <w:rPr>
          <w:rFonts w:eastAsia="SimSun"/>
        </w:rPr>
        <w:t xml:space="preserve">organized two focus group discussions on challenges and good practices in combating illegal trade in mercury </w:t>
      </w:r>
      <w:r w:rsidRPr="00153AFF">
        <w:t>in Indonesia. Participants – including representatives from relevant ministries, enforcement and customs authorities, and observers – agreed on further steps needed to combat illegal trade in mercury, taking into account the Bali declaration.</w:t>
      </w:r>
      <w:r w:rsidRPr="00153AFF">
        <w:rPr>
          <w:rStyle w:val="FootnoteReference"/>
        </w:rPr>
        <w:footnoteReference w:id="7"/>
      </w:r>
      <w:r w:rsidRPr="00153AFF">
        <w:t xml:space="preserve"> As part of its submission in response to paragraph 4 of decision MC-5/2,</w:t>
      </w:r>
      <w:r w:rsidRPr="00153AFF">
        <w:rPr>
          <w:rStyle w:val="FootnoteReference"/>
        </w:rPr>
        <w:footnoteReference w:id="8"/>
      </w:r>
      <w:r w:rsidRPr="00153AFF">
        <w:t xml:space="preserve"> Indonesia shared a set of recommendations formulated by the participants in the </w:t>
      </w:r>
      <w:r w:rsidR="00CE3B3D" w:rsidRPr="00153AFF">
        <w:t xml:space="preserve">focus </w:t>
      </w:r>
      <w:r w:rsidRPr="00153AFF">
        <w:t xml:space="preserve">group discussions to guide relevant parties in operationalizing the Bali declaration. The recommendations include national, regional and global actions to strengthen efforts </w:t>
      </w:r>
      <w:r w:rsidR="00CE3B3D" w:rsidRPr="00153AFF">
        <w:t xml:space="preserve">to combat </w:t>
      </w:r>
      <w:r w:rsidRPr="00153AFF">
        <w:t xml:space="preserve">the illegal trade in mercury. </w:t>
      </w:r>
    </w:p>
    <w:p w14:paraId="6DB4A5FE" w14:textId="3B4C5722"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lastRenderedPageBreak/>
        <w:t>Ten parties also raised illicit trafficking, illegal trade or smuggling of mercury in their second short national reports</w:t>
      </w:r>
      <w:r w:rsidR="006F6B03" w:rsidRPr="00153AFF">
        <w:t>,</w:t>
      </w:r>
      <w:r w:rsidRPr="00153AFF">
        <w:t xml:space="preserve"> as well as in previous reporting cycles, including illegal trade </w:t>
      </w:r>
      <w:r w:rsidR="00B71F16" w:rsidRPr="00153AFF">
        <w:t>in</w:t>
      </w:r>
      <w:r w:rsidRPr="00153AFF">
        <w:t xml:space="preserve"> mercury for use in ASGM.</w:t>
      </w:r>
      <w:r w:rsidRPr="00153AFF">
        <w:rPr>
          <w:rFonts w:eastAsia="SimSun"/>
        </w:rPr>
        <w:t xml:space="preserve"> For example, Burkina Faso reported illegal domestic mercury trade in its second short national report, despite indicating no mercury stocks, primary mining, or consent to imports of mercury since the first reporting cycle. Th</w:t>
      </w:r>
      <w:r w:rsidR="006F6B03" w:rsidRPr="00153AFF">
        <w:rPr>
          <w:rFonts w:eastAsia="SimSun"/>
        </w:rPr>
        <w:t>e</w:t>
      </w:r>
      <w:r w:rsidRPr="00153AFF">
        <w:rPr>
          <w:rFonts w:eastAsia="SimSun"/>
        </w:rPr>
        <w:t xml:space="preserve"> discrepancy aligns with the party’s acknowledgment of cases of illegal and unreported mercury imports. Another party (Philippines) reported the continued illegal trade </w:t>
      </w:r>
      <w:r w:rsidR="00B71F16" w:rsidRPr="00153AFF">
        <w:rPr>
          <w:rFonts w:eastAsia="SimSun"/>
        </w:rPr>
        <w:t>in</w:t>
      </w:r>
      <w:r w:rsidRPr="00153AFF">
        <w:rPr>
          <w:rFonts w:eastAsia="SimSun"/>
        </w:rPr>
        <w:t xml:space="preserve"> mercury for use in ASGM</w:t>
      </w:r>
      <w:r w:rsidR="008902E4" w:rsidRPr="00153AFF">
        <w:rPr>
          <w:rFonts w:eastAsia="SimSun"/>
        </w:rPr>
        <w:t>,</w:t>
      </w:r>
      <w:r w:rsidRPr="00153AFF">
        <w:rPr>
          <w:rFonts w:eastAsia="SimSun"/>
        </w:rPr>
        <w:t xml:space="preserve"> which is sold </w:t>
      </w:r>
      <w:r w:rsidR="008902E4" w:rsidRPr="00153AFF">
        <w:rPr>
          <w:rFonts w:eastAsia="SimSun"/>
        </w:rPr>
        <w:t xml:space="preserve">to miners </w:t>
      </w:r>
      <w:r w:rsidRPr="00153AFF">
        <w:rPr>
          <w:rFonts w:eastAsia="SimSun"/>
        </w:rPr>
        <w:t xml:space="preserve">by dental clinics. Another party (Uganda) reported on mercury </w:t>
      </w:r>
      <w:r w:rsidR="00342719" w:rsidRPr="00153AFF">
        <w:rPr>
          <w:rFonts w:eastAsia="SimSun"/>
        </w:rPr>
        <w:t xml:space="preserve">smuggled </w:t>
      </w:r>
      <w:r w:rsidRPr="00153AFF">
        <w:rPr>
          <w:rFonts w:eastAsia="SimSun"/>
        </w:rPr>
        <w:t xml:space="preserve">from another country that </w:t>
      </w:r>
      <w:r w:rsidR="00342719" w:rsidRPr="00153AFF">
        <w:rPr>
          <w:rFonts w:eastAsia="SimSun"/>
        </w:rPr>
        <w:t xml:space="preserve">had </w:t>
      </w:r>
      <w:r w:rsidRPr="00153AFF">
        <w:rPr>
          <w:rFonts w:eastAsia="SimSun"/>
        </w:rPr>
        <w:t xml:space="preserve">ended up in its ASGM sector. </w:t>
      </w:r>
      <w:r w:rsidRPr="00153AFF">
        <w:rPr>
          <w:rFonts w:asciiTheme="majorBidi" w:hAnsiTheme="majorBidi" w:cstheme="majorBidi"/>
          <w:lang w:eastAsia="ja-JP"/>
        </w:rPr>
        <w:t xml:space="preserve">In reviewing responses related to trade not conforming to article 3 or illegal trade for the past reporting cycles, the secretariat found </w:t>
      </w:r>
      <w:r w:rsidR="00C21BBA" w:rsidRPr="00153AFF">
        <w:rPr>
          <w:rFonts w:asciiTheme="majorBidi" w:hAnsiTheme="majorBidi" w:cstheme="majorBidi"/>
          <w:lang w:eastAsia="ja-JP"/>
        </w:rPr>
        <w:t xml:space="preserve">that </w:t>
      </w:r>
      <w:r w:rsidRPr="00153AFF">
        <w:rPr>
          <w:rFonts w:asciiTheme="majorBidi" w:hAnsiTheme="majorBidi" w:cstheme="majorBidi"/>
          <w:lang w:eastAsia="ja-JP"/>
        </w:rPr>
        <w:t xml:space="preserve">a total of nine parties either reported on illegal trade or trade not conforming to the Convention or raised it as a challenge in implementing the Convention. More information is available in paragraph </w:t>
      </w:r>
      <w:r w:rsidR="009A6D34" w:rsidRPr="002B1A4B">
        <w:rPr>
          <w:rFonts w:asciiTheme="majorBidi" w:hAnsiTheme="majorBidi" w:cstheme="majorBidi"/>
          <w:lang w:eastAsia="ja-JP"/>
        </w:rPr>
        <w:t>22</w:t>
      </w:r>
      <w:r w:rsidRPr="00153AFF">
        <w:rPr>
          <w:rFonts w:asciiTheme="majorBidi" w:hAnsiTheme="majorBidi" w:cstheme="majorBidi"/>
          <w:lang w:eastAsia="ja-JP"/>
        </w:rPr>
        <w:t xml:space="preserve"> (c) of document UNEP/MC/COP.6/INF/20.</w:t>
      </w:r>
    </w:p>
    <w:p w14:paraId="465104D9" w14:textId="7C0C37F5"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In paragraph 5 (a) of the review of issues of compliance and implementation set out in the annex to the report on its work (UNEP/MC/COP.6/14), the Implementation and Compliance Committee expressed</w:t>
      </w:r>
      <w:r w:rsidRPr="00153AFF" w:rsidDel="00572D96">
        <w:t xml:space="preserve"> </w:t>
      </w:r>
      <w:r w:rsidRPr="00153AFF">
        <w:t xml:space="preserve">concern regarding the issue of illicit trafficking, illegal trade or smuggling of mercury raised by some parties in their national reports and emphasized the importance of implementation of and compliance with the trade provisions </w:t>
      </w:r>
      <w:r w:rsidR="00A80897" w:rsidRPr="00153AFF">
        <w:t xml:space="preserve">set out </w:t>
      </w:r>
      <w:r w:rsidRPr="00153AFF">
        <w:t>in article 3 of the Convention. The Committee further decided to re-examine th</w:t>
      </w:r>
      <w:r w:rsidR="00A80897" w:rsidRPr="00153AFF">
        <w:t>e</w:t>
      </w:r>
      <w:r w:rsidRPr="00153AFF">
        <w:t xml:space="preserve"> issue at its next meeting in</w:t>
      </w:r>
      <w:r w:rsidR="00A80897" w:rsidRPr="00153AFF">
        <w:t xml:space="preserve"> the</w:t>
      </w:r>
      <w:r w:rsidRPr="00153AFF">
        <w:t xml:space="preserve"> light of the information compiled by the secretariat pursuant to paragraph 4 of decision MC-5/2. </w:t>
      </w:r>
    </w:p>
    <w:p w14:paraId="2D33D12D" w14:textId="51A87FC1" w:rsidR="001D5F21" w:rsidRPr="00153AFF" w:rsidRDefault="001D5F21" w:rsidP="00A553D3">
      <w:pPr>
        <w:pStyle w:val="CH2"/>
      </w:pPr>
      <w:r w:rsidRPr="00153AFF">
        <w:tab/>
        <w:t>E.</w:t>
      </w:r>
      <w:r w:rsidRPr="00153AFF">
        <w:tab/>
        <w:t>Update to the existing guidance on stocks adopted in decision MC-1/2</w:t>
      </w:r>
      <w:r w:rsidR="00BE78D2" w:rsidRPr="00153AFF">
        <w:t>,</w:t>
      </w:r>
      <w:r w:rsidRPr="00153AFF">
        <w:t xml:space="preserve"> and guidance to assist parties in identifying, managing and reducing mercury trade from primary mercury mining (para</w:t>
      </w:r>
      <w:r w:rsidR="00D63E2E" w:rsidRPr="00153AFF">
        <w:t>s.</w:t>
      </w:r>
      <w:r w:rsidRPr="00153AFF">
        <w:t xml:space="preserve"> 5 (a), 5 (e) and 6 of decision </w:t>
      </w:r>
      <w:r w:rsidR="005257E0" w:rsidRPr="00153AFF">
        <w:t>MC</w:t>
      </w:r>
      <w:r w:rsidR="005257E0" w:rsidRPr="00153AFF">
        <w:noBreakHyphen/>
      </w:r>
      <w:r w:rsidRPr="00153AFF">
        <w:t>5/2)</w:t>
      </w:r>
    </w:p>
    <w:p w14:paraId="37EC64BE" w14:textId="7C57211A"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rPr>
          <w:lang w:eastAsia="en-GB"/>
        </w:rPr>
        <w:t>In paragraph 5</w:t>
      </w:r>
      <w:r w:rsidR="00AB2DCA" w:rsidRPr="00153AFF">
        <w:rPr>
          <w:lang w:eastAsia="en-GB"/>
        </w:rPr>
        <w:t xml:space="preserve"> </w:t>
      </w:r>
      <w:r w:rsidRPr="00153AFF">
        <w:rPr>
          <w:lang w:eastAsia="en-GB"/>
        </w:rPr>
        <w:t xml:space="preserve">(a) of decision MC-5/2, the Conference of the Parties requested the secretariat, subject to the availability of resources, to </w:t>
      </w:r>
      <w:r w:rsidR="00FD17AB" w:rsidRPr="00153AFF">
        <w:rPr>
          <w:lang w:eastAsia="en-GB"/>
        </w:rPr>
        <w:t xml:space="preserve">draft an </w:t>
      </w:r>
      <w:r w:rsidRPr="00153AFF">
        <w:rPr>
          <w:lang w:eastAsia="en-GB"/>
        </w:rPr>
        <w:t>update</w:t>
      </w:r>
      <w:r w:rsidR="00FD17AB" w:rsidRPr="00153AFF">
        <w:rPr>
          <w:lang w:eastAsia="en-GB"/>
        </w:rPr>
        <w:t xml:space="preserve"> to</w:t>
      </w:r>
      <w:r w:rsidRPr="00153AFF">
        <w:rPr>
          <w:lang w:eastAsia="en-GB"/>
        </w:rPr>
        <w:t xml:space="preserve"> the existing guidance on stocks</w:t>
      </w:r>
      <w:r w:rsidRPr="00153AFF">
        <w:rPr>
          <w:rStyle w:val="FootnoteReference"/>
          <w:lang w:eastAsia="en-GB"/>
        </w:rPr>
        <w:footnoteReference w:id="9"/>
      </w:r>
      <w:r w:rsidRPr="00153AFF">
        <w:rPr>
          <w:lang w:eastAsia="en-GB"/>
        </w:rPr>
        <w:t xml:space="preserve"> adopted in decision MC-1/</w:t>
      </w:r>
      <w:r w:rsidRPr="00153AFF">
        <w:t xml:space="preserve">2 to include types of action that could be taken to fulfil the continuing obligation to endeavour to identify stocks and sources as per paragraph 5 (a) of article 3 of the Convention, defined in paragraph 3 of decision MC-4/8 as an ongoing effort, for consideration by the Conference of the Parties at its sixth meeting. </w:t>
      </w:r>
    </w:p>
    <w:p w14:paraId="02E1AC1D" w14:textId="139A47AB"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 xml:space="preserve">To develop the draft update to the existing guidance, the secretariat, with financial resources provided </w:t>
      </w:r>
      <w:r w:rsidR="00D1745E" w:rsidRPr="00153AFF">
        <w:t xml:space="preserve">by </w:t>
      </w:r>
      <w:r w:rsidRPr="00153AFF">
        <w:t xml:space="preserve">Canada and Spain, reviewed Minamata </w:t>
      </w:r>
      <w:r w:rsidR="0064718D" w:rsidRPr="00153AFF">
        <w:rPr>
          <w:lang w:eastAsia="en-GB"/>
        </w:rPr>
        <w:t>I</w:t>
      </w:r>
      <w:r w:rsidRPr="00153AFF">
        <w:rPr>
          <w:lang w:eastAsia="en-GB"/>
        </w:rPr>
        <w:t xml:space="preserve">nitial </w:t>
      </w:r>
      <w:r w:rsidR="0064718D" w:rsidRPr="00153AFF">
        <w:rPr>
          <w:lang w:eastAsia="en-GB"/>
        </w:rPr>
        <w:t>A</w:t>
      </w:r>
      <w:r w:rsidRPr="00153AFF">
        <w:rPr>
          <w:lang w:eastAsia="en-GB"/>
        </w:rPr>
        <w:t xml:space="preserve">ssessments, national action plans on </w:t>
      </w:r>
      <w:r w:rsidR="00D1745E" w:rsidRPr="00153AFF">
        <w:rPr>
          <w:lang w:eastAsia="en-GB"/>
        </w:rPr>
        <w:t>ASGM</w:t>
      </w:r>
      <w:r w:rsidRPr="00153AFF">
        <w:rPr>
          <w:lang w:eastAsia="en-GB"/>
        </w:rPr>
        <w:t>, national reports and other sources and conducted a survey</w:t>
      </w:r>
      <w:r w:rsidR="00776F8A" w:rsidRPr="00153AFF">
        <w:rPr>
          <w:lang w:eastAsia="en-GB"/>
        </w:rPr>
        <w:t>,</w:t>
      </w:r>
      <w:r w:rsidRPr="00153AFF">
        <w:rPr>
          <w:lang w:eastAsia="en-GB"/>
        </w:rPr>
        <w:t xml:space="preserve"> from 11 February to 28 March 2025</w:t>
      </w:r>
      <w:r w:rsidR="00776F8A" w:rsidRPr="00153AFF">
        <w:rPr>
          <w:lang w:eastAsia="en-GB"/>
        </w:rPr>
        <w:t>,</w:t>
      </w:r>
      <w:r w:rsidRPr="00153AFF">
        <w:rPr>
          <w:lang w:eastAsia="en-GB"/>
        </w:rPr>
        <w:t xml:space="preserve"> to gather information from relevant parties and experts from the Global Mercury Partnership mercury </w:t>
      </w:r>
      <w:r w:rsidR="003938E3" w:rsidRPr="00153AFF">
        <w:rPr>
          <w:lang w:eastAsia="en-GB"/>
        </w:rPr>
        <w:t xml:space="preserve">supply and </w:t>
      </w:r>
      <w:r w:rsidRPr="00153AFF">
        <w:rPr>
          <w:lang w:eastAsia="en-GB"/>
        </w:rPr>
        <w:t xml:space="preserve">storage partnership area on the types of actions that could be taken to fulfil the continuing obligation to endeavour to identify stocks and sources of mercury. </w:t>
      </w:r>
      <w:r w:rsidR="005002C9" w:rsidRPr="00153AFF">
        <w:rPr>
          <w:lang w:eastAsia="en-GB"/>
        </w:rPr>
        <w:t>On the basis of</w:t>
      </w:r>
      <w:r w:rsidRPr="00153AFF">
        <w:rPr>
          <w:lang w:eastAsia="en-GB"/>
        </w:rPr>
        <w:t xml:space="preserve"> th</w:t>
      </w:r>
      <w:r w:rsidR="00EF6C40" w:rsidRPr="00153AFF">
        <w:rPr>
          <w:lang w:eastAsia="en-GB"/>
        </w:rPr>
        <w:t>at</w:t>
      </w:r>
      <w:r w:rsidRPr="00153AFF">
        <w:rPr>
          <w:lang w:eastAsia="en-GB"/>
        </w:rPr>
        <w:t xml:space="preserve"> work, the secretariat developed draft updates to the guidance, as well as a </w:t>
      </w:r>
      <w:r w:rsidR="00E643E6" w:rsidRPr="00153AFF">
        <w:rPr>
          <w:lang w:eastAsia="en-GB"/>
        </w:rPr>
        <w:t xml:space="preserve">supplementary </w:t>
      </w:r>
      <w:r w:rsidRPr="00153AFF">
        <w:rPr>
          <w:lang w:eastAsia="en-GB"/>
        </w:rPr>
        <w:t>document</w:t>
      </w:r>
      <w:r w:rsidR="00D32574" w:rsidRPr="00153AFF">
        <w:rPr>
          <w:lang w:eastAsia="en-GB"/>
        </w:rPr>
        <w:t xml:space="preserve"> providing additional information</w:t>
      </w:r>
      <w:r w:rsidRPr="00153AFF">
        <w:rPr>
          <w:lang w:eastAsia="en-GB"/>
        </w:rPr>
        <w:t xml:space="preserve">, </w:t>
      </w:r>
      <w:r w:rsidR="00E643E6" w:rsidRPr="00153AFF">
        <w:rPr>
          <w:lang w:eastAsia="en-GB"/>
        </w:rPr>
        <w:t xml:space="preserve">including </w:t>
      </w:r>
      <w:r w:rsidRPr="00153AFF">
        <w:rPr>
          <w:lang w:eastAsia="en-GB"/>
        </w:rPr>
        <w:t>calculation methods for inventories</w:t>
      </w:r>
      <w:r w:rsidR="00E47B43" w:rsidRPr="00153AFF">
        <w:rPr>
          <w:lang w:eastAsia="en-GB"/>
        </w:rPr>
        <w:t>, as requested by</w:t>
      </w:r>
      <w:r w:rsidRPr="00153AFF">
        <w:rPr>
          <w:lang w:eastAsia="en-GB"/>
        </w:rPr>
        <w:t xml:space="preserve"> the Implementation and Compliance Committee at its fifth meeting</w:t>
      </w:r>
      <w:r w:rsidR="00D73D62" w:rsidRPr="00153AFF">
        <w:rPr>
          <w:lang w:eastAsia="en-GB"/>
        </w:rPr>
        <w:t>,</w:t>
      </w:r>
      <w:r w:rsidRPr="00153AFF">
        <w:rPr>
          <w:lang w:eastAsia="en-GB"/>
        </w:rPr>
        <w:t xml:space="preserve"> in March 2023. The draft updates were posted on the Convention website for comment</w:t>
      </w:r>
      <w:r w:rsidR="007260F7" w:rsidRPr="00153AFF">
        <w:rPr>
          <w:lang w:eastAsia="en-GB"/>
        </w:rPr>
        <w:t>s</w:t>
      </w:r>
      <w:r w:rsidRPr="00153AFF">
        <w:rPr>
          <w:lang w:eastAsia="en-GB"/>
        </w:rPr>
        <w:t xml:space="preserve"> from 24 June to 24 July 2025. </w:t>
      </w:r>
      <w:r w:rsidR="00293607" w:rsidRPr="00153AFF">
        <w:rPr>
          <w:lang w:eastAsia="en-GB"/>
        </w:rPr>
        <w:t xml:space="preserve">Two </w:t>
      </w:r>
      <w:r w:rsidRPr="00153AFF">
        <w:rPr>
          <w:lang w:eastAsia="en-GB"/>
        </w:rPr>
        <w:t>part</w:t>
      </w:r>
      <w:r w:rsidR="00293607" w:rsidRPr="00153AFF">
        <w:rPr>
          <w:lang w:eastAsia="en-GB"/>
        </w:rPr>
        <w:t>ies</w:t>
      </w:r>
      <w:r w:rsidRPr="00153AFF">
        <w:rPr>
          <w:lang w:eastAsia="en-GB"/>
        </w:rPr>
        <w:t xml:space="preserve"> and one non-governmental organization provided feedback on </w:t>
      </w:r>
      <w:r w:rsidR="0045348A" w:rsidRPr="00153AFF">
        <w:rPr>
          <w:lang w:eastAsia="en-GB"/>
        </w:rPr>
        <w:t xml:space="preserve">the </w:t>
      </w:r>
      <w:r w:rsidRPr="00153AFF">
        <w:rPr>
          <w:lang w:eastAsia="en-GB"/>
        </w:rPr>
        <w:t>draft updates</w:t>
      </w:r>
      <w:r w:rsidR="0045348A" w:rsidRPr="00153AFF">
        <w:rPr>
          <w:lang w:eastAsia="en-GB"/>
        </w:rPr>
        <w:t xml:space="preserve">, </w:t>
      </w:r>
      <w:r w:rsidR="007A1452" w:rsidRPr="00153AFF">
        <w:rPr>
          <w:lang w:eastAsia="en-GB"/>
        </w:rPr>
        <w:t>and their input was taken into account</w:t>
      </w:r>
      <w:r w:rsidRPr="00153AFF">
        <w:rPr>
          <w:lang w:eastAsia="en-GB"/>
        </w:rPr>
        <w:t xml:space="preserve"> in </w:t>
      </w:r>
      <w:r w:rsidR="00E441FA" w:rsidRPr="00153AFF">
        <w:rPr>
          <w:lang w:eastAsia="en-GB"/>
        </w:rPr>
        <w:t xml:space="preserve">the </w:t>
      </w:r>
      <w:r w:rsidRPr="00153AFF">
        <w:rPr>
          <w:lang w:eastAsia="en-GB"/>
        </w:rPr>
        <w:t>prepar</w:t>
      </w:r>
      <w:r w:rsidR="00E441FA" w:rsidRPr="00153AFF">
        <w:rPr>
          <w:lang w:eastAsia="en-GB"/>
        </w:rPr>
        <w:t>at</w:t>
      </w:r>
      <w:r w:rsidRPr="00153AFF">
        <w:rPr>
          <w:lang w:eastAsia="en-GB"/>
        </w:rPr>
        <w:t>i</w:t>
      </w:r>
      <w:r w:rsidR="00E441FA" w:rsidRPr="00153AFF">
        <w:rPr>
          <w:lang w:eastAsia="en-GB"/>
        </w:rPr>
        <w:t>o</w:t>
      </w:r>
      <w:r w:rsidRPr="00153AFF">
        <w:rPr>
          <w:lang w:eastAsia="en-GB"/>
        </w:rPr>
        <w:t>n</w:t>
      </w:r>
      <w:r w:rsidR="00E441FA" w:rsidRPr="00153AFF">
        <w:rPr>
          <w:lang w:eastAsia="en-GB"/>
        </w:rPr>
        <w:t xml:space="preserve"> of</w:t>
      </w:r>
      <w:r w:rsidRPr="00153AFF">
        <w:rPr>
          <w:lang w:eastAsia="en-GB"/>
        </w:rPr>
        <w:t xml:space="preserve"> </w:t>
      </w:r>
      <w:r w:rsidR="00646E86" w:rsidRPr="00153AFF">
        <w:rPr>
          <w:lang w:eastAsia="en-GB"/>
        </w:rPr>
        <w:t>the draft updates</w:t>
      </w:r>
      <w:r w:rsidRPr="00153AFF">
        <w:rPr>
          <w:lang w:eastAsia="en-GB"/>
        </w:rPr>
        <w:t xml:space="preserve"> set out in </w:t>
      </w:r>
      <w:r w:rsidR="00FA590C" w:rsidRPr="00153AFF">
        <w:rPr>
          <w:lang w:eastAsia="en-GB"/>
        </w:rPr>
        <w:t>a</w:t>
      </w:r>
      <w:r w:rsidRPr="00153AFF">
        <w:rPr>
          <w:lang w:eastAsia="en-GB"/>
        </w:rPr>
        <w:t>nnex II to the present note. Th</w:t>
      </w:r>
      <w:r w:rsidR="00DC117B" w:rsidRPr="00153AFF">
        <w:rPr>
          <w:noProof/>
        </w:rPr>
        <w:t>e document containing</w:t>
      </w:r>
      <w:r w:rsidR="007260F7" w:rsidRPr="00153AFF">
        <w:rPr>
          <w:noProof/>
        </w:rPr>
        <w:t xml:space="preserve"> </w:t>
      </w:r>
      <w:r w:rsidR="00DC117B" w:rsidRPr="00153AFF">
        <w:rPr>
          <w:noProof/>
        </w:rPr>
        <w:t>a</w:t>
      </w:r>
      <w:r w:rsidRPr="00153AFF">
        <w:rPr>
          <w:noProof/>
        </w:rPr>
        <w:t xml:space="preserve">dditional information on types of actions that could be taken to fulfill the ongoing obligation of Parties to identify individual stocks and sources of mercury and mercury compounds </w:t>
      </w:r>
      <w:r w:rsidRPr="00153AFF">
        <w:rPr>
          <w:lang w:eastAsia="en-GB"/>
        </w:rPr>
        <w:t xml:space="preserve">is </w:t>
      </w:r>
      <w:r w:rsidR="00DC117B" w:rsidRPr="00153AFF">
        <w:rPr>
          <w:lang w:eastAsia="en-GB"/>
        </w:rPr>
        <w:t>available as</w:t>
      </w:r>
      <w:r w:rsidRPr="00153AFF">
        <w:rPr>
          <w:lang w:eastAsia="en-GB"/>
        </w:rPr>
        <w:t xml:space="preserve"> document </w:t>
      </w:r>
      <w:r w:rsidR="00BE580D">
        <w:rPr>
          <w:lang w:eastAsia="en-GB"/>
        </w:rPr>
        <w:t>UNEP/</w:t>
      </w:r>
      <w:r w:rsidRPr="00153AFF">
        <w:rPr>
          <w:lang w:eastAsia="en-GB"/>
        </w:rPr>
        <w:t>MC/COP.6/INF/7.</w:t>
      </w:r>
    </w:p>
    <w:p w14:paraId="269474E8" w14:textId="1E46CDAB"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At its seventh meeting</w:t>
      </w:r>
      <w:r w:rsidR="00FA590C" w:rsidRPr="00153AFF">
        <w:t xml:space="preserve">, </w:t>
      </w:r>
      <w:r w:rsidRPr="00153AFF">
        <w:t xml:space="preserve">in February 2025, the Implementation and Compliance Committee noted, in paragraph 3 </w:t>
      </w:r>
      <w:r w:rsidR="00FA590C" w:rsidRPr="00153AFF">
        <w:t>(</w:t>
      </w:r>
      <w:r w:rsidRPr="00153AFF">
        <w:t>a) of the annex to the report on its work (UNEP/MC/COP.6/14)</w:t>
      </w:r>
      <w:r w:rsidR="00663153" w:rsidRPr="00153AFF">
        <w:t>,</w:t>
      </w:r>
      <w:r w:rsidRPr="00153AFF">
        <w:t xml:space="preserve"> that parties </w:t>
      </w:r>
      <w:r w:rsidR="00336CFC" w:rsidRPr="00153AFF">
        <w:t>that</w:t>
      </w:r>
      <w:r w:rsidRPr="00153AFF">
        <w:t xml:space="preserve"> solely rely on their M</w:t>
      </w:r>
      <w:r w:rsidR="00FA590C" w:rsidRPr="00153AFF">
        <w:t xml:space="preserve">inamata </w:t>
      </w:r>
      <w:r w:rsidRPr="00153AFF">
        <w:t>I</w:t>
      </w:r>
      <w:r w:rsidR="00FA590C" w:rsidRPr="00153AFF">
        <w:t xml:space="preserve">nitial </w:t>
      </w:r>
      <w:r w:rsidRPr="00153AFF">
        <w:t>A</w:t>
      </w:r>
      <w:r w:rsidR="00FA590C" w:rsidRPr="00153AFF">
        <w:t>ssessment</w:t>
      </w:r>
      <w:r w:rsidRPr="00153AFF">
        <w:t xml:space="preserve"> results may need to consider more up-to-date sources of information and decided to reconsider th</w:t>
      </w:r>
      <w:r w:rsidR="00FA590C" w:rsidRPr="00153AFF">
        <w:t>e</w:t>
      </w:r>
      <w:r w:rsidRPr="00153AFF">
        <w:t xml:space="preserve"> matter after the sixth meeting of the Conference of the Parties, in </w:t>
      </w:r>
      <w:r w:rsidR="00FA590C" w:rsidRPr="00153AFF">
        <w:t xml:space="preserve">the </w:t>
      </w:r>
      <w:r w:rsidRPr="00153AFF">
        <w:t xml:space="preserve">light of the </w:t>
      </w:r>
      <w:r w:rsidR="002023B8" w:rsidRPr="00153AFF">
        <w:t>updat</w:t>
      </w:r>
      <w:r w:rsidRPr="00153AFF">
        <w:t>ed guidance on stocks requested in paragraph 5</w:t>
      </w:r>
      <w:r w:rsidR="00FA590C" w:rsidRPr="00153AFF">
        <w:t xml:space="preserve"> </w:t>
      </w:r>
      <w:r w:rsidRPr="00153AFF">
        <w:t>(a) of decision MC-5/2.</w:t>
      </w:r>
    </w:p>
    <w:p w14:paraId="2855ADBE" w14:textId="0D5F796D"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In paragraph 5</w:t>
      </w:r>
      <w:r w:rsidR="002023B8" w:rsidRPr="00153AFF">
        <w:t xml:space="preserve"> </w:t>
      </w:r>
      <w:r w:rsidRPr="00153AFF">
        <w:t xml:space="preserve">(e) of decision MC-5/2, the Conference of the Parties requested the secretariat, subject to the availability of resources, to develop guidance to assist parties in identifying, managing and reducing mercury trade from primary mercury mining. With financial resources provided by the European Union, the secretariat conducted a scoping study on the control of trade in </w:t>
      </w:r>
      <w:r w:rsidR="00442D01" w:rsidRPr="00153AFF">
        <w:t xml:space="preserve">mercury from </w:t>
      </w:r>
      <w:r w:rsidRPr="00153AFF">
        <w:t>primary</w:t>
      </w:r>
      <w:r w:rsidR="00442D01" w:rsidRPr="00153AFF">
        <w:t xml:space="preserve"> </w:t>
      </w:r>
      <w:r w:rsidRPr="00153AFF">
        <w:t>min</w:t>
      </w:r>
      <w:r w:rsidR="00442D01" w:rsidRPr="00153AFF">
        <w:t>ing</w:t>
      </w:r>
      <w:r w:rsidRPr="00153AFF">
        <w:t>. Noting that the existing forms and guidance</w:t>
      </w:r>
      <w:r w:rsidRPr="00153AFF">
        <w:rPr>
          <w:vertAlign w:val="superscript"/>
        </w:rPr>
        <w:footnoteReference w:id="10"/>
      </w:r>
      <w:r w:rsidRPr="00153AFF">
        <w:rPr>
          <w:vertAlign w:val="superscript"/>
        </w:rPr>
        <w:t xml:space="preserve"> </w:t>
      </w:r>
      <w:r w:rsidRPr="00153AFF">
        <w:t xml:space="preserve">on mercury trade adopted in decision MC-1/2 already require exporting parties to indicate </w:t>
      </w:r>
      <w:r w:rsidR="004812BE" w:rsidRPr="00153AFF">
        <w:t>o</w:t>
      </w:r>
      <w:r w:rsidRPr="00153AFF">
        <w:t xml:space="preserve">n the trade </w:t>
      </w:r>
      <w:r w:rsidR="002E5B50" w:rsidRPr="00153AFF">
        <w:t xml:space="preserve">consent </w:t>
      </w:r>
      <w:r w:rsidRPr="00153AFF">
        <w:t xml:space="preserve">form if mercury is from </w:t>
      </w:r>
      <w:r w:rsidRPr="00153AFF">
        <w:lastRenderedPageBreak/>
        <w:t xml:space="preserve">primary mercury mining, and also require importing parties to indicate </w:t>
      </w:r>
      <w:r w:rsidR="00A80262" w:rsidRPr="00153AFF">
        <w:t>o</w:t>
      </w:r>
      <w:r w:rsidRPr="00153AFF">
        <w:t>n the trade</w:t>
      </w:r>
      <w:r w:rsidR="00C374F5" w:rsidRPr="00153AFF">
        <w:t xml:space="preserve"> consent</w:t>
      </w:r>
      <w:r w:rsidRPr="00153AFF">
        <w:t xml:space="preserve"> form whether the purpose of the import is for use allowed to a party under the Convention, the secretariat drafted updates to the guidance </w:t>
      </w:r>
      <w:r w:rsidR="00466B02" w:rsidRPr="00153AFF">
        <w:t xml:space="preserve">on </w:t>
      </w:r>
      <w:r w:rsidRPr="00153AFF">
        <w:t>us</w:t>
      </w:r>
      <w:r w:rsidR="00962EA9" w:rsidRPr="00153AFF">
        <w:t>ing</w:t>
      </w:r>
      <w:r w:rsidRPr="00153AFF">
        <w:t xml:space="preserve"> the trade </w:t>
      </w:r>
      <w:r w:rsidR="00D425CE" w:rsidRPr="00153AFF">
        <w:t xml:space="preserve">consent </w:t>
      </w:r>
      <w:r w:rsidRPr="00153AFF">
        <w:t xml:space="preserve">form, and posted </w:t>
      </w:r>
      <w:r w:rsidR="00922373" w:rsidRPr="00153AFF">
        <w:t>them</w:t>
      </w:r>
      <w:r w:rsidR="00962EA9" w:rsidRPr="00153AFF">
        <w:t xml:space="preserve"> </w:t>
      </w:r>
      <w:r w:rsidRPr="00153AFF">
        <w:t>on the Convention website</w:t>
      </w:r>
      <w:r w:rsidR="00F57728" w:rsidRPr="00153AFF">
        <w:t>, where they remained</w:t>
      </w:r>
      <w:r w:rsidRPr="00153AFF">
        <w:t xml:space="preserve"> from 24 June to 24 July 2025. </w:t>
      </w:r>
      <w:r w:rsidR="002D52C1" w:rsidRPr="00153AFF">
        <w:t xml:space="preserve">One party </w:t>
      </w:r>
      <w:r w:rsidR="005F7FFC" w:rsidRPr="00153AFF">
        <w:t xml:space="preserve">provided </w:t>
      </w:r>
      <w:r w:rsidR="008F10FF" w:rsidRPr="00153AFF">
        <w:t>comments for clarification</w:t>
      </w:r>
      <w:r w:rsidR="007A1B2E" w:rsidRPr="00153AFF">
        <w:t xml:space="preserve">. </w:t>
      </w:r>
      <w:r w:rsidRPr="00153AFF">
        <w:t xml:space="preserve">One non-governmental organization provided comments </w:t>
      </w:r>
      <w:r w:rsidR="00962EA9" w:rsidRPr="00153AFF">
        <w:t>on</w:t>
      </w:r>
      <w:r w:rsidRPr="00153AFF">
        <w:t xml:space="preserve"> the draft updates, calling for more detailed provisions for importing parties to verify the sources of mercury, including informal or illegal mining. The draft update</w:t>
      </w:r>
      <w:r w:rsidR="00F57728" w:rsidRPr="00153AFF">
        <w:t>s</w:t>
      </w:r>
      <w:r w:rsidRPr="00153AFF">
        <w:t xml:space="preserve"> </w:t>
      </w:r>
      <w:r w:rsidR="00F57728" w:rsidRPr="00153AFF">
        <w:t xml:space="preserve">are </w:t>
      </w:r>
      <w:r w:rsidRPr="00153AFF">
        <w:t xml:space="preserve">set out </w:t>
      </w:r>
      <w:r w:rsidR="00F57728" w:rsidRPr="00153AFF">
        <w:t>in</w:t>
      </w:r>
      <w:r w:rsidRPr="00153AFF">
        <w:t xml:space="preserve"> annex III to the present note. </w:t>
      </w:r>
    </w:p>
    <w:p w14:paraId="79F72B1C" w14:textId="1BA7E649" w:rsidR="001D5F21" w:rsidRPr="00153AFF" w:rsidRDefault="001D5F21" w:rsidP="00A553D3">
      <w:pPr>
        <w:pStyle w:val="CH2"/>
      </w:pPr>
      <w:r w:rsidRPr="00153AFF">
        <w:tab/>
        <w:t>F.</w:t>
      </w:r>
      <w:r w:rsidRPr="00153AFF">
        <w:tab/>
        <w:t>Requests to the secretariat to support parties</w:t>
      </w:r>
      <w:r w:rsidR="00F129A9" w:rsidRPr="00153AFF">
        <w:t xml:space="preserve"> in better understanding </w:t>
      </w:r>
      <w:r w:rsidR="002F6F84" w:rsidRPr="00153AFF">
        <w:t xml:space="preserve">the </w:t>
      </w:r>
      <w:r w:rsidR="00F129A9" w:rsidRPr="00153AFF">
        <w:t>trade provisions</w:t>
      </w:r>
      <w:r w:rsidR="001C009F" w:rsidRPr="00153AFF">
        <w:t>;</w:t>
      </w:r>
      <w:r w:rsidRPr="00153AFF">
        <w:t xml:space="preserve"> </w:t>
      </w:r>
      <w:r w:rsidR="00F129A9" w:rsidRPr="00153AFF">
        <w:t xml:space="preserve">work on </w:t>
      </w:r>
      <w:r w:rsidRPr="00153AFF">
        <w:t>awareness</w:t>
      </w:r>
      <w:r w:rsidR="00F129A9" w:rsidRPr="00153AFF">
        <w:t>-raising activities</w:t>
      </w:r>
      <w:r w:rsidR="005469B5" w:rsidRPr="00153AFF">
        <w:t xml:space="preserve"> related to provisions of the Convention</w:t>
      </w:r>
      <w:r w:rsidR="001C009F" w:rsidRPr="00153AFF">
        <w:t>;</w:t>
      </w:r>
      <w:r w:rsidRPr="00153AFF">
        <w:t xml:space="preserve"> broaden cooperation </w:t>
      </w:r>
      <w:r w:rsidR="005B559B" w:rsidRPr="00153AFF">
        <w:t>with the secretariats of other multilateral environmental agreements</w:t>
      </w:r>
      <w:r w:rsidR="00820DEE" w:rsidRPr="00153AFF">
        <w:t>;</w:t>
      </w:r>
      <w:r w:rsidR="005469B5" w:rsidRPr="00153AFF">
        <w:t xml:space="preserve"> and facilitate </w:t>
      </w:r>
      <w:r w:rsidR="002514B0" w:rsidRPr="00153AFF">
        <w:t>exchange of trade-related information</w:t>
      </w:r>
      <w:r w:rsidR="005B559B" w:rsidRPr="00153AFF">
        <w:t xml:space="preserve"> </w:t>
      </w:r>
      <w:r w:rsidRPr="00153AFF">
        <w:t>(para</w:t>
      </w:r>
      <w:r w:rsidR="00D63E2E" w:rsidRPr="00153AFF">
        <w:t>s.</w:t>
      </w:r>
      <w:r w:rsidRPr="00153AFF">
        <w:t xml:space="preserve"> 5 (b), 5 (c), 5 (d) and 5 (f) of decision MC-5/2)</w:t>
      </w:r>
    </w:p>
    <w:p w14:paraId="1A3DD041" w14:textId="5A2899F4"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In paragraphs 5 (b), 5 (c), 5 (d) and 5 (f) of decision MC-5/2, the Conference of the Parties</w:t>
      </w:r>
      <w:r w:rsidR="0023552B" w:rsidRPr="00153AFF">
        <w:t xml:space="preserve">, </w:t>
      </w:r>
      <w:r w:rsidRPr="00153AFF">
        <w:t xml:space="preserve">requested the secretariat, </w:t>
      </w:r>
      <w:r w:rsidRPr="00153AFF">
        <w:rPr>
          <w:lang w:eastAsia="en-GB"/>
        </w:rPr>
        <w:t>subject to the availability of resources,</w:t>
      </w:r>
      <w:r w:rsidRPr="00153AFF">
        <w:t xml:space="preserve"> to</w:t>
      </w:r>
      <w:r w:rsidR="00447DDA" w:rsidRPr="00153AFF">
        <w:t>, respectively,</w:t>
      </w:r>
      <w:r w:rsidRPr="00153AFF">
        <w:t xml:space="preserve"> support parties in better understanding the trade provisions</w:t>
      </w:r>
      <w:r w:rsidR="00AF2A31" w:rsidRPr="00153AFF">
        <w:t xml:space="preserve">, their interrelation with other articles of the Convention, and the use of trade </w:t>
      </w:r>
      <w:r w:rsidR="00D425CE" w:rsidRPr="00153AFF">
        <w:t xml:space="preserve">consent </w:t>
      </w:r>
      <w:r w:rsidR="00AF2A31" w:rsidRPr="00153AFF">
        <w:t>forms adopted by the Conference of the Parties, in particular with respect to imports from non-parties</w:t>
      </w:r>
      <w:r w:rsidR="0023552B" w:rsidRPr="00153AFF">
        <w:t>;</w:t>
      </w:r>
      <w:r w:rsidRPr="00153AFF">
        <w:t xml:space="preserve"> work on awareness</w:t>
      </w:r>
      <w:r w:rsidR="0032403B" w:rsidRPr="00153AFF">
        <w:t>-</w:t>
      </w:r>
      <w:r w:rsidRPr="00153AFF">
        <w:t>raising activities</w:t>
      </w:r>
      <w:r w:rsidR="000E0A62" w:rsidRPr="00153AFF">
        <w:t xml:space="preserve"> related to provisions of the Convention on allowed uses and sources of mercury in order to assist parties to comply with article 3 requirements</w:t>
      </w:r>
      <w:r w:rsidR="0023552B" w:rsidRPr="00153AFF">
        <w:t>;</w:t>
      </w:r>
      <w:r w:rsidRPr="00153AFF">
        <w:t xml:space="preserve"> broaden its cooperation with</w:t>
      </w:r>
      <w:r w:rsidR="0023552B" w:rsidRPr="00153AFF">
        <w:t xml:space="preserve"> the</w:t>
      </w:r>
      <w:r w:rsidRPr="00153AFF">
        <w:t xml:space="preserve"> secretariat</w:t>
      </w:r>
      <w:r w:rsidR="0023552B" w:rsidRPr="00153AFF">
        <w:t>s</w:t>
      </w:r>
      <w:r w:rsidRPr="00153AFF">
        <w:t xml:space="preserve"> of other multilateral environmental agreements</w:t>
      </w:r>
      <w:r w:rsidR="0023552B" w:rsidRPr="00153AFF">
        <w:t>;</w:t>
      </w:r>
      <w:r w:rsidRPr="00153AFF">
        <w:t xml:space="preserve"> and facilitate the exchange of </w:t>
      </w:r>
      <w:r w:rsidR="000E0A62" w:rsidRPr="00153AFF">
        <w:t xml:space="preserve">any </w:t>
      </w:r>
      <w:r w:rsidR="0023552B" w:rsidRPr="00153AFF">
        <w:t xml:space="preserve">trade-related </w:t>
      </w:r>
      <w:r w:rsidRPr="00153AFF">
        <w:t>information</w:t>
      </w:r>
      <w:r w:rsidR="000E0A62" w:rsidRPr="00153AFF">
        <w:t xml:space="preserve"> the secretariat had received from parties pursuant to paragraph 6 of article 3, and which the parties concerned had not objected to sharing with other parties</w:t>
      </w:r>
      <w:r w:rsidRPr="00153AFF">
        <w:t xml:space="preserve">. </w:t>
      </w:r>
    </w:p>
    <w:p w14:paraId="506B037C" w14:textId="3F5B588D"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In response to these requests, the secretariat developed training material to support parties in better understanding the trade provisions</w:t>
      </w:r>
      <w:r w:rsidR="001B2892" w:rsidRPr="00153AFF">
        <w:t>, their interrelation</w:t>
      </w:r>
      <w:r w:rsidRPr="00153AFF">
        <w:t xml:space="preserve"> with other articles of the Convention, and the use of trade </w:t>
      </w:r>
      <w:r w:rsidR="00D425CE" w:rsidRPr="00153AFF">
        <w:t xml:space="preserve">consent </w:t>
      </w:r>
      <w:r w:rsidRPr="00153AFF">
        <w:t xml:space="preserve">forms adopted by the Conference of the Parties. The secretariat </w:t>
      </w:r>
      <w:r w:rsidR="00217E95" w:rsidRPr="00153AFF">
        <w:t xml:space="preserve">also </w:t>
      </w:r>
      <w:r w:rsidRPr="00153AFF">
        <w:t xml:space="preserve">delivered two Minamata Online sessions: one on </w:t>
      </w:r>
      <w:hyperlink r:id="rId14" w:history="1">
        <w:r w:rsidRPr="00153AFF">
          <w:rPr>
            <w:rStyle w:val="Hyperlink"/>
          </w:rPr>
          <w:t>implementing trade-related provisions</w:t>
        </w:r>
      </w:hyperlink>
      <w:r w:rsidR="00217E95" w:rsidRPr="00153AFF">
        <w:t>,</w:t>
      </w:r>
      <w:r w:rsidRPr="00153AFF">
        <w:t xml:space="preserve"> on 26 June 2024</w:t>
      </w:r>
      <w:r w:rsidR="00932F6D" w:rsidRPr="00153AFF">
        <w:t>;</w:t>
      </w:r>
      <w:r w:rsidRPr="00153AFF">
        <w:t xml:space="preserve"> and another on </w:t>
      </w:r>
      <w:hyperlink r:id="rId15" w:history="1">
        <w:r w:rsidRPr="00153AFF">
          <w:rPr>
            <w:rStyle w:val="Hyperlink"/>
          </w:rPr>
          <w:t>mercury supply sources and trade</w:t>
        </w:r>
      </w:hyperlink>
      <w:r w:rsidR="00217E95" w:rsidRPr="00153AFF">
        <w:t>,</w:t>
      </w:r>
      <w:r w:rsidRPr="00153AFF">
        <w:t xml:space="preserve"> on 11 March 2025. Thanks to the financial contribution of the European Union, training modules on supply sources and trade were developed, in collaboration with the United Nations System Staff College, as part of the </w:t>
      </w:r>
      <w:hyperlink r:id="rId16" w:history="1">
        <w:r w:rsidRPr="00153AFF">
          <w:rPr>
            <w:rStyle w:val="Hyperlink"/>
          </w:rPr>
          <w:t>Minamata Tools online learning platform</w:t>
        </w:r>
      </w:hyperlink>
      <w:r w:rsidRPr="00153AFF">
        <w:t xml:space="preserve">. </w:t>
      </w:r>
    </w:p>
    <w:p w14:paraId="34719CE4" w14:textId="58147D3E"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 xml:space="preserve">A training </w:t>
      </w:r>
      <w:r w:rsidR="000213BE" w:rsidRPr="00153AFF">
        <w:t xml:space="preserve">session </w:t>
      </w:r>
      <w:r w:rsidRPr="00153AFF">
        <w:t xml:space="preserve">on the Minamata Convention </w:t>
      </w:r>
      <w:r w:rsidR="000213BE" w:rsidRPr="00153AFF">
        <w:t xml:space="preserve">on Mercury </w:t>
      </w:r>
      <w:r w:rsidRPr="00153AFF">
        <w:t xml:space="preserve">is being developed in cooperation with the World Customs Organization to be made available on the </w:t>
      </w:r>
      <w:r w:rsidR="009338C3" w:rsidRPr="00153AFF">
        <w:t>CLiKC!</w:t>
      </w:r>
      <w:r w:rsidRPr="00153AFF">
        <w:t xml:space="preserve"> learning platform for customs officers. The secretariat also engaged with the Green Customs Initiative coordinated by U</w:t>
      </w:r>
      <w:r w:rsidR="009461C5" w:rsidRPr="00153AFF">
        <w:t>NEP</w:t>
      </w:r>
      <w:r w:rsidRPr="00153AFF">
        <w:t xml:space="preserve">, which aims at enhancing the capacity of customs and border control officers to enforce and foster compliance </w:t>
      </w:r>
      <w:r w:rsidR="009461C5" w:rsidRPr="00153AFF">
        <w:t>with</w:t>
      </w:r>
      <w:r w:rsidRPr="00153AFF">
        <w:t xml:space="preserve"> trade-related conventions, multilateral environmental agreements and corresponding national legislation. The secretariat developed an updated chapter on the Minamata Convention </w:t>
      </w:r>
      <w:r w:rsidR="009461C5" w:rsidRPr="00153AFF">
        <w:t xml:space="preserve">on Mercury </w:t>
      </w:r>
      <w:r w:rsidR="00D844F0" w:rsidRPr="00153AFF">
        <w:t>for</w:t>
      </w:r>
      <w:r w:rsidRPr="00153AFF">
        <w:t xml:space="preserve"> inclu</w:t>
      </w:r>
      <w:r w:rsidR="00D844F0" w:rsidRPr="00153AFF">
        <w:t>sion</w:t>
      </w:r>
      <w:r w:rsidRPr="00153AFF">
        <w:t xml:space="preserve"> in the </w:t>
      </w:r>
      <w:r w:rsidR="00D844F0" w:rsidRPr="00153AFF">
        <w:t xml:space="preserve">latest </w:t>
      </w:r>
      <w:r w:rsidRPr="00153AFF">
        <w:t xml:space="preserve">version of the </w:t>
      </w:r>
      <w:r w:rsidRPr="00153AFF">
        <w:rPr>
          <w:i/>
          <w:iCs/>
        </w:rPr>
        <w:t>Green Customs Guide to Multilateral Environmental Agreements</w:t>
      </w:r>
      <w:r w:rsidRPr="00153AFF">
        <w:t>.</w:t>
      </w:r>
    </w:p>
    <w:p w14:paraId="059C9F70" w14:textId="4B29E8ED"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The secretariat also carried out awareness-raising activities related to provisions of the Convention on allowed uses and sources of mercury</w:t>
      </w:r>
      <w:r w:rsidR="00D844F0" w:rsidRPr="00153AFF">
        <w:t>,</w:t>
      </w:r>
      <w:r w:rsidRPr="00153AFF">
        <w:t xml:space="preserve"> in order to assist parties to comply with article 3 requirements. Thanks to the financial contribution of the European Union, the secretariat developed a </w:t>
      </w:r>
      <w:r w:rsidR="00F721B2" w:rsidRPr="00153AFF">
        <w:t>fact sheet on mercury trade</w:t>
      </w:r>
      <w:r w:rsidRPr="00153AFF">
        <w:t>.</w:t>
      </w:r>
      <w:r w:rsidR="009338C3" w:rsidRPr="00153AFF">
        <w:rPr>
          <w:rStyle w:val="FootnoteReference"/>
        </w:rPr>
        <w:footnoteReference w:id="11"/>
      </w:r>
      <w:r w:rsidRPr="00153AFF">
        <w:t xml:space="preserve"> </w:t>
      </w:r>
      <w:r w:rsidRPr="00153AFF">
        <w:rPr>
          <w:color w:val="000000" w:themeColor="text1"/>
        </w:rPr>
        <w:t xml:space="preserve">On 6 June 2024, the secretariat organised a workshop on mercury trade on the margins of the planetGOLD Global Forum </w:t>
      </w:r>
      <w:r w:rsidR="00C2342C" w:rsidRPr="00153AFF">
        <w:rPr>
          <w:color w:val="000000" w:themeColor="text1"/>
        </w:rPr>
        <w:t xml:space="preserve">on ASGM </w:t>
      </w:r>
      <w:r w:rsidRPr="00153AFF">
        <w:rPr>
          <w:color w:val="000000" w:themeColor="text1"/>
        </w:rPr>
        <w:t>in the Philippines.</w:t>
      </w:r>
      <w:r w:rsidRPr="00153AFF">
        <w:t xml:space="preserve"> </w:t>
      </w:r>
    </w:p>
    <w:p w14:paraId="649D3F89" w14:textId="6B482E95"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 xml:space="preserve">A GEF project has been launched in Latin America aimed at accelerating Minamata Convention </w:t>
      </w:r>
      <w:r w:rsidR="00485FCE" w:rsidRPr="00153AFF">
        <w:t xml:space="preserve">on Mercury </w:t>
      </w:r>
      <w:r w:rsidRPr="00153AFF">
        <w:t>compliance through improved understanding and control of mercury trade.</w:t>
      </w:r>
      <w:r w:rsidR="00006621" w:rsidRPr="00153AFF">
        <w:rPr>
          <w:rStyle w:val="FootnoteReference"/>
        </w:rPr>
        <w:footnoteReference w:id="12"/>
      </w:r>
      <w:r w:rsidRPr="00153AFF">
        <w:t xml:space="preserve"> On 11 and 12 March 2025, the secretariat contributed to the inception workshop of the project</w:t>
      </w:r>
      <w:r w:rsidR="00DC7940" w:rsidRPr="00153AFF">
        <w:t>,</w:t>
      </w:r>
      <w:r w:rsidRPr="00153AFF">
        <w:t xml:space="preserve"> which was held in Bogota</w:t>
      </w:r>
      <w:r w:rsidR="00C04BC1" w:rsidRPr="00153AFF">
        <w:t xml:space="preserve">. </w:t>
      </w:r>
      <w:r w:rsidRPr="00153AFF">
        <w:t>The workshop brough together representatives from Bolivia, Colombia, Ecuador, Honduras, Mexico and Peru, as well implementing agencies</w:t>
      </w:r>
      <w:r w:rsidR="00C04BC1" w:rsidRPr="00153AFF">
        <w:t>,</w:t>
      </w:r>
      <w:r w:rsidRPr="00153AFF">
        <w:t xml:space="preserve"> to validate a workplan for the first year of implementation of the project and jointly define guidance on the preparation of national studies on mercury supply sources, legal and illegal flows of mercury and related capacity</w:t>
      </w:r>
      <w:r w:rsidR="00830BCD" w:rsidRPr="00153AFF">
        <w:t>-</w:t>
      </w:r>
      <w:r w:rsidRPr="00153AFF">
        <w:t xml:space="preserve">building needs. The implementation of the GEF project can provide the Conference of the Parties with relevant information on the implementation of article 3 of the Convention in the Latin American region. </w:t>
      </w:r>
    </w:p>
    <w:p w14:paraId="7F9B5F48" w14:textId="5EFFDA5C" w:rsidR="001D5F21" w:rsidRPr="00153AFF" w:rsidRDefault="001D5F21" w:rsidP="00153AFF">
      <w:pPr>
        <w:pStyle w:val="Normalnumber"/>
        <w:keepNext/>
        <w:keepLines/>
        <w:tabs>
          <w:tab w:val="clear" w:pos="1247"/>
          <w:tab w:val="clear" w:pos="1814"/>
          <w:tab w:val="clear" w:pos="2381"/>
          <w:tab w:val="clear" w:pos="2948"/>
          <w:tab w:val="clear" w:pos="3515"/>
          <w:tab w:val="left" w:pos="624"/>
        </w:tabs>
        <w:ind w:left="1247"/>
      </w:pPr>
      <w:r w:rsidRPr="00153AFF">
        <w:lastRenderedPageBreak/>
        <w:t>The joint report on cooperation and coordination between the secretariats of the Basel</w:t>
      </w:r>
      <w:r w:rsidR="00FE6E9D" w:rsidRPr="00153AFF">
        <w:t xml:space="preserve"> Convention on the Control of Transboundary Movements of Hazardous Wastes and Their Disposal</w:t>
      </w:r>
      <w:r w:rsidRPr="00153AFF">
        <w:t xml:space="preserve">, </w:t>
      </w:r>
      <w:r w:rsidR="00FE6E9D" w:rsidRPr="00153AFF">
        <w:t xml:space="preserve">the </w:t>
      </w:r>
      <w:r w:rsidRPr="00153AFF">
        <w:t xml:space="preserve">Rotterdam </w:t>
      </w:r>
      <w:r w:rsidR="00B04A62" w:rsidRPr="00153AFF">
        <w:t xml:space="preserve">Convention on the Prior Informed Consent Procedure for Certain Hazardous Chemicals and Pesticides in International Trade </w:t>
      </w:r>
      <w:r w:rsidRPr="00153AFF">
        <w:t xml:space="preserve">and </w:t>
      </w:r>
      <w:r w:rsidR="00A23846" w:rsidRPr="00153AFF">
        <w:t xml:space="preserve">the </w:t>
      </w:r>
      <w:r w:rsidRPr="00153AFF">
        <w:t xml:space="preserve">Stockholm </w:t>
      </w:r>
      <w:r w:rsidR="000B0FC0" w:rsidRPr="00153AFF">
        <w:t xml:space="preserve">Convention on Persistent Organic Pollutants </w:t>
      </w:r>
      <w:r w:rsidRPr="00153AFF">
        <w:t xml:space="preserve">and of the Minamata Convention </w:t>
      </w:r>
      <w:r w:rsidR="000B0FC0" w:rsidRPr="00153AFF">
        <w:t xml:space="preserve">on Mercury </w:t>
      </w:r>
      <w:r w:rsidRPr="00153AFF">
        <w:t>provides more information on cooperation and coordination between the two secretariats on trade control of elemental mercury (UNEP/MC/COP.5/INF/28</w:t>
      </w:r>
      <w:r w:rsidR="00836DB8" w:rsidRPr="00153AFF">
        <w:t xml:space="preserve">, paras. </w:t>
      </w:r>
      <w:r w:rsidR="00670ECE" w:rsidRPr="00153AFF">
        <w:t>23 and 24</w:t>
      </w:r>
      <w:r w:rsidRPr="00153AFF">
        <w:t>).</w:t>
      </w:r>
    </w:p>
    <w:p w14:paraId="06A3384F" w14:textId="4FDBB020" w:rsidR="001D5F21" w:rsidRPr="00153AFF" w:rsidRDefault="001D5F21" w:rsidP="001D5F21">
      <w:pPr>
        <w:pStyle w:val="Normalnumber"/>
        <w:tabs>
          <w:tab w:val="clear" w:pos="1247"/>
          <w:tab w:val="clear" w:pos="1814"/>
          <w:tab w:val="clear" w:pos="2381"/>
          <w:tab w:val="clear" w:pos="2948"/>
          <w:tab w:val="clear" w:pos="3515"/>
          <w:tab w:val="left" w:pos="624"/>
        </w:tabs>
        <w:ind w:left="1247"/>
      </w:pPr>
      <w:r w:rsidRPr="00153AFF">
        <w:t xml:space="preserve">Finally, in response to paragraph 5 (f) of decision MC-5/2, the secretariat compiled </w:t>
      </w:r>
      <w:r w:rsidR="00F7610B">
        <w:t>trade</w:t>
      </w:r>
      <w:r w:rsidR="00F7610B">
        <w:noBreakHyphen/>
      </w:r>
      <w:r w:rsidRPr="00153AFF">
        <w:t xml:space="preserve">related forms received from parties pursuant to paragraph 6 of article 3 in a database, which is available on the Convention </w:t>
      </w:r>
      <w:hyperlink r:id="rId17" w:history="1">
        <w:r w:rsidRPr="00153AFF">
          <w:rPr>
            <w:rStyle w:val="Hyperlink"/>
          </w:rPr>
          <w:t>website</w:t>
        </w:r>
      </w:hyperlink>
      <w:r w:rsidRPr="00153AFF">
        <w:t xml:space="preserve">. </w:t>
      </w:r>
    </w:p>
    <w:p w14:paraId="3EB3D896" w14:textId="77777777" w:rsidR="001D5F21" w:rsidRPr="00153AFF" w:rsidRDefault="001D5F21" w:rsidP="001D5F21">
      <w:pPr>
        <w:pStyle w:val="CH1"/>
      </w:pPr>
      <w:r w:rsidRPr="00153AFF">
        <w:tab/>
        <w:t>III.</w:t>
      </w:r>
      <w:r w:rsidRPr="00153AFF">
        <w:tab/>
        <w:t>Proposed action</w:t>
      </w:r>
    </w:p>
    <w:p w14:paraId="01F8A0F4" w14:textId="7AAB2C56" w:rsidR="00C87C87" w:rsidRPr="00153AFF" w:rsidRDefault="001D5F21" w:rsidP="001D5F21">
      <w:pPr>
        <w:pStyle w:val="Normalnumber"/>
        <w:tabs>
          <w:tab w:val="clear" w:pos="1247"/>
          <w:tab w:val="clear" w:pos="1814"/>
          <w:tab w:val="clear" w:pos="2381"/>
          <w:tab w:val="clear" w:pos="2948"/>
          <w:tab w:val="clear" w:pos="3515"/>
          <w:tab w:val="left" w:pos="624"/>
        </w:tabs>
        <w:ind w:left="1247"/>
        <w:sectPr w:rsidR="00C87C87" w:rsidRPr="00153AFF" w:rsidSect="00153AF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39" w:code="9"/>
          <w:pgMar w:top="907" w:right="992" w:bottom="1418" w:left="1418" w:header="539" w:footer="975" w:gutter="0"/>
          <w:cols w:space="539"/>
          <w:titlePg/>
          <w:docGrid w:linePitch="360"/>
        </w:sectPr>
      </w:pPr>
      <w:r w:rsidRPr="00153AFF">
        <w:t xml:space="preserve">In </w:t>
      </w:r>
      <w:r w:rsidR="00603D64" w:rsidRPr="00153AFF">
        <w:t xml:space="preserve">the </w:t>
      </w:r>
      <w:r w:rsidRPr="00153AFF">
        <w:t>light of the information presented in th</w:t>
      </w:r>
      <w:r w:rsidR="008B6B2C" w:rsidRPr="00153AFF">
        <w:t>e present</w:t>
      </w:r>
      <w:r w:rsidRPr="00153AFF">
        <w:t xml:space="preserve"> note, the Conference of the Parties may wish to consider and adopt a decision</w:t>
      </w:r>
      <w:r w:rsidR="00C543A5" w:rsidRPr="00153AFF">
        <w:t xml:space="preserve"> along the lines of th</w:t>
      </w:r>
      <w:r w:rsidR="00426F40" w:rsidRPr="00153AFF">
        <w:t>e draft decision set out</w:t>
      </w:r>
      <w:r w:rsidRPr="00153AFF">
        <w:t xml:space="preserve"> in annex I to the note. The </w:t>
      </w:r>
      <w:r w:rsidR="006400F6" w:rsidRPr="00153AFF">
        <w:t xml:space="preserve">relevant </w:t>
      </w:r>
      <w:r w:rsidRPr="00153AFF">
        <w:t xml:space="preserve">recommendation </w:t>
      </w:r>
      <w:r w:rsidR="006400F6" w:rsidRPr="00153AFF">
        <w:t xml:space="preserve">of </w:t>
      </w:r>
      <w:r w:rsidRPr="00153AFF">
        <w:t xml:space="preserve">the Implementation and Compliance Committee </w:t>
      </w:r>
      <w:r w:rsidR="006400F6" w:rsidRPr="00153AFF">
        <w:t>is</w:t>
      </w:r>
      <w:r w:rsidRPr="00153AFF">
        <w:t xml:space="preserve"> identified in </w:t>
      </w:r>
      <w:r w:rsidR="006400F6" w:rsidRPr="00153AFF">
        <w:t xml:space="preserve">a </w:t>
      </w:r>
      <w:r w:rsidRPr="00153AFF">
        <w:t xml:space="preserve">footnote to the </w:t>
      </w:r>
      <w:r w:rsidR="00426F40" w:rsidRPr="00153AFF">
        <w:t>draft decision</w:t>
      </w:r>
      <w:r w:rsidRPr="00153AFF">
        <w:t>.</w:t>
      </w:r>
    </w:p>
    <w:p w14:paraId="5C6A6933" w14:textId="77777777" w:rsidR="001D5F21" w:rsidRPr="00153AFF" w:rsidRDefault="001D5F21" w:rsidP="00A553D3">
      <w:pPr>
        <w:pStyle w:val="Normal-pool"/>
      </w:pPr>
      <w:r w:rsidRPr="00153AFF">
        <w:br w:type="page"/>
      </w:r>
    </w:p>
    <w:p w14:paraId="7952B486" w14:textId="77777777" w:rsidR="001D5F21" w:rsidRPr="00153AFF" w:rsidRDefault="001D5F21" w:rsidP="001D5F21">
      <w:pPr>
        <w:pStyle w:val="ZZAnxheader"/>
      </w:pPr>
      <w:r w:rsidRPr="00153AFF">
        <w:lastRenderedPageBreak/>
        <w:t>Annex I</w:t>
      </w:r>
    </w:p>
    <w:p w14:paraId="74E46134" w14:textId="77777777" w:rsidR="001D5F21" w:rsidRPr="00153AFF" w:rsidRDefault="001D5F21" w:rsidP="001D5F21">
      <w:pPr>
        <w:pStyle w:val="ZZAnxtitle"/>
      </w:pPr>
      <w:r w:rsidRPr="00153AFF">
        <w:t xml:space="preserve">Draft decision MC-6/[--]: </w:t>
      </w:r>
      <w:r w:rsidRPr="00153AFF">
        <w:rPr>
          <w:noProof/>
        </w:rPr>
        <w:t>Su</w:t>
      </w:r>
      <w:r w:rsidRPr="00153AFF">
        <w:t>pply s</w:t>
      </w:r>
      <w:r w:rsidRPr="00153AFF">
        <w:rPr>
          <w:noProof/>
        </w:rPr>
        <w:t>ources and trade</w:t>
      </w:r>
    </w:p>
    <w:p w14:paraId="7871F0B6" w14:textId="77777777" w:rsidR="001D5F21" w:rsidRPr="00153AFF" w:rsidRDefault="001D5F21" w:rsidP="001D5F21">
      <w:pPr>
        <w:pStyle w:val="Normal-pool"/>
        <w:tabs>
          <w:tab w:val="clear" w:pos="1247"/>
          <w:tab w:val="clear" w:pos="1871"/>
          <w:tab w:val="clear" w:pos="2495"/>
          <w:tab w:val="clear" w:pos="3119"/>
          <w:tab w:val="clear" w:pos="3742"/>
          <w:tab w:val="clear" w:pos="4366"/>
        </w:tabs>
        <w:spacing w:after="120"/>
        <w:ind w:left="1247" w:firstLine="624"/>
        <w:rPr>
          <w:i/>
          <w:iCs/>
        </w:rPr>
      </w:pPr>
      <w:r w:rsidRPr="00153AFF">
        <w:rPr>
          <w:i/>
          <w:iCs/>
        </w:rPr>
        <w:t>The Conference of the Parties,</w:t>
      </w:r>
    </w:p>
    <w:p w14:paraId="462C7AD1" w14:textId="74358BE8" w:rsidR="001D5F21" w:rsidRPr="00153AFF" w:rsidRDefault="001D5F21" w:rsidP="001D5F21">
      <w:pPr>
        <w:pStyle w:val="Normal-pool"/>
        <w:tabs>
          <w:tab w:val="clear" w:pos="1247"/>
          <w:tab w:val="clear" w:pos="1871"/>
          <w:tab w:val="clear" w:pos="2495"/>
          <w:tab w:val="clear" w:pos="3119"/>
          <w:tab w:val="clear" w:pos="3742"/>
          <w:tab w:val="clear" w:pos="4366"/>
        </w:tabs>
        <w:spacing w:after="120"/>
        <w:ind w:left="1247" w:firstLine="624"/>
      </w:pPr>
      <w:r w:rsidRPr="00153AFF">
        <w:rPr>
          <w:i/>
          <w:iCs/>
        </w:rPr>
        <w:t xml:space="preserve">Expressing appreciation </w:t>
      </w:r>
      <w:r w:rsidRPr="00153AFF">
        <w:t xml:space="preserve">to parties for sharing information on experiences and challenges faced in the implementation of article 3 </w:t>
      </w:r>
      <w:r w:rsidR="00782370" w:rsidRPr="00153AFF">
        <w:t xml:space="preserve">of the Minamata Convention on Mercury </w:t>
      </w:r>
      <w:r w:rsidRPr="00153AFF">
        <w:t xml:space="preserve">as well as information on activities </w:t>
      </w:r>
      <w:r w:rsidR="00782370" w:rsidRPr="00153AFF">
        <w:t xml:space="preserve">conducted </w:t>
      </w:r>
      <w:r w:rsidRPr="00153AFF">
        <w:t xml:space="preserve">in relation to the Bali </w:t>
      </w:r>
      <w:r w:rsidR="00782370" w:rsidRPr="00153AFF">
        <w:t>d</w:t>
      </w:r>
      <w:r w:rsidRPr="00153AFF">
        <w:t xml:space="preserve">eclaration on combating illegal trade </w:t>
      </w:r>
      <w:r w:rsidR="005F64D5" w:rsidRPr="00153AFF">
        <w:t>in mercury</w:t>
      </w:r>
      <w:r w:rsidR="00E51470" w:rsidRPr="00153AFF">
        <w:t xml:space="preserve"> </w:t>
      </w:r>
      <w:r w:rsidRPr="00153AFF">
        <w:t>in response to paragraph 4 of decision MC-5/2,</w:t>
      </w:r>
    </w:p>
    <w:p w14:paraId="337071C7" w14:textId="27549C73" w:rsidR="001D5F21" w:rsidRPr="00153AFF" w:rsidRDefault="001D5F21" w:rsidP="001D5F21">
      <w:pPr>
        <w:pStyle w:val="Normal-pool"/>
        <w:tabs>
          <w:tab w:val="clear" w:pos="1247"/>
          <w:tab w:val="clear" w:pos="1871"/>
          <w:tab w:val="clear" w:pos="2495"/>
          <w:tab w:val="clear" w:pos="3119"/>
          <w:tab w:val="clear" w:pos="3742"/>
          <w:tab w:val="clear" w:pos="4366"/>
        </w:tabs>
        <w:spacing w:after="120" w:line="259" w:lineRule="auto"/>
        <w:ind w:left="1247" w:firstLine="624"/>
      </w:pPr>
      <w:r w:rsidRPr="00153AFF">
        <w:rPr>
          <w:i/>
          <w:iCs/>
        </w:rPr>
        <w:t xml:space="preserve">Noting </w:t>
      </w:r>
      <w:r w:rsidRPr="00153AFF">
        <w:t>that parties raised the presence of informal or illegal primary mining in their territories and cases of mercury trade not conforming with the Convention</w:t>
      </w:r>
      <w:r w:rsidR="00E51470" w:rsidRPr="00153AFF">
        <w:t>,</w:t>
      </w:r>
      <w:r w:rsidRPr="00153AFF">
        <w:t xml:space="preserve"> as well as illicit trafficking, illegal trade or smuggling of mercury, in particular for use in artisanal and small-scale gold mining, in their national reports under article 21 and in the information submitted in response to paragraph 4 of decision MC-5/2,</w:t>
      </w:r>
    </w:p>
    <w:p w14:paraId="7BC9AE90" w14:textId="754E482F" w:rsidR="001D5F21" w:rsidRPr="00153AFF" w:rsidRDefault="001D5F21" w:rsidP="00B57404">
      <w:pPr>
        <w:pStyle w:val="Normal-pool"/>
        <w:tabs>
          <w:tab w:val="clear" w:pos="1247"/>
          <w:tab w:val="clear" w:pos="1871"/>
          <w:tab w:val="clear" w:pos="2495"/>
          <w:tab w:val="clear" w:pos="3119"/>
          <w:tab w:val="clear" w:pos="3742"/>
          <w:tab w:val="clear" w:pos="4366"/>
          <w:tab w:val="clear" w:pos="4990"/>
        </w:tabs>
        <w:spacing w:after="120" w:line="259" w:lineRule="auto"/>
        <w:ind w:left="1247" w:firstLine="624"/>
      </w:pPr>
      <w:r w:rsidRPr="00153AFF">
        <w:rPr>
          <w:i/>
          <w:iCs/>
        </w:rPr>
        <w:t>Recognizing</w:t>
      </w:r>
      <w:r w:rsidRPr="00153AFF">
        <w:t xml:space="preserve"> that such primary mining and trade represent a challenge to the implementation of paragraph 3 of article 3 of the Convention,</w:t>
      </w:r>
    </w:p>
    <w:p w14:paraId="033AD143" w14:textId="41F61169" w:rsidR="001D5F21" w:rsidRPr="00153AFF" w:rsidRDefault="001D5F21" w:rsidP="00B57404">
      <w:pPr>
        <w:pStyle w:val="Normal-pool"/>
        <w:tabs>
          <w:tab w:val="clear" w:pos="1247"/>
          <w:tab w:val="clear" w:pos="1871"/>
          <w:tab w:val="clear" w:pos="2495"/>
          <w:tab w:val="clear" w:pos="3119"/>
          <w:tab w:val="clear" w:pos="3742"/>
          <w:tab w:val="clear" w:pos="4366"/>
          <w:tab w:val="clear" w:pos="4990"/>
        </w:tabs>
        <w:spacing w:after="120"/>
        <w:ind w:left="1247" w:firstLine="624"/>
      </w:pPr>
      <w:r w:rsidRPr="00153AFF">
        <w:rPr>
          <w:i/>
          <w:iCs/>
        </w:rPr>
        <w:t xml:space="preserve">Considering </w:t>
      </w:r>
      <w:r w:rsidRPr="00153AFF">
        <w:t xml:space="preserve">the recommendation of the Implementation and Compliance Committee </w:t>
      </w:r>
      <w:r w:rsidR="00EC2819" w:rsidRPr="00153AFF">
        <w:t xml:space="preserve">of the Convention </w:t>
      </w:r>
      <w:r w:rsidRPr="00153AFF">
        <w:t>to the Conference of the Parties at its sixth meeting,</w:t>
      </w:r>
      <w:r w:rsidR="00C449A0" w:rsidRPr="00153AFF">
        <w:rPr>
          <w:rStyle w:val="FootnoteReference"/>
        </w:rPr>
        <w:footnoteReference w:id="13"/>
      </w:r>
    </w:p>
    <w:p w14:paraId="027AB011" w14:textId="0A88DCD6" w:rsidR="001D5F21" w:rsidRPr="00153AFF" w:rsidRDefault="001D5F21" w:rsidP="00B57404">
      <w:pPr>
        <w:pStyle w:val="Normal-pool"/>
        <w:tabs>
          <w:tab w:val="clear" w:pos="1247"/>
          <w:tab w:val="clear" w:pos="1871"/>
          <w:tab w:val="clear" w:pos="2495"/>
          <w:tab w:val="clear" w:pos="3119"/>
          <w:tab w:val="clear" w:pos="3742"/>
          <w:tab w:val="clear" w:pos="4366"/>
          <w:tab w:val="clear" w:pos="4990"/>
        </w:tabs>
        <w:spacing w:after="120"/>
        <w:ind w:left="1247" w:firstLine="624"/>
      </w:pPr>
      <w:r w:rsidRPr="00153AFF">
        <w:rPr>
          <w:i/>
          <w:iCs/>
        </w:rPr>
        <w:t>Noting</w:t>
      </w:r>
      <w:r w:rsidRPr="00153AFF">
        <w:t xml:space="preserve"> that, notwithstanding the progress made so far, parties </w:t>
      </w:r>
      <w:r w:rsidR="00064BD5" w:rsidRPr="00153AFF">
        <w:t xml:space="preserve">had </w:t>
      </w:r>
      <w:r w:rsidRPr="00153AFF">
        <w:t>expressed the need to enhance collaboration and receive additional support and assistance to strengthen implementation of article 3</w:t>
      </w:r>
      <w:r w:rsidR="00661221" w:rsidRPr="00153AFF">
        <w:t>,</w:t>
      </w:r>
      <w:r w:rsidRPr="00153AFF">
        <w:t xml:space="preserve"> and acknowledging </w:t>
      </w:r>
      <w:r w:rsidRPr="00153AFF">
        <w:rPr>
          <w:color w:val="000000" w:themeColor="text1"/>
        </w:rPr>
        <w:t>the role of the Global Environment Facility</w:t>
      </w:r>
      <w:r w:rsidRPr="00153AFF">
        <w:t xml:space="preserve"> in providing such support</w:t>
      </w:r>
      <w:r w:rsidR="00661221" w:rsidRPr="00153AFF">
        <w:t>,</w:t>
      </w:r>
      <w:r w:rsidRPr="00153AFF">
        <w:rPr>
          <w:rStyle w:val="FootnoteReference"/>
        </w:rPr>
        <w:footnoteReference w:id="14"/>
      </w:r>
    </w:p>
    <w:p w14:paraId="37C11C8C" w14:textId="132FA640" w:rsidR="001D5F21" w:rsidRPr="00153AFF" w:rsidRDefault="001D5F21" w:rsidP="00B5740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pPr>
      <w:r w:rsidRPr="00153AFF">
        <w:rPr>
          <w:i/>
          <w:iCs/>
        </w:rPr>
        <w:t>Adopts</w:t>
      </w:r>
      <w:r w:rsidRPr="00153AFF">
        <w:t xml:space="preserve"> the update</w:t>
      </w:r>
      <w:r w:rsidR="00661221" w:rsidRPr="00153AFF">
        <w:t>s</w:t>
      </w:r>
      <w:r w:rsidRPr="00153AFF">
        <w:t xml:space="preserve"> to</w:t>
      </w:r>
      <w:r w:rsidRPr="00153AFF">
        <w:rPr>
          <w:b/>
          <w:bCs/>
        </w:rPr>
        <w:t xml:space="preserve"> </w:t>
      </w:r>
      <w:r w:rsidRPr="00153AFF">
        <w:t>the</w:t>
      </w:r>
      <w:r w:rsidRPr="00153AFF">
        <w:rPr>
          <w:b/>
          <w:bCs/>
        </w:rPr>
        <w:t xml:space="preserve"> </w:t>
      </w:r>
      <w:r w:rsidRPr="00153AFF">
        <w:t>guidance</w:t>
      </w:r>
      <w:r w:rsidR="0047111B" w:rsidRPr="00153AFF">
        <w:t xml:space="preserve"> on the identification of </w:t>
      </w:r>
      <w:r w:rsidR="009E2EE5" w:rsidRPr="00153AFF">
        <w:t xml:space="preserve">individual </w:t>
      </w:r>
      <w:r w:rsidRPr="00153AFF">
        <w:t>stocks</w:t>
      </w:r>
      <w:r w:rsidR="009E2EE5" w:rsidRPr="00153AFF">
        <w:t xml:space="preserve"> of mercury or mercury compounds exceeding 50 metric tons and sources of mercury supply generating stocks exceeding 10 metric tons per year</w:t>
      </w:r>
      <w:r w:rsidRPr="00153AFF">
        <w:rPr>
          <w:rStyle w:val="FootnoteReference"/>
        </w:rPr>
        <w:footnoteReference w:id="15"/>
      </w:r>
      <w:r w:rsidRPr="00153AFF">
        <w:t xml:space="preserve"> set out in annex II to document UNEP/MC/COP.6/5;</w:t>
      </w:r>
    </w:p>
    <w:p w14:paraId="06710352" w14:textId="2609B294" w:rsidR="001D5F21" w:rsidRPr="00153AFF" w:rsidRDefault="001D5F21" w:rsidP="00B5740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pPr>
      <w:r w:rsidRPr="00153AFF">
        <w:rPr>
          <w:i/>
          <w:iCs/>
        </w:rPr>
        <w:t>A</w:t>
      </w:r>
      <w:r w:rsidR="003463BB" w:rsidRPr="00153AFF">
        <w:rPr>
          <w:i/>
          <w:iCs/>
        </w:rPr>
        <w:t>lso a</w:t>
      </w:r>
      <w:r w:rsidRPr="00153AFF">
        <w:rPr>
          <w:i/>
          <w:iCs/>
        </w:rPr>
        <w:t>dopts</w:t>
      </w:r>
      <w:r w:rsidRPr="00153AFF">
        <w:t xml:space="preserve"> the updates to</w:t>
      </w:r>
      <w:r w:rsidRPr="00153AFF">
        <w:rPr>
          <w:b/>
          <w:bCs/>
        </w:rPr>
        <w:t xml:space="preserve"> </w:t>
      </w:r>
      <w:r w:rsidRPr="00153AFF">
        <w:t>the</w:t>
      </w:r>
      <w:r w:rsidRPr="00153AFF">
        <w:rPr>
          <w:b/>
          <w:bCs/>
        </w:rPr>
        <w:t xml:space="preserve"> </w:t>
      </w:r>
      <w:r w:rsidRPr="00153AFF">
        <w:t>guidance on the use of forms on import and export of mercury</w:t>
      </w:r>
      <w:r w:rsidR="003463BB" w:rsidRPr="00153AFF">
        <w:t>,</w:t>
      </w:r>
      <w:r w:rsidRPr="00153AFF">
        <w:rPr>
          <w:rStyle w:val="FootnoteReference"/>
        </w:rPr>
        <w:footnoteReference w:id="16"/>
      </w:r>
      <w:r w:rsidRPr="00153AFF">
        <w:t xml:space="preserve"> set out </w:t>
      </w:r>
      <w:r w:rsidR="00DA5E8B" w:rsidRPr="00153AFF">
        <w:t xml:space="preserve">in </w:t>
      </w:r>
      <w:r w:rsidRPr="00153AFF">
        <w:t>annex II</w:t>
      </w:r>
      <w:r w:rsidR="000D482A" w:rsidRPr="00153AFF">
        <w:t>I</w:t>
      </w:r>
      <w:r w:rsidRPr="00153AFF">
        <w:t xml:space="preserve"> to </w:t>
      </w:r>
      <w:r w:rsidR="00C05C67" w:rsidRPr="00153AFF">
        <w:t xml:space="preserve">document </w:t>
      </w:r>
      <w:r w:rsidRPr="00153AFF">
        <w:t>UNEP/MC/COP.6/5, to assist parties in identifying, managing and reducing mercury trade from primary mercury;</w:t>
      </w:r>
    </w:p>
    <w:p w14:paraId="3899122B" w14:textId="7AC97D30" w:rsidR="001D5F21" w:rsidRPr="00153AFF" w:rsidRDefault="001D5F21" w:rsidP="00B5740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pPr>
      <w:r w:rsidRPr="00153AFF">
        <w:rPr>
          <w:i/>
          <w:iCs/>
        </w:rPr>
        <w:t>Invites</w:t>
      </w:r>
      <w:r w:rsidRPr="00153AFF">
        <w:t xml:space="preserve"> parties that reported on experiences and challenges faced in the implementation of paragraph 3 of article 3 on primary mercury mining in their national reports under article 21 to provide further information to the secretariat with a view </w:t>
      </w:r>
      <w:r w:rsidR="005E63E6" w:rsidRPr="00153AFF">
        <w:t>t</w:t>
      </w:r>
      <w:r w:rsidRPr="00153AFF">
        <w:t xml:space="preserve">o </w:t>
      </w:r>
      <w:r w:rsidR="004A2BB3" w:rsidRPr="00153AFF">
        <w:t xml:space="preserve">its being </w:t>
      </w:r>
      <w:r w:rsidRPr="00153AFF">
        <w:t>shar</w:t>
      </w:r>
      <w:r w:rsidR="004A2BB3" w:rsidRPr="00153AFF">
        <w:t>ed</w:t>
      </w:r>
      <w:r w:rsidRPr="00153AFF">
        <w:t xml:space="preserve"> with </w:t>
      </w:r>
      <w:r w:rsidR="004A2BB3" w:rsidRPr="00153AFF">
        <w:t xml:space="preserve">the </w:t>
      </w:r>
      <w:r w:rsidRPr="00153AFF">
        <w:t>I</w:t>
      </w:r>
      <w:r w:rsidR="004A2BB3" w:rsidRPr="00153AFF">
        <w:t xml:space="preserve">mplementation and </w:t>
      </w:r>
      <w:r w:rsidRPr="00153AFF">
        <w:t>C</w:t>
      </w:r>
      <w:r w:rsidR="004A2BB3" w:rsidRPr="00153AFF">
        <w:t xml:space="preserve">ompliance </w:t>
      </w:r>
      <w:r w:rsidRPr="00153AFF">
        <w:t>C</w:t>
      </w:r>
      <w:r w:rsidR="004A2BB3" w:rsidRPr="00153AFF">
        <w:t>ommittee</w:t>
      </w:r>
      <w:r w:rsidRPr="00153AFF">
        <w:t xml:space="preserve"> for further consideration;</w:t>
      </w:r>
      <w:r w:rsidRPr="00153AFF">
        <w:rPr>
          <w:vertAlign w:val="superscript"/>
        </w:rPr>
        <w:footnoteReference w:id="17"/>
      </w:r>
      <w:r w:rsidRPr="00153AFF">
        <w:t xml:space="preserve">  </w:t>
      </w:r>
    </w:p>
    <w:p w14:paraId="635AC9FF" w14:textId="0CB97197" w:rsidR="001D5F21" w:rsidRPr="00153AFF" w:rsidRDefault="001D5F21" w:rsidP="00B5740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pPr>
      <w:r w:rsidRPr="00153AFF">
        <w:rPr>
          <w:i/>
          <w:iCs/>
        </w:rPr>
        <w:t xml:space="preserve">Encourages </w:t>
      </w:r>
      <w:r w:rsidRPr="00153AFF">
        <w:t>parties, including those benefiting from the ongoing projects of the Global Environment Facility</w:t>
      </w:r>
      <w:r w:rsidR="00F718FC" w:rsidRPr="00153AFF">
        <w:t>,</w:t>
      </w:r>
      <w:r w:rsidRPr="00153AFF">
        <w:t xml:space="preserve"> to continue to share information with the secretariat about experiences in preventing and combating illegal trade </w:t>
      </w:r>
      <w:r w:rsidR="00F50A43" w:rsidRPr="00153AFF">
        <w:t>in</w:t>
      </w:r>
      <w:r w:rsidRPr="00153AFF">
        <w:t xml:space="preserve"> mercury, including with respect to the use of forms related to article 3 on mercury trade</w:t>
      </w:r>
      <w:r w:rsidR="00561E8A" w:rsidRPr="00153AFF">
        <w:t>;</w:t>
      </w:r>
    </w:p>
    <w:p w14:paraId="2D041554" w14:textId="50BDB108" w:rsidR="001D5F21" w:rsidRPr="00153AFF" w:rsidRDefault="001D5F21" w:rsidP="00B5740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pPr>
      <w:r w:rsidRPr="00153AFF">
        <w:rPr>
          <w:i/>
          <w:iCs/>
        </w:rPr>
        <w:t xml:space="preserve">Requests </w:t>
      </w:r>
      <w:r w:rsidRPr="00153AFF">
        <w:t>the secretariat to develop, in collaboration with parties and subject to availability of resources, case studies on best practices in preventing and combating the illicit trafficking, illegal trade or smuggling of mercury, and</w:t>
      </w:r>
      <w:r w:rsidR="009C6C3E" w:rsidRPr="00153AFF">
        <w:t>,</w:t>
      </w:r>
      <w:r w:rsidRPr="00153AFF">
        <w:t xml:space="preserve"> in doing so</w:t>
      </w:r>
      <w:r w:rsidR="009C6C3E" w:rsidRPr="00153AFF">
        <w:t>, to</w:t>
      </w:r>
      <w:r w:rsidRPr="00153AFF">
        <w:t>:</w:t>
      </w:r>
    </w:p>
    <w:p w14:paraId="10B2FB41" w14:textId="41477556" w:rsidR="001D5F21" w:rsidRPr="00153AFF" w:rsidRDefault="00E13096" w:rsidP="00E816CC">
      <w:pPr>
        <w:pStyle w:val="ANormal"/>
        <w:numPr>
          <w:ilvl w:val="1"/>
          <w:numId w:val="16"/>
        </w:numPr>
        <w:tabs>
          <w:tab w:val="clear" w:pos="1247"/>
          <w:tab w:val="clear" w:pos="1871"/>
          <w:tab w:val="clear" w:pos="2495"/>
          <w:tab w:val="clear" w:pos="3119"/>
          <w:tab w:val="clear" w:pos="3742"/>
          <w:tab w:val="clear" w:pos="4366"/>
          <w:tab w:val="clear" w:pos="4990"/>
        </w:tabs>
        <w:spacing w:after="120"/>
        <w:ind w:left="1247" w:firstLine="624"/>
        <w:rPr>
          <w:color w:val="000000" w:themeColor="text1"/>
        </w:rPr>
      </w:pPr>
      <w:r w:rsidRPr="00153AFF">
        <w:rPr>
          <w:color w:val="000000" w:themeColor="text1"/>
        </w:rPr>
        <w:t>U</w:t>
      </w:r>
      <w:r w:rsidR="001D5F21" w:rsidRPr="00153AFF">
        <w:rPr>
          <w:color w:val="000000" w:themeColor="text1"/>
        </w:rPr>
        <w:t>t</w:t>
      </w:r>
      <w:r w:rsidR="009C6C3E" w:rsidRPr="00153AFF">
        <w:rPr>
          <w:color w:val="000000" w:themeColor="text1"/>
        </w:rPr>
        <w:t>i</w:t>
      </w:r>
      <w:r w:rsidR="001D5F21" w:rsidRPr="00153AFF">
        <w:rPr>
          <w:color w:val="000000" w:themeColor="text1"/>
        </w:rPr>
        <w:t>lize information collected from parties;</w:t>
      </w:r>
    </w:p>
    <w:p w14:paraId="3D5DA7E2" w14:textId="6D6D4905" w:rsidR="001D5F21" w:rsidRPr="00153AFF" w:rsidRDefault="00E13096" w:rsidP="00E816CC">
      <w:pPr>
        <w:pStyle w:val="ANormal"/>
        <w:numPr>
          <w:ilvl w:val="1"/>
          <w:numId w:val="16"/>
        </w:numPr>
        <w:tabs>
          <w:tab w:val="clear" w:pos="1247"/>
          <w:tab w:val="clear" w:pos="1871"/>
          <w:tab w:val="clear" w:pos="2495"/>
          <w:tab w:val="clear" w:pos="3119"/>
          <w:tab w:val="clear" w:pos="3742"/>
          <w:tab w:val="clear" w:pos="4366"/>
          <w:tab w:val="clear" w:pos="4990"/>
        </w:tabs>
        <w:spacing w:after="120"/>
        <w:ind w:left="1247" w:firstLine="624"/>
        <w:rPr>
          <w:color w:val="000000" w:themeColor="text1"/>
        </w:rPr>
      </w:pPr>
      <w:r w:rsidRPr="00153AFF">
        <w:rPr>
          <w:color w:val="000000" w:themeColor="text1"/>
        </w:rPr>
        <w:t>T</w:t>
      </w:r>
      <w:r w:rsidR="001D5F21" w:rsidRPr="00153AFF">
        <w:rPr>
          <w:color w:val="000000" w:themeColor="text1"/>
        </w:rPr>
        <w:t>ake into account information on strategies to prevent the diversion of mercury from foreign and domestic sources to use in artisanal and small-scale gold mining and processing, as contained in national action plans on artisanal and small-scale gold mining submitted by parties in accordance with paragraph 3 (b) of article 7;</w:t>
      </w:r>
    </w:p>
    <w:p w14:paraId="4CFE5694" w14:textId="06433067" w:rsidR="001D5F21" w:rsidRPr="00153AFF" w:rsidRDefault="00E13096" w:rsidP="00E816CC">
      <w:pPr>
        <w:pStyle w:val="ANormal"/>
        <w:numPr>
          <w:ilvl w:val="1"/>
          <w:numId w:val="16"/>
        </w:numPr>
        <w:tabs>
          <w:tab w:val="clear" w:pos="1247"/>
          <w:tab w:val="clear" w:pos="1871"/>
          <w:tab w:val="clear" w:pos="2495"/>
          <w:tab w:val="clear" w:pos="3119"/>
          <w:tab w:val="clear" w:pos="3742"/>
          <w:tab w:val="clear" w:pos="4366"/>
          <w:tab w:val="clear" w:pos="4990"/>
        </w:tabs>
        <w:spacing w:after="120"/>
        <w:ind w:left="1247" w:firstLine="624"/>
        <w:rPr>
          <w:color w:val="000000" w:themeColor="text1"/>
        </w:rPr>
      </w:pPr>
      <w:r w:rsidRPr="00153AFF">
        <w:rPr>
          <w:color w:val="000000" w:themeColor="text1"/>
        </w:rPr>
        <w:t>I</w:t>
      </w:r>
      <w:r w:rsidR="001D5F21" w:rsidRPr="00153AFF">
        <w:rPr>
          <w:color w:val="000000" w:themeColor="text1"/>
        </w:rPr>
        <w:t>nvite contributions from United Nations Office on Drugs and Crime, the World Customs Organization and relevant global and regional enforcement networks, as needed</w:t>
      </w:r>
      <w:r w:rsidR="00561E8A" w:rsidRPr="00153AFF">
        <w:rPr>
          <w:color w:val="000000" w:themeColor="text1"/>
        </w:rPr>
        <w:t>;</w:t>
      </w:r>
    </w:p>
    <w:p w14:paraId="544C3E8F" w14:textId="5AA4979D" w:rsidR="001D5F21" w:rsidRPr="00153AFF" w:rsidDel="001D6D3D" w:rsidRDefault="00561E8A" w:rsidP="00B5740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pPr>
      <w:r w:rsidRPr="00153AFF">
        <w:rPr>
          <w:i/>
          <w:iCs/>
        </w:rPr>
        <w:lastRenderedPageBreak/>
        <w:t>Also</w:t>
      </w:r>
      <w:r w:rsidR="001D5F21" w:rsidRPr="00153AFF">
        <w:rPr>
          <w:i/>
          <w:iCs/>
        </w:rPr>
        <w:t xml:space="preserve"> requests</w:t>
      </w:r>
      <w:r w:rsidR="001D5F21" w:rsidRPr="00153AFF">
        <w:t xml:space="preserve"> the secretariat to submit the case studies for consideration by the Conference of the Parties at its seventh meeting;</w:t>
      </w:r>
    </w:p>
    <w:p w14:paraId="0C08E924" w14:textId="77777777" w:rsidR="001D5F21" w:rsidRPr="00153AFF" w:rsidRDefault="001D5F21" w:rsidP="00B5740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pPr>
      <w:r w:rsidRPr="00153AFF">
        <w:rPr>
          <w:i/>
          <w:iCs/>
        </w:rPr>
        <w:t xml:space="preserve">Requests </w:t>
      </w:r>
      <w:r w:rsidRPr="00153AFF">
        <w:t>the Implementation and Compliance Committee to:</w:t>
      </w:r>
    </w:p>
    <w:p w14:paraId="4CE4C0DA" w14:textId="77777777" w:rsidR="001D5F21" w:rsidRPr="00153AFF" w:rsidRDefault="001D5F21" w:rsidP="00BA3C6C">
      <w:pPr>
        <w:pStyle w:val="Normal-pool"/>
        <w:numPr>
          <w:ilvl w:val="1"/>
          <w:numId w:val="16"/>
        </w:numPr>
        <w:tabs>
          <w:tab w:val="clear" w:pos="1247"/>
          <w:tab w:val="clear" w:pos="1871"/>
          <w:tab w:val="clear" w:pos="2495"/>
          <w:tab w:val="clear" w:pos="3119"/>
          <w:tab w:val="clear" w:pos="3742"/>
          <w:tab w:val="clear" w:pos="4366"/>
          <w:tab w:val="clear" w:pos="4990"/>
        </w:tabs>
        <w:spacing w:after="120"/>
        <w:ind w:left="1247" w:firstLine="624"/>
      </w:pPr>
      <w:r w:rsidRPr="00153AFF">
        <w:rPr>
          <w:lang w:eastAsia="zh-CN"/>
        </w:rPr>
        <w:t xml:space="preserve">assess the reasons for which parties have challenges in implementing trade-related provisions </w:t>
      </w:r>
      <w:r w:rsidRPr="00153AFF">
        <w:t>under</w:t>
      </w:r>
      <w:r w:rsidRPr="00153AFF">
        <w:rPr>
          <w:lang w:eastAsia="zh-CN"/>
        </w:rPr>
        <w:t xml:space="preserve"> article 3 and what recommendations could be made to the Conference of the Parties to improve implementation as well as national reporting under article 21;</w:t>
      </w:r>
    </w:p>
    <w:p w14:paraId="7EC73C90" w14:textId="407F5EE7" w:rsidR="001D5F21" w:rsidRPr="00153AFF" w:rsidRDefault="001D5F21" w:rsidP="00BA3C6C">
      <w:pPr>
        <w:pStyle w:val="Normal-pool"/>
        <w:numPr>
          <w:ilvl w:val="1"/>
          <w:numId w:val="16"/>
        </w:numPr>
        <w:tabs>
          <w:tab w:val="clear" w:pos="1247"/>
          <w:tab w:val="clear" w:pos="1871"/>
          <w:tab w:val="clear" w:pos="2495"/>
          <w:tab w:val="clear" w:pos="3119"/>
          <w:tab w:val="clear" w:pos="3742"/>
          <w:tab w:val="clear" w:pos="4366"/>
          <w:tab w:val="clear" w:pos="4990"/>
        </w:tabs>
        <w:spacing w:after="120"/>
        <w:ind w:left="1247" w:firstLine="624"/>
      </w:pPr>
      <w:r w:rsidRPr="00153AFF">
        <w:t xml:space="preserve">initiate dialogue with relevant international organizations and </w:t>
      </w:r>
      <w:r w:rsidRPr="00153AFF">
        <w:rPr>
          <w:bCs/>
        </w:rPr>
        <w:t xml:space="preserve">cooperation with </w:t>
      </w:r>
      <w:r w:rsidRPr="00153AFF">
        <w:t xml:space="preserve">compliance bodies </w:t>
      </w:r>
      <w:r w:rsidRPr="00153AFF">
        <w:rPr>
          <w:lang w:eastAsia="zh-CN"/>
        </w:rPr>
        <w:t>of</w:t>
      </w:r>
      <w:r w:rsidRPr="00153AFF">
        <w:t xml:space="preserve"> other multilateral environmental agreements on their activities</w:t>
      </w:r>
      <w:r w:rsidR="0079262B" w:rsidRPr="00153AFF">
        <w:t>, with the</w:t>
      </w:r>
      <w:r w:rsidRPr="00153AFF">
        <w:t xml:space="preserve"> aim</w:t>
      </w:r>
      <w:r w:rsidR="0079262B" w:rsidRPr="00153AFF">
        <w:t xml:space="preserve"> of</w:t>
      </w:r>
      <w:r w:rsidRPr="00153AFF">
        <w:t xml:space="preserve"> supporting parties in preventing and combating illegal trade</w:t>
      </w:r>
      <w:r w:rsidR="0079262B" w:rsidRPr="00153AFF">
        <w:t>;</w:t>
      </w:r>
      <w:r w:rsidRPr="00153AFF">
        <w:t xml:space="preserve"> </w:t>
      </w:r>
    </w:p>
    <w:p w14:paraId="3C6B6A8E" w14:textId="56D078DD" w:rsidR="001D5F21" w:rsidRPr="00153AFF" w:rsidRDefault="001D5F21" w:rsidP="00B5740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pPr>
      <w:r w:rsidRPr="00153AFF">
        <w:rPr>
          <w:i/>
          <w:iCs/>
        </w:rPr>
        <w:t>Encourages</w:t>
      </w:r>
      <w:r w:rsidRPr="00153AFF">
        <w:t xml:space="preserve"> the United Nations Office on Drugs and Crime, the World Customs Organization, the International Criminal Police Organization, the member organizations of the </w:t>
      </w:r>
      <w:r w:rsidR="00F7610B">
        <w:t>Inter</w:t>
      </w:r>
      <w:r w:rsidR="00F7610B">
        <w:noBreakHyphen/>
      </w:r>
      <w:r w:rsidRPr="00153AFF">
        <w:t>Organization Programme for the Sound Management of Chemicals, the secretariat of the Basel</w:t>
      </w:r>
      <w:r w:rsidR="000B2315" w:rsidRPr="00153AFF">
        <w:t xml:space="preserve"> Convention on the Control of Transboundary Movements of Hazardous Wastes and Their Disposal</w:t>
      </w:r>
      <w:r w:rsidRPr="00153AFF">
        <w:t xml:space="preserve">, </w:t>
      </w:r>
      <w:r w:rsidR="00364288" w:rsidRPr="00153AFF">
        <w:t xml:space="preserve">the </w:t>
      </w:r>
      <w:r w:rsidRPr="00153AFF">
        <w:t>Rotterdam</w:t>
      </w:r>
      <w:r w:rsidR="0038187B" w:rsidRPr="00153AFF">
        <w:t xml:space="preserve"> Convention on the Prior Informed Consent Procedure for Certain Hazardous Chemicals and Pesticides in International Trade</w:t>
      </w:r>
      <w:r w:rsidRPr="00153AFF">
        <w:t xml:space="preserve"> and</w:t>
      </w:r>
      <w:r w:rsidR="0038187B" w:rsidRPr="00153AFF">
        <w:t xml:space="preserve"> the</w:t>
      </w:r>
      <w:r w:rsidRPr="00153AFF">
        <w:t xml:space="preserve"> Stockholm </w:t>
      </w:r>
      <w:r w:rsidR="00B94220" w:rsidRPr="00153AFF">
        <w:t>Convention on Persistent Organic Pollutants</w:t>
      </w:r>
      <w:r w:rsidRPr="00153AFF">
        <w:t xml:space="preserve">, and relevant global and </w:t>
      </w:r>
      <w:r w:rsidRPr="00153AFF">
        <w:rPr>
          <w:color w:val="000000" w:themeColor="text1"/>
        </w:rPr>
        <w:t>regional</w:t>
      </w:r>
      <w:r w:rsidRPr="00153AFF">
        <w:t xml:space="preserve"> enforcement networks to</w:t>
      </w:r>
      <w:r w:rsidRPr="00153AFF">
        <w:rPr>
          <w:i/>
          <w:iCs/>
          <w:color w:val="000000" w:themeColor="text1"/>
        </w:rPr>
        <w:t xml:space="preserve"> </w:t>
      </w:r>
      <w:r w:rsidRPr="00153AFF">
        <w:t xml:space="preserve">assist parties in preventing and combating illegal trade in mercury; </w:t>
      </w:r>
    </w:p>
    <w:p w14:paraId="7FE3A85E" w14:textId="2B207359" w:rsidR="001D5F21" w:rsidRPr="00153AFF" w:rsidRDefault="001D5F21" w:rsidP="00B5740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pPr>
      <w:r w:rsidRPr="00153AFF">
        <w:rPr>
          <w:i/>
          <w:iCs/>
        </w:rPr>
        <w:t xml:space="preserve">Requests </w:t>
      </w:r>
      <w:r w:rsidRPr="00153AFF">
        <w:t xml:space="preserve">the secretariat, subject to availability of resources, to </w:t>
      </w:r>
      <w:r w:rsidRPr="00153AFF">
        <w:rPr>
          <w:color w:val="000000" w:themeColor="text1"/>
        </w:rPr>
        <w:t>continue to provide advice and conduct awareness-</w:t>
      </w:r>
      <w:r w:rsidRPr="00153AFF">
        <w:t>raising</w:t>
      </w:r>
      <w:r w:rsidRPr="00153AFF">
        <w:rPr>
          <w:color w:val="000000" w:themeColor="text1"/>
        </w:rPr>
        <w:t xml:space="preserve"> and technical </w:t>
      </w:r>
      <w:r w:rsidRPr="00153AFF">
        <w:t>assistance</w:t>
      </w:r>
      <w:r w:rsidRPr="00153AFF">
        <w:rPr>
          <w:color w:val="000000" w:themeColor="text1"/>
        </w:rPr>
        <w:t xml:space="preserve"> activities to strengthen the capacity of parties to </w:t>
      </w:r>
      <w:r w:rsidRPr="00153AFF">
        <w:t>fulfil their trade-related obligations under article 3;</w:t>
      </w:r>
    </w:p>
    <w:p w14:paraId="5BBF15BC" w14:textId="16F5EBB6" w:rsidR="001D5F21" w:rsidRPr="00153AFF" w:rsidRDefault="00C47911" w:rsidP="00B57404">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color w:val="000000" w:themeColor="text1"/>
        </w:rPr>
        <w:sectPr w:rsidR="001D5F21" w:rsidRPr="00153AFF" w:rsidSect="00153AFF">
          <w:footnotePr>
            <w:numRestart w:val="eachSect"/>
          </w:footnotePr>
          <w:type w:val="continuous"/>
          <w:pgSz w:w="11907" w:h="16839" w:code="9"/>
          <w:pgMar w:top="907" w:right="992" w:bottom="1418" w:left="1418" w:header="539" w:footer="975" w:gutter="0"/>
          <w:cols w:space="539"/>
          <w:docGrid w:linePitch="360"/>
        </w:sectPr>
      </w:pPr>
      <w:r w:rsidRPr="00153AFF">
        <w:rPr>
          <w:i/>
          <w:iCs/>
        </w:rPr>
        <w:t>Also</w:t>
      </w:r>
      <w:r w:rsidR="001D5F21" w:rsidRPr="00153AFF">
        <w:rPr>
          <w:i/>
          <w:iCs/>
        </w:rPr>
        <w:t xml:space="preserve"> requests </w:t>
      </w:r>
      <w:r w:rsidR="001D5F21" w:rsidRPr="00153AFF">
        <w:t>the secretariat to</w:t>
      </w:r>
      <w:r w:rsidR="001D5F21" w:rsidRPr="00153AFF">
        <w:rPr>
          <w:i/>
          <w:iCs/>
        </w:rPr>
        <w:t xml:space="preserve"> </w:t>
      </w:r>
      <w:r w:rsidR="001D5F21" w:rsidRPr="00153AFF">
        <w:rPr>
          <w:color w:val="000000" w:themeColor="text1"/>
        </w:rPr>
        <w:t xml:space="preserve">report to the Conference of the Parties at its next meeting on the implementation of the </w:t>
      </w:r>
      <w:r w:rsidR="001D5F21" w:rsidRPr="00153AFF">
        <w:t>present</w:t>
      </w:r>
      <w:r w:rsidR="001D5F21" w:rsidRPr="00153AFF">
        <w:rPr>
          <w:color w:val="000000" w:themeColor="text1"/>
        </w:rPr>
        <w:t xml:space="preserve"> decision.</w:t>
      </w:r>
    </w:p>
    <w:p w14:paraId="4CB1A33D" w14:textId="77777777" w:rsidR="001D5F21" w:rsidRPr="00153AFF" w:rsidRDefault="001D5F21" w:rsidP="001D5F21">
      <w:pPr>
        <w:pStyle w:val="Normal-pool"/>
      </w:pPr>
      <w:r w:rsidRPr="00153AFF">
        <w:br w:type="page"/>
      </w:r>
    </w:p>
    <w:p w14:paraId="55D0421C" w14:textId="77777777" w:rsidR="001D5F21" w:rsidRPr="00153AFF" w:rsidRDefault="001D5F21" w:rsidP="001D5F21">
      <w:pPr>
        <w:pStyle w:val="ZZAnxheader"/>
      </w:pPr>
      <w:r w:rsidRPr="00153AFF">
        <w:lastRenderedPageBreak/>
        <w:t>Annex II</w:t>
      </w:r>
    </w:p>
    <w:p w14:paraId="31851C0B" w14:textId="151D1850" w:rsidR="001D5F21" w:rsidRPr="00153AFF" w:rsidRDefault="001D5F21" w:rsidP="001D5F21">
      <w:pPr>
        <w:pStyle w:val="ZZAnxtitle"/>
        <w:spacing w:after="360"/>
      </w:pPr>
      <w:r w:rsidRPr="00153AFF">
        <w:t xml:space="preserve">Draft updates to the </w:t>
      </w:r>
      <w:bookmarkStart w:id="11" w:name="_Hlk204697316"/>
      <w:r w:rsidRPr="00153AFF">
        <w:t>guidance on the identification of individual stocks of mercury or mercury compounds exceeding 50 metric tons and sources of mercury supply generating stocks exceeding 10</w:t>
      </w:r>
      <w:r w:rsidR="00F82348" w:rsidRPr="00153AFF">
        <w:t> </w:t>
      </w:r>
      <w:r w:rsidRPr="00153AFF">
        <w:t>metric tons per year</w:t>
      </w:r>
      <w:r w:rsidRPr="00153AFF">
        <w:rPr>
          <w:vertAlign w:val="superscript"/>
        </w:rPr>
        <w:footnoteReference w:id="18"/>
      </w:r>
    </w:p>
    <w:bookmarkEnd w:id="11"/>
    <w:p w14:paraId="5A918CBD" w14:textId="69088EA6" w:rsidR="001D5F21" w:rsidRPr="00153AFF" w:rsidRDefault="009A49FD" w:rsidP="001D5F21">
      <w:pPr>
        <w:pStyle w:val="NormalNonumber"/>
      </w:pPr>
      <w:r w:rsidRPr="00153AFF">
        <w:rPr>
          <w:rStyle w:val="normaltextrun"/>
          <w:rFonts w:eastAsiaTheme="majorEastAsia"/>
        </w:rPr>
        <w:t>T</w:t>
      </w:r>
      <w:r w:rsidR="00671916" w:rsidRPr="00153AFF">
        <w:rPr>
          <w:rStyle w:val="normaltextrun"/>
          <w:rFonts w:eastAsiaTheme="majorEastAsia"/>
        </w:rPr>
        <w:t>he following</w:t>
      </w:r>
      <w:r w:rsidR="001D5F21" w:rsidRPr="00153AFF">
        <w:rPr>
          <w:rStyle w:val="normaltextrun"/>
          <w:rFonts w:eastAsiaTheme="majorEastAsia"/>
        </w:rPr>
        <w:t xml:space="preserve"> paragraphs</w:t>
      </w:r>
      <w:r w:rsidRPr="00153AFF">
        <w:rPr>
          <w:rStyle w:val="normaltextrun"/>
          <w:rFonts w:eastAsiaTheme="majorEastAsia"/>
        </w:rPr>
        <w:t xml:space="preserve"> are proposed</w:t>
      </w:r>
      <w:r w:rsidR="001D5F21" w:rsidRPr="00153AFF">
        <w:rPr>
          <w:rStyle w:val="normaltextrun"/>
          <w:rFonts w:eastAsiaTheme="majorEastAsia"/>
        </w:rPr>
        <w:t xml:space="preserve"> </w:t>
      </w:r>
      <w:r w:rsidR="006715E6" w:rsidRPr="00153AFF">
        <w:rPr>
          <w:rStyle w:val="normaltextrun"/>
          <w:rFonts w:eastAsiaTheme="majorEastAsia"/>
        </w:rPr>
        <w:t>for addition</w:t>
      </w:r>
      <w:r w:rsidR="001D5F21" w:rsidRPr="00153AFF">
        <w:rPr>
          <w:rStyle w:val="normaltextrun"/>
          <w:rFonts w:eastAsiaTheme="majorEastAsia"/>
        </w:rPr>
        <w:t xml:space="preserve"> </w:t>
      </w:r>
      <w:r w:rsidR="00E74E6E" w:rsidRPr="00153AFF">
        <w:rPr>
          <w:rStyle w:val="normaltextrun"/>
          <w:rFonts w:eastAsiaTheme="majorEastAsia"/>
        </w:rPr>
        <w:t>to the</w:t>
      </w:r>
      <w:r w:rsidR="002F4E2B" w:rsidRPr="00153AFF">
        <w:rPr>
          <w:rStyle w:val="normaltextrun"/>
          <w:rFonts w:eastAsiaTheme="majorEastAsia"/>
        </w:rPr>
        <w:t xml:space="preserve"> section entitled</w:t>
      </w:r>
      <w:r w:rsidR="005D52ED" w:rsidRPr="00153AFF">
        <w:rPr>
          <w:rStyle w:val="normaltextrun"/>
          <w:rFonts w:eastAsiaTheme="majorEastAsia"/>
        </w:rPr>
        <w:t xml:space="preserve"> “</w:t>
      </w:r>
      <w:r w:rsidR="001D5F21" w:rsidRPr="00153AFF">
        <w:rPr>
          <w:rStyle w:val="normaltextrun"/>
          <w:rFonts w:eastAsiaTheme="majorEastAsia"/>
        </w:rPr>
        <w:t>Background</w:t>
      </w:r>
      <w:r w:rsidR="005D52ED" w:rsidRPr="00153AFF">
        <w:rPr>
          <w:rStyle w:val="normaltextrun"/>
          <w:rFonts w:eastAsiaTheme="majorEastAsia"/>
        </w:rPr>
        <w:t>”</w:t>
      </w:r>
      <w:r w:rsidR="001D5F21" w:rsidRPr="00153AFF">
        <w:rPr>
          <w:rStyle w:val="normaltextrun"/>
          <w:rFonts w:eastAsiaTheme="majorEastAsia"/>
        </w:rPr>
        <w:t>:</w:t>
      </w:r>
    </w:p>
    <w:p w14:paraId="1CD11816" w14:textId="085569EC" w:rsidR="001D5F21" w:rsidRPr="00153AFF" w:rsidRDefault="001D5F21" w:rsidP="308A1943">
      <w:pPr>
        <w:pStyle w:val="paragraph"/>
        <w:numPr>
          <w:ilvl w:val="0"/>
          <w:numId w:val="17"/>
        </w:numPr>
        <w:suppressLineNumbers/>
        <w:spacing w:before="0" w:beforeAutospacing="0" w:after="120" w:afterAutospacing="0"/>
        <w:ind w:left="1247" w:firstLine="0"/>
        <w:rPr>
          <w:sz w:val="20"/>
          <w:szCs w:val="20"/>
          <w:u w:val="single"/>
          <w:lang w:val="en-GB"/>
        </w:rPr>
      </w:pPr>
      <w:r w:rsidRPr="00153AFF">
        <w:rPr>
          <w:sz w:val="20"/>
          <w:szCs w:val="20"/>
          <w:u w:val="single"/>
          <w:lang w:val="en-GB"/>
        </w:rPr>
        <w:t>The Conference of the Parties</w:t>
      </w:r>
      <w:r w:rsidR="002F4E2B" w:rsidRPr="00153AFF">
        <w:rPr>
          <w:sz w:val="20"/>
          <w:szCs w:val="20"/>
          <w:u w:val="single"/>
          <w:lang w:val="en-GB"/>
        </w:rPr>
        <w:t>,</w:t>
      </w:r>
      <w:r w:rsidRPr="00153AFF">
        <w:rPr>
          <w:sz w:val="20"/>
          <w:szCs w:val="20"/>
          <w:u w:val="single"/>
          <w:lang w:val="en-GB"/>
        </w:rPr>
        <w:t xml:space="preserve"> in paragraph 3 of its decision MC-4/8</w:t>
      </w:r>
      <w:r w:rsidR="002F4E2B" w:rsidRPr="00153AFF">
        <w:rPr>
          <w:sz w:val="20"/>
          <w:szCs w:val="20"/>
          <w:u w:val="single"/>
          <w:lang w:val="en-GB"/>
        </w:rPr>
        <w:t>,</w:t>
      </w:r>
      <w:r w:rsidRPr="00153AFF">
        <w:rPr>
          <w:sz w:val="20"/>
          <w:szCs w:val="20"/>
          <w:u w:val="single"/>
          <w:lang w:val="en-GB"/>
        </w:rPr>
        <w:t xml:space="preserve"> requested </w:t>
      </w:r>
      <w:r w:rsidR="00E1195E" w:rsidRPr="00153AFF">
        <w:rPr>
          <w:sz w:val="20"/>
          <w:szCs w:val="20"/>
          <w:u w:val="single"/>
          <w:lang w:val="en-GB"/>
        </w:rPr>
        <w:t>p</w:t>
      </w:r>
      <w:r w:rsidRPr="00153AFF">
        <w:rPr>
          <w:sz w:val="20"/>
          <w:szCs w:val="20"/>
          <w:u w:val="single"/>
          <w:lang w:val="en-GB"/>
        </w:rPr>
        <w:t xml:space="preserve">arties to continue their ongoing efforts to endeavour to identify individual stocks and sources of mercury in accordance with paragraph 5 of article 3 of the Convention. </w:t>
      </w:r>
    </w:p>
    <w:p w14:paraId="1C95CD46" w14:textId="5F7F7A13" w:rsidR="001D5F21" w:rsidRPr="00153AFF" w:rsidRDefault="007064FB" w:rsidP="001D5F21">
      <w:pPr>
        <w:pStyle w:val="paragraph"/>
        <w:numPr>
          <w:ilvl w:val="0"/>
          <w:numId w:val="17"/>
        </w:numPr>
        <w:spacing w:before="0" w:beforeAutospacing="0" w:after="120" w:afterAutospacing="0"/>
        <w:ind w:left="1247" w:firstLine="0"/>
        <w:rPr>
          <w:sz w:val="20"/>
          <w:szCs w:val="20"/>
          <w:u w:val="single"/>
          <w:lang w:val="en-GB"/>
        </w:rPr>
      </w:pPr>
      <w:r w:rsidRPr="00153AFF">
        <w:rPr>
          <w:sz w:val="20"/>
          <w:szCs w:val="20"/>
          <w:u w:val="single"/>
          <w:lang w:val="en-GB"/>
        </w:rPr>
        <w:t>In p</w:t>
      </w:r>
      <w:r w:rsidR="001D5F21" w:rsidRPr="00153AFF">
        <w:rPr>
          <w:sz w:val="20"/>
          <w:szCs w:val="20"/>
          <w:u w:val="single"/>
          <w:lang w:val="en-GB"/>
        </w:rPr>
        <w:t>aragraph 5</w:t>
      </w:r>
      <w:r w:rsidR="00B62758" w:rsidRPr="00153AFF">
        <w:rPr>
          <w:sz w:val="20"/>
          <w:szCs w:val="20"/>
          <w:u w:val="single"/>
          <w:lang w:val="en-GB"/>
        </w:rPr>
        <w:t xml:space="preserve"> (a)</w:t>
      </w:r>
      <w:r w:rsidR="001D5F21" w:rsidRPr="00153AFF">
        <w:rPr>
          <w:sz w:val="20"/>
          <w:szCs w:val="20"/>
          <w:u w:val="single"/>
          <w:lang w:val="en-GB"/>
        </w:rPr>
        <w:t xml:space="preserve"> of decision MC-5/2, the Conference of the Parties requested the </w:t>
      </w:r>
      <w:r w:rsidRPr="00153AFF">
        <w:rPr>
          <w:sz w:val="20"/>
          <w:szCs w:val="20"/>
          <w:u w:val="single"/>
          <w:lang w:val="en-GB"/>
        </w:rPr>
        <w:t>s</w:t>
      </w:r>
      <w:r w:rsidR="001D5F21" w:rsidRPr="00153AFF">
        <w:rPr>
          <w:sz w:val="20"/>
          <w:szCs w:val="20"/>
          <w:u w:val="single"/>
          <w:lang w:val="en-GB"/>
        </w:rPr>
        <w:t xml:space="preserve">ecretariat to draft an update to the existing guidance on stocks adopted in decision MC-1/2 to include types of action that could be taken to fulfil the continuing obligation to endeavour to identify stocks and sources as </w:t>
      </w:r>
      <w:r w:rsidR="008A665D" w:rsidRPr="00153AFF">
        <w:rPr>
          <w:sz w:val="20"/>
          <w:szCs w:val="20"/>
          <w:u w:val="single"/>
          <w:lang w:val="en-GB"/>
        </w:rPr>
        <w:t xml:space="preserve">described in </w:t>
      </w:r>
      <w:r w:rsidR="001D5F21" w:rsidRPr="00153AFF">
        <w:rPr>
          <w:sz w:val="20"/>
          <w:szCs w:val="20"/>
          <w:u w:val="single"/>
          <w:lang w:val="en-GB"/>
        </w:rPr>
        <w:t>paragraph 5 (a) of article 3 of the Convention.</w:t>
      </w:r>
    </w:p>
    <w:p w14:paraId="39F0C2A2" w14:textId="11A03242" w:rsidR="001D5F21" w:rsidRPr="00153AFF" w:rsidRDefault="00E230DC" w:rsidP="001D5F21">
      <w:pPr>
        <w:pStyle w:val="NormalNonumber"/>
      </w:pPr>
      <w:r w:rsidRPr="00153AFF">
        <w:t xml:space="preserve">The following </w:t>
      </w:r>
      <w:r w:rsidR="001D5F21" w:rsidRPr="00153AFF">
        <w:t>section</w:t>
      </w:r>
      <w:r w:rsidR="006715E6" w:rsidRPr="00153AFF">
        <w:t xml:space="preserve"> is proposed for</w:t>
      </w:r>
      <w:r w:rsidR="001D5F21" w:rsidRPr="00153AFF">
        <w:t xml:space="preserve"> add</w:t>
      </w:r>
      <w:r w:rsidR="006715E6" w:rsidRPr="00153AFF">
        <w:t>ition</w:t>
      </w:r>
      <w:r w:rsidR="001D5F21" w:rsidRPr="00153AFF">
        <w:t xml:space="preserve"> after paragraph 1</w:t>
      </w:r>
      <w:r w:rsidR="00592B39" w:rsidRPr="00153AFF">
        <w:t>6</w:t>
      </w:r>
      <w:r w:rsidR="001D5F21" w:rsidRPr="00153AFF">
        <w:t>:</w:t>
      </w:r>
    </w:p>
    <w:p w14:paraId="64679046" w14:textId="77777777" w:rsidR="001D5F21" w:rsidRPr="00153AFF" w:rsidRDefault="001D5F21" w:rsidP="001D5F21">
      <w:pPr>
        <w:pStyle w:val="NormalNonumber"/>
        <w:rPr>
          <w:b/>
          <w:bCs/>
          <w:u w:val="single"/>
        </w:rPr>
      </w:pPr>
      <w:r w:rsidRPr="00153AFF">
        <w:rPr>
          <w:b/>
          <w:bCs/>
          <w:u w:val="single"/>
        </w:rPr>
        <w:t>Measures to fulfil the ongoing obligation to identify individual stocks of mercury or mercury compounds exceeding 50 metric tons and sources of mercury supply generating stocks exceeding 10 metric tons per year</w:t>
      </w:r>
    </w:p>
    <w:p w14:paraId="7416BBF2" w14:textId="77777777" w:rsidR="001D5F21" w:rsidRPr="00153AFF" w:rsidRDefault="001D5F21" w:rsidP="001D5F21">
      <w:pPr>
        <w:pStyle w:val="paragraph"/>
        <w:numPr>
          <w:ilvl w:val="0"/>
          <w:numId w:val="18"/>
        </w:numPr>
        <w:spacing w:before="0" w:beforeAutospacing="0" w:after="120" w:afterAutospacing="0" w:line="276" w:lineRule="auto"/>
        <w:ind w:left="1247" w:firstLine="0"/>
        <w:textAlignment w:val="baseline"/>
        <w:rPr>
          <w:sz w:val="20"/>
          <w:szCs w:val="20"/>
          <w:lang w:val="en-GB"/>
        </w:rPr>
      </w:pPr>
      <w:r w:rsidRPr="00153AFF">
        <w:rPr>
          <w:rStyle w:val="normaltextrun"/>
          <w:rFonts w:eastAsiaTheme="majorEastAsia"/>
          <w:sz w:val="20"/>
          <w:szCs w:val="20"/>
          <w:u w:val="single"/>
        </w:rPr>
        <w:t>The types of actions that may be undertaken to fulfil the ongoing obligation to identify stocks and sources of mercury following the initial endeavour may include:</w:t>
      </w:r>
    </w:p>
    <w:p w14:paraId="2735300C" w14:textId="77777777" w:rsidR="001D5F21" w:rsidRPr="00153AFF" w:rsidRDefault="001D5F21" w:rsidP="001D5F21">
      <w:pPr>
        <w:pStyle w:val="Normalnumber"/>
        <w:numPr>
          <w:ilvl w:val="0"/>
          <w:numId w:val="19"/>
        </w:numPr>
        <w:tabs>
          <w:tab w:val="clear" w:pos="1247"/>
          <w:tab w:val="clear" w:pos="1814"/>
          <w:tab w:val="clear" w:pos="2381"/>
          <w:tab w:val="clear" w:pos="2948"/>
          <w:tab w:val="clear" w:pos="3515"/>
          <w:tab w:val="left" w:pos="624"/>
        </w:tabs>
        <w:ind w:left="1247" w:firstLine="624"/>
        <w:rPr>
          <w:u w:val="single"/>
        </w:rPr>
      </w:pPr>
      <w:r w:rsidRPr="00153AFF">
        <w:rPr>
          <w:u w:val="single"/>
        </w:rPr>
        <w:t xml:space="preserve">Identification and quantification of sources in national hazardous substances regulations or implementation plans under article 20 of the Convention; </w:t>
      </w:r>
    </w:p>
    <w:p w14:paraId="3E80FD06" w14:textId="30EF0B96" w:rsidR="001D5F21" w:rsidRPr="00153AFF" w:rsidRDefault="001D5F21" w:rsidP="001D5F21">
      <w:pPr>
        <w:pStyle w:val="Normalnumber"/>
        <w:numPr>
          <w:ilvl w:val="0"/>
          <w:numId w:val="19"/>
        </w:numPr>
        <w:tabs>
          <w:tab w:val="clear" w:pos="1247"/>
          <w:tab w:val="clear" w:pos="1814"/>
          <w:tab w:val="clear" w:pos="2381"/>
          <w:tab w:val="clear" w:pos="2948"/>
          <w:tab w:val="clear" w:pos="3515"/>
          <w:tab w:val="left" w:pos="624"/>
        </w:tabs>
        <w:ind w:left="1247" w:firstLine="624"/>
        <w:rPr>
          <w:u w:val="single"/>
        </w:rPr>
      </w:pPr>
      <w:r w:rsidRPr="00153AFF">
        <w:rPr>
          <w:u w:val="single"/>
        </w:rPr>
        <w:t xml:space="preserve">Updating or sustaining inventories conducted under the Minamata </w:t>
      </w:r>
      <w:r w:rsidR="00F75389" w:rsidRPr="00153AFF">
        <w:rPr>
          <w:u w:val="single"/>
        </w:rPr>
        <w:t>I</w:t>
      </w:r>
      <w:r w:rsidRPr="00153AFF">
        <w:rPr>
          <w:u w:val="single"/>
        </w:rPr>
        <w:t xml:space="preserve">nitial </w:t>
      </w:r>
      <w:r w:rsidR="00F75389" w:rsidRPr="00153AFF">
        <w:rPr>
          <w:u w:val="single"/>
        </w:rPr>
        <w:t>A</w:t>
      </w:r>
      <w:r w:rsidRPr="00153AFF">
        <w:rPr>
          <w:u w:val="single"/>
        </w:rPr>
        <w:t>ssessments;</w:t>
      </w:r>
    </w:p>
    <w:p w14:paraId="75779FA6" w14:textId="5D9C51E8" w:rsidR="001D5F21" w:rsidRPr="00153AFF" w:rsidRDefault="001D5F21" w:rsidP="001D5F21">
      <w:pPr>
        <w:pStyle w:val="Normalnumber"/>
        <w:numPr>
          <w:ilvl w:val="0"/>
          <w:numId w:val="19"/>
        </w:numPr>
        <w:tabs>
          <w:tab w:val="clear" w:pos="1247"/>
          <w:tab w:val="clear" w:pos="1814"/>
          <w:tab w:val="clear" w:pos="2381"/>
          <w:tab w:val="clear" w:pos="2948"/>
          <w:tab w:val="clear" w:pos="3515"/>
          <w:tab w:val="left" w:pos="624"/>
        </w:tabs>
        <w:ind w:left="1247" w:firstLine="624"/>
      </w:pPr>
      <w:r w:rsidRPr="00153AFF">
        <w:rPr>
          <w:u w:val="single"/>
        </w:rPr>
        <w:t>Conducting specific surveys for mercury inventories;</w:t>
      </w:r>
      <w:r w:rsidRPr="00153AFF">
        <w:t xml:space="preserve"> </w:t>
      </w:r>
    </w:p>
    <w:p w14:paraId="0934A6A8" w14:textId="77777777" w:rsidR="001D5F21" w:rsidRPr="00153AFF" w:rsidRDefault="001D5F21" w:rsidP="001D5F21">
      <w:pPr>
        <w:pStyle w:val="Normalnumber"/>
        <w:numPr>
          <w:ilvl w:val="0"/>
          <w:numId w:val="19"/>
        </w:numPr>
        <w:tabs>
          <w:tab w:val="clear" w:pos="1247"/>
          <w:tab w:val="clear" w:pos="1814"/>
          <w:tab w:val="clear" w:pos="2381"/>
          <w:tab w:val="clear" w:pos="2948"/>
          <w:tab w:val="clear" w:pos="3515"/>
          <w:tab w:val="left" w:pos="624"/>
        </w:tabs>
        <w:spacing w:line="276" w:lineRule="auto"/>
        <w:ind w:left="1247" w:firstLine="624"/>
      </w:pPr>
      <w:r w:rsidRPr="00153AFF">
        <w:rPr>
          <w:u w:val="single"/>
        </w:rPr>
        <w:t>Conducting additional verification of information related to inventories of mercury stocks and sources.</w:t>
      </w:r>
      <w:r w:rsidRPr="00153AFF">
        <w:t xml:space="preserve"> </w:t>
      </w:r>
    </w:p>
    <w:p w14:paraId="43EA3E8B" w14:textId="4CB9711D" w:rsidR="001D5F21" w:rsidRPr="00153AFF" w:rsidRDefault="001D5F21" w:rsidP="2E1ED5E4">
      <w:pPr>
        <w:pStyle w:val="paragraph"/>
        <w:numPr>
          <w:ilvl w:val="0"/>
          <w:numId w:val="18"/>
        </w:numPr>
        <w:spacing w:before="0" w:beforeAutospacing="0" w:after="120" w:afterAutospacing="0" w:line="276" w:lineRule="auto"/>
        <w:ind w:left="1247" w:firstLine="0"/>
        <w:textAlignment w:val="baseline"/>
        <w:rPr>
          <w:rStyle w:val="normaltextrun"/>
          <w:rFonts w:eastAsiaTheme="majorEastAsia"/>
          <w:sz w:val="20"/>
          <w:szCs w:val="20"/>
          <w:u w:val="single"/>
        </w:rPr>
      </w:pPr>
      <w:r w:rsidRPr="00153AFF">
        <w:rPr>
          <w:rStyle w:val="normaltextrun"/>
          <w:rFonts w:eastAsiaTheme="majorEastAsia"/>
          <w:sz w:val="20"/>
          <w:szCs w:val="20"/>
          <w:u w:val="single"/>
        </w:rPr>
        <w:t xml:space="preserve">National hazardous substances regulations may contain provisions </w:t>
      </w:r>
      <w:r w:rsidR="009A12F1" w:rsidRPr="00153AFF">
        <w:rPr>
          <w:rStyle w:val="normaltextrun"/>
          <w:rFonts w:eastAsiaTheme="majorEastAsia"/>
          <w:sz w:val="20"/>
          <w:szCs w:val="20"/>
          <w:u w:val="single"/>
        </w:rPr>
        <w:t>that</w:t>
      </w:r>
      <w:r w:rsidRPr="00153AFF">
        <w:rPr>
          <w:rStyle w:val="normaltextrun"/>
          <w:rFonts w:eastAsiaTheme="majorEastAsia"/>
          <w:sz w:val="20"/>
          <w:szCs w:val="20"/>
          <w:u w:val="single"/>
        </w:rPr>
        <w:t xml:space="preserve"> require or relate to an ongoing task to identify stocks and sources. </w:t>
      </w:r>
      <w:r w:rsidR="007E0C8C" w:rsidRPr="00153AFF">
        <w:rPr>
          <w:rStyle w:val="normaltextrun"/>
          <w:rFonts w:eastAsiaTheme="majorEastAsia"/>
          <w:sz w:val="20"/>
          <w:szCs w:val="20"/>
          <w:u w:val="single"/>
        </w:rPr>
        <w:t>Following are examples</w:t>
      </w:r>
      <w:r w:rsidR="009A12F1" w:rsidRPr="00153AFF">
        <w:rPr>
          <w:rStyle w:val="normaltextrun"/>
          <w:rFonts w:eastAsiaTheme="majorEastAsia"/>
          <w:sz w:val="20"/>
          <w:szCs w:val="20"/>
          <w:u w:val="single"/>
        </w:rPr>
        <w:t>:</w:t>
      </w:r>
      <w:r w:rsidRPr="00153AFF">
        <w:rPr>
          <w:rStyle w:val="normaltextrun"/>
          <w:rFonts w:eastAsiaTheme="majorEastAsia"/>
          <w:sz w:val="20"/>
          <w:szCs w:val="20"/>
          <w:u w:val="single"/>
        </w:rPr>
        <w:t xml:space="preserve"> </w:t>
      </w:r>
    </w:p>
    <w:p w14:paraId="0C6E273A" w14:textId="53C7F4A7" w:rsidR="001D5F21" w:rsidRPr="00153AFF" w:rsidRDefault="001D5F21" w:rsidP="001D5F21">
      <w:pPr>
        <w:pStyle w:val="paragraph"/>
        <w:numPr>
          <w:ilvl w:val="1"/>
          <w:numId w:val="18"/>
        </w:numPr>
        <w:tabs>
          <w:tab w:val="left" w:pos="624"/>
        </w:tabs>
        <w:spacing w:before="0" w:beforeAutospacing="0" w:after="120" w:afterAutospacing="0" w:line="276" w:lineRule="auto"/>
        <w:ind w:left="1247" w:firstLine="624"/>
        <w:textAlignment w:val="baseline"/>
        <w:rPr>
          <w:rStyle w:val="normaltextrun"/>
          <w:rFonts w:eastAsiaTheme="majorEastAsia"/>
          <w:sz w:val="20"/>
          <w:szCs w:val="20"/>
          <w:u w:val="single"/>
        </w:rPr>
      </w:pPr>
      <w:r w:rsidRPr="00153AFF">
        <w:rPr>
          <w:rStyle w:val="normaltextrun"/>
          <w:rFonts w:eastAsiaTheme="majorEastAsia"/>
          <w:sz w:val="20"/>
          <w:szCs w:val="20"/>
          <w:u w:val="single"/>
        </w:rPr>
        <w:t xml:space="preserve">Environmental licensing and permits under national hazardous substances regulations, or controls enforced by state and territorial governments, may include provisions that directly inform mercury inventory and the identification of mercury stock and sources. </w:t>
      </w:r>
      <w:r w:rsidR="00F71ABC" w:rsidRPr="00153AFF">
        <w:rPr>
          <w:rStyle w:val="normaltextrun"/>
          <w:rFonts w:eastAsiaTheme="majorEastAsia"/>
          <w:sz w:val="20"/>
          <w:szCs w:val="20"/>
          <w:u w:val="single"/>
        </w:rPr>
        <w:t xml:space="preserve">Such </w:t>
      </w:r>
      <w:r w:rsidRPr="00153AFF">
        <w:rPr>
          <w:rStyle w:val="normaltextrun"/>
          <w:rFonts w:eastAsiaTheme="majorEastAsia"/>
          <w:sz w:val="20"/>
          <w:szCs w:val="20"/>
          <w:u w:val="single"/>
        </w:rPr>
        <w:t xml:space="preserve">provisions, such as reporting obligations and monitoring requirements, can help build a comprehensive inventory and assist in identifying mercury stock and supply sources. For example, </w:t>
      </w:r>
      <w:r w:rsidR="0090505D" w:rsidRPr="00153AFF">
        <w:rPr>
          <w:rStyle w:val="normaltextrun"/>
          <w:rFonts w:eastAsiaTheme="majorEastAsia"/>
          <w:sz w:val="20"/>
          <w:szCs w:val="20"/>
          <w:u w:val="single"/>
        </w:rPr>
        <w:t xml:space="preserve">under a party’s legislation, </w:t>
      </w:r>
      <w:r w:rsidRPr="00153AFF">
        <w:rPr>
          <w:rStyle w:val="normaltextrun"/>
          <w:rFonts w:eastAsiaTheme="majorEastAsia"/>
          <w:sz w:val="20"/>
          <w:szCs w:val="20"/>
          <w:u w:val="single"/>
        </w:rPr>
        <w:t xml:space="preserve">manufacturers storing mercury may be required to report on their mercury management. Where national reporting rules or permit systems are inadequate or lacking, </w:t>
      </w:r>
      <w:r w:rsidR="006B5E0F" w:rsidRPr="00153AFF">
        <w:rPr>
          <w:rStyle w:val="normaltextrun"/>
          <w:rFonts w:eastAsiaTheme="majorEastAsia"/>
          <w:sz w:val="20"/>
          <w:szCs w:val="20"/>
          <w:u w:val="single"/>
        </w:rPr>
        <w:t>p</w:t>
      </w:r>
      <w:r w:rsidRPr="00153AFF">
        <w:rPr>
          <w:rStyle w:val="normaltextrun"/>
          <w:rFonts w:eastAsiaTheme="majorEastAsia"/>
          <w:sz w:val="20"/>
          <w:szCs w:val="20"/>
          <w:u w:val="single"/>
        </w:rPr>
        <w:t>arties may consider incorporating interim mercury data into existing environmental licensing systems. These reports can reveal stock trends and serve as valuable data sources for identifying and tracking mercury stocks and sources</w:t>
      </w:r>
      <w:r w:rsidR="00AF2735" w:rsidRPr="00153AFF">
        <w:rPr>
          <w:rStyle w:val="normaltextrun"/>
          <w:rFonts w:eastAsiaTheme="majorEastAsia"/>
          <w:sz w:val="20"/>
          <w:szCs w:val="20"/>
          <w:u w:val="single"/>
        </w:rPr>
        <w:t>;</w:t>
      </w:r>
    </w:p>
    <w:p w14:paraId="4D06BF88" w14:textId="49652B3C" w:rsidR="001D5F21" w:rsidRPr="00153AFF" w:rsidRDefault="001D5F21" w:rsidP="001D5F21">
      <w:pPr>
        <w:pStyle w:val="paragraph"/>
        <w:numPr>
          <w:ilvl w:val="1"/>
          <w:numId w:val="18"/>
        </w:numPr>
        <w:tabs>
          <w:tab w:val="left" w:pos="624"/>
        </w:tabs>
        <w:spacing w:before="0" w:beforeAutospacing="0" w:after="120" w:afterAutospacing="0" w:line="276" w:lineRule="auto"/>
        <w:ind w:left="1247" w:firstLine="624"/>
        <w:textAlignment w:val="baseline"/>
        <w:rPr>
          <w:sz w:val="20"/>
          <w:szCs w:val="20"/>
          <w:u w:val="single"/>
          <w:lang w:val="en-GB"/>
        </w:rPr>
      </w:pPr>
      <w:r w:rsidRPr="00153AFF">
        <w:rPr>
          <w:sz w:val="20"/>
          <w:szCs w:val="20"/>
          <w:u w:val="single"/>
          <w:lang w:val="en-GB"/>
        </w:rPr>
        <w:t>A mercury inventory reporting rule may establish reporting requirements to support initial, interim, or sustained periodic inventory. This may generally include reporting information on mercury or mercury compounds manufactured, imported, stored, used, sold or exported, as well as on manufacturing processes or products in which mercury or mercury compounds are used or intentionally added</w:t>
      </w:r>
      <w:r w:rsidR="00C11879" w:rsidRPr="00153AFF">
        <w:rPr>
          <w:sz w:val="20"/>
          <w:szCs w:val="20"/>
          <w:u w:val="single"/>
          <w:lang w:val="en-GB"/>
        </w:rPr>
        <w:t>;</w:t>
      </w:r>
    </w:p>
    <w:p w14:paraId="16EE9DF3" w14:textId="6AD194A6" w:rsidR="001D5F21" w:rsidRPr="00153AFF" w:rsidRDefault="001D5F21" w:rsidP="00153AFF">
      <w:pPr>
        <w:pStyle w:val="paragraph"/>
        <w:keepNext/>
        <w:keepLines/>
        <w:numPr>
          <w:ilvl w:val="1"/>
          <w:numId w:val="18"/>
        </w:numPr>
        <w:tabs>
          <w:tab w:val="left" w:pos="624"/>
        </w:tabs>
        <w:spacing w:before="0" w:beforeAutospacing="0" w:after="120" w:afterAutospacing="0" w:line="276" w:lineRule="auto"/>
        <w:ind w:left="1247" w:firstLine="624"/>
        <w:textAlignment w:val="baseline"/>
        <w:rPr>
          <w:sz w:val="20"/>
          <w:szCs w:val="20"/>
          <w:u w:val="single"/>
          <w:lang w:val="en-GB"/>
        </w:rPr>
      </w:pPr>
      <w:r w:rsidRPr="00153AFF">
        <w:rPr>
          <w:sz w:val="20"/>
          <w:szCs w:val="20"/>
          <w:u w:val="single"/>
          <w:lang w:val="en-GB"/>
        </w:rPr>
        <w:lastRenderedPageBreak/>
        <w:t xml:space="preserve">Information </w:t>
      </w:r>
      <w:r w:rsidR="00C952AC" w:rsidRPr="00153AFF">
        <w:rPr>
          <w:sz w:val="20"/>
          <w:szCs w:val="20"/>
          <w:u w:val="single"/>
          <w:lang w:val="en-GB"/>
        </w:rPr>
        <w:t xml:space="preserve">gathered </w:t>
      </w:r>
      <w:r w:rsidRPr="00153AFF">
        <w:rPr>
          <w:sz w:val="20"/>
          <w:szCs w:val="20"/>
          <w:u w:val="single"/>
          <w:lang w:val="en-GB"/>
        </w:rPr>
        <w:t>through consultations</w:t>
      </w:r>
      <w:r w:rsidR="00C952AC" w:rsidRPr="00153AFF">
        <w:rPr>
          <w:sz w:val="20"/>
          <w:szCs w:val="20"/>
          <w:u w:val="single"/>
          <w:lang w:val="en-GB"/>
        </w:rPr>
        <w:t xml:space="preserve"> during</w:t>
      </w:r>
      <w:r w:rsidRPr="00153AFF">
        <w:rPr>
          <w:sz w:val="20"/>
          <w:szCs w:val="20"/>
          <w:u w:val="single"/>
          <w:lang w:val="en-GB"/>
        </w:rPr>
        <w:t xml:space="preserve"> the development or implementation of regulations under the Convention</w:t>
      </w:r>
      <w:r w:rsidR="00F0439C" w:rsidRPr="00153AFF">
        <w:rPr>
          <w:sz w:val="20"/>
          <w:szCs w:val="20"/>
          <w:u w:val="single"/>
          <w:lang w:val="en-GB"/>
        </w:rPr>
        <w:t xml:space="preserve"> </w:t>
      </w:r>
      <w:r w:rsidRPr="00153AFF">
        <w:rPr>
          <w:sz w:val="20"/>
          <w:szCs w:val="20"/>
          <w:u w:val="single"/>
          <w:lang w:val="en-GB"/>
        </w:rPr>
        <w:t xml:space="preserve">may yield information on mercury stocks and sources. </w:t>
      </w:r>
      <w:r w:rsidR="00C11879" w:rsidRPr="00153AFF">
        <w:rPr>
          <w:sz w:val="20"/>
          <w:szCs w:val="20"/>
          <w:u w:val="single"/>
          <w:lang w:val="en-GB"/>
        </w:rPr>
        <w:t xml:space="preserve">Such </w:t>
      </w:r>
      <w:r w:rsidRPr="00153AFF">
        <w:rPr>
          <w:sz w:val="20"/>
          <w:szCs w:val="20"/>
          <w:u w:val="single"/>
          <w:lang w:val="en-GB"/>
        </w:rPr>
        <w:t>consultations could take various forms, such as key stakeholder engagement or public consultation questionnaires</w:t>
      </w:r>
      <w:r w:rsidR="00C11879" w:rsidRPr="00153AFF">
        <w:rPr>
          <w:sz w:val="20"/>
          <w:szCs w:val="20"/>
          <w:u w:val="single"/>
          <w:lang w:val="en-GB"/>
        </w:rPr>
        <w:t>;</w:t>
      </w:r>
    </w:p>
    <w:p w14:paraId="5B2E2913" w14:textId="639C926E" w:rsidR="001D5F21" w:rsidRPr="00153AFF" w:rsidRDefault="009A12F1" w:rsidP="001D5F21">
      <w:pPr>
        <w:pStyle w:val="paragraph"/>
        <w:numPr>
          <w:ilvl w:val="1"/>
          <w:numId w:val="18"/>
        </w:numPr>
        <w:tabs>
          <w:tab w:val="left" w:pos="624"/>
        </w:tabs>
        <w:spacing w:before="0" w:beforeAutospacing="0" w:after="120" w:afterAutospacing="0" w:line="276" w:lineRule="auto"/>
        <w:ind w:left="1247" w:firstLine="624"/>
        <w:textAlignment w:val="baseline"/>
        <w:rPr>
          <w:sz w:val="20"/>
          <w:szCs w:val="20"/>
          <w:u w:val="single"/>
          <w:lang w:val="en-GB"/>
        </w:rPr>
      </w:pPr>
      <w:r w:rsidRPr="00153AFF">
        <w:rPr>
          <w:sz w:val="20"/>
          <w:szCs w:val="20"/>
          <w:u w:val="single"/>
          <w:lang w:val="en-GB"/>
        </w:rPr>
        <w:t>I</w:t>
      </w:r>
      <w:r w:rsidR="004E67CE" w:rsidRPr="00153AFF">
        <w:rPr>
          <w:sz w:val="20"/>
          <w:szCs w:val="20"/>
          <w:u w:val="single"/>
          <w:lang w:val="en-GB"/>
        </w:rPr>
        <w:t xml:space="preserve">n </w:t>
      </w:r>
      <w:r w:rsidR="001D5F21" w:rsidRPr="00153AFF">
        <w:rPr>
          <w:sz w:val="20"/>
          <w:szCs w:val="20"/>
          <w:u w:val="single"/>
          <w:lang w:val="en-GB"/>
        </w:rPr>
        <w:t xml:space="preserve">the framework of an implementation plan pursuant to article 20 of the Convention, a mercury inventory </w:t>
      </w:r>
      <w:r w:rsidR="004E67CE" w:rsidRPr="00153AFF">
        <w:rPr>
          <w:sz w:val="20"/>
          <w:szCs w:val="20"/>
          <w:u w:val="single"/>
          <w:lang w:val="en-GB"/>
        </w:rPr>
        <w:t xml:space="preserve">may </w:t>
      </w:r>
      <w:r w:rsidR="001D5F21" w:rsidRPr="00153AFF">
        <w:rPr>
          <w:sz w:val="20"/>
          <w:szCs w:val="20"/>
          <w:u w:val="single"/>
          <w:lang w:val="en-GB"/>
        </w:rPr>
        <w:t>be included</w:t>
      </w:r>
      <w:r w:rsidR="004E67CE" w:rsidRPr="00153AFF">
        <w:rPr>
          <w:sz w:val="20"/>
          <w:szCs w:val="20"/>
          <w:u w:val="single"/>
          <w:lang w:val="en-GB"/>
        </w:rPr>
        <w:t xml:space="preserve">, </w:t>
      </w:r>
      <w:r w:rsidR="001D5F21" w:rsidRPr="00153AFF">
        <w:rPr>
          <w:sz w:val="20"/>
          <w:szCs w:val="20"/>
          <w:u w:val="single"/>
          <w:lang w:val="en-GB"/>
        </w:rPr>
        <w:t>incorporat</w:t>
      </w:r>
      <w:r w:rsidR="004E67CE" w:rsidRPr="00153AFF">
        <w:rPr>
          <w:sz w:val="20"/>
          <w:szCs w:val="20"/>
          <w:u w:val="single"/>
          <w:lang w:val="en-GB"/>
        </w:rPr>
        <w:t>ing, for example,</w:t>
      </w:r>
      <w:r w:rsidR="001D5F21" w:rsidRPr="00153AFF">
        <w:rPr>
          <w:sz w:val="20"/>
          <w:szCs w:val="20"/>
          <w:u w:val="single"/>
          <w:lang w:val="en-GB"/>
        </w:rPr>
        <w:t xml:space="preserve"> mercury trade flow analyses, reviews of point-of-sale registers and information exchange mechanisms. </w:t>
      </w:r>
      <w:r w:rsidR="004E67CE" w:rsidRPr="00153AFF">
        <w:rPr>
          <w:sz w:val="20"/>
          <w:szCs w:val="20"/>
          <w:u w:val="single"/>
          <w:lang w:val="en-GB"/>
        </w:rPr>
        <w:t>T</w:t>
      </w:r>
      <w:r w:rsidR="001D5F21" w:rsidRPr="00153AFF">
        <w:rPr>
          <w:sz w:val="20"/>
          <w:szCs w:val="20"/>
          <w:u w:val="single"/>
          <w:lang w:val="en-GB"/>
        </w:rPr>
        <w:t xml:space="preserve">hey may </w:t>
      </w:r>
      <w:r w:rsidR="004E67CE" w:rsidRPr="00153AFF">
        <w:rPr>
          <w:sz w:val="20"/>
          <w:szCs w:val="20"/>
          <w:u w:val="single"/>
          <w:lang w:val="en-GB"/>
        </w:rPr>
        <w:t xml:space="preserve">also </w:t>
      </w:r>
      <w:r w:rsidR="001D5F21" w:rsidRPr="00153AFF">
        <w:rPr>
          <w:sz w:val="20"/>
          <w:szCs w:val="20"/>
          <w:u w:val="single"/>
          <w:lang w:val="en-GB"/>
        </w:rPr>
        <w:t>involve public sector data sharing, reporting requirements and measures related to research, development and monitoring.</w:t>
      </w:r>
    </w:p>
    <w:p w14:paraId="14EAA7C7" w14:textId="014B6754" w:rsidR="001D5F21" w:rsidRPr="00153AFF" w:rsidRDefault="001D5F21" w:rsidP="2E1ED5E4">
      <w:pPr>
        <w:pStyle w:val="paragraph"/>
        <w:numPr>
          <w:ilvl w:val="0"/>
          <w:numId w:val="18"/>
        </w:numPr>
        <w:tabs>
          <w:tab w:val="left" w:pos="624"/>
        </w:tabs>
        <w:spacing w:before="0" w:beforeAutospacing="0" w:after="120" w:afterAutospacing="0"/>
        <w:ind w:left="1247" w:firstLine="0"/>
        <w:textAlignment w:val="baseline"/>
        <w:rPr>
          <w:rStyle w:val="normaltextrun"/>
          <w:rFonts w:eastAsiaTheme="majorEastAsia"/>
          <w:sz w:val="20"/>
          <w:szCs w:val="20"/>
          <w:u w:val="single"/>
          <w:lang w:eastAsia="en-US"/>
        </w:rPr>
      </w:pPr>
      <w:r w:rsidRPr="00153AFF">
        <w:rPr>
          <w:rStyle w:val="normaltextrun"/>
          <w:rFonts w:eastAsiaTheme="majorEastAsia"/>
          <w:sz w:val="20"/>
          <w:szCs w:val="20"/>
          <w:u w:val="single"/>
        </w:rPr>
        <w:t xml:space="preserve">Minamata </w:t>
      </w:r>
      <w:r w:rsidR="0023443A" w:rsidRPr="00153AFF">
        <w:rPr>
          <w:rStyle w:val="normaltextrun"/>
          <w:rFonts w:eastAsiaTheme="majorEastAsia"/>
          <w:sz w:val="20"/>
          <w:szCs w:val="20"/>
          <w:u w:val="single"/>
        </w:rPr>
        <w:t>I</w:t>
      </w:r>
      <w:r w:rsidRPr="00153AFF">
        <w:rPr>
          <w:rStyle w:val="normaltextrun"/>
          <w:rFonts w:eastAsiaTheme="majorEastAsia"/>
          <w:sz w:val="20"/>
          <w:szCs w:val="20"/>
          <w:u w:val="single"/>
        </w:rPr>
        <w:t xml:space="preserve">nitial </w:t>
      </w:r>
      <w:r w:rsidR="0023443A" w:rsidRPr="00153AFF">
        <w:rPr>
          <w:rStyle w:val="normaltextrun"/>
          <w:rFonts w:eastAsiaTheme="majorEastAsia"/>
          <w:sz w:val="20"/>
          <w:szCs w:val="20"/>
          <w:u w:val="single"/>
        </w:rPr>
        <w:t>A</w:t>
      </w:r>
      <w:r w:rsidRPr="00153AFF">
        <w:rPr>
          <w:rStyle w:val="normaltextrun"/>
          <w:rFonts w:eastAsiaTheme="majorEastAsia"/>
          <w:sz w:val="20"/>
          <w:szCs w:val="20"/>
          <w:u w:val="single"/>
        </w:rPr>
        <w:t>ssessments helped establish mercury inventories and baseline</w:t>
      </w:r>
      <w:r w:rsidR="00C11879" w:rsidRPr="00153AFF">
        <w:rPr>
          <w:rStyle w:val="normaltextrun"/>
          <w:rFonts w:eastAsiaTheme="majorEastAsia"/>
          <w:sz w:val="20"/>
          <w:szCs w:val="20"/>
          <w:u w:val="single"/>
        </w:rPr>
        <w:t>s</w:t>
      </w:r>
      <w:r w:rsidRPr="00153AFF">
        <w:rPr>
          <w:rStyle w:val="normaltextrun"/>
          <w:rFonts w:eastAsiaTheme="majorEastAsia"/>
          <w:sz w:val="20"/>
          <w:szCs w:val="20"/>
          <w:u w:val="single"/>
        </w:rPr>
        <w:t xml:space="preserve"> for </w:t>
      </w:r>
      <w:r w:rsidR="0023443A" w:rsidRPr="00153AFF">
        <w:rPr>
          <w:rStyle w:val="normaltextrun"/>
          <w:rFonts w:eastAsiaTheme="majorEastAsia"/>
          <w:sz w:val="20"/>
          <w:szCs w:val="20"/>
          <w:u w:val="single"/>
        </w:rPr>
        <w:t>p</w:t>
      </w:r>
      <w:r w:rsidRPr="00153AFF">
        <w:rPr>
          <w:rStyle w:val="normaltextrun"/>
          <w:rFonts w:eastAsiaTheme="majorEastAsia"/>
          <w:sz w:val="20"/>
          <w:szCs w:val="20"/>
          <w:u w:val="single"/>
        </w:rPr>
        <w:t xml:space="preserve">arties. Some </w:t>
      </w:r>
      <w:r w:rsidR="0023443A" w:rsidRPr="00153AFF">
        <w:rPr>
          <w:rStyle w:val="normaltextrun"/>
          <w:rFonts w:eastAsiaTheme="majorEastAsia"/>
          <w:sz w:val="20"/>
          <w:szCs w:val="20"/>
          <w:u w:val="single"/>
        </w:rPr>
        <w:t>p</w:t>
      </w:r>
      <w:r w:rsidRPr="00153AFF">
        <w:rPr>
          <w:rStyle w:val="normaltextrun"/>
          <w:rFonts w:eastAsiaTheme="majorEastAsia"/>
          <w:sz w:val="20"/>
          <w:szCs w:val="20"/>
          <w:u w:val="single"/>
        </w:rPr>
        <w:t xml:space="preserve">arties have updated the inventories and submitted the results in their national reports. New data for the inventory may come from submitted reports from facilities, entities, territorial authorities or stakeholder consultations. </w:t>
      </w:r>
    </w:p>
    <w:p w14:paraId="09334A06" w14:textId="5AF9E87E" w:rsidR="001D5F21" w:rsidRPr="00153AFF" w:rsidRDefault="001D5F21" w:rsidP="001D5F21">
      <w:pPr>
        <w:pStyle w:val="paragraph"/>
        <w:numPr>
          <w:ilvl w:val="0"/>
          <w:numId w:val="18"/>
        </w:numPr>
        <w:tabs>
          <w:tab w:val="left" w:pos="624"/>
        </w:tabs>
        <w:spacing w:before="0" w:beforeAutospacing="0" w:after="120" w:afterAutospacing="0"/>
        <w:ind w:left="1247" w:firstLine="0"/>
        <w:textAlignment w:val="baseline"/>
        <w:rPr>
          <w:rStyle w:val="normaltextrun"/>
          <w:rFonts w:eastAsiaTheme="majorEastAsia"/>
          <w:color w:val="000000" w:themeColor="text1"/>
          <w:sz w:val="20"/>
          <w:szCs w:val="20"/>
          <w:u w:val="single"/>
          <w:lang w:eastAsia="en-US"/>
        </w:rPr>
      </w:pPr>
      <w:r w:rsidRPr="00153AFF">
        <w:rPr>
          <w:rStyle w:val="normaltextrun"/>
          <w:rFonts w:eastAsiaTheme="majorEastAsia"/>
          <w:sz w:val="20"/>
          <w:szCs w:val="20"/>
          <w:u w:val="single"/>
        </w:rPr>
        <w:t xml:space="preserve">National inventories </w:t>
      </w:r>
      <w:r w:rsidR="00D2719B" w:rsidRPr="00153AFF">
        <w:rPr>
          <w:rStyle w:val="normaltextrun"/>
          <w:rFonts w:eastAsiaTheme="majorEastAsia"/>
          <w:sz w:val="20"/>
          <w:szCs w:val="20"/>
          <w:u w:val="single"/>
        </w:rPr>
        <w:t>and</w:t>
      </w:r>
      <w:r w:rsidRPr="00153AFF">
        <w:rPr>
          <w:rStyle w:val="normaltextrun"/>
          <w:rFonts w:eastAsiaTheme="majorEastAsia"/>
          <w:sz w:val="20"/>
          <w:szCs w:val="20"/>
          <w:u w:val="single"/>
        </w:rPr>
        <w:t xml:space="preserve"> surveys that are periodically updated may provide quantitative assessment of mercury use, </w:t>
      </w:r>
      <w:r w:rsidR="000A1B76" w:rsidRPr="00153AFF">
        <w:rPr>
          <w:rStyle w:val="normaltextrun"/>
          <w:rFonts w:eastAsiaTheme="majorEastAsia"/>
          <w:sz w:val="20"/>
          <w:szCs w:val="20"/>
          <w:u w:val="single"/>
        </w:rPr>
        <w:t xml:space="preserve">and </w:t>
      </w:r>
      <w:r w:rsidRPr="00153AFF">
        <w:rPr>
          <w:rStyle w:val="normaltextrun"/>
          <w:rFonts w:eastAsiaTheme="majorEastAsia"/>
          <w:sz w:val="20"/>
          <w:szCs w:val="20"/>
          <w:u w:val="single"/>
        </w:rPr>
        <w:t>quantities of stocks, supply and flows to inform ongoing efforts in the identification of individual stocks and sources. Actions may include statistical survey</w:t>
      </w:r>
      <w:r w:rsidR="00FE6EC6" w:rsidRPr="00153AFF">
        <w:rPr>
          <w:rStyle w:val="normaltextrun"/>
          <w:rFonts w:eastAsiaTheme="majorEastAsia"/>
          <w:sz w:val="20"/>
          <w:szCs w:val="20"/>
          <w:u w:val="single"/>
        </w:rPr>
        <w:t>s</w:t>
      </w:r>
      <w:r w:rsidRPr="00153AFF">
        <w:rPr>
          <w:rStyle w:val="normaltextrun"/>
          <w:rFonts w:eastAsiaTheme="majorEastAsia"/>
          <w:sz w:val="20"/>
          <w:szCs w:val="20"/>
          <w:u w:val="single"/>
        </w:rPr>
        <w:t>, sector- or industry-specific survey</w:t>
      </w:r>
      <w:r w:rsidR="00FE6EC6" w:rsidRPr="00153AFF">
        <w:rPr>
          <w:rStyle w:val="normaltextrun"/>
          <w:rFonts w:eastAsiaTheme="majorEastAsia"/>
          <w:sz w:val="20"/>
          <w:szCs w:val="20"/>
          <w:u w:val="single"/>
        </w:rPr>
        <w:t>s</w:t>
      </w:r>
      <w:r w:rsidRPr="00153AFF">
        <w:rPr>
          <w:rStyle w:val="normaltextrun"/>
          <w:rFonts w:eastAsiaTheme="majorEastAsia"/>
          <w:sz w:val="20"/>
          <w:szCs w:val="20"/>
          <w:u w:val="single"/>
        </w:rPr>
        <w:t>, emissions and releases survey</w:t>
      </w:r>
      <w:r w:rsidR="00FE6EC6" w:rsidRPr="00153AFF">
        <w:rPr>
          <w:rStyle w:val="normaltextrun"/>
          <w:rFonts w:eastAsiaTheme="majorEastAsia"/>
          <w:sz w:val="20"/>
          <w:szCs w:val="20"/>
          <w:u w:val="single"/>
        </w:rPr>
        <w:t>s</w:t>
      </w:r>
      <w:r w:rsidRPr="00153AFF">
        <w:rPr>
          <w:rStyle w:val="normaltextrun"/>
          <w:rFonts w:eastAsiaTheme="majorEastAsia"/>
          <w:sz w:val="20"/>
          <w:szCs w:val="20"/>
          <w:u w:val="single"/>
        </w:rPr>
        <w:t xml:space="preserve"> (identification and quantification of mercury emissions and releases), digital tracking systems, trade and supply chain analysis, and mapping of locations of </w:t>
      </w:r>
      <w:r w:rsidRPr="00153AFF">
        <w:rPr>
          <w:rStyle w:val="normaltextrun"/>
          <w:rFonts w:eastAsiaTheme="majorEastAsia"/>
          <w:color w:val="000000" w:themeColor="text1"/>
          <w:sz w:val="20"/>
          <w:szCs w:val="20"/>
          <w:u w:val="single"/>
        </w:rPr>
        <w:t xml:space="preserve">institutions or facilities with stocks and/or sources (e.g. </w:t>
      </w:r>
      <w:r w:rsidR="004227D8" w:rsidRPr="00153AFF">
        <w:rPr>
          <w:rStyle w:val="normaltextrun"/>
          <w:rFonts w:eastAsiaTheme="majorEastAsia"/>
          <w:color w:val="000000" w:themeColor="text1"/>
          <w:sz w:val="20"/>
          <w:szCs w:val="20"/>
          <w:u w:val="single"/>
        </w:rPr>
        <w:t>geographic information system</w:t>
      </w:r>
      <w:r w:rsidRPr="00153AFF">
        <w:rPr>
          <w:rStyle w:val="normaltextrun"/>
          <w:rFonts w:eastAsiaTheme="majorEastAsia"/>
          <w:color w:val="000000" w:themeColor="text1"/>
          <w:sz w:val="20"/>
          <w:szCs w:val="20"/>
          <w:u w:val="single"/>
        </w:rPr>
        <w:t xml:space="preserve"> datasets, database reports, and other geographical resources). Inter-agency reports and digital platforms may facilitate information exchange and collaboration. In low-resource situations, simplified data collection methods may be used and supported as initial steps, with an eye towards gradual digital integration.  </w:t>
      </w:r>
    </w:p>
    <w:p w14:paraId="0FAB7BA9" w14:textId="338A5D16" w:rsidR="001D5F21" w:rsidRPr="00153AFF" w:rsidRDefault="001D5F21" w:rsidP="001D5F21">
      <w:pPr>
        <w:pStyle w:val="paragraph"/>
        <w:numPr>
          <w:ilvl w:val="0"/>
          <w:numId w:val="18"/>
        </w:numPr>
        <w:tabs>
          <w:tab w:val="left" w:pos="624"/>
        </w:tabs>
        <w:spacing w:before="0" w:beforeAutospacing="0" w:after="120" w:afterAutospacing="0"/>
        <w:ind w:left="1247" w:firstLine="0"/>
        <w:textAlignment w:val="baseline"/>
        <w:rPr>
          <w:rStyle w:val="normaltextrun"/>
          <w:rFonts w:eastAsiaTheme="majorEastAsia"/>
          <w:color w:val="000000" w:themeColor="text1"/>
          <w:sz w:val="20"/>
          <w:szCs w:val="20"/>
          <w:u w:val="single"/>
          <w:lang w:eastAsia="en-US"/>
        </w:rPr>
      </w:pPr>
      <w:r w:rsidRPr="00153AFF">
        <w:rPr>
          <w:rStyle w:val="normaltextrun"/>
          <w:rFonts w:eastAsiaTheme="majorEastAsia"/>
          <w:color w:val="000000" w:themeColor="text1"/>
          <w:sz w:val="20"/>
          <w:szCs w:val="20"/>
          <w:u w:val="single"/>
        </w:rPr>
        <w:t xml:space="preserve">Additional </w:t>
      </w:r>
      <w:r w:rsidRPr="00153AFF">
        <w:rPr>
          <w:rStyle w:val="normaltextrun"/>
          <w:rFonts w:eastAsiaTheme="majorEastAsia"/>
          <w:sz w:val="20"/>
          <w:szCs w:val="20"/>
          <w:u w:val="single"/>
        </w:rPr>
        <w:t>verification</w:t>
      </w:r>
      <w:r w:rsidRPr="00153AFF">
        <w:rPr>
          <w:rStyle w:val="normaltextrun"/>
          <w:rFonts w:eastAsiaTheme="majorEastAsia"/>
          <w:color w:val="000000" w:themeColor="text1"/>
          <w:sz w:val="20"/>
          <w:szCs w:val="20"/>
          <w:u w:val="single"/>
        </w:rPr>
        <w:t xml:space="preserve"> of information may be conducted to contribute to ongoing efforts to identify stocks and sources of mercury, including the identification of potential informal or unregulated sources. These verification efforts may include stakeholder consultations, community-level engagement, review of mercury import and export data</w:t>
      </w:r>
      <w:r w:rsidR="00634F89" w:rsidRPr="00153AFF">
        <w:rPr>
          <w:rStyle w:val="normaltextrun"/>
          <w:rFonts w:eastAsiaTheme="majorEastAsia"/>
          <w:color w:val="000000" w:themeColor="text1"/>
          <w:sz w:val="20"/>
          <w:szCs w:val="20"/>
          <w:u w:val="single"/>
        </w:rPr>
        <w:t>,</w:t>
      </w:r>
      <w:r w:rsidRPr="00153AFF">
        <w:rPr>
          <w:rStyle w:val="normaltextrun"/>
          <w:rFonts w:eastAsiaTheme="majorEastAsia"/>
          <w:color w:val="000000" w:themeColor="text1"/>
          <w:sz w:val="20"/>
          <w:szCs w:val="20"/>
          <w:u w:val="single"/>
        </w:rPr>
        <w:t xml:space="preserve"> routine inspections, review of local authority records, downstream impact assessments (e.g. environmental sampling), verification checks for accuracy and compliance </w:t>
      </w:r>
      <w:r w:rsidR="006B04A5" w:rsidRPr="00153AFF">
        <w:rPr>
          <w:rStyle w:val="normaltextrun"/>
          <w:rFonts w:eastAsiaTheme="majorEastAsia"/>
          <w:color w:val="000000" w:themeColor="text1"/>
          <w:sz w:val="20"/>
          <w:szCs w:val="20"/>
          <w:u w:val="single"/>
        </w:rPr>
        <w:t>with</w:t>
      </w:r>
      <w:r w:rsidRPr="00153AFF">
        <w:rPr>
          <w:rStyle w:val="normaltextrun"/>
          <w:rFonts w:eastAsiaTheme="majorEastAsia"/>
          <w:color w:val="000000" w:themeColor="text1"/>
          <w:sz w:val="20"/>
          <w:szCs w:val="20"/>
          <w:u w:val="single"/>
        </w:rPr>
        <w:t xml:space="preserve"> established administrative rules or formats, cross-field validation, error handling, data tracking (e.g. creation of timestamps and audit logs), and ground-truthing. Parties with limited verification infrastructure may prioritize desk reviews and stakeholder interviews while accessing technical support and training for field validation.</w:t>
      </w:r>
    </w:p>
    <w:p w14:paraId="40B3ADB4" w14:textId="2534AD8C" w:rsidR="001D5F21" w:rsidRPr="00153AFF" w:rsidRDefault="00CF57DA" w:rsidP="001D5F21">
      <w:pPr>
        <w:pStyle w:val="paragraph"/>
        <w:numPr>
          <w:ilvl w:val="0"/>
          <w:numId w:val="18"/>
        </w:numPr>
        <w:tabs>
          <w:tab w:val="left" w:pos="624"/>
        </w:tabs>
        <w:spacing w:before="0" w:beforeAutospacing="0" w:after="120" w:afterAutospacing="0"/>
        <w:ind w:left="1247" w:firstLine="0"/>
        <w:textAlignment w:val="baseline"/>
        <w:rPr>
          <w:rStyle w:val="normaltextrun"/>
          <w:rFonts w:eastAsiaTheme="majorEastAsia"/>
          <w:color w:val="000000" w:themeColor="text1"/>
          <w:sz w:val="20"/>
          <w:szCs w:val="20"/>
          <w:u w:val="single"/>
        </w:rPr>
        <w:sectPr w:rsidR="001D5F21" w:rsidRPr="00153AFF" w:rsidSect="00153AFF">
          <w:footnotePr>
            <w:numRestart w:val="eachSect"/>
          </w:footnotePr>
          <w:type w:val="continuous"/>
          <w:pgSz w:w="11907" w:h="16839" w:code="9"/>
          <w:pgMar w:top="907" w:right="992" w:bottom="1418" w:left="1418" w:header="539" w:footer="975" w:gutter="0"/>
          <w:cols w:space="539"/>
          <w:docGrid w:linePitch="360"/>
        </w:sectPr>
      </w:pPr>
      <w:r w:rsidRPr="00153AFF">
        <w:rPr>
          <w:rStyle w:val="normaltextrun"/>
          <w:rFonts w:eastAsiaTheme="majorEastAsia"/>
          <w:color w:val="000000" w:themeColor="text1"/>
          <w:sz w:val="20"/>
          <w:szCs w:val="20"/>
          <w:u w:val="single"/>
        </w:rPr>
        <w:t>T</w:t>
      </w:r>
      <w:r w:rsidR="001D5F21" w:rsidRPr="00153AFF">
        <w:rPr>
          <w:rStyle w:val="normaltextrun"/>
          <w:rFonts w:eastAsiaTheme="majorEastAsia"/>
          <w:color w:val="000000" w:themeColor="text1"/>
          <w:sz w:val="20"/>
          <w:szCs w:val="20"/>
          <w:u w:val="single"/>
        </w:rPr>
        <w:t>he dynamic nature of mercury stocks</w:t>
      </w:r>
      <w:r w:rsidRPr="00153AFF">
        <w:rPr>
          <w:rStyle w:val="normaltextrun"/>
          <w:rFonts w:eastAsiaTheme="majorEastAsia"/>
          <w:color w:val="000000" w:themeColor="text1"/>
          <w:sz w:val="20"/>
          <w:szCs w:val="20"/>
          <w:u w:val="single"/>
        </w:rPr>
        <w:t xml:space="preserve"> makes</w:t>
      </w:r>
      <w:r w:rsidR="001D5F21" w:rsidRPr="00153AFF">
        <w:rPr>
          <w:rStyle w:val="normaltextrun"/>
          <w:rFonts w:eastAsiaTheme="majorEastAsia"/>
          <w:color w:val="000000" w:themeColor="text1"/>
          <w:sz w:val="20"/>
          <w:szCs w:val="20"/>
          <w:u w:val="single"/>
        </w:rPr>
        <w:t xml:space="preserve"> </w:t>
      </w:r>
      <w:r w:rsidR="00890851" w:rsidRPr="00153AFF">
        <w:rPr>
          <w:rStyle w:val="normaltextrun"/>
          <w:rFonts w:eastAsiaTheme="majorEastAsia"/>
          <w:color w:val="000000" w:themeColor="text1"/>
          <w:sz w:val="20"/>
          <w:szCs w:val="20"/>
          <w:u w:val="single"/>
        </w:rPr>
        <w:t xml:space="preserve">it necessary to </w:t>
      </w:r>
      <w:r w:rsidR="001D5F21" w:rsidRPr="00153AFF">
        <w:rPr>
          <w:rStyle w:val="normaltextrun"/>
          <w:rFonts w:eastAsiaTheme="majorEastAsia"/>
          <w:color w:val="000000" w:themeColor="text1"/>
          <w:sz w:val="20"/>
          <w:szCs w:val="20"/>
          <w:u w:val="single"/>
        </w:rPr>
        <w:t xml:space="preserve">establish the timing and frequency of activities related to the identification and quantification of stocks. In determining </w:t>
      </w:r>
      <w:r w:rsidR="005810B6" w:rsidRPr="00153AFF">
        <w:rPr>
          <w:rStyle w:val="normaltextrun"/>
          <w:rFonts w:eastAsiaTheme="majorEastAsia"/>
          <w:color w:val="000000" w:themeColor="text1"/>
          <w:sz w:val="20"/>
          <w:szCs w:val="20"/>
          <w:u w:val="single"/>
        </w:rPr>
        <w:t xml:space="preserve">inventory </w:t>
      </w:r>
      <w:r w:rsidR="001D5F21" w:rsidRPr="00153AFF">
        <w:rPr>
          <w:rStyle w:val="normaltextrun"/>
          <w:rFonts w:eastAsiaTheme="majorEastAsia"/>
          <w:color w:val="000000" w:themeColor="text1"/>
          <w:sz w:val="20"/>
          <w:szCs w:val="20"/>
          <w:u w:val="single"/>
        </w:rPr>
        <w:t xml:space="preserve">frequency, considerations may include frequency of data collection, </w:t>
      </w:r>
      <w:r w:rsidR="00906D3C" w:rsidRPr="00153AFF">
        <w:rPr>
          <w:rStyle w:val="normaltextrun"/>
          <w:rFonts w:eastAsiaTheme="majorEastAsia"/>
          <w:color w:val="000000" w:themeColor="text1"/>
          <w:sz w:val="20"/>
          <w:szCs w:val="20"/>
          <w:u w:val="single"/>
        </w:rPr>
        <w:t xml:space="preserve">the </w:t>
      </w:r>
      <w:r w:rsidR="001D5F21" w:rsidRPr="00153AFF">
        <w:rPr>
          <w:rStyle w:val="normaltextrun"/>
          <w:rFonts w:eastAsiaTheme="majorEastAsia"/>
          <w:color w:val="000000" w:themeColor="text1"/>
          <w:sz w:val="20"/>
          <w:szCs w:val="20"/>
          <w:u w:val="single"/>
        </w:rPr>
        <w:t>establish</w:t>
      </w:r>
      <w:r w:rsidR="00906D3C" w:rsidRPr="00153AFF">
        <w:rPr>
          <w:rStyle w:val="normaltextrun"/>
          <w:rFonts w:eastAsiaTheme="majorEastAsia"/>
          <w:color w:val="000000" w:themeColor="text1"/>
          <w:sz w:val="20"/>
          <w:szCs w:val="20"/>
          <w:u w:val="single"/>
        </w:rPr>
        <w:t>ment of</w:t>
      </w:r>
      <w:r w:rsidR="001D5F21" w:rsidRPr="00153AFF">
        <w:rPr>
          <w:rStyle w:val="normaltextrun"/>
          <w:rFonts w:eastAsiaTheme="majorEastAsia"/>
          <w:color w:val="000000" w:themeColor="text1"/>
          <w:sz w:val="20"/>
          <w:szCs w:val="20"/>
          <w:u w:val="single"/>
        </w:rPr>
        <w:t xml:space="preserve"> methods for tracking changes in stocks and supplies over time, reporting such data, and updating national inventories. The frequency and depth of identification activities may be tailored to national capacities.</w:t>
      </w:r>
    </w:p>
    <w:p w14:paraId="6899E5E1" w14:textId="77777777" w:rsidR="001D5F21" w:rsidRPr="00153AFF" w:rsidRDefault="001D5F21" w:rsidP="009E1EC2">
      <w:pPr>
        <w:pStyle w:val="ZZAnxheader"/>
      </w:pPr>
      <w:r w:rsidRPr="00153AFF">
        <w:lastRenderedPageBreak/>
        <w:t>Annex III</w:t>
      </w:r>
    </w:p>
    <w:p w14:paraId="7314DADA" w14:textId="70F29B57" w:rsidR="001D5F21" w:rsidRPr="00153AFF" w:rsidRDefault="001D5F21" w:rsidP="009E1EC2">
      <w:pPr>
        <w:pStyle w:val="ZZAnxtitle"/>
      </w:pPr>
      <w:r w:rsidRPr="00153AFF">
        <w:t>Draft updates to the appendi</w:t>
      </w:r>
      <w:r w:rsidR="004D5942" w:rsidRPr="00153AFF">
        <w:t>c</w:t>
      </w:r>
      <w:r w:rsidRPr="00153AFF">
        <w:t>es to the guidance on completing the forms required under article 3 related to trade in mercury</w:t>
      </w:r>
      <w:r w:rsidR="005257E0" w:rsidRPr="00153AFF">
        <w:rPr>
          <w:rStyle w:val="FootnoteReference"/>
          <w:sz w:val="28"/>
          <w:szCs w:val="26"/>
        </w:rPr>
        <w:footnoteReference w:id="19"/>
      </w:r>
    </w:p>
    <w:p w14:paraId="021CCF8A" w14:textId="77777777" w:rsidR="001D5F21" w:rsidRPr="00153AFF" w:rsidRDefault="001D5F21" w:rsidP="001D5F21">
      <w:pPr>
        <w:pStyle w:val="Normal-pool"/>
        <w:tabs>
          <w:tab w:val="clear" w:pos="1247"/>
          <w:tab w:val="clear" w:pos="1871"/>
          <w:tab w:val="clear" w:pos="2495"/>
          <w:tab w:val="clear" w:pos="3119"/>
          <w:tab w:val="clear" w:pos="3742"/>
          <w:tab w:val="clear" w:pos="4366"/>
        </w:tabs>
        <w:spacing w:before="360" w:after="120"/>
        <w:ind w:left="1247"/>
        <w:rPr>
          <w:b/>
          <w:bCs/>
          <w:color w:val="000000" w:themeColor="text1"/>
        </w:rPr>
      </w:pPr>
      <w:r w:rsidRPr="00153AFF">
        <w:rPr>
          <w:b/>
          <w:bCs/>
          <w:color w:val="000000" w:themeColor="text1"/>
        </w:rPr>
        <w:t>Appendix A</w:t>
      </w:r>
    </w:p>
    <w:p w14:paraId="26529BCE" w14:textId="263E3D63" w:rsidR="001D5F21" w:rsidRPr="00153AFF" w:rsidRDefault="001D5F21" w:rsidP="001D5F21">
      <w:pPr>
        <w:pStyle w:val="Normal-pool"/>
        <w:tabs>
          <w:tab w:val="clear" w:pos="1247"/>
          <w:tab w:val="clear" w:pos="1871"/>
          <w:tab w:val="clear" w:pos="2495"/>
          <w:tab w:val="clear" w:pos="3119"/>
          <w:tab w:val="clear" w:pos="3742"/>
          <w:tab w:val="clear" w:pos="4366"/>
        </w:tabs>
        <w:spacing w:before="240" w:after="120"/>
        <w:ind w:left="1247"/>
        <w:rPr>
          <w:color w:val="000000" w:themeColor="text1"/>
        </w:rPr>
      </w:pPr>
      <w:r w:rsidRPr="00153AFF">
        <w:rPr>
          <w:color w:val="000000" w:themeColor="text1"/>
        </w:rPr>
        <w:t xml:space="preserve">In the box in section C on shipment information to be provided by the exporting country, after the first paragraph, the following paragraph is </w:t>
      </w:r>
      <w:r w:rsidR="00E5375E" w:rsidRPr="00153AFF">
        <w:rPr>
          <w:color w:val="000000" w:themeColor="text1"/>
        </w:rPr>
        <w:t>proposed for addition</w:t>
      </w:r>
      <w:r w:rsidRPr="00153AFF">
        <w:rPr>
          <w:color w:val="000000" w:themeColor="text1"/>
        </w:rPr>
        <w:t>:</w:t>
      </w:r>
    </w:p>
    <w:tbl>
      <w:tblPr>
        <w:tblStyle w:val="TableGrid"/>
        <w:tblW w:w="8307" w:type="dxa"/>
        <w:jc w:val="right"/>
        <w:tblLook w:val="04A0" w:firstRow="1" w:lastRow="0" w:firstColumn="1" w:lastColumn="0" w:noHBand="0" w:noVBand="1"/>
      </w:tblPr>
      <w:tblGrid>
        <w:gridCol w:w="8307"/>
      </w:tblGrid>
      <w:tr w:rsidR="001D5F21" w:rsidRPr="00153AFF" w14:paraId="2B2E33DE" w14:textId="77777777" w:rsidTr="00F76FA2">
        <w:trPr>
          <w:jc w:val="right"/>
        </w:trPr>
        <w:tc>
          <w:tcPr>
            <w:tcW w:w="8216" w:type="dxa"/>
          </w:tcPr>
          <w:p w14:paraId="4A2FE9EE" w14:textId="1570608A" w:rsidR="001D5F21" w:rsidRPr="00153AFF" w:rsidRDefault="001D5F21" w:rsidP="006C1D42">
            <w:pPr>
              <w:pStyle w:val="Normal-pool"/>
              <w:tabs>
                <w:tab w:val="clear" w:pos="1247"/>
                <w:tab w:val="clear" w:pos="1871"/>
                <w:tab w:val="clear" w:pos="2495"/>
                <w:tab w:val="clear" w:pos="3119"/>
                <w:tab w:val="clear" w:pos="3742"/>
                <w:tab w:val="clear" w:pos="4366"/>
              </w:tabs>
              <w:spacing w:before="80" w:after="80"/>
              <w:rPr>
                <w:color w:val="000000" w:themeColor="text1"/>
              </w:rPr>
            </w:pPr>
            <w:r w:rsidRPr="00153AFF">
              <w:rPr>
                <w:color w:val="000000" w:themeColor="text1"/>
              </w:rPr>
              <w:t>Section C includes information on the source of mercury to be exported. Sources of mercury may include primary mercury mining, decommissioning of facilities where mercury or mercury compounds were used, mercury storage prior to use, mercury recycling or recovery, and facilities that may result in the production of by-product mercury such as non-ferrous metal, oil or gas production.</w:t>
            </w:r>
          </w:p>
        </w:tc>
      </w:tr>
    </w:tbl>
    <w:p w14:paraId="26888E69" w14:textId="3CC5BE48" w:rsidR="001D5F21" w:rsidRPr="00153AFF" w:rsidRDefault="001D5F21" w:rsidP="006C1D42">
      <w:pPr>
        <w:pStyle w:val="Normal-pool"/>
        <w:tabs>
          <w:tab w:val="clear" w:pos="1247"/>
          <w:tab w:val="clear" w:pos="1871"/>
          <w:tab w:val="clear" w:pos="2495"/>
          <w:tab w:val="clear" w:pos="3119"/>
          <w:tab w:val="clear" w:pos="3742"/>
          <w:tab w:val="clear" w:pos="4366"/>
        </w:tabs>
        <w:spacing w:before="240" w:after="120"/>
        <w:ind w:left="1247"/>
        <w:rPr>
          <w:color w:val="000000" w:themeColor="text1"/>
        </w:rPr>
      </w:pPr>
      <w:r w:rsidRPr="00153AFF">
        <w:rPr>
          <w:color w:val="000000" w:themeColor="text1"/>
        </w:rPr>
        <w:t xml:space="preserve">At the beginning of the following paragraph, the following text is </w:t>
      </w:r>
      <w:r w:rsidR="00E5375E" w:rsidRPr="00153AFF">
        <w:rPr>
          <w:color w:val="000000" w:themeColor="text1"/>
        </w:rPr>
        <w:t>proposed for</w:t>
      </w:r>
      <w:r w:rsidR="003449C4" w:rsidRPr="00153AFF">
        <w:rPr>
          <w:color w:val="000000" w:themeColor="text1"/>
        </w:rPr>
        <w:t xml:space="preserve"> </w:t>
      </w:r>
      <w:r w:rsidRPr="00153AFF">
        <w:rPr>
          <w:color w:val="000000" w:themeColor="text1"/>
        </w:rPr>
        <w:t>add</w:t>
      </w:r>
      <w:r w:rsidR="00E5375E" w:rsidRPr="00153AFF">
        <w:rPr>
          <w:color w:val="000000" w:themeColor="text1"/>
        </w:rPr>
        <w:t>ition</w:t>
      </w:r>
      <w:r w:rsidRPr="00153AFF">
        <w:rPr>
          <w:color w:val="000000" w:themeColor="text1"/>
        </w:rPr>
        <w:t>:</w:t>
      </w:r>
    </w:p>
    <w:tbl>
      <w:tblPr>
        <w:tblStyle w:val="TableGrid"/>
        <w:tblW w:w="8307" w:type="dxa"/>
        <w:jc w:val="right"/>
        <w:tblLook w:val="04A0" w:firstRow="1" w:lastRow="0" w:firstColumn="1" w:lastColumn="0" w:noHBand="0" w:noVBand="1"/>
      </w:tblPr>
      <w:tblGrid>
        <w:gridCol w:w="8307"/>
      </w:tblGrid>
      <w:tr w:rsidR="001D5F21" w:rsidRPr="00153AFF" w14:paraId="35D75EB2" w14:textId="77777777" w:rsidTr="00F76FA2">
        <w:trPr>
          <w:jc w:val="right"/>
        </w:trPr>
        <w:tc>
          <w:tcPr>
            <w:tcW w:w="8216" w:type="dxa"/>
          </w:tcPr>
          <w:p w14:paraId="5FCC25EA" w14:textId="3691097E" w:rsidR="001D5F21" w:rsidRPr="00153AFF" w:rsidRDefault="001D5F21" w:rsidP="006C1D42">
            <w:pPr>
              <w:pStyle w:val="Normal-pool"/>
              <w:tabs>
                <w:tab w:val="clear" w:pos="1247"/>
                <w:tab w:val="clear" w:pos="1871"/>
                <w:tab w:val="clear" w:pos="2495"/>
                <w:tab w:val="clear" w:pos="3119"/>
                <w:tab w:val="clear" w:pos="3742"/>
                <w:tab w:val="clear" w:pos="4366"/>
              </w:tabs>
              <w:spacing w:before="80" w:after="80"/>
              <w:rPr>
                <w:color w:val="000000" w:themeColor="text1"/>
              </w:rPr>
            </w:pPr>
            <w:r w:rsidRPr="00153AFF">
              <w:rPr>
                <w:color w:val="000000" w:themeColor="text1"/>
              </w:rPr>
              <w:t xml:space="preserve">Exporting </w:t>
            </w:r>
            <w:r w:rsidR="00572FAA" w:rsidRPr="00153AFF">
              <w:rPr>
                <w:color w:val="000000" w:themeColor="text1"/>
              </w:rPr>
              <w:t>p</w:t>
            </w:r>
            <w:r w:rsidRPr="00153AFF">
              <w:rPr>
                <w:color w:val="000000" w:themeColor="text1"/>
              </w:rPr>
              <w:t>arties are to identify whether the mercury is from primary mercury mining. I</w:t>
            </w:r>
            <w:r w:rsidR="005E7263" w:rsidRPr="00153AFF">
              <w:rPr>
                <w:color w:val="000000" w:themeColor="text1"/>
              </w:rPr>
              <w:t>t should be noted, i</w:t>
            </w:r>
            <w:r w:rsidRPr="00153AFF">
              <w:rPr>
                <w:color w:val="000000" w:themeColor="text1"/>
              </w:rPr>
              <w:t>n</w:t>
            </w:r>
            <w:r w:rsidR="005E7263" w:rsidRPr="00153AFF">
              <w:rPr>
                <w:color w:val="000000" w:themeColor="text1"/>
              </w:rPr>
              <w:t xml:space="preserve"> the</w:t>
            </w:r>
            <w:r w:rsidRPr="00153AFF">
              <w:rPr>
                <w:color w:val="000000" w:themeColor="text1"/>
              </w:rPr>
              <w:t xml:space="preserve"> </w:t>
            </w:r>
            <w:r w:rsidR="005E7263" w:rsidRPr="00153AFF">
              <w:rPr>
                <w:color w:val="000000" w:themeColor="text1"/>
              </w:rPr>
              <w:t xml:space="preserve">identification, that </w:t>
            </w:r>
            <w:r w:rsidRPr="00153AFF">
              <w:rPr>
                <w:color w:val="000000" w:themeColor="text1"/>
              </w:rPr>
              <w:t xml:space="preserve">primary mercury mining may be </w:t>
            </w:r>
            <w:r w:rsidR="00520016" w:rsidRPr="00153AFF">
              <w:rPr>
                <w:color w:val="000000" w:themeColor="text1"/>
              </w:rPr>
              <w:t xml:space="preserve">undertaken </w:t>
            </w:r>
            <w:r w:rsidR="000A498B" w:rsidRPr="00153AFF">
              <w:rPr>
                <w:color w:val="000000" w:themeColor="text1"/>
              </w:rPr>
              <w:t xml:space="preserve">as what </w:t>
            </w:r>
            <w:r w:rsidR="00896073" w:rsidRPr="00153AFF">
              <w:rPr>
                <w:color w:val="000000" w:themeColor="text1"/>
              </w:rPr>
              <w:t xml:space="preserve">parties </w:t>
            </w:r>
            <w:r w:rsidR="00634915" w:rsidRPr="00153AFF">
              <w:rPr>
                <w:color w:val="000000" w:themeColor="text1"/>
              </w:rPr>
              <w:t xml:space="preserve">regard as </w:t>
            </w:r>
            <w:r w:rsidRPr="00153AFF">
              <w:rPr>
                <w:color w:val="000000" w:themeColor="text1"/>
              </w:rPr>
              <w:t>informal or illegal</w:t>
            </w:r>
            <w:r w:rsidR="0031677B" w:rsidRPr="00153AFF">
              <w:rPr>
                <w:color w:val="000000" w:themeColor="text1"/>
              </w:rPr>
              <w:t xml:space="preserve"> activities</w:t>
            </w:r>
            <w:r w:rsidRPr="00153AFF">
              <w:rPr>
                <w:color w:val="000000" w:themeColor="text1"/>
              </w:rPr>
              <w:t>.</w:t>
            </w:r>
          </w:p>
        </w:tc>
      </w:tr>
    </w:tbl>
    <w:p w14:paraId="2258A097" w14:textId="4F79471E" w:rsidR="001D5F21" w:rsidRPr="00153AFF" w:rsidRDefault="001D5F21" w:rsidP="006C1D42">
      <w:pPr>
        <w:pStyle w:val="Normal-pool"/>
        <w:tabs>
          <w:tab w:val="clear" w:pos="1247"/>
          <w:tab w:val="clear" w:pos="1871"/>
          <w:tab w:val="clear" w:pos="2495"/>
          <w:tab w:val="clear" w:pos="3119"/>
          <w:tab w:val="clear" w:pos="3742"/>
          <w:tab w:val="clear" w:pos="4366"/>
        </w:tabs>
        <w:spacing w:before="240" w:after="120"/>
        <w:ind w:left="1247"/>
        <w:rPr>
          <w:color w:val="000000" w:themeColor="text1"/>
        </w:rPr>
      </w:pPr>
      <w:r w:rsidRPr="00153AFF">
        <w:rPr>
          <w:color w:val="000000" w:themeColor="text1"/>
        </w:rPr>
        <w:t xml:space="preserve">In the box in section D on information to be provided by the importing party, the following paragraph is </w:t>
      </w:r>
      <w:r w:rsidR="00E5375E" w:rsidRPr="00153AFF">
        <w:rPr>
          <w:color w:val="000000" w:themeColor="text1"/>
        </w:rPr>
        <w:t xml:space="preserve">proposed for </w:t>
      </w:r>
      <w:r w:rsidRPr="00153AFF">
        <w:rPr>
          <w:color w:val="000000" w:themeColor="text1"/>
        </w:rPr>
        <w:t>add</w:t>
      </w:r>
      <w:r w:rsidR="00E5375E" w:rsidRPr="00153AFF">
        <w:rPr>
          <w:color w:val="000000" w:themeColor="text1"/>
        </w:rPr>
        <w:t>ition</w:t>
      </w:r>
      <w:r w:rsidRPr="00153AFF">
        <w:rPr>
          <w:color w:val="000000" w:themeColor="text1"/>
        </w:rPr>
        <w:t xml:space="preserve"> after the</w:t>
      </w:r>
      <w:r w:rsidR="00DE5ADB" w:rsidRPr="00153AFF">
        <w:rPr>
          <w:color w:val="000000" w:themeColor="text1"/>
        </w:rPr>
        <w:t xml:space="preserve"> current</w:t>
      </w:r>
      <w:r w:rsidRPr="00153AFF">
        <w:rPr>
          <w:color w:val="000000" w:themeColor="text1"/>
        </w:rPr>
        <w:t xml:space="preserve"> last paragraph:</w:t>
      </w:r>
    </w:p>
    <w:tbl>
      <w:tblPr>
        <w:tblStyle w:val="TableGrid"/>
        <w:tblW w:w="8307" w:type="dxa"/>
        <w:jc w:val="right"/>
        <w:tblLook w:val="04A0" w:firstRow="1" w:lastRow="0" w:firstColumn="1" w:lastColumn="0" w:noHBand="0" w:noVBand="1"/>
      </w:tblPr>
      <w:tblGrid>
        <w:gridCol w:w="8307"/>
      </w:tblGrid>
      <w:tr w:rsidR="001D5F21" w:rsidRPr="00153AFF" w14:paraId="0052768C" w14:textId="77777777" w:rsidTr="00A5662A">
        <w:trPr>
          <w:jc w:val="right"/>
        </w:trPr>
        <w:tc>
          <w:tcPr>
            <w:tcW w:w="8216" w:type="dxa"/>
          </w:tcPr>
          <w:p w14:paraId="3D159719" w14:textId="7AAA326C" w:rsidR="001D5F21" w:rsidRPr="00153AFF" w:rsidRDefault="001D5F21" w:rsidP="006C1D42">
            <w:pPr>
              <w:pStyle w:val="Normal-pool"/>
              <w:tabs>
                <w:tab w:val="clear" w:pos="1247"/>
                <w:tab w:val="clear" w:pos="1871"/>
                <w:tab w:val="clear" w:pos="2495"/>
                <w:tab w:val="clear" w:pos="3119"/>
                <w:tab w:val="clear" w:pos="3742"/>
                <w:tab w:val="clear" w:pos="4366"/>
              </w:tabs>
              <w:spacing w:before="80" w:after="80"/>
              <w:rPr>
                <w:color w:val="000000" w:themeColor="text1"/>
              </w:rPr>
            </w:pPr>
            <w:r w:rsidRPr="00153AFF">
              <w:rPr>
                <w:color w:val="000000" w:themeColor="text1"/>
              </w:rPr>
              <w:t xml:space="preserve">Exporting </w:t>
            </w:r>
            <w:r w:rsidR="00DE5ADB" w:rsidRPr="00153AFF">
              <w:rPr>
                <w:color w:val="000000" w:themeColor="text1"/>
              </w:rPr>
              <w:t>p</w:t>
            </w:r>
            <w:r w:rsidRPr="00153AFF">
              <w:rPr>
                <w:color w:val="000000" w:themeColor="text1"/>
              </w:rPr>
              <w:t>arties shall not allow the export of mercury unless the export of mercury is for the purpose of environmentally sound interim storage or for the use allowed under the Convention.</w:t>
            </w:r>
          </w:p>
        </w:tc>
      </w:tr>
    </w:tbl>
    <w:p w14:paraId="769A91E0" w14:textId="77777777" w:rsidR="001D5F21" w:rsidRPr="00153AFF" w:rsidRDefault="001D5F21" w:rsidP="001D5F21">
      <w:pPr>
        <w:pStyle w:val="Normal-pool"/>
        <w:tabs>
          <w:tab w:val="clear" w:pos="1247"/>
          <w:tab w:val="clear" w:pos="1871"/>
          <w:tab w:val="clear" w:pos="2495"/>
          <w:tab w:val="clear" w:pos="3119"/>
          <w:tab w:val="clear" w:pos="3742"/>
          <w:tab w:val="clear" w:pos="4366"/>
        </w:tabs>
        <w:spacing w:before="360" w:after="120"/>
        <w:ind w:left="1247"/>
        <w:rPr>
          <w:b/>
          <w:bCs/>
          <w:color w:val="000000" w:themeColor="text1"/>
        </w:rPr>
      </w:pPr>
      <w:r w:rsidRPr="00153AFF">
        <w:rPr>
          <w:b/>
          <w:bCs/>
          <w:color w:val="000000" w:themeColor="text1"/>
        </w:rPr>
        <w:t>Appendix B</w:t>
      </w:r>
    </w:p>
    <w:p w14:paraId="22DB4759" w14:textId="6E5D41FB" w:rsidR="001D5F21" w:rsidRPr="00153AFF" w:rsidRDefault="001D5F21" w:rsidP="001D5F21">
      <w:pPr>
        <w:pStyle w:val="Normal-pool"/>
        <w:tabs>
          <w:tab w:val="clear" w:pos="1247"/>
          <w:tab w:val="clear" w:pos="1871"/>
          <w:tab w:val="clear" w:pos="2495"/>
          <w:tab w:val="clear" w:pos="3119"/>
          <w:tab w:val="clear" w:pos="3742"/>
          <w:tab w:val="clear" w:pos="4366"/>
        </w:tabs>
        <w:spacing w:before="240" w:after="120"/>
        <w:ind w:left="1247"/>
        <w:rPr>
          <w:color w:val="000000" w:themeColor="text1"/>
        </w:rPr>
      </w:pPr>
      <w:r w:rsidRPr="00153AFF">
        <w:rPr>
          <w:color w:val="000000" w:themeColor="text1"/>
        </w:rPr>
        <w:t xml:space="preserve">In the box in section C on shipment information to be provided by the exporting party, the following text is </w:t>
      </w:r>
      <w:r w:rsidR="00E5375E" w:rsidRPr="00153AFF">
        <w:rPr>
          <w:color w:val="000000" w:themeColor="text1"/>
        </w:rPr>
        <w:t>proposed for</w:t>
      </w:r>
      <w:r w:rsidR="001A0404" w:rsidRPr="00153AFF">
        <w:rPr>
          <w:color w:val="000000" w:themeColor="text1"/>
        </w:rPr>
        <w:t xml:space="preserve"> </w:t>
      </w:r>
      <w:r w:rsidRPr="00153AFF">
        <w:rPr>
          <w:color w:val="000000" w:themeColor="text1"/>
        </w:rPr>
        <w:t>add</w:t>
      </w:r>
      <w:r w:rsidR="00E5375E" w:rsidRPr="00153AFF">
        <w:rPr>
          <w:color w:val="000000" w:themeColor="text1"/>
        </w:rPr>
        <w:t>ition</w:t>
      </w:r>
      <w:r w:rsidRPr="00153AFF">
        <w:rPr>
          <w:color w:val="000000" w:themeColor="text1"/>
        </w:rPr>
        <w:t xml:space="preserve"> at the beginning of the second paragraph:</w:t>
      </w:r>
    </w:p>
    <w:tbl>
      <w:tblPr>
        <w:tblStyle w:val="TableGrid"/>
        <w:tblW w:w="8307" w:type="dxa"/>
        <w:jc w:val="right"/>
        <w:tblLook w:val="04A0" w:firstRow="1" w:lastRow="0" w:firstColumn="1" w:lastColumn="0" w:noHBand="0" w:noVBand="1"/>
      </w:tblPr>
      <w:tblGrid>
        <w:gridCol w:w="8307"/>
      </w:tblGrid>
      <w:tr w:rsidR="001D5F21" w:rsidRPr="00153AFF" w14:paraId="0DEE3F75" w14:textId="77777777" w:rsidTr="00A5662A">
        <w:trPr>
          <w:jc w:val="right"/>
        </w:trPr>
        <w:tc>
          <w:tcPr>
            <w:tcW w:w="8216" w:type="dxa"/>
          </w:tcPr>
          <w:p w14:paraId="514CE4B1" w14:textId="09BE1B17" w:rsidR="001D5F21" w:rsidRPr="00153AFF" w:rsidRDefault="001D5F21" w:rsidP="006C1D42">
            <w:pPr>
              <w:pStyle w:val="Normal-pool"/>
              <w:tabs>
                <w:tab w:val="clear" w:pos="1247"/>
                <w:tab w:val="clear" w:pos="1871"/>
                <w:tab w:val="clear" w:pos="2495"/>
                <w:tab w:val="clear" w:pos="3119"/>
                <w:tab w:val="clear" w:pos="3742"/>
                <w:tab w:val="clear" w:pos="4366"/>
              </w:tabs>
              <w:spacing w:before="80" w:after="80"/>
              <w:rPr>
                <w:color w:val="000000" w:themeColor="text1"/>
              </w:rPr>
            </w:pPr>
            <w:r w:rsidRPr="00153AFF">
              <w:rPr>
                <w:color w:val="000000" w:themeColor="text1"/>
              </w:rPr>
              <w:t xml:space="preserve">Exporting </w:t>
            </w:r>
            <w:r w:rsidR="006E7A39" w:rsidRPr="00153AFF">
              <w:rPr>
                <w:color w:val="000000" w:themeColor="text1"/>
              </w:rPr>
              <w:t>p</w:t>
            </w:r>
            <w:r w:rsidRPr="00153AFF">
              <w:rPr>
                <w:color w:val="000000" w:themeColor="text1"/>
              </w:rPr>
              <w:t xml:space="preserve">arties are to identify whether the mercury is from primary mercury mining. </w:t>
            </w:r>
            <w:r w:rsidR="006268F1" w:rsidRPr="00153AFF">
              <w:rPr>
                <w:color w:val="000000" w:themeColor="text1"/>
              </w:rPr>
              <w:t>I</w:t>
            </w:r>
            <w:r w:rsidRPr="00153AFF">
              <w:rPr>
                <w:color w:val="000000" w:themeColor="text1"/>
              </w:rPr>
              <w:t xml:space="preserve">t should be noted that </w:t>
            </w:r>
            <w:r w:rsidR="006268F1" w:rsidRPr="00153AFF">
              <w:rPr>
                <w:color w:val="000000" w:themeColor="text1"/>
              </w:rPr>
              <w:t xml:space="preserve">this may include </w:t>
            </w:r>
            <w:r w:rsidR="007C725D" w:rsidRPr="00153AFF">
              <w:rPr>
                <w:color w:val="000000" w:themeColor="text1"/>
              </w:rPr>
              <w:t xml:space="preserve">what parties regard as </w:t>
            </w:r>
            <w:r w:rsidRPr="00153AFF">
              <w:rPr>
                <w:color w:val="000000" w:themeColor="text1"/>
              </w:rPr>
              <w:t>informal or illegal primary mercury mining.</w:t>
            </w:r>
          </w:p>
        </w:tc>
      </w:tr>
    </w:tbl>
    <w:p w14:paraId="0805273A" w14:textId="7A6704CC" w:rsidR="001D5F21" w:rsidRPr="00153AFF" w:rsidRDefault="001D5F21" w:rsidP="006C1D42">
      <w:pPr>
        <w:pStyle w:val="Normal-pool"/>
        <w:tabs>
          <w:tab w:val="clear" w:pos="1247"/>
          <w:tab w:val="clear" w:pos="1871"/>
          <w:tab w:val="clear" w:pos="2495"/>
          <w:tab w:val="clear" w:pos="3119"/>
          <w:tab w:val="clear" w:pos="3742"/>
          <w:tab w:val="clear" w:pos="4366"/>
        </w:tabs>
        <w:spacing w:before="240" w:after="120"/>
        <w:ind w:left="1247"/>
        <w:rPr>
          <w:color w:val="000000" w:themeColor="text1"/>
        </w:rPr>
      </w:pPr>
      <w:r w:rsidRPr="00153AFF">
        <w:rPr>
          <w:color w:val="000000" w:themeColor="text1"/>
        </w:rPr>
        <w:t>In the box in section D on certification and information to be provided by an importing non-</w:t>
      </w:r>
      <w:r w:rsidR="006D1AED" w:rsidRPr="00153AFF">
        <w:rPr>
          <w:color w:val="000000" w:themeColor="text1"/>
        </w:rPr>
        <w:t>p</w:t>
      </w:r>
      <w:r w:rsidRPr="00153AFF">
        <w:rPr>
          <w:color w:val="000000" w:themeColor="text1"/>
        </w:rPr>
        <w:t xml:space="preserve">arty, the following paragraph is </w:t>
      </w:r>
      <w:r w:rsidR="006D1AED" w:rsidRPr="00153AFF">
        <w:rPr>
          <w:color w:val="000000" w:themeColor="text1"/>
        </w:rPr>
        <w:t xml:space="preserve">to be </w:t>
      </w:r>
      <w:r w:rsidRPr="00153AFF">
        <w:rPr>
          <w:color w:val="000000" w:themeColor="text1"/>
        </w:rPr>
        <w:t xml:space="preserve">added after the </w:t>
      </w:r>
      <w:r w:rsidR="006D1AED" w:rsidRPr="00153AFF">
        <w:rPr>
          <w:color w:val="000000" w:themeColor="text1"/>
        </w:rPr>
        <w:t xml:space="preserve">current </w:t>
      </w:r>
      <w:r w:rsidRPr="00153AFF">
        <w:rPr>
          <w:color w:val="000000" w:themeColor="text1"/>
        </w:rPr>
        <w:t>last paragraph:</w:t>
      </w:r>
    </w:p>
    <w:tbl>
      <w:tblPr>
        <w:tblStyle w:val="TableGrid"/>
        <w:tblW w:w="8307" w:type="dxa"/>
        <w:jc w:val="right"/>
        <w:tblLook w:val="04A0" w:firstRow="1" w:lastRow="0" w:firstColumn="1" w:lastColumn="0" w:noHBand="0" w:noVBand="1"/>
      </w:tblPr>
      <w:tblGrid>
        <w:gridCol w:w="8307"/>
      </w:tblGrid>
      <w:tr w:rsidR="001D5F21" w:rsidRPr="00153AFF" w14:paraId="503FAEEC" w14:textId="77777777" w:rsidTr="00A5662A">
        <w:trPr>
          <w:jc w:val="right"/>
        </w:trPr>
        <w:tc>
          <w:tcPr>
            <w:tcW w:w="8216" w:type="dxa"/>
          </w:tcPr>
          <w:p w14:paraId="48BE86A1" w14:textId="5D300A48" w:rsidR="001D5F21" w:rsidRPr="00153AFF" w:rsidRDefault="001D5F21" w:rsidP="006C1D42">
            <w:pPr>
              <w:pStyle w:val="Normal-pool"/>
              <w:tabs>
                <w:tab w:val="clear" w:pos="1247"/>
                <w:tab w:val="clear" w:pos="1871"/>
                <w:tab w:val="clear" w:pos="2495"/>
                <w:tab w:val="clear" w:pos="3119"/>
                <w:tab w:val="clear" w:pos="3742"/>
                <w:tab w:val="clear" w:pos="4366"/>
              </w:tabs>
              <w:spacing w:before="80" w:after="80"/>
              <w:rPr>
                <w:color w:val="000000" w:themeColor="text1"/>
              </w:rPr>
            </w:pPr>
            <w:r w:rsidRPr="00153AFF">
              <w:rPr>
                <w:color w:val="000000" w:themeColor="text1"/>
              </w:rPr>
              <w:t xml:space="preserve">Exporting </w:t>
            </w:r>
            <w:r w:rsidR="006D1AED" w:rsidRPr="00153AFF">
              <w:rPr>
                <w:color w:val="000000" w:themeColor="text1"/>
              </w:rPr>
              <w:t>p</w:t>
            </w:r>
            <w:r w:rsidRPr="00153AFF">
              <w:rPr>
                <w:color w:val="000000" w:themeColor="text1"/>
              </w:rPr>
              <w:t>arties shall not allow the export of mercury to a non-party unless the non-party has measures in place to ensure the protection of human health and the environment and to ensure its compliance with articles 10 and 11, and unless the export of mercury is for the purpose of environmentally sound interim storage or for the use allowed under the Convention.</w:t>
            </w:r>
          </w:p>
        </w:tc>
      </w:tr>
    </w:tbl>
    <w:p w14:paraId="362664CF" w14:textId="77777777" w:rsidR="001D5F21" w:rsidRPr="00153AFF" w:rsidRDefault="001D5F21" w:rsidP="001D5F21">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1D5F21" w:rsidRPr="00153AFF" w14:paraId="6DC4C36B" w14:textId="77777777" w:rsidTr="007A1B2E">
        <w:tc>
          <w:tcPr>
            <w:tcW w:w="1897" w:type="dxa"/>
          </w:tcPr>
          <w:p w14:paraId="79F62134" w14:textId="77777777" w:rsidR="001D5F21" w:rsidRPr="00153AFF" w:rsidRDefault="001D5F21" w:rsidP="007A1B2E">
            <w:pPr>
              <w:pStyle w:val="Normal-pool"/>
              <w:spacing w:before="520"/>
            </w:pPr>
          </w:p>
        </w:tc>
        <w:tc>
          <w:tcPr>
            <w:tcW w:w="1897" w:type="dxa"/>
          </w:tcPr>
          <w:p w14:paraId="7264B715" w14:textId="77777777" w:rsidR="001D5F21" w:rsidRPr="00153AFF" w:rsidRDefault="001D5F21" w:rsidP="007A1B2E">
            <w:pPr>
              <w:pStyle w:val="Normal-pool"/>
              <w:spacing w:before="520"/>
            </w:pPr>
          </w:p>
        </w:tc>
        <w:tc>
          <w:tcPr>
            <w:tcW w:w="1897" w:type="dxa"/>
            <w:tcBorders>
              <w:bottom w:val="single" w:sz="4" w:space="0" w:color="auto"/>
            </w:tcBorders>
          </w:tcPr>
          <w:p w14:paraId="1CD08FC0" w14:textId="77777777" w:rsidR="001D5F21" w:rsidRPr="00153AFF" w:rsidRDefault="001D5F21" w:rsidP="007A1B2E">
            <w:pPr>
              <w:pStyle w:val="Normal-pool"/>
              <w:spacing w:before="520"/>
            </w:pPr>
          </w:p>
        </w:tc>
        <w:tc>
          <w:tcPr>
            <w:tcW w:w="1898" w:type="dxa"/>
          </w:tcPr>
          <w:p w14:paraId="08277A9E" w14:textId="77777777" w:rsidR="001D5F21" w:rsidRPr="00153AFF" w:rsidRDefault="001D5F21" w:rsidP="007A1B2E">
            <w:pPr>
              <w:pStyle w:val="Normal-pool"/>
              <w:spacing w:before="520"/>
            </w:pPr>
          </w:p>
        </w:tc>
        <w:tc>
          <w:tcPr>
            <w:tcW w:w="1898" w:type="dxa"/>
          </w:tcPr>
          <w:p w14:paraId="6D97A5E9" w14:textId="77777777" w:rsidR="001D5F21" w:rsidRPr="00153AFF" w:rsidRDefault="001D5F21" w:rsidP="007A1B2E">
            <w:pPr>
              <w:pStyle w:val="Normal-pool"/>
              <w:spacing w:before="520"/>
            </w:pPr>
          </w:p>
        </w:tc>
      </w:tr>
    </w:tbl>
    <w:p w14:paraId="69DF1B0C" w14:textId="727D882F" w:rsidR="001D5F21" w:rsidRPr="00153AFF" w:rsidRDefault="001D5F21" w:rsidP="001D5F21">
      <w:pPr>
        <w:pStyle w:val="Normal-pool"/>
        <w:rPr>
          <w:rFonts w:eastAsiaTheme="minorEastAsia"/>
        </w:rPr>
      </w:pPr>
    </w:p>
    <w:sectPr w:rsidR="001D5F21" w:rsidRPr="00153AFF" w:rsidSect="00153AFF">
      <w:footerReference w:type="first" r:id="rId24"/>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63E9" w14:textId="77777777" w:rsidR="000020BF" w:rsidRPr="001D5F21" w:rsidRDefault="000020BF">
      <w:r w:rsidRPr="001D5F21">
        <w:separator/>
      </w:r>
    </w:p>
  </w:endnote>
  <w:endnote w:type="continuationSeparator" w:id="0">
    <w:p w14:paraId="0C6F5292" w14:textId="77777777" w:rsidR="000020BF" w:rsidRPr="001D5F21" w:rsidRDefault="000020BF">
      <w:r w:rsidRPr="001D5F21">
        <w:continuationSeparator/>
      </w:r>
    </w:p>
  </w:endnote>
  <w:endnote w:type="continuationNotice" w:id="1">
    <w:p w14:paraId="393F33B3" w14:textId="77777777" w:rsidR="000020BF" w:rsidRDefault="00002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2E4A" w14:textId="5F39DBF9" w:rsidR="001D5F21" w:rsidRPr="00153AFF" w:rsidRDefault="00153AFF" w:rsidP="00153AFF">
    <w:pPr>
      <w:pStyle w:val="Footer-pool"/>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3DA1" w14:textId="5E6196C3" w:rsidR="00217FD8" w:rsidRPr="00153AFF" w:rsidRDefault="00153AFF" w:rsidP="00153AFF">
    <w:pPr>
      <w:pStyle w:val="Footer-pool"/>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2B33" w14:textId="641CD955" w:rsidR="00E746B2" w:rsidRDefault="00647680" w:rsidP="00153AFF">
    <w:pPr>
      <w:pStyle w:val="Footer-jobnumber"/>
    </w:pPr>
    <w:bookmarkStart w:id="10" w:name="FooterJobDate"/>
    <w:r>
      <w:t>K2512476[E]</w:t>
    </w:r>
    <w:r>
      <w:tab/>
      <w:t>1</w:t>
    </w:r>
    <w:r w:rsidR="004D0A8B">
      <w:t>8</w:t>
    </w:r>
    <w:r>
      <w:t>0925</w:t>
    </w:r>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AE05" w14:textId="2D67C7A9" w:rsidR="001D5F21" w:rsidRPr="001D5F21" w:rsidRDefault="001D5F21" w:rsidP="001D5F21">
    <w:pPr>
      <w:pStyle w:val="Footer-job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CB89" w14:textId="77777777" w:rsidR="000020BF" w:rsidRPr="001D5F21" w:rsidRDefault="000020BF" w:rsidP="00C70B49">
      <w:pPr>
        <w:pStyle w:val="Footnote-Separator"/>
        <w:rPr>
          <w:szCs w:val="18"/>
        </w:rPr>
      </w:pPr>
      <w:r w:rsidRPr="001D5F21">
        <w:separator/>
      </w:r>
    </w:p>
  </w:footnote>
  <w:footnote w:type="continuationSeparator" w:id="0">
    <w:p w14:paraId="797C0328" w14:textId="77777777" w:rsidR="000020BF" w:rsidRPr="001D5F21" w:rsidRDefault="000020BF" w:rsidP="00C70B49">
      <w:pPr>
        <w:pStyle w:val="Footnote-Separator"/>
      </w:pPr>
      <w:r w:rsidRPr="001D5F21">
        <w:continuationSeparator/>
      </w:r>
    </w:p>
  </w:footnote>
  <w:footnote w:type="continuationNotice" w:id="1">
    <w:p w14:paraId="6D702076" w14:textId="77777777" w:rsidR="000020BF" w:rsidRPr="001D5F21" w:rsidRDefault="000020BF" w:rsidP="00C70B49">
      <w:pPr>
        <w:pStyle w:val="ASpacer"/>
      </w:pPr>
    </w:p>
  </w:footnote>
  <w:footnote w:id="2">
    <w:p w14:paraId="5F6EF410" w14:textId="326AA161" w:rsidR="0033149A" w:rsidRPr="00A553D3" w:rsidRDefault="0033149A" w:rsidP="00A553D3">
      <w:pPr>
        <w:pStyle w:val="Footnote-Text"/>
        <w:tabs>
          <w:tab w:val="clear" w:pos="1247"/>
          <w:tab w:val="clear" w:pos="1871"/>
          <w:tab w:val="clear" w:pos="2495"/>
          <w:tab w:val="clear" w:pos="3119"/>
          <w:tab w:val="clear" w:pos="3742"/>
          <w:tab w:val="clear" w:pos="4366"/>
        </w:tabs>
        <w:rPr>
          <w:szCs w:val="18"/>
        </w:rPr>
      </w:pPr>
      <w:r w:rsidRPr="00A553D3">
        <w:rPr>
          <w:szCs w:val="18"/>
        </w:rPr>
        <w:t xml:space="preserve">* </w:t>
      </w:r>
      <w:bookmarkStart w:id="8" w:name="_Hlk208925697"/>
      <w:r w:rsidRPr="00A553D3">
        <w:rPr>
          <w:szCs w:val="18"/>
        </w:rPr>
        <w:t>UNEP/MC/COP.6/1</w:t>
      </w:r>
      <w:bookmarkEnd w:id="8"/>
      <w:r w:rsidR="004D0A8B">
        <w:rPr>
          <w:szCs w:val="18"/>
        </w:rPr>
        <w:t>/Rev.1</w:t>
      </w:r>
      <w:r w:rsidRPr="00F94216">
        <w:rPr>
          <w:szCs w:val="18"/>
        </w:rPr>
        <w:t>.</w:t>
      </w:r>
    </w:p>
  </w:footnote>
  <w:footnote w:id="3">
    <w:p w14:paraId="48AB0FB4" w14:textId="5B1F2BA9" w:rsidR="001D5F21" w:rsidRPr="00A553D3" w:rsidRDefault="001D5F21" w:rsidP="00A553D3">
      <w:pPr>
        <w:tabs>
          <w:tab w:val="left" w:pos="624"/>
        </w:tabs>
        <w:spacing w:before="20" w:after="40"/>
        <w:ind w:left="1247"/>
        <w:rPr>
          <w:sz w:val="18"/>
          <w:szCs w:val="18"/>
        </w:rPr>
      </w:pPr>
      <w:r w:rsidRPr="00A553D3">
        <w:rPr>
          <w:sz w:val="18"/>
          <w:szCs w:val="18"/>
          <w:vertAlign w:val="superscript"/>
        </w:rPr>
        <w:footnoteRef/>
      </w:r>
      <w:r w:rsidRPr="00A553D3">
        <w:rPr>
          <w:sz w:val="18"/>
          <w:szCs w:val="18"/>
          <w:vertAlign w:val="superscript"/>
        </w:rPr>
        <w:t xml:space="preserve"> </w:t>
      </w:r>
      <w:r w:rsidRPr="00A553D3">
        <w:rPr>
          <w:sz w:val="18"/>
          <w:szCs w:val="18"/>
        </w:rPr>
        <w:t xml:space="preserve">The full text of question 3.1 is </w:t>
      </w:r>
      <w:r w:rsidR="004949D8" w:rsidRPr="00A553D3">
        <w:rPr>
          <w:sz w:val="18"/>
          <w:szCs w:val="18"/>
        </w:rPr>
        <w:t xml:space="preserve">set out on page </w:t>
      </w:r>
      <w:r w:rsidR="00124EA7" w:rsidRPr="002B1A4B">
        <w:rPr>
          <w:sz w:val="18"/>
          <w:szCs w:val="18"/>
        </w:rPr>
        <w:t>5</w:t>
      </w:r>
      <w:r w:rsidR="004949D8" w:rsidRPr="00A553D3">
        <w:rPr>
          <w:sz w:val="18"/>
          <w:szCs w:val="18"/>
        </w:rPr>
        <w:t xml:space="preserve"> of document </w:t>
      </w:r>
      <w:r w:rsidRPr="00A553D3">
        <w:rPr>
          <w:sz w:val="18"/>
          <w:szCs w:val="18"/>
        </w:rPr>
        <w:t>UNEP/MC/COP.6/INF/20.</w:t>
      </w:r>
    </w:p>
  </w:footnote>
  <w:footnote w:id="4">
    <w:p w14:paraId="65864B3F" w14:textId="77777777" w:rsidR="001D5F21" w:rsidRPr="00A553D3" w:rsidRDefault="001D5F21" w:rsidP="00A553D3">
      <w:pPr>
        <w:tabs>
          <w:tab w:val="left" w:pos="624"/>
        </w:tabs>
        <w:spacing w:before="20" w:after="40"/>
        <w:ind w:left="1247"/>
        <w:rPr>
          <w:sz w:val="18"/>
          <w:szCs w:val="18"/>
        </w:rPr>
      </w:pPr>
      <w:r w:rsidRPr="00A553D3">
        <w:rPr>
          <w:sz w:val="18"/>
          <w:szCs w:val="18"/>
          <w:vertAlign w:val="superscript"/>
        </w:rPr>
        <w:footnoteRef/>
      </w:r>
      <w:r w:rsidRPr="00A553D3">
        <w:rPr>
          <w:sz w:val="18"/>
          <w:szCs w:val="18"/>
        </w:rPr>
        <w:t xml:space="preserve"> Part C: Comments regarding possible challenges in meeting the objectives of the Convention. </w:t>
      </w:r>
    </w:p>
  </w:footnote>
  <w:footnote w:id="5">
    <w:p w14:paraId="752A0F2E" w14:textId="116A3C89" w:rsidR="00006621" w:rsidRPr="00A553D3" w:rsidRDefault="00006621" w:rsidP="00A553D3">
      <w:pPr>
        <w:pStyle w:val="Footnote-Text"/>
        <w:tabs>
          <w:tab w:val="clear" w:pos="1247"/>
          <w:tab w:val="clear" w:pos="1871"/>
          <w:tab w:val="clear" w:pos="2495"/>
          <w:tab w:val="clear" w:pos="3119"/>
          <w:tab w:val="clear" w:pos="3742"/>
          <w:tab w:val="clear" w:pos="4366"/>
        </w:tabs>
        <w:rPr>
          <w:szCs w:val="18"/>
        </w:rPr>
      </w:pPr>
      <w:r w:rsidRPr="00A553D3">
        <w:rPr>
          <w:rStyle w:val="FootnoteReference"/>
          <w:sz w:val="18"/>
        </w:rPr>
        <w:footnoteRef/>
      </w:r>
      <w:r w:rsidRPr="00A553D3">
        <w:rPr>
          <w:szCs w:val="18"/>
        </w:rPr>
        <w:t xml:space="preserve"> GEF project </w:t>
      </w:r>
      <w:r w:rsidRPr="00A553D3">
        <w:rPr>
          <w:rFonts w:eastAsia="MS Mincho"/>
          <w:szCs w:val="18"/>
          <w:lang w:val="en-US" w:eastAsia="ja-JP"/>
        </w:rPr>
        <w:t xml:space="preserve">10086. </w:t>
      </w:r>
    </w:p>
  </w:footnote>
  <w:footnote w:id="6">
    <w:p w14:paraId="6C01AE70" w14:textId="0FC60756" w:rsidR="001D5F21" w:rsidRPr="00A553D3" w:rsidRDefault="001D5F21" w:rsidP="00A553D3">
      <w:pPr>
        <w:pStyle w:val="Footnote-Text"/>
        <w:rPr>
          <w:szCs w:val="18"/>
        </w:rPr>
      </w:pPr>
      <w:r w:rsidRPr="00A553D3">
        <w:rPr>
          <w:rStyle w:val="FootnoteReference"/>
          <w:sz w:val="18"/>
        </w:rPr>
        <w:footnoteRef/>
      </w:r>
      <w:r w:rsidRPr="00A553D3">
        <w:rPr>
          <w:szCs w:val="18"/>
        </w:rPr>
        <w:t xml:space="preserve"> </w:t>
      </w:r>
      <w:r w:rsidR="00816C70" w:rsidRPr="00A553D3">
        <w:rPr>
          <w:szCs w:val="18"/>
        </w:rPr>
        <w:t>Comprising, a</w:t>
      </w:r>
      <w:r w:rsidRPr="00A553D3">
        <w:rPr>
          <w:szCs w:val="18"/>
        </w:rPr>
        <w:t>s at 31 July 2025, the following parties: Burundi, Costa Rica, Eswatini, Guinea-Bissau, Madagascar, Mali, Malta, Marshall Islands</w:t>
      </w:r>
      <w:r w:rsidRPr="00A553D3" w:rsidDel="00674AC1">
        <w:rPr>
          <w:szCs w:val="18"/>
        </w:rPr>
        <w:t xml:space="preserve">, </w:t>
      </w:r>
      <w:r w:rsidRPr="00A553D3">
        <w:rPr>
          <w:szCs w:val="18"/>
        </w:rPr>
        <w:t xml:space="preserve">Portugal, Republic of Moldova, Rwanda, Sri Lanka, State of Palestine, United Arab Emirates, Viet Nam, Zambia. </w:t>
      </w:r>
      <w:r w:rsidR="00735007" w:rsidRPr="00A553D3">
        <w:rPr>
          <w:szCs w:val="18"/>
        </w:rPr>
        <w:t>The figure i</w:t>
      </w:r>
      <w:r w:rsidRPr="00A553D3">
        <w:rPr>
          <w:szCs w:val="18"/>
        </w:rPr>
        <w:t>nclude</w:t>
      </w:r>
      <w:r w:rsidR="005C7B91" w:rsidRPr="00A553D3">
        <w:rPr>
          <w:szCs w:val="18"/>
        </w:rPr>
        <w:t>s</w:t>
      </w:r>
      <w:r w:rsidRPr="00A553D3">
        <w:rPr>
          <w:szCs w:val="18"/>
        </w:rPr>
        <w:t xml:space="preserve"> amended responses from parties received by the secretariat. For more information on th</w:t>
      </w:r>
      <w:r w:rsidR="005C7B91" w:rsidRPr="00A553D3">
        <w:rPr>
          <w:szCs w:val="18"/>
        </w:rPr>
        <w:t>e</w:t>
      </w:r>
      <w:r w:rsidRPr="00A553D3">
        <w:rPr>
          <w:szCs w:val="18"/>
        </w:rPr>
        <w:t xml:space="preserve"> matter, see document UNEP/MC/COP.6/INF/20.</w:t>
      </w:r>
    </w:p>
  </w:footnote>
  <w:footnote w:id="7">
    <w:p w14:paraId="3C44B057" w14:textId="3085E3C0" w:rsidR="001D5F21" w:rsidRPr="00A553D3" w:rsidRDefault="001D5F21" w:rsidP="00A553D3">
      <w:pPr>
        <w:pStyle w:val="Footnote-Text"/>
        <w:rPr>
          <w:szCs w:val="18"/>
        </w:rPr>
      </w:pPr>
      <w:r w:rsidRPr="00A553D3">
        <w:rPr>
          <w:rStyle w:val="FootnoteReference"/>
          <w:sz w:val="18"/>
        </w:rPr>
        <w:footnoteRef/>
      </w:r>
      <w:r w:rsidRPr="00A553D3">
        <w:rPr>
          <w:szCs w:val="18"/>
        </w:rPr>
        <w:t xml:space="preserve"> The Bali declaration on combating illegal trade in mercury was introduced under the Indonesian presidency of the fourth meeting of the Conference of the Parties as a non-binding political declaration. The declaration received expressions of support from regional groups and delegations and is presented in annex III to the </w:t>
      </w:r>
      <w:r w:rsidR="000C1933" w:rsidRPr="00A553D3">
        <w:rPr>
          <w:szCs w:val="18"/>
        </w:rPr>
        <w:t>report</w:t>
      </w:r>
      <w:r w:rsidRPr="00A553D3">
        <w:rPr>
          <w:szCs w:val="18"/>
        </w:rPr>
        <w:t xml:space="preserve"> of the Conference of the Parties to the Minamata Convention on Mercury on the work of its fourth meeting</w:t>
      </w:r>
      <w:r w:rsidR="00E851D7" w:rsidRPr="00A553D3">
        <w:rPr>
          <w:szCs w:val="18"/>
        </w:rPr>
        <w:t xml:space="preserve"> (UNEP/MC/COP.4/28/Add.1)</w:t>
      </w:r>
      <w:r w:rsidRPr="00A553D3">
        <w:rPr>
          <w:szCs w:val="18"/>
        </w:rPr>
        <w:t>.</w:t>
      </w:r>
    </w:p>
  </w:footnote>
  <w:footnote w:id="8">
    <w:p w14:paraId="322DBF97" w14:textId="1B7F1073" w:rsidR="001D5F21" w:rsidRPr="00A553D3" w:rsidRDefault="001D5F21" w:rsidP="00A553D3">
      <w:pPr>
        <w:pStyle w:val="Footnote-Text"/>
        <w:rPr>
          <w:szCs w:val="18"/>
        </w:rPr>
      </w:pPr>
      <w:r w:rsidRPr="00A553D3">
        <w:rPr>
          <w:rStyle w:val="FootnoteReference"/>
          <w:sz w:val="18"/>
        </w:rPr>
        <w:footnoteRef/>
      </w:r>
      <w:r w:rsidRPr="00A553D3">
        <w:rPr>
          <w:szCs w:val="18"/>
        </w:rPr>
        <w:t xml:space="preserve"> Indonesia’s submission is summarized in document UNEP/MC/COP.6/INF/6 and is available on the Convention </w:t>
      </w:r>
      <w:hyperlink r:id="rId1" w:history="1">
        <w:r w:rsidRPr="00A553D3">
          <w:rPr>
            <w:rStyle w:val="Hyperlink"/>
            <w:szCs w:val="18"/>
          </w:rPr>
          <w:t>website</w:t>
        </w:r>
      </w:hyperlink>
      <w:r w:rsidRPr="00A553D3">
        <w:rPr>
          <w:szCs w:val="18"/>
        </w:rPr>
        <w:t>.</w:t>
      </w:r>
    </w:p>
  </w:footnote>
  <w:footnote w:id="9">
    <w:p w14:paraId="201BD05C" w14:textId="74A6C6A1" w:rsidR="001D5F21" w:rsidRPr="00A553D3" w:rsidRDefault="001D5F21" w:rsidP="00A553D3">
      <w:pPr>
        <w:pStyle w:val="Footnote-Text"/>
        <w:rPr>
          <w:szCs w:val="18"/>
          <w:lang w:val="en-US"/>
        </w:rPr>
      </w:pPr>
      <w:r w:rsidRPr="00A553D3">
        <w:rPr>
          <w:rStyle w:val="FootnoteReference"/>
          <w:sz w:val="18"/>
        </w:rPr>
        <w:footnoteRef/>
      </w:r>
      <w:r w:rsidRPr="00A553D3">
        <w:rPr>
          <w:szCs w:val="18"/>
        </w:rPr>
        <w:t xml:space="preserve"> </w:t>
      </w:r>
      <w:r w:rsidRPr="00A553D3">
        <w:rPr>
          <w:szCs w:val="18"/>
          <w:lang w:val="en-US"/>
        </w:rPr>
        <w:t xml:space="preserve">UNEP/MC/COP.1/5, </w:t>
      </w:r>
      <w:r w:rsidR="003D5C51" w:rsidRPr="00A553D3">
        <w:rPr>
          <w:szCs w:val="18"/>
          <w:lang w:val="en-US"/>
        </w:rPr>
        <w:t>a</w:t>
      </w:r>
      <w:r w:rsidRPr="00A553D3">
        <w:rPr>
          <w:szCs w:val="18"/>
          <w:lang w:val="en-US"/>
        </w:rPr>
        <w:t>nnex IV.</w:t>
      </w:r>
    </w:p>
  </w:footnote>
  <w:footnote w:id="10">
    <w:p w14:paraId="66151E5B" w14:textId="3D1F158C" w:rsidR="001D5F21" w:rsidRPr="00A553D3" w:rsidRDefault="001D5F21" w:rsidP="00A553D3">
      <w:pPr>
        <w:pStyle w:val="Footnote-Text"/>
        <w:rPr>
          <w:szCs w:val="18"/>
          <w:lang w:val="en-US"/>
        </w:rPr>
      </w:pPr>
      <w:r w:rsidRPr="00A553D3">
        <w:rPr>
          <w:rStyle w:val="FootnoteReference"/>
          <w:sz w:val="18"/>
        </w:rPr>
        <w:footnoteRef/>
      </w:r>
      <w:r w:rsidRPr="00A553D3">
        <w:rPr>
          <w:szCs w:val="18"/>
        </w:rPr>
        <w:t xml:space="preserve"> </w:t>
      </w:r>
      <w:r w:rsidRPr="00A553D3">
        <w:rPr>
          <w:szCs w:val="18"/>
          <w:lang w:val="en-US"/>
        </w:rPr>
        <w:t xml:space="preserve">UNEP/MC/COP.1/5, </w:t>
      </w:r>
      <w:r w:rsidR="00E813F7" w:rsidRPr="00A553D3">
        <w:rPr>
          <w:szCs w:val="18"/>
          <w:lang w:val="en-US"/>
        </w:rPr>
        <w:t>a</w:t>
      </w:r>
      <w:r w:rsidRPr="00A553D3">
        <w:rPr>
          <w:szCs w:val="18"/>
          <w:lang w:val="en-US"/>
        </w:rPr>
        <w:t>nnex III</w:t>
      </w:r>
      <w:r w:rsidR="001C009F" w:rsidRPr="00A553D3">
        <w:rPr>
          <w:szCs w:val="18"/>
          <w:lang w:val="en-US"/>
        </w:rPr>
        <w:t>.</w:t>
      </w:r>
    </w:p>
  </w:footnote>
  <w:footnote w:id="11">
    <w:p w14:paraId="2CD12387" w14:textId="0AAADA48" w:rsidR="009338C3" w:rsidRPr="00647680" w:rsidRDefault="009338C3" w:rsidP="00A553D3">
      <w:pPr>
        <w:pStyle w:val="FootnoteText"/>
        <w:tabs>
          <w:tab w:val="left" w:pos="624"/>
        </w:tabs>
        <w:spacing w:before="20" w:after="40"/>
        <w:ind w:left="1247"/>
        <w:rPr>
          <w:sz w:val="18"/>
          <w:szCs w:val="18"/>
          <w:lang w:val="en-US"/>
        </w:rPr>
      </w:pPr>
      <w:r w:rsidRPr="00647680">
        <w:rPr>
          <w:rStyle w:val="FootnoteReference"/>
          <w:sz w:val="18"/>
        </w:rPr>
        <w:footnoteRef/>
      </w:r>
      <w:r w:rsidRPr="00647680">
        <w:rPr>
          <w:sz w:val="18"/>
          <w:szCs w:val="18"/>
        </w:rPr>
        <w:t xml:space="preserve"> </w:t>
      </w:r>
      <w:r w:rsidR="00F721B2" w:rsidRPr="00647680">
        <w:rPr>
          <w:rStyle w:val="Hyperlink"/>
          <w:sz w:val="18"/>
          <w:szCs w:val="18"/>
        </w:rPr>
        <w:t>https://minamataconvention.org/en/resources/2024-fact-sheet-mercury-trade</w:t>
      </w:r>
      <w:r w:rsidR="00F721B2" w:rsidRPr="00647680">
        <w:rPr>
          <w:sz w:val="18"/>
          <w:szCs w:val="18"/>
        </w:rPr>
        <w:t>.</w:t>
      </w:r>
    </w:p>
  </w:footnote>
  <w:footnote w:id="12">
    <w:p w14:paraId="6280508E" w14:textId="6CF371EF" w:rsidR="00006621" w:rsidRPr="00A553D3" w:rsidRDefault="00006621" w:rsidP="00A553D3">
      <w:pPr>
        <w:pStyle w:val="Footnote-Text"/>
        <w:rPr>
          <w:szCs w:val="18"/>
        </w:rPr>
      </w:pPr>
      <w:r w:rsidRPr="00647680">
        <w:rPr>
          <w:rStyle w:val="FootnoteReference"/>
          <w:sz w:val="18"/>
        </w:rPr>
        <w:footnoteRef/>
      </w:r>
      <w:r w:rsidRPr="00647680">
        <w:rPr>
          <w:szCs w:val="18"/>
        </w:rPr>
        <w:t xml:space="preserve"> GEF project 1047.</w:t>
      </w:r>
    </w:p>
  </w:footnote>
  <w:footnote w:id="13">
    <w:p w14:paraId="1806BBDE" w14:textId="1FEA8657" w:rsidR="00C449A0" w:rsidRPr="00A553D3" w:rsidRDefault="00C449A0" w:rsidP="00A553D3">
      <w:pPr>
        <w:pStyle w:val="Footnote-Text"/>
        <w:rPr>
          <w:szCs w:val="18"/>
          <w:lang w:val="en-US"/>
        </w:rPr>
      </w:pPr>
      <w:r w:rsidRPr="00A553D3">
        <w:rPr>
          <w:rStyle w:val="FootnoteReference"/>
          <w:sz w:val="18"/>
        </w:rPr>
        <w:footnoteRef/>
      </w:r>
      <w:r w:rsidRPr="00A553D3">
        <w:rPr>
          <w:szCs w:val="18"/>
        </w:rPr>
        <w:t xml:space="preserve"> UNEP/MC/COP.6/14, annex, para. 3 (b).</w:t>
      </w:r>
    </w:p>
  </w:footnote>
  <w:footnote w:id="14">
    <w:p w14:paraId="30B12B57" w14:textId="25DEFB9E" w:rsidR="001D5F21" w:rsidRPr="00A553D3" w:rsidRDefault="001D5F21" w:rsidP="00A553D3">
      <w:pPr>
        <w:pStyle w:val="Footnote-Text"/>
        <w:rPr>
          <w:szCs w:val="18"/>
        </w:rPr>
      </w:pPr>
      <w:r w:rsidRPr="00A553D3">
        <w:rPr>
          <w:rStyle w:val="FootnoteReference"/>
          <w:sz w:val="18"/>
        </w:rPr>
        <w:footnoteRef/>
      </w:r>
      <w:r w:rsidRPr="00A553D3">
        <w:rPr>
          <w:szCs w:val="18"/>
        </w:rPr>
        <w:t xml:space="preserve"> For example, the newly launched project </w:t>
      </w:r>
      <w:r w:rsidR="00ED6317" w:rsidRPr="00A553D3">
        <w:rPr>
          <w:szCs w:val="18"/>
        </w:rPr>
        <w:t>en</w:t>
      </w:r>
      <w:r w:rsidRPr="00A553D3">
        <w:rPr>
          <w:szCs w:val="18"/>
        </w:rPr>
        <w:t>titled “Accelerate Minamata Convention compliance through improved understanding and control of mercury trade in Latin America”</w:t>
      </w:r>
      <w:r w:rsidR="00C70986" w:rsidRPr="00A553D3">
        <w:rPr>
          <w:szCs w:val="18"/>
        </w:rPr>
        <w:t>.</w:t>
      </w:r>
    </w:p>
  </w:footnote>
  <w:footnote w:id="15">
    <w:p w14:paraId="17D86574" w14:textId="0804AE29" w:rsidR="001D5F21" w:rsidRPr="00A553D3" w:rsidRDefault="001D5F21" w:rsidP="00A553D3">
      <w:pPr>
        <w:pStyle w:val="Footnote-Text"/>
        <w:rPr>
          <w:szCs w:val="18"/>
        </w:rPr>
      </w:pPr>
      <w:r w:rsidRPr="00A553D3">
        <w:rPr>
          <w:rStyle w:val="FootnoteReference"/>
          <w:sz w:val="18"/>
        </w:rPr>
        <w:footnoteRef/>
      </w:r>
      <w:r w:rsidR="00C70986" w:rsidRPr="00A553D3">
        <w:rPr>
          <w:szCs w:val="18"/>
        </w:rPr>
        <w:t xml:space="preserve"> </w:t>
      </w:r>
      <w:r w:rsidRPr="00A553D3">
        <w:rPr>
          <w:szCs w:val="18"/>
        </w:rPr>
        <w:t>The guidance was adopted in decision MC-1/2</w:t>
      </w:r>
      <w:r w:rsidR="00C70986" w:rsidRPr="00A553D3">
        <w:rPr>
          <w:szCs w:val="18"/>
        </w:rPr>
        <w:t>.</w:t>
      </w:r>
    </w:p>
  </w:footnote>
  <w:footnote w:id="16">
    <w:p w14:paraId="63B8CA23" w14:textId="1D6223F0" w:rsidR="001D5F21" w:rsidRPr="00A553D3" w:rsidRDefault="001D5F21" w:rsidP="00A553D3">
      <w:pPr>
        <w:pStyle w:val="Footnote-Text"/>
        <w:rPr>
          <w:szCs w:val="18"/>
        </w:rPr>
      </w:pPr>
      <w:r w:rsidRPr="00A553D3">
        <w:rPr>
          <w:rStyle w:val="FootnoteReference"/>
          <w:sz w:val="18"/>
        </w:rPr>
        <w:footnoteRef/>
      </w:r>
      <w:r w:rsidRPr="00A553D3">
        <w:rPr>
          <w:szCs w:val="18"/>
        </w:rPr>
        <w:t xml:space="preserve"> The guidance was adopted in decision MC-1/2</w:t>
      </w:r>
      <w:r w:rsidR="00C70986" w:rsidRPr="00A553D3">
        <w:rPr>
          <w:szCs w:val="18"/>
        </w:rPr>
        <w:t>.</w:t>
      </w:r>
    </w:p>
  </w:footnote>
  <w:footnote w:id="17">
    <w:p w14:paraId="432F86FE" w14:textId="6FA7F6C4" w:rsidR="001D5F21" w:rsidRPr="00A553D3" w:rsidRDefault="001D5F21" w:rsidP="00A553D3">
      <w:pPr>
        <w:pStyle w:val="Footnote-Text"/>
        <w:tabs>
          <w:tab w:val="clear" w:pos="1247"/>
          <w:tab w:val="clear" w:pos="1871"/>
          <w:tab w:val="clear" w:pos="2495"/>
          <w:tab w:val="clear" w:pos="3119"/>
          <w:tab w:val="clear" w:pos="3742"/>
          <w:tab w:val="clear" w:pos="4366"/>
        </w:tabs>
        <w:rPr>
          <w:szCs w:val="18"/>
        </w:rPr>
      </w:pPr>
      <w:r w:rsidRPr="00A553D3">
        <w:rPr>
          <w:szCs w:val="18"/>
          <w:vertAlign w:val="superscript"/>
        </w:rPr>
        <w:footnoteRef/>
      </w:r>
      <w:r w:rsidRPr="00A553D3">
        <w:rPr>
          <w:szCs w:val="18"/>
        </w:rPr>
        <w:t xml:space="preserve"> This paragraph </w:t>
      </w:r>
      <w:r w:rsidR="003A0C4A" w:rsidRPr="00A553D3">
        <w:rPr>
          <w:szCs w:val="18"/>
        </w:rPr>
        <w:t>w</w:t>
      </w:r>
      <w:r w:rsidRPr="00A553D3">
        <w:rPr>
          <w:szCs w:val="18"/>
        </w:rPr>
        <w:t xml:space="preserve">as prepared by the secretariat on the basis of </w:t>
      </w:r>
      <w:r w:rsidR="00EA5B55" w:rsidRPr="00A553D3">
        <w:rPr>
          <w:szCs w:val="18"/>
        </w:rPr>
        <w:t>the</w:t>
      </w:r>
      <w:r w:rsidRPr="00A553D3">
        <w:rPr>
          <w:szCs w:val="18"/>
        </w:rPr>
        <w:t xml:space="preserve"> recommendation of the Implementation and Compliance Committee (UNEP/MC/COP.6/14</w:t>
      </w:r>
      <w:r w:rsidR="00EA5B55" w:rsidRPr="00A553D3">
        <w:rPr>
          <w:szCs w:val="18"/>
        </w:rPr>
        <w:t xml:space="preserve">, annex, </w:t>
      </w:r>
      <w:r w:rsidR="00444E13" w:rsidRPr="00A553D3">
        <w:rPr>
          <w:szCs w:val="18"/>
        </w:rPr>
        <w:t>para. 3 (b)</w:t>
      </w:r>
      <w:r w:rsidRPr="00A553D3">
        <w:rPr>
          <w:szCs w:val="18"/>
        </w:rPr>
        <w:t>).</w:t>
      </w:r>
    </w:p>
  </w:footnote>
  <w:footnote w:id="18">
    <w:p w14:paraId="115A95CB" w14:textId="45D11624" w:rsidR="001D5F21" w:rsidRPr="00A553D3" w:rsidRDefault="001D5F21" w:rsidP="00A553D3">
      <w:pPr>
        <w:pStyle w:val="Footnote-Text"/>
        <w:rPr>
          <w:szCs w:val="18"/>
          <w:lang w:val="en-US"/>
        </w:rPr>
      </w:pPr>
      <w:r w:rsidRPr="00A553D3">
        <w:rPr>
          <w:rStyle w:val="FootnoteReference"/>
          <w:sz w:val="18"/>
        </w:rPr>
        <w:footnoteRef/>
      </w:r>
      <w:r w:rsidRPr="00A553D3">
        <w:rPr>
          <w:szCs w:val="18"/>
        </w:rPr>
        <w:t xml:space="preserve"> </w:t>
      </w:r>
      <w:r w:rsidRPr="00A553D3">
        <w:rPr>
          <w:szCs w:val="18"/>
          <w:lang w:val="en-US"/>
        </w:rPr>
        <w:t>UNEP/MC/COP.1/5, annex IV</w:t>
      </w:r>
      <w:r w:rsidR="0045596E" w:rsidRPr="00A553D3">
        <w:rPr>
          <w:szCs w:val="18"/>
          <w:lang w:val="en-US"/>
        </w:rPr>
        <w:t>.</w:t>
      </w:r>
    </w:p>
  </w:footnote>
  <w:footnote w:id="19">
    <w:p w14:paraId="1E6D53B3" w14:textId="254847D3" w:rsidR="005257E0" w:rsidRPr="00A553D3" w:rsidRDefault="005257E0" w:rsidP="00A553D3">
      <w:pPr>
        <w:pStyle w:val="Footnote-Text"/>
        <w:rPr>
          <w:szCs w:val="18"/>
          <w:lang w:val="en-US"/>
        </w:rPr>
      </w:pPr>
      <w:r w:rsidRPr="00A553D3">
        <w:rPr>
          <w:rStyle w:val="FootnoteReference"/>
          <w:sz w:val="18"/>
        </w:rPr>
        <w:footnoteRef/>
      </w:r>
      <w:r w:rsidRPr="00A553D3">
        <w:rPr>
          <w:szCs w:val="18"/>
        </w:rPr>
        <w:t xml:space="preserve"> </w:t>
      </w:r>
      <w:r w:rsidRPr="00A553D3">
        <w:rPr>
          <w:szCs w:val="18"/>
          <w:lang w:val="en-US"/>
        </w:rPr>
        <w:t>UNEP/MC/COP.1/5, annex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9209" w14:textId="6A3D9140" w:rsidR="001D5F21" w:rsidRPr="00153AFF" w:rsidRDefault="00153AFF" w:rsidP="00153AFF">
    <w:pPr>
      <w:pStyle w:val="Header-pool"/>
    </w:pPr>
    <w:r>
      <w:fldChar w:fldCharType="begin"/>
    </w:r>
    <w:r>
      <w:instrText xml:space="preserve"> StyleRef A_Symbol </w:instrText>
    </w:r>
    <w:r>
      <w:fldChar w:fldCharType="separate"/>
    </w:r>
    <w:r w:rsidR="004D0A8B">
      <w:rPr>
        <w:noProof/>
      </w:rPr>
      <w:t>UNEP/MC/COP.6/5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14EF" w14:textId="56583365" w:rsidR="001D5F21" w:rsidRPr="00153AFF" w:rsidRDefault="00153AFF" w:rsidP="00153AFF">
    <w:pPr>
      <w:pStyle w:val="Header-pool"/>
      <w:jc w:val="right"/>
    </w:pPr>
    <w:r>
      <w:fldChar w:fldCharType="begin"/>
    </w:r>
    <w:r>
      <w:instrText xml:space="preserve"> StyleRef A_Symbol </w:instrText>
    </w:r>
    <w:r>
      <w:fldChar w:fldCharType="separate"/>
    </w:r>
    <w:r w:rsidR="004D0A8B">
      <w:rPr>
        <w:noProof/>
      </w:rPr>
      <w:t>UNEP/MC/COP.6/5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EFA4" w14:textId="77777777" w:rsidR="004D0A8B" w:rsidRDefault="004D0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989E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AE1F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0A3F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8651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E61B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08AE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E0AC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A6AB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EB1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50EA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3"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num w:numId="1" w16cid:durableId="560672902">
    <w:abstractNumId w:val="15"/>
  </w:num>
  <w:num w:numId="2" w16cid:durableId="1242644713">
    <w:abstractNumId w:val="17"/>
  </w:num>
  <w:num w:numId="3" w16cid:durableId="1933662228">
    <w:abstractNumId w:val="14"/>
  </w:num>
  <w:num w:numId="4" w16cid:durableId="1991909117">
    <w:abstractNumId w:val="10"/>
  </w:num>
  <w:num w:numId="5" w16cid:durableId="1138956019">
    <w:abstractNumId w:val="11"/>
  </w:num>
  <w:num w:numId="6" w16cid:durableId="679965264">
    <w:abstractNumId w:val="9"/>
  </w:num>
  <w:num w:numId="7" w16cid:durableId="660428053">
    <w:abstractNumId w:val="7"/>
  </w:num>
  <w:num w:numId="8" w16cid:durableId="1437599777">
    <w:abstractNumId w:val="6"/>
  </w:num>
  <w:num w:numId="9" w16cid:durableId="749086602">
    <w:abstractNumId w:val="5"/>
  </w:num>
  <w:num w:numId="10" w16cid:durableId="513419187">
    <w:abstractNumId w:val="4"/>
  </w:num>
  <w:num w:numId="11" w16cid:durableId="1003972054">
    <w:abstractNumId w:val="8"/>
  </w:num>
  <w:num w:numId="12" w16cid:durableId="760761981">
    <w:abstractNumId w:val="3"/>
  </w:num>
  <w:num w:numId="13" w16cid:durableId="1658609440">
    <w:abstractNumId w:val="2"/>
  </w:num>
  <w:num w:numId="14" w16cid:durableId="1453472873">
    <w:abstractNumId w:val="1"/>
  </w:num>
  <w:num w:numId="15" w16cid:durableId="2139833679">
    <w:abstractNumId w:val="0"/>
  </w:num>
  <w:num w:numId="16" w16cid:durableId="1454905938">
    <w:abstractNumId w:val="13"/>
  </w:num>
  <w:num w:numId="17" w16cid:durableId="1008680776">
    <w:abstractNumId w:val="18"/>
  </w:num>
  <w:num w:numId="18" w16cid:durableId="613025342">
    <w:abstractNumId w:val="12"/>
  </w:num>
  <w:num w:numId="19" w16cid:durableId="724642070">
    <w:abstractNumId w:val="16"/>
  </w:num>
  <w:num w:numId="20" w16cid:durableId="1791243902">
    <w:abstractNumId w:val="15"/>
  </w:num>
  <w:num w:numId="21" w16cid:durableId="17511366">
    <w:abstractNumId w:val="15"/>
  </w:num>
  <w:num w:numId="22" w16cid:durableId="596595912">
    <w:abstractNumId w:val="15"/>
  </w:num>
  <w:num w:numId="23" w16cid:durableId="1490321238">
    <w:abstractNumId w:val="15"/>
  </w:num>
  <w:num w:numId="24" w16cid:durableId="1489007707">
    <w:abstractNumId w:val="15"/>
  </w:num>
  <w:num w:numId="25" w16cid:durableId="177890439">
    <w:abstractNumId w:val="15"/>
  </w:num>
  <w:num w:numId="26" w16cid:durableId="1873155322">
    <w:abstractNumId w:val="15"/>
  </w:num>
  <w:num w:numId="27" w16cid:durableId="343673033">
    <w:abstractNumId w:val="15"/>
  </w:num>
  <w:num w:numId="28" w16cid:durableId="159202860">
    <w:abstractNumId w:val="15"/>
  </w:num>
  <w:num w:numId="29" w16cid:durableId="640309452">
    <w:abstractNumId w:val="15"/>
  </w:num>
  <w:num w:numId="30" w16cid:durableId="1671519933">
    <w:abstractNumId w:val="15"/>
  </w:num>
  <w:num w:numId="31" w16cid:durableId="1802115043">
    <w:abstractNumId w:val="15"/>
  </w:num>
  <w:num w:numId="32" w16cid:durableId="358972491">
    <w:abstractNumId w:val="15"/>
  </w:num>
  <w:num w:numId="33" w16cid:durableId="1654679956">
    <w:abstractNumId w:val="15"/>
  </w:num>
  <w:num w:numId="34" w16cid:durableId="1953510390">
    <w:abstractNumId w:val="15"/>
  </w:num>
  <w:num w:numId="35" w16cid:durableId="320088966">
    <w:abstractNumId w:val="15"/>
  </w:num>
  <w:num w:numId="36" w16cid:durableId="92481897">
    <w:abstractNumId w:val="15"/>
  </w:num>
  <w:num w:numId="37" w16cid:durableId="1182164045">
    <w:abstractNumId w:val="15"/>
  </w:num>
  <w:num w:numId="38" w16cid:durableId="280652549">
    <w:abstractNumId w:val="15"/>
  </w:num>
  <w:num w:numId="39" w16cid:durableId="1307934019">
    <w:abstractNumId w:val="15"/>
  </w:num>
  <w:num w:numId="40" w16cid:durableId="143458886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21"/>
    <w:rsid w:val="00001BDA"/>
    <w:rsid w:val="000020BF"/>
    <w:rsid w:val="000031F3"/>
    <w:rsid w:val="00006621"/>
    <w:rsid w:val="00011018"/>
    <w:rsid w:val="000149E6"/>
    <w:rsid w:val="00016AF3"/>
    <w:rsid w:val="000208C8"/>
    <w:rsid w:val="000213BE"/>
    <w:rsid w:val="000247B0"/>
    <w:rsid w:val="00026997"/>
    <w:rsid w:val="000330D1"/>
    <w:rsid w:val="00033E0B"/>
    <w:rsid w:val="00035EDE"/>
    <w:rsid w:val="000408B9"/>
    <w:rsid w:val="000441D2"/>
    <w:rsid w:val="000509B4"/>
    <w:rsid w:val="00056B2C"/>
    <w:rsid w:val="0006035B"/>
    <w:rsid w:val="00062E7B"/>
    <w:rsid w:val="00064BD5"/>
    <w:rsid w:val="000670A2"/>
    <w:rsid w:val="000704FC"/>
    <w:rsid w:val="0007139E"/>
    <w:rsid w:val="0007166E"/>
    <w:rsid w:val="00071886"/>
    <w:rsid w:val="000742BC"/>
    <w:rsid w:val="0008041D"/>
    <w:rsid w:val="00082A0C"/>
    <w:rsid w:val="00082DCD"/>
    <w:rsid w:val="00083425"/>
    <w:rsid w:val="00083504"/>
    <w:rsid w:val="000868A2"/>
    <w:rsid w:val="00086C68"/>
    <w:rsid w:val="0008710B"/>
    <w:rsid w:val="0009640C"/>
    <w:rsid w:val="000A1B76"/>
    <w:rsid w:val="000A3721"/>
    <w:rsid w:val="000A498B"/>
    <w:rsid w:val="000A78E9"/>
    <w:rsid w:val="000B0FC0"/>
    <w:rsid w:val="000B21D5"/>
    <w:rsid w:val="000B22A2"/>
    <w:rsid w:val="000B2315"/>
    <w:rsid w:val="000C0A19"/>
    <w:rsid w:val="000C1933"/>
    <w:rsid w:val="000C1BF5"/>
    <w:rsid w:val="000C2A52"/>
    <w:rsid w:val="000C46A9"/>
    <w:rsid w:val="000D33C0"/>
    <w:rsid w:val="000D482A"/>
    <w:rsid w:val="000D5884"/>
    <w:rsid w:val="000D6941"/>
    <w:rsid w:val="000D71B6"/>
    <w:rsid w:val="000E0405"/>
    <w:rsid w:val="000E0A62"/>
    <w:rsid w:val="000E28FB"/>
    <w:rsid w:val="000E39B4"/>
    <w:rsid w:val="000F5E5C"/>
    <w:rsid w:val="000F6CFF"/>
    <w:rsid w:val="00104FFF"/>
    <w:rsid w:val="00115F73"/>
    <w:rsid w:val="001163AF"/>
    <w:rsid w:val="001202E3"/>
    <w:rsid w:val="0012217E"/>
    <w:rsid w:val="00123699"/>
    <w:rsid w:val="00124EA7"/>
    <w:rsid w:val="00127C39"/>
    <w:rsid w:val="0013059D"/>
    <w:rsid w:val="00132383"/>
    <w:rsid w:val="0014083A"/>
    <w:rsid w:val="00141A55"/>
    <w:rsid w:val="00141F2F"/>
    <w:rsid w:val="001446A3"/>
    <w:rsid w:val="00153AFF"/>
    <w:rsid w:val="00154B23"/>
    <w:rsid w:val="00155395"/>
    <w:rsid w:val="0016402D"/>
    <w:rsid w:val="00172E6C"/>
    <w:rsid w:val="00173D27"/>
    <w:rsid w:val="00174739"/>
    <w:rsid w:val="0018127C"/>
    <w:rsid w:val="00181EC8"/>
    <w:rsid w:val="00181FC0"/>
    <w:rsid w:val="00184349"/>
    <w:rsid w:val="0019161E"/>
    <w:rsid w:val="00195F33"/>
    <w:rsid w:val="00197C63"/>
    <w:rsid w:val="00197FEB"/>
    <w:rsid w:val="001A0404"/>
    <w:rsid w:val="001A5EE1"/>
    <w:rsid w:val="001A7FF9"/>
    <w:rsid w:val="001B1617"/>
    <w:rsid w:val="001B2892"/>
    <w:rsid w:val="001B504B"/>
    <w:rsid w:val="001B5F37"/>
    <w:rsid w:val="001C009F"/>
    <w:rsid w:val="001C29FC"/>
    <w:rsid w:val="001C3475"/>
    <w:rsid w:val="001C49D3"/>
    <w:rsid w:val="001D0A2F"/>
    <w:rsid w:val="001D3874"/>
    <w:rsid w:val="001D5235"/>
    <w:rsid w:val="001D5344"/>
    <w:rsid w:val="001D5F21"/>
    <w:rsid w:val="001D7E75"/>
    <w:rsid w:val="001E22D1"/>
    <w:rsid w:val="001E56D2"/>
    <w:rsid w:val="001E7D56"/>
    <w:rsid w:val="001F75DE"/>
    <w:rsid w:val="002004CF"/>
    <w:rsid w:val="00200D58"/>
    <w:rsid w:val="002013BE"/>
    <w:rsid w:val="002023B8"/>
    <w:rsid w:val="00203BA9"/>
    <w:rsid w:val="002063A4"/>
    <w:rsid w:val="00206F97"/>
    <w:rsid w:val="0021145B"/>
    <w:rsid w:val="00213C20"/>
    <w:rsid w:val="00214277"/>
    <w:rsid w:val="00217E95"/>
    <w:rsid w:val="00217FD8"/>
    <w:rsid w:val="0022021C"/>
    <w:rsid w:val="00221560"/>
    <w:rsid w:val="0022762D"/>
    <w:rsid w:val="00232303"/>
    <w:rsid w:val="0023443A"/>
    <w:rsid w:val="00234806"/>
    <w:rsid w:val="0023552B"/>
    <w:rsid w:val="002378D6"/>
    <w:rsid w:val="00240B62"/>
    <w:rsid w:val="00241006"/>
    <w:rsid w:val="00243D36"/>
    <w:rsid w:val="00246D9E"/>
    <w:rsid w:val="00247707"/>
    <w:rsid w:val="00247952"/>
    <w:rsid w:val="002514B0"/>
    <w:rsid w:val="00256D79"/>
    <w:rsid w:val="0025739E"/>
    <w:rsid w:val="0026246E"/>
    <w:rsid w:val="00263171"/>
    <w:rsid w:val="00277919"/>
    <w:rsid w:val="002817F2"/>
    <w:rsid w:val="00286740"/>
    <w:rsid w:val="00287A10"/>
    <w:rsid w:val="00287B42"/>
    <w:rsid w:val="002929D8"/>
    <w:rsid w:val="002935C2"/>
    <w:rsid w:val="00293607"/>
    <w:rsid w:val="00295B2D"/>
    <w:rsid w:val="002A237D"/>
    <w:rsid w:val="002A4C53"/>
    <w:rsid w:val="002B0672"/>
    <w:rsid w:val="002B1A4B"/>
    <w:rsid w:val="002B1B4C"/>
    <w:rsid w:val="002B247F"/>
    <w:rsid w:val="002C145D"/>
    <w:rsid w:val="002C2C3E"/>
    <w:rsid w:val="002C533E"/>
    <w:rsid w:val="002C5525"/>
    <w:rsid w:val="002D027F"/>
    <w:rsid w:val="002D04AF"/>
    <w:rsid w:val="002D52C1"/>
    <w:rsid w:val="002D7A85"/>
    <w:rsid w:val="002D7B60"/>
    <w:rsid w:val="002E19D4"/>
    <w:rsid w:val="002E5B50"/>
    <w:rsid w:val="002F0146"/>
    <w:rsid w:val="002F0362"/>
    <w:rsid w:val="002F4761"/>
    <w:rsid w:val="002F4E2B"/>
    <w:rsid w:val="002F5C79"/>
    <w:rsid w:val="002F6F84"/>
    <w:rsid w:val="003019E2"/>
    <w:rsid w:val="00303D10"/>
    <w:rsid w:val="0031413F"/>
    <w:rsid w:val="0031422D"/>
    <w:rsid w:val="003148BB"/>
    <w:rsid w:val="0031677B"/>
    <w:rsid w:val="00317976"/>
    <w:rsid w:val="00323885"/>
    <w:rsid w:val="0032403B"/>
    <w:rsid w:val="00331475"/>
    <w:rsid w:val="0033149A"/>
    <w:rsid w:val="00331C22"/>
    <w:rsid w:val="00336CFC"/>
    <w:rsid w:val="003400E0"/>
    <w:rsid w:val="003405AB"/>
    <w:rsid w:val="00342719"/>
    <w:rsid w:val="0034432B"/>
    <w:rsid w:val="003449C4"/>
    <w:rsid w:val="003463BB"/>
    <w:rsid w:val="00351A93"/>
    <w:rsid w:val="00355CFF"/>
    <w:rsid w:val="00355EA9"/>
    <w:rsid w:val="003578DE"/>
    <w:rsid w:val="00364288"/>
    <w:rsid w:val="00365F6B"/>
    <w:rsid w:val="0037085A"/>
    <w:rsid w:val="00370BF9"/>
    <w:rsid w:val="00371340"/>
    <w:rsid w:val="003759E2"/>
    <w:rsid w:val="00375D39"/>
    <w:rsid w:val="0038187B"/>
    <w:rsid w:val="003834BA"/>
    <w:rsid w:val="00386999"/>
    <w:rsid w:val="00390145"/>
    <w:rsid w:val="00390BA1"/>
    <w:rsid w:val="00391092"/>
    <w:rsid w:val="003938E3"/>
    <w:rsid w:val="00394379"/>
    <w:rsid w:val="00396257"/>
    <w:rsid w:val="00397C83"/>
    <w:rsid w:val="00397EB8"/>
    <w:rsid w:val="003A07AB"/>
    <w:rsid w:val="003A086E"/>
    <w:rsid w:val="003A0C4A"/>
    <w:rsid w:val="003A37B8"/>
    <w:rsid w:val="003A4FD0"/>
    <w:rsid w:val="003A69D1"/>
    <w:rsid w:val="003A7705"/>
    <w:rsid w:val="003B0C90"/>
    <w:rsid w:val="003B1545"/>
    <w:rsid w:val="003B32DA"/>
    <w:rsid w:val="003C035E"/>
    <w:rsid w:val="003C25D3"/>
    <w:rsid w:val="003C3267"/>
    <w:rsid w:val="003C409D"/>
    <w:rsid w:val="003C5BA6"/>
    <w:rsid w:val="003D200D"/>
    <w:rsid w:val="003D23C3"/>
    <w:rsid w:val="003D5C51"/>
    <w:rsid w:val="003E0A7C"/>
    <w:rsid w:val="003E3A20"/>
    <w:rsid w:val="003E7BA3"/>
    <w:rsid w:val="003F0E85"/>
    <w:rsid w:val="003F2AC7"/>
    <w:rsid w:val="003F5D44"/>
    <w:rsid w:val="00403AB8"/>
    <w:rsid w:val="004043F3"/>
    <w:rsid w:val="00404CB5"/>
    <w:rsid w:val="00405251"/>
    <w:rsid w:val="00410C55"/>
    <w:rsid w:val="0041604D"/>
    <w:rsid w:val="00416854"/>
    <w:rsid w:val="00417725"/>
    <w:rsid w:val="0041779A"/>
    <w:rsid w:val="00417B99"/>
    <w:rsid w:val="004227D8"/>
    <w:rsid w:val="004243EA"/>
    <w:rsid w:val="00426F40"/>
    <w:rsid w:val="004300F9"/>
    <w:rsid w:val="00437F26"/>
    <w:rsid w:val="00442645"/>
    <w:rsid w:val="00442D01"/>
    <w:rsid w:val="00444097"/>
    <w:rsid w:val="00444E13"/>
    <w:rsid w:val="00445487"/>
    <w:rsid w:val="00447CDE"/>
    <w:rsid w:val="00447DDA"/>
    <w:rsid w:val="00450BF1"/>
    <w:rsid w:val="0045348A"/>
    <w:rsid w:val="00454769"/>
    <w:rsid w:val="0045596E"/>
    <w:rsid w:val="00456272"/>
    <w:rsid w:val="00456D58"/>
    <w:rsid w:val="00466991"/>
    <w:rsid w:val="00466B02"/>
    <w:rsid w:val="0047064C"/>
    <w:rsid w:val="0047111B"/>
    <w:rsid w:val="00474D90"/>
    <w:rsid w:val="00476CC1"/>
    <w:rsid w:val="00477AFF"/>
    <w:rsid w:val="004812BE"/>
    <w:rsid w:val="00481F0B"/>
    <w:rsid w:val="00484DF2"/>
    <w:rsid w:val="00485FCE"/>
    <w:rsid w:val="004901BC"/>
    <w:rsid w:val="00492B2B"/>
    <w:rsid w:val="00493155"/>
    <w:rsid w:val="004949D8"/>
    <w:rsid w:val="00495260"/>
    <w:rsid w:val="00495BFE"/>
    <w:rsid w:val="00496DE2"/>
    <w:rsid w:val="004A0D4C"/>
    <w:rsid w:val="004A2BB3"/>
    <w:rsid w:val="004A42E1"/>
    <w:rsid w:val="004B162C"/>
    <w:rsid w:val="004B1A38"/>
    <w:rsid w:val="004B299F"/>
    <w:rsid w:val="004C2598"/>
    <w:rsid w:val="004C30CB"/>
    <w:rsid w:val="004C3DBE"/>
    <w:rsid w:val="004C5C96"/>
    <w:rsid w:val="004C63B2"/>
    <w:rsid w:val="004C7D77"/>
    <w:rsid w:val="004D06A4"/>
    <w:rsid w:val="004D0A8B"/>
    <w:rsid w:val="004D1D63"/>
    <w:rsid w:val="004D2A7E"/>
    <w:rsid w:val="004D5942"/>
    <w:rsid w:val="004D60EA"/>
    <w:rsid w:val="004E0E1C"/>
    <w:rsid w:val="004E1594"/>
    <w:rsid w:val="004E59D4"/>
    <w:rsid w:val="004E604F"/>
    <w:rsid w:val="004E67CE"/>
    <w:rsid w:val="004E79AC"/>
    <w:rsid w:val="004F10E9"/>
    <w:rsid w:val="004F1A81"/>
    <w:rsid w:val="004F3B71"/>
    <w:rsid w:val="005002C9"/>
    <w:rsid w:val="005058BB"/>
    <w:rsid w:val="00505E53"/>
    <w:rsid w:val="00511044"/>
    <w:rsid w:val="0051260D"/>
    <w:rsid w:val="00520016"/>
    <w:rsid w:val="00520E42"/>
    <w:rsid w:val="005218D9"/>
    <w:rsid w:val="00521B3C"/>
    <w:rsid w:val="005257E0"/>
    <w:rsid w:val="00530824"/>
    <w:rsid w:val="00532E47"/>
    <w:rsid w:val="00536186"/>
    <w:rsid w:val="00536826"/>
    <w:rsid w:val="0054337C"/>
    <w:rsid w:val="00544CBB"/>
    <w:rsid w:val="005469B5"/>
    <w:rsid w:val="00550518"/>
    <w:rsid w:val="00552CD6"/>
    <w:rsid w:val="00561E8A"/>
    <w:rsid w:val="00570095"/>
    <w:rsid w:val="00572FAA"/>
    <w:rsid w:val="0057315F"/>
    <w:rsid w:val="00575DF1"/>
    <w:rsid w:val="00576104"/>
    <w:rsid w:val="005810B6"/>
    <w:rsid w:val="00585BE4"/>
    <w:rsid w:val="0059121F"/>
    <w:rsid w:val="00592B39"/>
    <w:rsid w:val="005940BC"/>
    <w:rsid w:val="00594BA0"/>
    <w:rsid w:val="005951D9"/>
    <w:rsid w:val="005A0421"/>
    <w:rsid w:val="005A3517"/>
    <w:rsid w:val="005B25B7"/>
    <w:rsid w:val="005B47DD"/>
    <w:rsid w:val="005B559B"/>
    <w:rsid w:val="005C67C8"/>
    <w:rsid w:val="005C7B91"/>
    <w:rsid w:val="005D0249"/>
    <w:rsid w:val="005D52ED"/>
    <w:rsid w:val="005D5B4F"/>
    <w:rsid w:val="005D67B6"/>
    <w:rsid w:val="005D6E8C"/>
    <w:rsid w:val="005E2728"/>
    <w:rsid w:val="005E63E6"/>
    <w:rsid w:val="005E7263"/>
    <w:rsid w:val="005F100C"/>
    <w:rsid w:val="005F64D5"/>
    <w:rsid w:val="005F68DA"/>
    <w:rsid w:val="005F75E6"/>
    <w:rsid w:val="005F7FFC"/>
    <w:rsid w:val="006014DD"/>
    <w:rsid w:val="00601E1C"/>
    <w:rsid w:val="00603D64"/>
    <w:rsid w:val="0060773B"/>
    <w:rsid w:val="00607D94"/>
    <w:rsid w:val="006157B5"/>
    <w:rsid w:val="006248A7"/>
    <w:rsid w:val="006263A7"/>
    <w:rsid w:val="006268F1"/>
    <w:rsid w:val="00626FC6"/>
    <w:rsid w:val="006303B4"/>
    <w:rsid w:val="006324CF"/>
    <w:rsid w:val="00633CEB"/>
    <w:rsid w:val="00633D3D"/>
    <w:rsid w:val="00633F3A"/>
    <w:rsid w:val="00634915"/>
    <w:rsid w:val="00634E3F"/>
    <w:rsid w:val="00634F89"/>
    <w:rsid w:val="006400F6"/>
    <w:rsid w:val="00641703"/>
    <w:rsid w:val="00641D58"/>
    <w:rsid w:val="00642F5F"/>
    <w:rsid w:val="006431A6"/>
    <w:rsid w:val="006450BE"/>
    <w:rsid w:val="006459F6"/>
    <w:rsid w:val="00646E86"/>
    <w:rsid w:val="0064718D"/>
    <w:rsid w:val="00647680"/>
    <w:rsid w:val="006501AD"/>
    <w:rsid w:val="00651BFA"/>
    <w:rsid w:val="006533B3"/>
    <w:rsid w:val="00654B1A"/>
    <w:rsid w:val="00655797"/>
    <w:rsid w:val="00661221"/>
    <w:rsid w:val="00663153"/>
    <w:rsid w:val="00663A80"/>
    <w:rsid w:val="0066581F"/>
    <w:rsid w:val="00665A4B"/>
    <w:rsid w:val="00666081"/>
    <w:rsid w:val="00670ECE"/>
    <w:rsid w:val="006715E6"/>
    <w:rsid w:val="00671916"/>
    <w:rsid w:val="006731FE"/>
    <w:rsid w:val="006747FA"/>
    <w:rsid w:val="00680098"/>
    <w:rsid w:val="00682C88"/>
    <w:rsid w:val="006875F4"/>
    <w:rsid w:val="00692E2A"/>
    <w:rsid w:val="00694697"/>
    <w:rsid w:val="006A4B74"/>
    <w:rsid w:val="006A5D55"/>
    <w:rsid w:val="006A76F2"/>
    <w:rsid w:val="006B04A5"/>
    <w:rsid w:val="006B288B"/>
    <w:rsid w:val="006B5E0F"/>
    <w:rsid w:val="006C0A9E"/>
    <w:rsid w:val="006C1328"/>
    <w:rsid w:val="006C1D42"/>
    <w:rsid w:val="006C3DDA"/>
    <w:rsid w:val="006C5FC0"/>
    <w:rsid w:val="006D1AED"/>
    <w:rsid w:val="006D3277"/>
    <w:rsid w:val="006D5D72"/>
    <w:rsid w:val="006D7520"/>
    <w:rsid w:val="006D7EFB"/>
    <w:rsid w:val="006E3FE9"/>
    <w:rsid w:val="006E6672"/>
    <w:rsid w:val="006E6722"/>
    <w:rsid w:val="006E7A39"/>
    <w:rsid w:val="006F10F1"/>
    <w:rsid w:val="006F11C7"/>
    <w:rsid w:val="006F2C7D"/>
    <w:rsid w:val="006F6B03"/>
    <w:rsid w:val="0070184B"/>
    <w:rsid w:val="007027B9"/>
    <w:rsid w:val="007064FB"/>
    <w:rsid w:val="00713D8F"/>
    <w:rsid w:val="0071487C"/>
    <w:rsid w:val="00715E88"/>
    <w:rsid w:val="0072508B"/>
    <w:rsid w:val="007260F7"/>
    <w:rsid w:val="007312E2"/>
    <w:rsid w:val="00732257"/>
    <w:rsid w:val="00734CAA"/>
    <w:rsid w:val="00735007"/>
    <w:rsid w:val="00735E3A"/>
    <w:rsid w:val="00736583"/>
    <w:rsid w:val="00751000"/>
    <w:rsid w:val="0075473A"/>
    <w:rsid w:val="00755106"/>
    <w:rsid w:val="0075533C"/>
    <w:rsid w:val="00757581"/>
    <w:rsid w:val="007611A0"/>
    <w:rsid w:val="0076269C"/>
    <w:rsid w:val="007658A0"/>
    <w:rsid w:val="00771992"/>
    <w:rsid w:val="00776F8A"/>
    <w:rsid w:val="00780AD8"/>
    <w:rsid w:val="00781538"/>
    <w:rsid w:val="0078194C"/>
    <w:rsid w:val="00782370"/>
    <w:rsid w:val="00783907"/>
    <w:rsid w:val="0079262B"/>
    <w:rsid w:val="00796D3F"/>
    <w:rsid w:val="007A006F"/>
    <w:rsid w:val="007A1452"/>
    <w:rsid w:val="007A1683"/>
    <w:rsid w:val="007A1B2E"/>
    <w:rsid w:val="007A36F8"/>
    <w:rsid w:val="007A3ECF"/>
    <w:rsid w:val="007A455D"/>
    <w:rsid w:val="007A5C12"/>
    <w:rsid w:val="007A6F0A"/>
    <w:rsid w:val="007A7CB0"/>
    <w:rsid w:val="007B68A3"/>
    <w:rsid w:val="007B69A9"/>
    <w:rsid w:val="007C02CD"/>
    <w:rsid w:val="007C2541"/>
    <w:rsid w:val="007C3B24"/>
    <w:rsid w:val="007C45A4"/>
    <w:rsid w:val="007C6D79"/>
    <w:rsid w:val="007C725D"/>
    <w:rsid w:val="007D0B06"/>
    <w:rsid w:val="007D0E1B"/>
    <w:rsid w:val="007D66A8"/>
    <w:rsid w:val="007D6821"/>
    <w:rsid w:val="007D773D"/>
    <w:rsid w:val="007E003F"/>
    <w:rsid w:val="007E0C8C"/>
    <w:rsid w:val="007F1270"/>
    <w:rsid w:val="007F3BA6"/>
    <w:rsid w:val="00802E72"/>
    <w:rsid w:val="00805F1D"/>
    <w:rsid w:val="008152AE"/>
    <w:rsid w:val="008164F2"/>
    <w:rsid w:val="00816B20"/>
    <w:rsid w:val="00816C70"/>
    <w:rsid w:val="00817785"/>
    <w:rsid w:val="00820DEE"/>
    <w:rsid w:val="00821395"/>
    <w:rsid w:val="00830BCD"/>
    <w:rsid w:val="00830E26"/>
    <w:rsid w:val="0083441B"/>
    <w:rsid w:val="00836B09"/>
    <w:rsid w:val="00836DB8"/>
    <w:rsid w:val="00843142"/>
    <w:rsid w:val="00843576"/>
    <w:rsid w:val="00843B64"/>
    <w:rsid w:val="008470BD"/>
    <w:rsid w:val="008478FC"/>
    <w:rsid w:val="00860EDE"/>
    <w:rsid w:val="00864680"/>
    <w:rsid w:val="00867BFF"/>
    <w:rsid w:val="008722FB"/>
    <w:rsid w:val="00883E73"/>
    <w:rsid w:val="0088480A"/>
    <w:rsid w:val="0088757A"/>
    <w:rsid w:val="008902E4"/>
    <w:rsid w:val="00890851"/>
    <w:rsid w:val="00894D87"/>
    <w:rsid w:val="008957DD"/>
    <w:rsid w:val="00896073"/>
    <w:rsid w:val="00897D98"/>
    <w:rsid w:val="008A1976"/>
    <w:rsid w:val="008A26B4"/>
    <w:rsid w:val="008A6413"/>
    <w:rsid w:val="008A665D"/>
    <w:rsid w:val="008A6DF2"/>
    <w:rsid w:val="008A7807"/>
    <w:rsid w:val="008B0D6B"/>
    <w:rsid w:val="008B3832"/>
    <w:rsid w:val="008B4CC9"/>
    <w:rsid w:val="008B6B2C"/>
    <w:rsid w:val="008C13F0"/>
    <w:rsid w:val="008C1B8B"/>
    <w:rsid w:val="008C7FBB"/>
    <w:rsid w:val="008D0DB4"/>
    <w:rsid w:val="008D15E5"/>
    <w:rsid w:val="008D3AE0"/>
    <w:rsid w:val="008D426B"/>
    <w:rsid w:val="008D7C99"/>
    <w:rsid w:val="008E0FCB"/>
    <w:rsid w:val="008F10FF"/>
    <w:rsid w:val="008F1855"/>
    <w:rsid w:val="008F2DEE"/>
    <w:rsid w:val="0090505D"/>
    <w:rsid w:val="00905F66"/>
    <w:rsid w:val="00906D3C"/>
    <w:rsid w:val="00907CBC"/>
    <w:rsid w:val="00907D78"/>
    <w:rsid w:val="0092178C"/>
    <w:rsid w:val="00922373"/>
    <w:rsid w:val="0092493F"/>
    <w:rsid w:val="00930288"/>
    <w:rsid w:val="00930B88"/>
    <w:rsid w:val="0093199F"/>
    <w:rsid w:val="00932F6D"/>
    <w:rsid w:val="009338C3"/>
    <w:rsid w:val="009356B5"/>
    <w:rsid w:val="009378DC"/>
    <w:rsid w:val="00940DCC"/>
    <w:rsid w:val="0094179A"/>
    <w:rsid w:val="0094459E"/>
    <w:rsid w:val="00944DBC"/>
    <w:rsid w:val="009461C5"/>
    <w:rsid w:val="00946488"/>
    <w:rsid w:val="00950977"/>
    <w:rsid w:val="00951A7B"/>
    <w:rsid w:val="00952A53"/>
    <w:rsid w:val="00955A63"/>
    <w:rsid w:val="009564A6"/>
    <w:rsid w:val="00961A33"/>
    <w:rsid w:val="009628B9"/>
    <w:rsid w:val="00962EA9"/>
    <w:rsid w:val="0096643B"/>
    <w:rsid w:val="00967621"/>
    <w:rsid w:val="00967E6A"/>
    <w:rsid w:val="00974617"/>
    <w:rsid w:val="00974B69"/>
    <w:rsid w:val="00980797"/>
    <w:rsid w:val="00980C38"/>
    <w:rsid w:val="009816D2"/>
    <w:rsid w:val="009935AC"/>
    <w:rsid w:val="009A12F1"/>
    <w:rsid w:val="009A49FD"/>
    <w:rsid w:val="009A5C05"/>
    <w:rsid w:val="009A6054"/>
    <w:rsid w:val="009A665A"/>
    <w:rsid w:val="009A6D34"/>
    <w:rsid w:val="009B3487"/>
    <w:rsid w:val="009B4A0F"/>
    <w:rsid w:val="009B7AC4"/>
    <w:rsid w:val="009B7B49"/>
    <w:rsid w:val="009C0FEC"/>
    <w:rsid w:val="009C11D2"/>
    <w:rsid w:val="009C52B1"/>
    <w:rsid w:val="009C59E4"/>
    <w:rsid w:val="009C6C3E"/>
    <w:rsid w:val="009C6C70"/>
    <w:rsid w:val="009D0922"/>
    <w:rsid w:val="009D0B63"/>
    <w:rsid w:val="009E044D"/>
    <w:rsid w:val="009E1A50"/>
    <w:rsid w:val="009E1EC2"/>
    <w:rsid w:val="009E2EE5"/>
    <w:rsid w:val="009E307E"/>
    <w:rsid w:val="009E47E3"/>
    <w:rsid w:val="009E4CA2"/>
    <w:rsid w:val="00A02839"/>
    <w:rsid w:val="00A03A4A"/>
    <w:rsid w:val="00A07870"/>
    <w:rsid w:val="00A07F19"/>
    <w:rsid w:val="00A11E70"/>
    <w:rsid w:val="00A1348D"/>
    <w:rsid w:val="00A142D1"/>
    <w:rsid w:val="00A147C6"/>
    <w:rsid w:val="00A1489E"/>
    <w:rsid w:val="00A1517E"/>
    <w:rsid w:val="00A168D3"/>
    <w:rsid w:val="00A17D4F"/>
    <w:rsid w:val="00A210A2"/>
    <w:rsid w:val="00A22EBB"/>
    <w:rsid w:val="00A232EE"/>
    <w:rsid w:val="00A23846"/>
    <w:rsid w:val="00A260B1"/>
    <w:rsid w:val="00A33A5F"/>
    <w:rsid w:val="00A340A2"/>
    <w:rsid w:val="00A4175F"/>
    <w:rsid w:val="00A44411"/>
    <w:rsid w:val="00A469FA"/>
    <w:rsid w:val="00A50E94"/>
    <w:rsid w:val="00A553D3"/>
    <w:rsid w:val="00A555E1"/>
    <w:rsid w:val="00A55B01"/>
    <w:rsid w:val="00A5662A"/>
    <w:rsid w:val="00A56B5B"/>
    <w:rsid w:val="00A603FF"/>
    <w:rsid w:val="00A63122"/>
    <w:rsid w:val="00A65080"/>
    <w:rsid w:val="00A657DD"/>
    <w:rsid w:val="00A666A6"/>
    <w:rsid w:val="00A675FD"/>
    <w:rsid w:val="00A72437"/>
    <w:rsid w:val="00A74D2C"/>
    <w:rsid w:val="00A80262"/>
    <w:rsid w:val="00A80611"/>
    <w:rsid w:val="00A80897"/>
    <w:rsid w:val="00A81AF5"/>
    <w:rsid w:val="00A84B15"/>
    <w:rsid w:val="00A87016"/>
    <w:rsid w:val="00AA7909"/>
    <w:rsid w:val="00AB1F69"/>
    <w:rsid w:val="00AB2DCA"/>
    <w:rsid w:val="00AB5292"/>
    <w:rsid w:val="00AB5340"/>
    <w:rsid w:val="00AC010E"/>
    <w:rsid w:val="00AC01CC"/>
    <w:rsid w:val="00AC16B8"/>
    <w:rsid w:val="00AC5A8C"/>
    <w:rsid w:val="00AC7C96"/>
    <w:rsid w:val="00AD08A6"/>
    <w:rsid w:val="00AD52B2"/>
    <w:rsid w:val="00AD6FD2"/>
    <w:rsid w:val="00AE2184"/>
    <w:rsid w:val="00AE237D"/>
    <w:rsid w:val="00AE2A3D"/>
    <w:rsid w:val="00AE502A"/>
    <w:rsid w:val="00AE563A"/>
    <w:rsid w:val="00AE5D74"/>
    <w:rsid w:val="00AF0DF7"/>
    <w:rsid w:val="00AF203B"/>
    <w:rsid w:val="00AF2735"/>
    <w:rsid w:val="00AF2A31"/>
    <w:rsid w:val="00AF47FF"/>
    <w:rsid w:val="00AF60CA"/>
    <w:rsid w:val="00AF7C07"/>
    <w:rsid w:val="00B04A62"/>
    <w:rsid w:val="00B15126"/>
    <w:rsid w:val="00B15D92"/>
    <w:rsid w:val="00B2086B"/>
    <w:rsid w:val="00B22C93"/>
    <w:rsid w:val="00B27589"/>
    <w:rsid w:val="00B27D8F"/>
    <w:rsid w:val="00B30F6F"/>
    <w:rsid w:val="00B335CC"/>
    <w:rsid w:val="00B34C47"/>
    <w:rsid w:val="00B36CF6"/>
    <w:rsid w:val="00B37EF9"/>
    <w:rsid w:val="00B401A5"/>
    <w:rsid w:val="00B405B7"/>
    <w:rsid w:val="00B411F3"/>
    <w:rsid w:val="00B41EA4"/>
    <w:rsid w:val="00B45E6D"/>
    <w:rsid w:val="00B52222"/>
    <w:rsid w:val="00B523A2"/>
    <w:rsid w:val="00B54FE7"/>
    <w:rsid w:val="00B5507C"/>
    <w:rsid w:val="00B57404"/>
    <w:rsid w:val="00B57C47"/>
    <w:rsid w:val="00B61677"/>
    <w:rsid w:val="00B62758"/>
    <w:rsid w:val="00B66901"/>
    <w:rsid w:val="00B6727B"/>
    <w:rsid w:val="00B71E6D"/>
    <w:rsid w:val="00B71F16"/>
    <w:rsid w:val="00B72070"/>
    <w:rsid w:val="00B779E1"/>
    <w:rsid w:val="00B811F0"/>
    <w:rsid w:val="00B814B7"/>
    <w:rsid w:val="00B81AD6"/>
    <w:rsid w:val="00B83F0B"/>
    <w:rsid w:val="00B859A3"/>
    <w:rsid w:val="00B91EE1"/>
    <w:rsid w:val="00B9419A"/>
    <w:rsid w:val="00B94220"/>
    <w:rsid w:val="00B945DE"/>
    <w:rsid w:val="00BA0090"/>
    <w:rsid w:val="00BA1A67"/>
    <w:rsid w:val="00BA3C6C"/>
    <w:rsid w:val="00BB49DE"/>
    <w:rsid w:val="00BC07FE"/>
    <w:rsid w:val="00BD0163"/>
    <w:rsid w:val="00BD159E"/>
    <w:rsid w:val="00BD3885"/>
    <w:rsid w:val="00BD7477"/>
    <w:rsid w:val="00BE0391"/>
    <w:rsid w:val="00BE580D"/>
    <w:rsid w:val="00BE5B5F"/>
    <w:rsid w:val="00BE78D2"/>
    <w:rsid w:val="00BF19FE"/>
    <w:rsid w:val="00BF3662"/>
    <w:rsid w:val="00BF4307"/>
    <w:rsid w:val="00C04BC1"/>
    <w:rsid w:val="00C05C67"/>
    <w:rsid w:val="00C11879"/>
    <w:rsid w:val="00C21BBA"/>
    <w:rsid w:val="00C2342C"/>
    <w:rsid w:val="00C26F55"/>
    <w:rsid w:val="00C30C63"/>
    <w:rsid w:val="00C32B37"/>
    <w:rsid w:val="00C32C03"/>
    <w:rsid w:val="00C33261"/>
    <w:rsid w:val="00C33B62"/>
    <w:rsid w:val="00C36B8B"/>
    <w:rsid w:val="00C374F5"/>
    <w:rsid w:val="00C43EBB"/>
    <w:rsid w:val="00C449A0"/>
    <w:rsid w:val="00C47911"/>
    <w:rsid w:val="00C47DBF"/>
    <w:rsid w:val="00C53666"/>
    <w:rsid w:val="00C543A5"/>
    <w:rsid w:val="00C54C5A"/>
    <w:rsid w:val="00C552FF"/>
    <w:rsid w:val="00C558DA"/>
    <w:rsid w:val="00C55AF3"/>
    <w:rsid w:val="00C60713"/>
    <w:rsid w:val="00C60FEC"/>
    <w:rsid w:val="00C70986"/>
    <w:rsid w:val="00C70B49"/>
    <w:rsid w:val="00C720E3"/>
    <w:rsid w:val="00C756B6"/>
    <w:rsid w:val="00C75848"/>
    <w:rsid w:val="00C75C7C"/>
    <w:rsid w:val="00C81951"/>
    <w:rsid w:val="00C83A8F"/>
    <w:rsid w:val="00C84759"/>
    <w:rsid w:val="00C85AB9"/>
    <w:rsid w:val="00C87C87"/>
    <w:rsid w:val="00C9014B"/>
    <w:rsid w:val="00C90C23"/>
    <w:rsid w:val="00C92A6A"/>
    <w:rsid w:val="00C952AC"/>
    <w:rsid w:val="00C95DE0"/>
    <w:rsid w:val="00C97578"/>
    <w:rsid w:val="00CA38D6"/>
    <w:rsid w:val="00CA6C7F"/>
    <w:rsid w:val="00CA76AC"/>
    <w:rsid w:val="00CA78AF"/>
    <w:rsid w:val="00CB2C2E"/>
    <w:rsid w:val="00CB4545"/>
    <w:rsid w:val="00CB6F8C"/>
    <w:rsid w:val="00CC0260"/>
    <w:rsid w:val="00CC0A31"/>
    <w:rsid w:val="00CC10A6"/>
    <w:rsid w:val="00CC64D3"/>
    <w:rsid w:val="00CD3204"/>
    <w:rsid w:val="00CD5D22"/>
    <w:rsid w:val="00CD5EB8"/>
    <w:rsid w:val="00CD6AC7"/>
    <w:rsid w:val="00CD7044"/>
    <w:rsid w:val="00CE08B9"/>
    <w:rsid w:val="00CE2CCF"/>
    <w:rsid w:val="00CE3B3D"/>
    <w:rsid w:val="00CE524C"/>
    <w:rsid w:val="00CF141F"/>
    <w:rsid w:val="00CF4777"/>
    <w:rsid w:val="00CF57DA"/>
    <w:rsid w:val="00CF591E"/>
    <w:rsid w:val="00CF5AF8"/>
    <w:rsid w:val="00D03488"/>
    <w:rsid w:val="00D067BB"/>
    <w:rsid w:val="00D070CC"/>
    <w:rsid w:val="00D132C1"/>
    <w:rsid w:val="00D1352A"/>
    <w:rsid w:val="00D13E86"/>
    <w:rsid w:val="00D13EDE"/>
    <w:rsid w:val="00D169AF"/>
    <w:rsid w:val="00D1745E"/>
    <w:rsid w:val="00D22917"/>
    <w:rsid w:val="00D25249"/>
    <w:rsid w:val="00D255A7"/>
    <w:rsid w:val="00D2719B"/>
    <w:rsid w:val="00D306E6"/>
    <w:rsid w:val="00D32574"/>
    <w:rsid w:val="00D35724"/>
    <w:rsid w:val="00D42554"/>
    <w:rsid w:val="00D425CE"/>
    <w:rsid w:val="00D44172"/>
    <w:rsid w:val="00D45D14"/>
    <w:rsid w:val="00D526D8"/>
    <w:rsid w:val="00D52C3E"/>
    <w:rsid w:val="00D5488B"/>
    <w:rsid w:val="00D57983"/>
    <w:rsid w:val="00D614A3"/>
    <w:rsid w:val="00D6387B"/>
    <w:rsid w:val="00D63B8C"/>
    <w:rsid w:val="00D63E2E"/>
    <w:rsid w:val="00D712FD"/>
    <w:rsid w:val="00D72CB6"/>
    <w:rsid w:val="00D739CC"/>
    <w:rsid w:val="00D73D62"/>
    <w:rsid w:val="00D8093D"/>
    <w:rsid w:val="00D8108C"/>
    <w:rsid w:val="00D842AE"/>
    <w:rsid w:val="00D844F0"/>
    <w:rsid w:val="00D86112"/>
    <w:rsid w:val="00D9211C"/>
    <w:rsid w:val="00D92DE0"/>
    <w:rsid w:val="00D92FEF"/>
    <w:rsid w:val="00D93A0F"/>
    <w:rsid w:val="00DA1BCA"/>
    <w:rsid w:val="00DA33C1"/>
    <w:rsid w:val="00DA37D4"/>
    <w:rsid w:val="00DA3FFA"/>
    <w:rsid w:val="00DA5E8B"/>
    <w:rsid w:val="00DA7299"/>
    <w:rsid w:val="00DB36B7"/>
    <w:rsid w:val="00DB3E23"/>
    <w:rsid w:val="00DC0844"/>
    <w:rsid w:val="00DC117B"/>
    <w:rsid w:val="00DC1F6A"/>
    <w:rsid w:val="00DC2B8E"/>
    <w:rsid w:val="00DC3200"/>
    <w:rsid w:val="00DC46FF"/>
    <w:rsid w:val="00DC5254"/>
    <w:rsid w:val="00DC5F1D"/>
    <w:rsid w:val="00DC7940"/>
    <w:rsid w:val="00DC7948"/>
    <w:rsid w:val="00DD1A4F"/>
    <w:rsid w:val="00DD3107"/>
    <w:rsid w:val="00DD5EFF"/>
    <w:rsid w:val="00DD7C2C"/>
    <w:rsid w:val="00DE5ADB"/>
    <w:rsid w:val="00DE6E55"/>
    <w:rsid w:val="00DF5660"/>
    <w:rsid w:val="00E02ABC"/>
    <w:rsid w:val="00E0574F"/>
    <w:rsid w:val="00E06797"/>
    <w:rsid w:val="00E07D3A"/>
    <w:rsid w:val="00E10F96"/>
    <w:rsid w:val="00E1195E"/>
    <w:rsid w:val="00E122BC"/>
    <w:rsid w:val="00E1265B"/>
    <w:rsid w:val="00E13096"/>
    <w:rsid w:val="00E13B48"/>
    <w:rsid w:val="00E13F76"/>
    <w:rsid w:val="00E1404F"/>
    <w:rsid w:val="00E1415E"/>
    <w:rsid w:val="00E212EF"/>
    <w:rsid w:val="00E21A93"/>
    <w:rsid w:val="00E21C83"/>
    <w:rsid w:val="00E230DC"/>
    <w:rsid w:val="00E24ADA"/>
    <w:rsid w:val="00E256F6"/>
    <w:rsid w:val="00E25ABF"/>
    <w:rsid w:val="00E26435"/>
    <w:rsid w:val="00E3283A"/>
    <w:rsid w:val="00E32F59"/>
    <w:rsid w:val="00E3347E"/>
    <w:rsid w:val="00E37F15"/>
    <w:rsid w:val="00E440CD"/>
    <w:rsid w:val="00E441FA"/>
    <w:rsid w:val="00E4694F"/>
    <w:rsid w:val="00E46D9A"/>
    <w:rsid w:val="00E47B43"/>
    <w:rsid w:val="00E509D1"/>
    <w:rsid w:val="00E51470"/>
    <w:rsid w:val="00E5375E"/>
    <w:rsid w:val="00E565FF"/>
    <w:rsid w:val="00E600D6"/>
    <w:rsid w:val="00E62815"/>
    <w:rsid w:val="00E63C75"/>
    <w:rsid w:val="00E643E6"/>
    <w:rsid w:val="00E65388"/>
    <w:rsid w:val="00E659BD"/>
    <w:rsid w:val="00E67833"/>
    <w:rsid w:val="00E71C32"/>
    <w:rsid w:val="00E722C2"/>
    <w:rsid w:val="00E746B2"/>
    <w:rsid w:val="00E74ACB"/>
    <w:rsid w:val="00E74E6E"/>
    <w:rsid w:val="00E813F7"/>
    <w:rsid w:val="00E816CC"/>
    <w:rsid w:val="00E82FF8"/>
    <w:rsid w:val="00E851D7"/>
    <w:rsid w:val="00E85B7D"/>
    <w:rsid w:val="00E9121B"/>
    <w:rsid w:val="00E94B48"/>
    <w:rsid w:val="00E96614"/>
    <w:rsid w:val="00EA0AE2"/>
    <w:rsid w:val="00EA292F"/>
    <w:rsid w:val="00EA2E64"/>
    <w:rsid w:val="00EA39E5"/>
    <w:rsid w:val="00EA5B55"/>
    <w:rsid w:val="00EA62FF"/>
    <w:rsid w:val="00EB3106"/>
    <w:rsid w:val="00EC27E1"/>
    <w:rsid w:val="00EC2819"/>
    <w:rsid w:val="00EC5A46"/>
    <w:rsid w:val="00EC63E2"/>
    <w:rsid w:val="00ED0087"/>
    <w:rsid w:val="00ED1F3E"/>
    <w:rsid w:val="00ED5133"/>
    <w:rsid w:val="00ED6317"/>
    <w:rsid w:val="00ED634C"/>
    <w:rsid w:val="00EE1BA8"/>
    <w:rsid w:val="00EE1E98"/>
    <w:rsid w:val="00EE397B"/>
    <w:rsid w:val="00EE3E3E"/>
    <w:rsid w:val="00EE4483"/>
    <w:rsid w:val="00EE5261"/>
    <w:rsid w:val="00EE5659"/>
    <w:rsid w:val="00EF1337"/>
    <w:rsid w:val="00EF166A"/>
    <w:rsid w:val="00EF22B3"/>
    <w:rsid w:val="00EF469A"/>
    <w:rsid w:val="00EF6C40"/>
    <w:rsid w:val="00F03B69"/>
    <w:rsid w:val="00F0439C"/>
    <w:rsid w:val="00F07A50"/>
    <w:rsid w:val="00F113DA"/>
    <w:rsid w:val="00F12556"/>
    <w:rsid w:val="00F129A9"/>
    <w:rsid w:val="00F23184"/>
    <w:rsid w:val="00F25F15"/>
    <w:rsid w:val="00F319FC"/>
    <w:rsid w:val="00F37DC8"/>
    <w:rsid w:val="00F439B3"/>
    <w:rsid w:val="00F45AA8"/>
    <w:rsid w:val="00F45CD0"/>
    <w:rsid w:val="00F502DD"/>
    <w:rsid w:val="00F50A43"/>
    <w:rsid w:val="00F511D5"/>
    <w:rsid w:val="00F52A1B"/>
    <w:rsid w:val="00F52F9C"/>
    <w:rsid w:val="00F57728"/>
    <w:rsid w:val="00F60D03"/>
    <w:rsid w:val="00F638FC"/>
    <w:rsid w:val="00F64DE4"/>
    <w:rsid w:val="00F650C3"/>
    <w:rsid w:val="00F65D85"/>
    <w:rsid w:val="00F718FC"/>
    <w:rsid w:val="00F71ABC"/>
    <w:rsid w:val="00F7203C"/>
    <w:rsid w:val="00F721B2"/>
    <w:rsid w:val="00F75389"/>
    <w:rsid w:val="00F75453"/>
    <w:rsid w:val="00F7610B"/>
    <w:rsid w:val="00F76FA2"/>
    <w:rsid w:val="00F8091E"/>
    <w:rsid w:val="00F820BE"/>
    <w:rsid w:val="00F82348"/>
    <w:rsid w:val="00F8615C"/>
    <w:rsid w:val="00F92CD1"/>
    <w:rsid w:val="00F93495"/>
    <w:rsid w:val="00F94216"/>
    <w:rsid w:val="00F969E5"/>
    <w:rsid w:val="00F97AEE"/>
    <w:rsid w:val="00F97E54"/>
    <w:rsid w:val="00FA1C95"/>
    <w:rsid w:val="00FA58D5"/>
    <w:rsid w:val="00FA590C"/>
    <w:rsid w:val="00FA6BB0"/>
    <w:rsid w:val="00FB1DFB"/>
    <w:rsid w:val="00FC2BFD"/>
    <w:rsid w:val="00FC675E"/>
    <w:rsid w:val="00FD17AB"/>
    <w:rsid w:val="00FD18C0"/>
    <w:rsid w:val="00FD2D77"/>
    <w:rsid w:val="00FD3E97"/>
    <w:rsid w:val="00FD579D"/>
    <w:rsid w:val="00FD5860"/>
    <w:rsid w:val="00FE352D"/>
    <w:rsid w:val="00FE40EB"/>
    <w:rsid w:val="00FE4D02"/>
    <w:rsid w:val="00FE51C9"/>
    <w:rsid w:val="00FE6E9D"/>
    <w:rsid w:val="00FE6EC6"/>
    <w:rsid w:val="00FE7B2F"/>
    <w:rsid w:val="00FE7D62"/>
    <w:rsid w:val="00FF1930"/>
    <w:rsid w:val="00FF3819"/>
    <w:rsid w:val="03008DD9"/>
    <w:rsid w:val="06BA12E7"/>
    <w:rsid w:val="0902B34F"/>
    <w:rsid w:val="09456B08"/>
    <w:rsid w:val="09CA74FF"/>
    <w:rsid w:val="0A53D320"/>
    <w:rsid w:val="0AEE75FE"/>
    <w:rsid w:val="0C651197"/>
    <w:rsid w:val="0F0EF0B2"/>
    <w:rsid w:val="12715EF0"/>
    <w:rsid w:val="13FC041B"/>
    <w:rsid w:val="1A4CBF94"/>
    <w:rsid w:val="1C4581E1"/>
    <w:rsid w:val="1DA81EBF"/>
    <w:rsid w:val="1F44BED4"/>
    <w:rsid w:val="200B0CBC"/>
    <w:rsid w:val="21DE1C53"/>
    <w:rsid w:val="22155EE0"/>
    <w:rsid w:val="227FD987"/>
    <w:rsid w:val="24269783"/>
    <w:rsid w:val="2B67017C"/>
    <w:rsid w:val="2C58A2D9"/>
    <w:rsid w:val="2E1ED5E4"/>
    <w:rsid w:val="308A1943"/>
    <w:rsid w:val="31C65E42"/>
    <w:rsid w:val="414CE844"/>
    <w:rsid w:val="44B2A7A0"/>
    <w:rsid w:val="4648FB8A"/>
    <w:rsid w:val="473FCDA3"/>
    <w:rsid w:val="47A2ED6C"/>
    <w:rsid w:val="495C9611"/>
    <w:rsid w:val="4BF6C338"/>
    <w:rsid w:val="52C38EEE"/>
    <w:rsid w:val="53BB8857"/>
    <w:rsid w:val="596AD5AD"/>
    <w:rsid w:val="5A6D5B7E"/>
    <w:rsid w:val="5F06124C"/>
    <w:rsid w:val="6485F559"/>
    <w:rsid w:val="65A8DCB2"/>
    <w:rsid w:val="67253E6F"/>
    <w:rsid w:val="68AD7D98"/>
    <w:rsid w:val="6CBFA5C6"/>
    <w:rsid w:val="6E82C83F"/>
    <w:rsid w:val="775E7320"/>
    <w:rsid w:val="79330354"/>
    <w:rsid w:val="795A7E6A"/>
    <w:rsid w:val="79EB5872"/>
    <w:rsid w:val="7E389062"/>
    <w:rsid w:val="7F473AA0"/>
    <w:rsid w:val="7FD8B9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4841B"/>
  <w15:chartTrackingRefBased/>
  <w15:docId w15:val="{47C2F956-686E-41EB-848B-4FF1319F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476CC1"/>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1D5F21"/>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1D5F21"/>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1D5F21"/>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1D5F21"/>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1D5F21"/>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1D5F21"/>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1D5F21"/>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1D5F2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1D5F21"/>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D5F21"/>
    <w:rPr>
      <w:rFonts w:ascii="Times New Roman" w:hAnsi="Times New Roman"/>
      <w:b/>
      <w:sz w:val="18"/>
      <w:lang w:val="en-GB"/>
    </w:rPr>
  </w:style>
  <w:style w:type="table" w:customStyle="1" w:styleId="Tabledocright">
    <w:name w:val="Table_doc_right"/>
    <w:basedOn w:val="TableNormal"/>
    <w:rsid w:val="001D5F2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D5F21"/>
    <w:pPr>
      <w:ind w:left="1000"/>
    </w:pPr>
    <w:rPr>
      <w:sz w:val="18"/>
      <w:szCs w:val="18"/>
    </w:rPr>
  </w:style>
  <w:style w:type="paragraph" w:styleId="TOC7">
    <w:name w:val="toc 7"/>
    <w:basedOn w:val="Normal"/>
    <w:next w:val="Normal"/>
    <w:autoRedefine/>
    <w:semiHidden/>
    <w:rsid w:val="001D5F21"/>
    <w:pPr>
      <w:ind w:left="1200"/>
    </w:pPr>
    <w:rPr>
      <w:sz w:val="18"/>
      <w:szCs w:val="18"/>
    </w:rPr>
  </w:style>
  <w:style w:type="paragraph" w:styleId="TOC8">
    <w:name w:val="toc 8"/>
    <w:basedOn w:val="Normal"/>
    <w:next w:val="Normal"/>
    <w:autoRedefine/>
    <w:semiHidden/>
    <w:rsid w:val="001D5F21"/>
    <w:pPr>
      <w:ind w:left="1400"/>
    </w:pPr>
    <w:rPr>
      <w:sz w:val="18"/>
      <w:szCs w:val="18"/>
    </w:rPr>
  </w:style>
  <w:style w:type="paragraph" w:styleId="TOC9">
    <w:name w:val="toc 9"/>
    <w:basedOn w:val="Normal"/>
    <w:next w:val="Normal"/>
    <w:autoRedefine/>
    <w:semiHidden/>
    <w:rsid w:val="001D5F21"/>
    <w:pPr>
      <w:ind w:left="1600"/>
    </w:pPr>
    <w:rPr>
      <w:sz w:val="18"/>
      <w:szCs w:val="18"/>
    </w:rPr>
  </w:style>
  <w:style w:type="paragraph" w:customStyle="1" w:styleId="Titlefigure">
    <w:name w:val="Title_figure"/>
    <w:basedOn w:val="Titletable"/>
    <w:next w:val="NormalNonumber"/>
    <w:rsid w:val="001D5F21"/>
    <w:pPr>
      <w:tabs>
        <w:tab w:val="clear" w:pos="4990"/>
      </w:tabs>
    </w:pPr>
    <w:rPr>
      <w:bCs w:val="0"/>
    </w:rPr>
  </w:style>
  <w:style w:type="paragraph" w:styleId="TableofFigures">
    <w:name w:val="table of figures"/>
    <w:basedOn w:val="Normal"/>
    <w:next w:val="Normal"/>
    <w:autoRedefine/>
    <w:semiHidden/>
    <w:rsid w:val="001D5F21"/>
    <w:pPr>
      <w:ind w:left="1814" w:hanging="567"/>
    </w:pPr>
  </w:style>
  <w:style w:type="paragraph" w:customStyle="1" w:styleId="CH1">
    <w:name w:val="CH1"/>
    <w:basedOn w:val="Normal-pool"/>
    <w:next w:val="CH2"/>
    <w:qFormat/>
    <w:rsid w:val="001D5F2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1D5F2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D5F2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D5F2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D5F2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D5F21"/>
    <w:pPr>
      <w:tabs>
        <w:tab w:val="left" w:pos="4321"/>
        <w:tab w:val="right" w:pos="8641"/>
      </w:tabs>
      <w:spacing w:before="60"/>
    </w:pPr>
    <w:rPr>
      <w:b/>
      <w:sz w:val="18"/>
    </w:rPr>
  </w:style>
  <w:style w:type="paragraph" w:customStyle="1" w:styleId="Footer-pool">
    <w:name w:val="Footer-pool"/>
    <w:basedOn w:val="Normal-pool"/>
    <w:next w:val="Normal-pool"/>
    <w:rsid w:val="001D5F21"/>
    <w:pPr>
      <w:tabs>
        <w:tab w:val="right" w:pos="8641"/>
      </w:tabs>
      <w:spacing w:after="120"/>
    </w:pPr>
    <w:rPr>
      <w:b/>
      <w:sz w:val="18"/>
    </w:rPr>
  </w:style>
  <w:style w:type="paragraph" w:customStyle="1" w:styleId="Header-pool">
    <w:name w:val="Header-pool"/>
    <w:basedOn w:val="Normal"/>
    <w:next w:val="Normal"/>
    <w:rsid w:val="001D5F21"/>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1D5F21"/>
    <w:rPr>
      <w:rFonts w:ascii="Times New Roman" w:hAnsi="Times New Roman"/>
      <w:color w:val="auto"/>
      <w:sz w:val="20"/>
      <w:szCs w:val="18"/>
      <w:vertAlign w:val="superscript"/>
      <w:lang w:val="en-GB"/>
    </w:rPr>
  </w:style>
  <w:style w:type="table" w:customStyle="1" w:styleId="AATable">
    <w:name w:val="AA_Table"/>
    <w:basedOn w:val="TableNormal"/>
    <w:semiHidden/>
    <w:rsid w:val="001D5F2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D5F21"/>
    <w:pPr>
      <w:keepNext/>
      <w:keepLines/>
      <w:suppressAutoHyphens/>
    </w:pPr>
    <w:rPr>
      <w:b/>
    </w:rPr>
  </w:style>
  <w:style w:type="paragraph" w:customStyle="1" w:styleId="AATitle2">
    <w:name w:val="AA_Title2"/>
    <w:basedOn w:val="AATitle"/>
    <w:qFormat/>
    <w:rsid w:val="001D5F21"/>
    <w:pPr>
      <w:keepNext w:val="0"/>
      <w:keepLines w:val="0"/>
      <w:tabs>
        <w:tab w:val="clear" w:pos="4990"/>
      </w:tabs>
      <w:spacing w:before="120" w:after="120"/>
    </w:pPr>
  </w:style>
  <w:style w:type="paragraph" w:customStyle="1" w:styleId="BBTitle">
    <w:name w:val="BB_Title"/>
    <w:basedOn w:val="Normal-pool"/>
    <w:qFormat/>
    <w:rsid w:val="001D5F21"/>
    <w:pPr>
      <w:keepNext/>
      <w:keepLines/>
      <w:suppressAutoHyphens/>
      <w:spacing w:before="320" w:after="240"/>
      <w:ind w:left="1247" w:right="567"/>
    </w:pPr>
    <w:rPr>
      <w:b/>
      <w:sz w:val="28"/>
      <w:szCs w:val="28"/>
    </w:rPr>
  </w:style>
  <w:style w:type="paragraph" w:customStyle="1" w:styleId="CH4">
    <w:name w:val="CH4"/>
    <w:basedOn w:val="Normal-pool"/>
    <w:next w:val="Normalnumber"/>
    <w:rsid w:val="001D5F21"/>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1D5F21"/>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1D5F21"/>
    <w:rPr>
      <w:color w:val="0000FF"/>
      <w:u w:val="none"/>
      <w:lang w:val="en-GB"/>
    </w:rPr>
  </w:style>
  <w:style w:type="numbering" w:customStyle="1" w:styleId="Normallist">
    <w:name w:val="Normal_list"/>
    <w:basedOn w:val="NoList"/>
    <w:rsid w:val="001D5F21"/>
    <w:pPr>
      <w:numPr>
        <w:numId w:val="1"/>
      </w:numPr>
    </w:pPr>
  </w:style>
  <w:style w:type="paragraph" w:customStyle="1" w:styleId="NormalNonumber">
    <w:name w:val="Normal_No_number"/>
    <w:basedOn w:val="Normal-pool"/>
    <w:qFormat/>
    <w:rsid w:val="001D5F21"/>
    <w:pPr>
      <w:spacing w:after="120"/>
      <w:ind w:left="1247"/>
    </w:pPr>
  </w:style>
  <w:style w:type="paragraph" w:customStyle="1" w:styleId="Normalnumber">
    <w:name w:val="Normal_number"/>
    <w:basedOn w:val="Normal"/>
    <w:link w:val="NormalnumberChar"/>
    <w:qFormat/>
    <w:rsid w:val="001D5F21"/>
    <w:pPr>
      <w:numPr>
        <w:numId w:val="1"/>
      </w:numPr>
      <w:spacing w:after="120"/>
    </w:pPr>
  </w:style>
  <w:style w:type="paragraph" w:customStyle="1" w:styleId="Titletable">
    <w:name w:val="Title_table"/>
    <w:basedOn w:val="Normal-pool"/>
    <w:next w:val="NormalNonumber"/>
    <w:rsid w:val="001D5F21"/>
    <w:pPr>
      <w:keepNext/>
      <w:keepLines/>
      <w:suppressAutoHyphens/>
      <w:spacing w:after="60"/>
      <w:ind w:left="1247"/>
    </w:pPr>
    <w:rPr>
      <w:b/>
      <w:bCs/>
    </w:rPr>
  </w:style>
  <w:style w:type="paragraph" w:styleId="TOC1">
    <w:name w:val="toc 1"/>
    <w:basedOn w:val="Normal"/>
    <w:next w:val="Normal"/>
    <w:autoRedefine/>
    <w:uiPriority w:val="39"/>
    <w:semiHidden/>
    <w:rsid w:val="001D5F21"/>
    <w:pPr>
      <w:tabs>
        <w:tab w:val="right" w:leader="dot" w:pos="9486"/>
      </w:tabs>
      <w:spacing w:before="240"/>
      <w:ind w:left="1984" w:hanging="737"/>
    </w:pPr>
    <w:rPr>
      <w:bCs/>
    </w:rPr>
  </w:style>
  <w:style w:type="paragraph" w:styleId="TOC2">
    <w:name w:val="toc 2"/>
    <w:basedOn w:val="Normal"/>
    <w:next w:val="Normal"/>
    <w:uiPriority w:val="39"/>
    <w:semiHidden/>
    <w:rsid w:val="001D5F21"/>
    <w:pPr>
      <w:tabs>
        <w:tab w:val="right" w:leader="dot" w:pos="9486"/>
      </w:tabs>
      <w:spacing w:before="60"/>
      <w:ind w:left="2608" w:hanging="737"/>
    </w:pPr>
  </w:style>
  <w:style w:type="paragraph" w:styleId="TOC3">
    <w:name w:val="toc 3"/>
    <w:basedOn w:val="Normal"/>
    <w:next w:val="Normal"/>
    <w:semiHidden/>
    <w:rsid w:val="001D5F21"/>
    <w:pPr>
      <w:tabs>
        <w:tab w:val="right" w:leader="dot" w:pos="9486"/>
      </w:tabs>
      <w:ind w:left="3232" w:hanging="737"/>
    </w:pPr>
    <w:rPr>
      <w:iCs/>
    </w:rPr>
  </w:style>
  <w:style w:type="paragraph" w:styleId="TOC4">
    <w:name w:val="toc 4"/>
    <w:basedOn w:val="Normal"/>
    <w:next w:val="Normal"/>
    <w:semiHidden/>
    <w:rsid w:val="001D5F21"/>
    <w:pPr>
      <w:tabs>
        <w:tab w:val="left" w:pos="1000"/>
        <w:tab w:val="right" w:leader="dot" w:pos="9486"/>
      </w:tabs>
      <w:ind w:left="3856" w:hanging="737"/>
    </w:pPr>
    <w:rPr>
      <w:szCs w:val="18"/>
    </w:rPr>
  </w:style>
  <w:style w:type="paragraph" w:styleId="TOC5">
    <w:name w:val="toc 5"/>
    <w:basedOn w:val="Normal"/>
    <w:next w:val="Normal"/>
    <w:semiHidden/>
    <w:rsid w:val="001D5F21"/>
    <w:pPr>
      <w:tabs>
        <w:tab w:val="right" w:leader="dot" w:pos="9486"/>
      </w:tabs>
      <w:ind w:left="4479" w:hanging="737"/>
    </w:pPr>
    <w:rPr>
      <w:sz w:val="18"/>
      <w:szCs w:val="18"/>
    </w:rPr>
  </w:style>
  <w:style w:type="paragraph" w:customStyle="1" w:styleId="ZZAnxheader">
    <w:name w:val="ZZ_Anx_header"/>
    <w:basedOn w:val="Normal-pool"/>
    <w:rsid w:val="001D5F21"/>
    <w:rPr>
      <w:b/>
      <w:bCs/>
      <w:sz w:val="28"/>
      <w:szCs w:val="22"/>
    </w:rPr>
  </w:style>
  <w:style w:type="paragraph" w:customStyle="1" w:styleId="ZZAnxtitle">
    <w:name w:val="ZZ_Anx_title"/>
    <w:basedOn w:val="Normal-pool"/>
    <w:rsid w:val="001D5F21"/>
    <w:pPr>
      <w:spacing w:before="360" w:after="120"/>
      <w:ind w:left="1247"/>
    </w:pPr>
    <w:rPr>
      <w:b/>
      <w:bCs/>
      <w:sz w:val="28"/>
      <w:szCs w:val="26"/>
    </w:rPr>
  </w:style>
  <w:style w:type="paragraph" w:styleId="NormalWeb">
    <w:name w:val="Normal (Web)"/>
    <w:basedOn w:val="Normal"/>
    <w:uiPriority w:val="99"/>
    <w:unhideWhenUsed/>
    <w:rsid w:val="001D5F2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D5F21"/>
    <w:pPr>
      <w:spacing w:before="40" w:after="40"/>
    </w:pPr>
    <w:rPr>
      <w:sz w:val="18"/>
    </w:rPr>
  </w:style>
  <w:style w:type="paragraph" w:customStyle="1" w:styleId="Footnote-Text">
    <w:name w:val="Footnote-Text"/>
    <w:basedOn w:val="Normal-pool"/>
    <w:rsid w:val="001D5F21"/>
    <w:pPr>
      <w:spacing w:before="20" w:after="40"/>
      <w:ind w:left="1247"/>
    </w:pPr>
    <w:rPr>
      <w:sz w:val="18"/>
    </w:rPr>
  </w:style>
  <w:style w:type="paragraph" w:customStyle="1" w:styleId="AConvName">
    <w:name w:val="A_ConvName"/>
    <w:basedOn w:val="Normal-pool"/>
    <w:next w:val="Normal-pool"/>
    <w:rsid w:val="001D5F21"/>
    <w:pPr>
      <w:spacing w:before="120" w:after="240"/>
    </w:pPr>
    <w:rPr>
      <w:rFonts w:ascii="Arial" w:hAnsi="Arial"/>
      <w:b/>
      <w:sz w:val="28"/>
    </w:rPr>
  </w:style>
  <w:style w:type="paragraph" w:customStyle="1" w:styleId="ASymbol">
    <w:name w:val="A_Symbol"/>
    <w:basedOn w:val="Normal-pool"/>
    <w:rsid w:val="001D5F21"/>
    <w:pPr>
      <w:tabs>
        <w:tab w:val="clear" w:pos="624"/>
        <w:tab w:val="clear" w:pos="1247"/>
        <w:tab w:val="right" w:pos="2920"/>
      </w:tabs>
    </w:pPr>
    <w:rPr>
      <w:rFonts w:eastAsia="SimSun"/>
    </w:rPr>
  </w:style>
  <w:style w:type="paragraph" w:customStyle="1" w:styleId="AText">
    <w:name w:val="A_Text"/>
    <w:basedOn w:val="Normal-pool"/>
    <w:rsid w:val="001D5F21"/>
    <w:pPr>
      <w:spacing w:before="120"/>
    </w:pPr>
  </w:style>
  <w:style w:type="paragraph" w:customStyle="1" w:styleId="ATwoLetters">
    <w:name w:val="A_TwoLetters"/>
    <w:basedOn w:val="Normal-pool"/>
    <w:next w:val="Normal-pool"/>
    <w:rsid w:val="001D5F21"/>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1D5F21"/>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1D5F21"/>
    <w:rPr>
      <w:rFonts w:ascii="Tahoma" w:hAnsi="Tahoma" w:cs="Tahoma"/>
      <w:sz w:val="16"/>
      <w:szCs w:val="16"/>
    </w:rPr>
  </w:style>
  <w:style w:type="character" w:customStyle="1" w:styleId="BalloonTextChar">
    <w:name w:val="Balloon Text Char"/>
    <w:basedOn w:val="DefaultParagraphFont"/>
    <w:link w:val="BalloonText"/>
    <w:rsid w:val="001D5F21"/>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1D5F21"/>
    <w:rPr>
      <w:sz w:val="16"/>
      <w:szCs w:val="16"/>
      <w:lang w:val="en-GB"/>
    </w:rPr>
  </w:style>
  <w:style w:type="paragraph" w:styleId="CommentText">
    <w:name w:val="annotation text"/>
    <w:basedOn w:val="Normal"/>
    <w:link w:val="CommentTextChar"/>
    <w:semiHidden/>
    <w:rsid w:val="001D5F21"/>
  </w:style>
  <w:style w:type="character" w:customStyle="1" w:styleId="CommentTextChar">
    <w:name w:val="Comment Text Char"/>
    <w:basedOn w:val="DefaultParagraphFont"/>
    <w:link w:val="CommentText"/>
    <w:semiHidden/>
    <w:rsid w:val="00476CC1"/>
    <w:rPr>
      <w:rFonts w:eastAsia="Times New Roman"/>
      <w:lang w:val="en-GB" w:eastAsia="en-US"/>
    </w:rPr>
  </w:style>
  <w:style w:type="paragraph" w:styleId="CommentSubject">
    <w:name w:val="annotation subject"/>
    <w:basedOn w:val="CommentText"/>
    <w:next w:val="CommentText"/>
    <w:link w:val="CommentSubjectChar"/>
    <w:semiHidden/>
    <w:unhideWhenUsed/>
    <w:rsid w:val="001D5F21"/>
    <w:rPr>
      <w:b/>
      <w:bCs/>
    </w:rPr>
  </w:style>
  <w:style w:type="character" w:customStyle="1" w:styleId="CommentSubjectChar">
    <w:name w:val="Comment Subject Char"/>
    <w:basedOn w:val="CommentTextChar"/>
    <w:link w:val="CommentSubject"/>
    <w:semiHidden/>
    <w:rsid w:val="001D5F21"/>
    <w:rPr>
      <w:rFonts w:eastAsia="Times New Roman"/>
      <w:b/>
      <w:bCs/>
      <w:lang w:val="en-GB" w:eastAsia="en-US"/>
    </w:rPr>
  </w:style>
  <w:style w:type="character" w:styleId="FollowedHyperlink">
    <w:name w:val="FollowedHyperlink"/>
    <w:uiPriority w:val="99"/>
    <w:semiHidden/>
    <w:rsid w:val="001D5F21"/>
    <w:rPr>
      <w:color w:val="0000FF"/>
      <w:u w:val="none"/>
      <w:lang w:val="en-GB"/>
    </w:rPr>
  </w:style>
  <w:style w:type="character" w:customStyle="1" w:styleId="FooterChar">
    <w:name w:val="Footer Char"/>
    <w:basedOn w:val="DefaultParagraphFont"/>
    <w:link w:val="Footer"/>
    <w:uiPriority w:val="99"/>
    <w:rsid w:val="001D5F21"/>
    <w:rPr>
      <w:rFonts w:eastAsia="Times New Roman"/>
      <w:lang w:val="en-GB" w:eastAsia="en-US"/>
    </w:rPr>
  </w:style>
  <w:style w:type="character" w:customStyle="1" w:styleId="HeaderChar">
    <w:name w:val="Header Char"/>
    <w:basedOn w:val="DefaultParagraphFont"/>
    <w:link w:val="Header"/>
    <w:semiHidden/>
    <w:rsid w:val="00476CC1"/>
    <w:rPr>
      <w:rFonts w:eastAsia="Times New Roman"/>
      <w:lang w:val="en-GB" w:eastAsia="en-US"/>
    </w:rPr>
  </w:style>
  <w:style w:type="character" w:customStyle="1" w:styleId="Heading1Char">
    <w:name w:val="Heading 1 Char"/>
    <w:basedOn w:val="DefaultParagraphFont"/>
    <w:link w:val="Heading1"/>
    <w:semiHidden/>
    <w:rsid w:val="00476CC1"/>
    <w:rPr>
      <w:rFonts w:eastAsia="Times New Roman"/>
      <w:b/>
      <w:sz w:val="28"/>
      <w:szCs w:val="28"/>
      <w:lang w:val="en-GB" w:eastAsia="en-US"/>
    </w:rPr>
  </w:style>
  <w:style w:type="character" w:customStyle="1" w:styleId="Heading2Char">
    <w:name w:val="Heading 2 Char"/>
    <w:basedOn w:val="DefaultParagraphFont"/>
    <w:link w:val="Heading2"/>
    <w:semiHidden/>
    <w:rsid w:val="00476CC1"/>
    <w:rPr>
      <w:rFonts w:eastAsia="Times New Roman"/>
      <w:b/>
      <w:sz w:val="24"/>
      <w:szCs w:val="24"/>
      <w:lang w:val="en-GB" w:eastAsia="en-US"/>
    </w:rPr>
  </w:style>
  <w:style w:type="character" w:customStyle="1" w:styleId="Heading3Char">
    <w:name w:val="Heading 3 Char"/>
    <w:basedOn w:val="DefaultParagraphFont"/>
    <w:link w:val="Heading3"/>
    <w:semiHidden/>
    <w:rsid w:val="00476CC1"/>
    <w:rPr>
      <w:rFonts w:eastAsia="Times New Roman"/>
      <w:b/>
      <w:lang w:val="en-GB" w:eastAsia="en-US"/>
    </w:rPr>
  </w:style>
  <w:style w:type="character" w:customStyle="1" w:styleId="Heading4Char">
    <w:name w:val="Heading 4 Char"/>
    <w:basedOn w:val="DefaultParagraphFont"/>
    <w:link w:val="Heading4"/>
    <w:semiHidden/>
    <w:rsid w:val="00476CC1"/>
    <w:rPr>
      <w:rFonts w:eastAsia="Times New Roman"/>
      <w:b/>
      <w:lang w:val="en-GB" w:eastAsia="en-US"/>
    </w:rPr>
  </w:style>
  <w:style w:type="character" w:customStyle="1" w:styleId="Heading5Char">
    <w:name w:val="Heading 5 Char"/>
    <w:basedOn w:val="DefaultParagraphFont"/>
    <w:link w:val="Heading5"/>
    <w:semiHidden/>
    <w:rsid w:val="00476CC1"/>
    <w:rPr>
      <w:rFonts w:eastAsia="Times New Roman"/>
      <w:b/>
      <w:lang w:val="en-GB" w:eastAsia="en-US"/>
    </w:rPr>
  </w:style>
  <w:style w:type="character" w:customStyle="1" w:styleId="Heading6Char">
    <w:name w:val="Heading 6 Char"/>
    <w:basedOn w:val="DefaultParagraphFont"/>
    <w:link w:val="Heading6"/>
    <w:semiHidden/>
    <w:rsid w:val="001D5F21"/>
    <w:rPr>
      <w:rFonts w:eastAsia="Times New Roman"/>
      <w:bCs/>
      <w:sz w:val="24"/>
      <w:lang w:val="en-GB" w:eastAsia="en-US"/>
    </w:rPr>
  </w:style>
  <w:style w:type="character" w:customStyle="1" w:styleId="Heading7Char">
    <w:name w:val="Heading 7 Char"/>
    <w:basedOn w:val="DefaultParagraphFont"/>
    <w:link w:val="Heading7"/>
    <w:semiHidden/>
    <w:rsid w:val="001D5F21"/>
    <w:rPr>
      <w:rFonts w:eastAsia="Times New Roman"/>
      <w:b/>
      <w:snapToGrid w:val="0"/>
      <w:u w:val="single"/>
      <w:lang w:val="en-GB" w:eastAsia="en-US"/>
    </w:rPr>
  </w:style>
  <w:style w:type="character" w:customStyle="1" w:styleId="Heading8Char">
    <w:name w:val="Heading 8 Char"/>
    <w:basedOn w:val="DefaultParagraphFont"/>
    <w:link w:val="Heading8"/>
    <w:semiHidden/>
    <w:rsid w:val="001D5F21"/>
    <w:rPr>
      <w:rFonts w:eastAsia="Times New Roman"/>
      <w:b/>
      <w:snapToGrid w:val="0"/>
      <w:u w:val="single"/>
      <w:lang w:val="en-GB" w:eastAsia="en-US"/>
    </w:rPr>
  </w:style>
  <w:style w:type="character" w:customStyle="1" w:styleId="Heading9Char">
    <w:name w:val="Heading 9 Char"/>
    <w:basedOn w:val="DefaultParagraphFont"/>
    <w:link w:val="Heading9"/>
    <w:semiHidden/>
    <w:rsid w:val="001D5F21"/>
    <w:rPr>
      <w:rFonts w:eastAsia="Times New Roman"/>
      <w:snapToGrid w:val="0"/>
      <w:u w:val="single"/>
      <w:lang w:val="en-GB"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semiHidden/>
    <w:qFormat/>
    <w:rsid w:val="001D5F21"/>
    <w:pPr>
      <w:ind w:left="720"/>
      <w:contextualSpacing/>
    </w:pPr>
  </w:style>
  <w:style w:type="paragraph" w:styleId="NoSpacing">
    <w:name w:val="No Spacing"/>
    <w:uiPriority w:val="1"/>
    <w:semiHidden/>
    <w:qFormat/>
    <w:rsid w:val="001D5F21"/>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1D5F21"/>
    <w:rPr>
      <w:rFonts w:eastAsia="Times New Roman"/>
      <w:lang w:val="en-GB" w:eastAsia="en-US"/>
    </w:rPr>
  </w:style>
  <w:style w:type="character" w:styleId="PlaceholderText">
    <w:name w:val="Placeholder Text"/>
    <w:basedOn w:val="DefaultParagraphFont"/>
    <w:uiPriority w:val="99"/>
    <w:semiHidden/>
    <w:rsid w:val="001D5F21"/>
    <w:rPr>
      <w:color w:val="808080"/>
      <w:lang w:val="en-GB"/>
    </w:rPr>
  </w:style>
  <w:style w:type="table" w:styleId="TableGrid">
    <w:name w:val="Table Grid"/>
    <w:basedOn w:val="TableNormal"/>
    <w:rsid w:val="001D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1D5F21"/>
    <w:pPr>
      <w:spacing w:before="120" w:after="240"/>
    </w:pPr>
  </w:style>
  <w:style w:type="character" w:customStyle="1" w:styleId="ALogoChar">
    <w:name w:val="A_Logo Char"/>
    <w:basedOn w:val="DefaultParagraphFont"/>
    <w:link w:val="ALogo"/>
    <w:rsid w:val="001D5F21"/>
    <w:rPr>
      <w:rFonts w:eastAsia="Times New Roman"/>
      <w:lang w:val="en-GB" w:eastAsia="en-US"/>
    </w:rPr>
  </w:style>
  <w:style w:type="paragraph" w:customStyle="1" w:styleId="ASpacer">
    <w:name w:val="A_Spacer"/>
    <w:basedOn w:val="Normal-pool"/>
    <w:link w:val="ASpacerChar"/>
    <w:qFormat/>
    <w:rsid w:val="001D5F21"/>
    <w:rPr>
      <w:sz w:val="2"/>
    </w:rPr>
  </w:style>
  <w:style w:type="character" w:customStyle="1" w:styleId="ASpacerChar">
    <w:name w:val="A_Spacer Char"/>
    <w:basedOn w:val="DefaultParagraphFont"/>
    <w:link w:val="ASpacer"/>
    <w:rsid w:val="001D5F21"/>
    <w:rPr>
      <w:rFonts w:eastAsia="Times New Roman"/>
      <w:sz w:val="2"/>
      <w:lang w:val="en-GB" w:eastAsia="en-US"/>
    </w:rPr>
  </w:style>
  <w:style w:type="paragraph" w:customStyle="1" w:styleId="AATitle1">
    <w:name w:val="AA_Title1"/>
    <w:basedOn w:val="Normal-pool"/>
    <w:qFormat/>
    <w:rsid w:val="001D5F21"/>
  </w:style>
  <w:style w:type="character" w:styleId="UnresolvedMention">
    <w:name w:val="Unresolved Mention"/>
    <w:basedOn w:val="DefaultParagraphFont"/>
    <w:uiPriority w:val="99"/>
    <w:semiHidden/>
    <w:rsid w:val="001D5F21"/>
    <w:rPr>
      <w:color w:val="605E5C"/>
      <w:shd w:val="clear" w:color="auto" w:fill="E1DFDD"/>
      <w:lang w:val="en-GB"/>
    </w:rPr>
  </w:style>
  <w:style w:type="paragraph" w:customStyle="1" w:styleId="ANormal">
    <w:name w:val="A_Normal"/>
    <w:basedOn w:val="Normal-pool"/>
    <w:qFormat/>
    <w:rsid w:val="001D5F21"/>
  </w:style>
  <w:style w:type="paragraph" w:customStyle="1" w:styleId="AText0">
    <w:name w:val="A_Text0"/>
    <w:basedOn w:val="AText"/>
    <w:next w:val="AText"/>
    <w:qFormat/>
    <w:rsid w:val="001D5F21"/>
    <w:pPr>
      <w:tabs>
        <w:tab w:val="clear" w:pos="4990"/>
      </w:tabs>
      <w:spacing w:before="0" w:after="120"/>
    </w:pPr>
  </w:style>
  <w:style w:type="paragraph" w:styleId="Footer">
    <w:name w:val="footer"/>
    <w:basedOn w:val="Normal"/>
    <w:link w:val="FooterChar"/>
    <w:uiPriority w:val="99"/>
    <w:rsid w:val="001D5F21"/>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semiHidden/>
    <w:rsid w:val="001D5F21"/>
    <w:rPr>
      <w:rFonts w:eastAsia="Times New Roman"/>
      <w:b/>
      <w:sz w:val="18"/>
      <w:lang w:val="en-GB" w:eastAsia="en-US"/>
    </w:rPr>
  </w:style>
  <w:style w:type="paragraph" w:customStyle="1" w:styleId="Normal-pool">
    <w:name w:val="Normal-pool"/>
    <w:link w:val="Normal-poolChar"/>
    <w:qFormat/>
    <w:rsid w:val="001D5F21"/>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1D5F2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D5F21"/>
    <w:pPr>
      <w:spacing w:before="60"/>
      <w:ind w:left="624"/>
    </w:pPr>
    <w:rPr>
      <w:rFonts w:eastAsiaTheme="minorEastAsia"/>
      <w:sz w:val="18"/>
    </w:rPr>
  </w:style>
  <w:style w:type="paragraph" w:styleId="Bibliography">
    <w:name w:val="Bibliography"/>
    <w:basedOn w:val="Normal"/>
    <w:next w:val="Normal"/>
    <w:uiPriority w:val="37"/>
    <w:semiHidden/>
    <w:rsid w:val="001D5F21"/>
  </w:style>
  <w:style w:type="paragraph" w:styleId="BlockText">
    <w:name w:val="Block Text"/>
    <w:basedOn w:val="Normal"/>
    <w:semiHidden/>
    <w:unhideWhenUsed/>
    <w:rsid w:val="001D5F2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D5F21"/>
    <w:pPr>
      <w:spacing w:after="120"/>
    </w:pPr>
  </w:style>
  <w:style w:type="character" w:customStyle="1" w:styleId="BodyTextChar">
    <w:name w:val="Body Text Char"/>
    <w:basedOn w:val="DefaultParagraphFont"/>
    <w:link w:val="BodyText"/>
    <w:semiHidden/>
    <w:rsid w:val="001D5F21"/>
    <w:rPr>
      <w:rFonts w:eastAsia="Times New Roman"/>
      <w:lang w:val="en-GB" w:eastAsia="en-US"/>
    </w:rPr>
  </w:style>
  <w:style w:type="paragraph" w:styleId="BodyText2">
    <w:name w:val="Body Text 2"/>
    <w:basedOn w:val="Normal"/>
    <w:link w:val="BodyText2Char"/>
    <w:semiHidden/>
    <w:unhideWhenUsed/>
    <w:rsid w:val="001D5F21"/>
    <w:pPr>
      <w:spacing w:after="120" w:line="480" w:lineRule="auto"/>
    </w:pPr>
  </w:style>
  <w:style w:type="character" w:customStyle="1" w:styleId="BodyText2Char">
    <w:name w:val="Body Text 2 Char"/>
    <w:basedOn w:val="DefaultParagraphFont"/>
    <w:link w:val="BodyText2"/>
    <w:semiHidden/>
    <w:rsid w:val="001D5F21"/>
    <w:rPr>
      <w:rFonts w:eastAsia="Times New Roman"/>
      <w:lang w:val="en-GB" w:eastAsia="en-US"/>
    </w:rPr>
  </w:style>
  <w:style w:type="paragraph" w:styleId="BodyText3">
    <w:name w:val="Body Text 3"/>
    <w:basedOn w:val="Normal"/>
    <w:link w:val="BodyText3Char"/>
    <w:semiHidden/>
    <w:unhideWhenUsed/>
    <w:rsid w:val="001D5F21"/>
    <w:pPr>
      <w:spacing w:after="120"/>
    </w:pPr>
    <w:rPr>
      <w:sz w:val="16"/>
      <w:szCs w:val="16"/>
    </w:rPr>
  </w:style>
  <w:style w:type="character" w:customStyle="1" w:styleId="BodyText3Char">
    <w:name w:val="Body Text 3 Char"/>
    <w:basedOn w:val="DefaultParagraphFont"/>
    <w:link w:val="BodyText3"/>
    <w:semiHidden/>
    <w:rsid w:val="001D5F21"/>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1D5F21"/>
    <w:pPr>
      <w:spacing w:after="0"/>
      <w:ind w:firstLine="360"/>
    </w:pPr>
  </w:style>
  <w:style w:type="character" w:customStyle="1" w:styleId="BodyTextFirstIndentChar">
    <w:name w:val="Body Text First Indent Char"/>
    <w:basedOn w:val="BodyTextChar"/>
    <w:link w:val="BodyTextFirstIndent"/>
    <w:semiHidden/>
    <w:rsid w:val="001D5F21"/>
    <w:rPr>
      <w:rFonts w:eastAsia="Times New Roman"/>
      <w:lang w:val="en-GB" w:eastAsia="en-US"/>
    </w:rPr>
  </w:style>
  <w:style w:type="paragraph" w:styleId="BodyTextIndent">
    <w:name w:val="Body Text Indent"/>
    <w:basedOn w:val="Normal"/>
    <w:link w:val="BodyTextIndentChar"/>
    <w:semiHidden/>
    <w:unhideWhenUsed/>
    <w:rsid w:val="001D5F21"/>
    <w:pPr>
      <w:spacing w:after="120"/>
      <w:ind w:left="283"/>
    </w:pPr>
  </w:style>
  <w:style w:type="character" w:customStyle="1" w:styleId="BodyTextIndentChar">
    <w:name w:val="Body Text Indent Char"/>
    <w:basedOn w:val="DefaultParagraphFont"/>
    <w:link w:val="BodyTextIndent"/>
    <w:semiHidden/>
    <w:rsid w:val="001D5F21"/>
    <w:rPr>
      <w:rFonts w:eastAsia="Times New Roman"/>
      <w:lang w:val="en-GB" w:eastAsia="en-US"/>
    </w:rPr>
  </w:style>
  <w:style w:type="paragraph" w:styleId="BodyTextFirstIndent2">
    <w:name w:val="Body Text First Indent 2"/>
    <w:basedOn w:val="BodyTextIndent"/>
    <w:link w:val="BodyTextFirstIndent2Char"/>
    <w:semiHidden/>
    <w:unhideWhenUsed/>
    <w:rsid w:val="001D5F21"/>
    <w:pPr>
      <w:spacing w:after="0"/>
      <w:ind w:left="360" w:firstLine="360"/>
    </w:pPr>
  </w:style>
  <w:style w:type="character" w:customStyle="1" w:styleId="BodyTextFirstIndent2Char">
    <w:name w:val="Body Text First Indent 2 Char"/>
    <w:basedOn w:val="BodyTextIndentChar"/>
    <w:link w:val="BodyTextFirstIndent2"/>
    <w:semiHidden/>
    <w:rsid w:val="001D5F21"/>
    <w:rPr>
      <w:rFonts w:eastAsia="Times New Roman"/>
      <w:lang w:val="en-GB" w:eastAsia="en-US"/>
    </w:rPr>
  </w:style>
  <w:style w:type="paragraph" w:styleId="BodyTextIndent2">
    <w:name w:val="Body Text Indent 2"/>
    <w:basedOn w:val="Normal"/>
    <w:link w:val="BodyTextIndent2Char"/>
    <w:semiHidden/>
    <w:unhideWhenUsed/>
    <w:rsid w:val="001D5F21"/>
    <w:pPr>
      <w:spacing w:after="120" w:line="480" w:lineRule="auto"/>
      <w:ind w:left="283"/>
    </w:pPr>
  </w:style>
  <w:style w:type="character" w:customStyle="1" w:styleId="BodyTextIndent2Char">
    <w:name w:val="Body Text Indent 2 Char"/>
    <w:basedOn w:val="DefaultParagraphFont"/>
    <w:link w:val="BodyTextIndent2"/>
    <w:semiHidden/>
    <w:rsid w:val="001D5F21"/>
    <w:rPr>
      <w:rFonts w:eastAsia="Times New Roman"/>
      <w:lang w:val="en-GB" w:eastAsia="en-US"/>
    </w:rPr>
  </w:style>
  <w:style w:type="paragraph" w:styleId="BodyTextIndent3">
    <w:name w:val="Body Text Indent 3"/>
    <w:basedOn w:val="Normal"/>
    <w:link w:val="BodyTextIndent3Char"/>
    <w:semiHidden/>
    <w:unhideWhenUsed/>
    <w:rsid w:val="001D5F21"/>
    <w:pPr>
      <w:spacing w:after="120"/>
      <w:ind w:left="283"/>
    </w:pPr>
    <w:rPr>
      <w:sz w:val="16"/>
      <w:szCs w:val="16"/>
    </w:rPr>
  </w:style>
  <w:style w:type="character" w:customStyle="1" w:styleId="BodyTextIndent3Char">
    <w:name w:val="Body Text Indent 3 Char"/>
    <w:basedOn w:val="DefaultParagraphFont"/>
    <w:link w:val="BodyTextIndent3"/>
    <w:semiHidden/>
    <w:rsid w:val="001D5F21"/>
    <w:rPr>
      <w:rFonts w:eastAsia="Times New Roman"/>
      <w:sz w:val="16"/>
      <w:szCs w:val="16"/>
      <w:lang w:val="en-GB" w:eastAsia="en-US"/>
    </w:rPr>
  </w:style>
  <w:style w:type="character" w:styleId="BookTitle">
    <w:name w:val="Book Title"/>
    <w:basedOn w:val="DefaultParagraphFont"/>
    <w:uiPriority w:val="33"/>
    <w:semiHidden/>
    <w:qFormat/>
    <w:rsid w:val="001D5F21"/>
    <w:rPr>
      <w:b/>
      <w:bCs/>
      <w:i/>
      <w:iCs/>
      <w:spacing w:val="5"/>
      <w:lang w:val="en-GB"/>
    </w:rPr>
  </w:style>
  <w:style w:type="paragraph" w:styleId="Caption">
    <w:name w:val="caption"/>
    <w:basedOn w:val="Normal"/>
    <w:next w:val="Normal"/>
    <w:semiHidden/>
    <w:unhideWhenUsed/>
    <w:qFormat/>
    <w:rsid w:val="001D5F21"/>
    <w:pPr>
      <w:spacing w:after="200"/>
    </w:pPr>
    <w:rPr>
      <w:i/>
      <w:iCs/>
      <w:color w:val="1F497D" w:themeColor="text2"/>
      <w:sz w:val="18"/>
      <w:szCs w:val="18"/>
    </w:rPr>
  </w:style>
  <w:style w:type="paragraph" w:styleId="Closing">
    <w:name w:val="Closing"/>
    <w:basedOn w:val="Normal"/>
    <w:link w:val="ClosingChar"/>
    <w:semiHidden/>
    <w:unhideWhenUsed/>
    <w:rsid w:val="001D5F21"/>
    <w:pPr>
      <w:ind w:left="4252"/>
    </w:pPr>
  </w:style>
  <w:style w:type="character" w:customStyle="1" w:styleId="ClosingChar">
    <w:name w:val="Closing Char"/>
    <w:basedOn w:val="DefaultParagraphFont"/>
    <w:link w:val="Closing"/>
    <w:semiHidden/>
    <w:rsid w:val="001D5F21"/>
    <w:rPr>
      <w:rFonts w:eastAsia="Times New Roman"/>
      <w:lang w:val="en-GB" w:eastAsia="en-US"/>
    </w:rPr>
  </w:style>
  <w:style w:type="table" w:styleId="ColorfulGrid">
    <w:name w:val="Colorful Grid"/>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D5F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D5F2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D5F2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D5F2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D5F2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D5F2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D5F2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D5F2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D5F2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D5F2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D5F2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D5F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D5F2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D5F2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D5F2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D5F2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D5F2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D5F2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D5F21"/>
  </w:style>
  <w:style w:type="character" w:customStyle="1" w:styleId="DateChar">
    <w:name w:val="Date Char"/>
    <w:basedOn w:val="DefaultParagraphFont"/>
    <w:link w:val="Date"/>
    <w:semiHidden/>
    <w:rsid w:val="001D5F21"/>
    <w:rPr>
      <w:rFonts w:eastAsia="Times New Roman"/>
      <w:lang w:val="en-GB" w:eastAsia="en-US"/>
    </w:rPr>
  </w:style>
  <w:style w:type="paragraph" w:styleId="DocumentMap">
    <w:name w:val="Document Map"/>
    <w:basedOn w:val="Normal"/>
    <w:link w:val="DocumentMapChar"/>
    <w:semiHidden/>
    <w:unhideWhenUsed/>
    <w:rsid w:val="001D5F21"/>
    <w:rPr>
      <w:rFonts w:ascii="Segoe UI" w:hAnsi="Segoe UI" w:cs="Segoe UI"/>
      <w:sz w:val="16"/>
      <w:szCs w:val="16"/>
    </w:rPr>
  </w:style>
  <w:style w:type="character" w:customStyle="1" w:styleId="DocumentMapChar">
    <w:name w:val="Document Map Char"/>
    <w:basedOn w:val="DefaultParagraphFont"/>
    <w:link w:val="DocumentMap"/>
    <w:semiHidden/>
    <w:rsid w:val="001D5F21"/>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D5F21"/>
  </w:style>
  <w:style w:type="character" w:customStyle="1" w:styleId="E-mailSignatureChar">
    <w:name w:val="E-mail Signature Char"/>
    <w:basedOn w:val="DefaultParagraphFont"/>
    <w:link w:val="E-mailSignature"/>
    <w:semiHidden/>
    <w:rsid w:val="001D5F21"/>
    <w:rPr>
      <w:rFonts w:eastAsia="Times New Roman"/>
      <w:lang w:val="en-GB" w:eastAsia="en-US"/>
    </w:rPr>
  </w:style>
  <w:style w:type="character" w:styleId="Emphasis">
    <w:name w:val="Emphasis"/>
    <w:basedOn w:val="DefaultParagraphFont"/>
    <w:semiHidden/>
    <w:qFormat/>
    <w:rsid w:val="001D5F21"/>
    <w:rPr>
      <w:i/>
      <w:iCs/>
      <w:lang w:val="en-GB"/>
    </w:rPr>
  </w:style>
  <w:style w:type="character" w:styleId="EndnoteReference">
    <w:name w:val="endnote reference"/>
    <w:basedOn w:val="DefaultParagraphFont"/>
    <w:semiHidden/>
    <w:unhideWhenUsed/>
    <w:rsid w:val="001D5F21"/>
    <w:rPr>
      <w:vertAlign w:val="superscript"/>
      <w:lang w:val="en-GB"/>
    </w:rPr>
  </w:style>
  <w:style w:type="paragraph" w:styleId="EndnoteText">
    <w:name w:val="endnote text"/>
    <w:basedOn w:val="Normal"/>
    <w:link w:val="EndnoteTextChar"/>
    <w:semiHidden/>
    <w:unhideWhenUsed/>
    <w:rsid w:val="001D5F21"/>
  </w:style>
  <w:style w:type="character" w:customStyle="1" w:styleId="EndnoteTextChar">
    <w:name w:val="Endnote Text Char"/>
    <w:basedOn w:val="DefaultParagraphFont"/>
    <w:link w:val="EndnoteText"/>
    <w:semiHidden/>
    <w:rsid w:val="001D5F21"/>
    <w:rPr>
      <w:rFonts w:eastAsia="Times New Roman"/>
      <w:lang w:val="en-GB" w:eastAsia="en-US"/>
    </w:rPr>
  </w:style>
  <w:style w:type="paragraph" w:styleId="EnvelopeAddress">
    <w:name w:val="envelope address"/>
    <w:basedOn w:val="Normal"/>
    <w:semiHidden/>
    <w:unhideWhenUsed/>
    <w:rsid w:val="001D5F2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5F21"/>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semiHidden/>
    <w:qFormat/>
    <w:rsid w:val="001D5F21"/>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semiHidden/>
    <w:rsid w:val="00476CC1"/>
    <w:rPr>
      <w:rFonts w:eastAsia="Times New Roman"/>
      <w:lang w:val="en-GB" w:eastAsia="en-US"/>
    </w:rPr>
  </w:style>
  <w:style w:type="table" w:styleId="GridTable1Light">
    <w:name w:val="Grid Table 1 Light"/>
    <w:basedOn w:val="TableNormal"/>
    <w:uiPriority w:val="46"/>
    <w:rsid w:val="001D5F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F2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F2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F2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F2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F2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F2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F2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F2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5F2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5F2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5F2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5F2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5F2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D5F2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F2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D5F2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D5F2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D5F2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D5F2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D5F2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D5F2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F2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D5F2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D5F2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D5F2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D5F2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D5F2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D5F21"/>
    <w:rPr>
      <w:color w:val="2B579A"/>
      <w:shd w:val="clear" w:color="auto" w:fill="E1DFDD"/>
      <w:lang w:val="en-GB"/>
    </w:rPr>
  </w:style>
  <w:style w:type="character" w:styleId="HTMLAcronym">
    <w:name w:val="HTML Acronym"/>
    <w:basedOn w:val="DefaultParagraphFont"/>
    <w:semiHidden/>
    <w:unhideWhenUsed/>
    <w:rsid w:val="001D5F21"/>
    <w:rPr>
      <w:lang w:val="en-GB"/>
    </w:rPr>
  </w:style>
  <w:style w:type="paragraph" w:styleId="HTMLAddress">
    <w:name w:val="HTML Address"/>
    <w:basedOn w:val="Normal"/>
    <w:link w:val="HTMLAddressChar"/>
    <w:semiHidden/>
    <w:unhideWhenUsed/>
    <w:rsid w:val="001D5F21"/>
    <w:rPr>
      <w:i/>
      <w:iCs/>
    </w:rPr>
  </w:style>
  <w:style w:type="character" w:customStyle="1" w:styleId="HTMLAddressChar">
    <w:name w:val="HTML Address Char"/>
    <w:basedOn w:val="DefaultParagraphFont"/>
    <w:link w:val="HTMLAddress"/>
    <w:semiHidden/>
    <w:rsid w:val="001D5F21"/>
    <w:rPr>
      <w:rFonts w:eastAsia="Times New Roman"/>
      <w:i/>
      <w:iCs/>
      <w:lang w:val="en-GB" w:eastAsia="en-US"/>
    </w:rPr>
  </w:style>
  <w:style w:type="character" w:styleId="HTMLCite">
    <w:name w:val="HTML Cite"/>
    <w:basedOn w:val="DefaultParagraphFont"/>
    <w:semiHidden/>
    <w:unhideWhenUsed/>
    <w:rsid w:val="001D5F21"/>
    <w:rPr>
      <w:i/>
      <w:iCs/>
      <w:lang w:val="en-GB"/>
    </w:rPr>
  </w:style>
  <w:style w:type="character" w:styleId="HTMLCode">
    <w:name w:val="HTML Code"/>
    <w:basedOn w:val="DefaultParagraphFont"/>
    <w:semiHidden/>
    <w:unhideWhenUsed/>
    <w:rsid w:val="001D5F21"/>
    <w:rPr>
      <w:rFonts w:ascii="Consolas" w:hAnsi="Consolas"/>
      <w:sz w:val="20"/>
      <w:szCs w:val="20"/>
      <w:lang w:val="en-GB"/>
    </w:rPr>
  </w:style>
  <w:style w:type="character" w:styleId="HTMLDefinition">
    <w:name w:val="HTML Definition"/>
    <w:basedOn w:val="DefaultParagraphFont"/>
    <w:semiHidden/>
    <w:unhideWhenUsed/>
    <w:rsid w:val="001D5F21"/>
    <w:rPr>
      <w:i/>
      <w:iCs/>
      <w:lang w:val="en-GB"/>
    </w:rPr>
  </w:style>
  <w:style w:type="character" w:styleId="HTMLKeyboard">
    <w:name w:val="HTML Keyboard"/>
    <w:basedOn w:val="DefaultParagraphFont"/>
    <w:semiHidden/>
    <w:unhideWhenUsed/>
    <w:rsid w:val="001D5F21"/>
    <w:rPr>
      <w:rFonts w:ascii="Consolas" w:hAnsi="Consolas"/>
      <w:sz w:val="20"/>
      <w:szCs w:val="20"/>
      <w:lang w:val="en-GB"/>
    </w:rPr>
  </w:style>
  <w:style w:type="paragraph" w:styleId="HTMLPreformatted">
    <w:name w:val="HTML Preformatted"/>
    <w:basedOn w:val="Normal"/>
    <w:link w:val="HTMLPreformattedChar"/>
    <w:semiHidden/>
    <w:unhideWhenUsed/>
    <w:rsid w:val="001D5F21"/>
    <w:rPr>
      <w:rFonts w:ascii="Consolas" w:hAnsi="Consolas"/>
    </w:rPr>
  </w:style>
  <w:style w:type="character" w:customStyle="1" w:styleId="HTMLPreformattedChar">
    <w:name w:val="HTML Preformatted Char"/>
    <w:basedOn w:val="DefaultParagraphFont"/>
    <w:link w:val="HTMLPreformatted"/>
    <w:semiHidden/>
    <w:rsid w:val="001D5F21"/>
    <w:rPr>
      <w:rFonts w:ascii="Consolas" w:eastAsia="Times New Roman" w:hAnsi="Consolas"/>
      <w:lang w:val="en-GB" w:eastAsia="en-US"/>
    </w:rPr>
  </w:style>
  <w:style w:type="character" w:styleId="HTMLSample">
    <w:name w:val="HTML Sample"/>
    <w:basedOn w:val="DefaultParagraphFont"/>
    <w:semiHidden/>
    <w:unhideWhenUsed/>
    <w:rsid w:val="001D5F21"/>
    <w:rPr>
      <w:rFonts w:ascii="Consolas" w:hAnsi="Consolas"/>
      <w:sz w:val="24"/>
      <w:szCs w:val="24"/>
      <w:lang w:val="en-GB"/>
    </w:rPr>
  </w:style>
  <w:style w:type="character" w:styleId="HTMLTypewriter">
    <w:name w:val="HTML Typewriter"/>
    <w:basedOn w:val="DefaultParagraphFont"/>
    <w:semiHidden/>
    <w:unhideWhenUsed/>
    <w:rsid w:val="001D5F21"/>
    <w:rPr>
      <w:rFonts w:ascii="Consolas" w:hAnsi="Consolas"/>
      <w:sz w:val="20"/>
      <w:szCs w:val="20"/>
      <w:lang w:val="en-GB"/>
    </w:rPr>
  </w:style>
  <w:style w:type="character" w:styleId="HTMLVariable">
    <w:name w:val="HTML Variable"/>
    <w:basedOn w:val="DefaultParagraphFont"/>
    <w:semiHidden/>
    <w:unhideWhenUsed/>
    <w:rsid w:val="001D5F21"/>
    <w:rPr>
      <w:i/>
      <w:iCs/>
      <w:lang w:val="en-GB"/>
    </w:rPr>
  </w:style>
  <w:style w:type="paragraph" w:styleId="Index1">
    <w:name w:val="index 1"/>
    <w:basedOn w:val="Normal"/>
    <w:next w:val="Normal"/>
    <w:autoRedefine/>
    <w:semiHidden/>
    <w:unhideWhenUsed/>
    <w:rsid w:val="001D5F21"/>
    <w:pPr>
      <w:tabs>
        <w:tab w:val="clear" w:pos="1247"/>
      </w:tabs>
      <w:ind w:left="200" w:hanging="200"/>
    </w:pPr>
  </w:style>
  <w:style w:type="paragraph" w:styleId="Index2">
    <w:name w:val="index 2"/>
    <w:basedOn w:val="Normal"/>
    <w:next w:val="Normal"/>
    <w:autoRedefine/>
    <w:semiHidden/>
    <w:unhideWhenUsed/>
    <w:rsid w:val="001D5F21"/>
    <w:pPr>
      <w:tabs>
        <w:tab w:val="clear" w:pos="1247"/>
      </w:tabs>
      <w:ind w:left="400" w:hanging="200"/>
    </w:pPr>
  </w:style>
  <w:style w:type="paragraph" w:styleId="Index3">
    <w:name w:val="index 3"/>
    <w:basedOn w:val="Normal"/>
    <w:next w:val="Normal"/>
    <w:autoRedefine/>
    <w:semiHidden/>
    <w:unhideWhenUsed/>
    <w:rsid w:val="001D5F21"/>
    <w:pPr>
      <w:tabs>
        <w:tab w:val="clear" w:pos="1247"/>
      </w:tabs>
      <w:ind w:left="600" w:hanging="200"/>
    </w:pPr>
  </w:style>
  <w:style w:type="paragraph" w:styleId="Index4">
    <w:name w:val="index 4"/>
    <w:basedOn w:val="Normal"/>
    <w:next w:val="Normal"/>
    <w:autoRedefine/>
    <w:semiHidden/>
    <w:unhideWhenUsed/>
    <w:rsid w:val="001D5F21"/>
    <w:pPr>
      <w:tabs>
        <w:tab w:val="clear" w:pos="1247"/>
      </w:tabs>
      <w:ind w:left="800" w:hanging="200"/>
    </w:pPr>
  </w:style>
  <w:style w:type="paragraph" w:styleId="Index5">
    <w:name w:val="index 5"/>
    <w:basedOn w:val="Normal"/>
    <w:next w:val="Normal"/>
    <w:autoRedefine/>
    <w:semiHidden/>
    <w:unhideWhenUsed/>
    <w:rsid w:val="001D5F21"/>
    <w:pPr>
      <w:tabs>
        <w:tab w:val="clear" w:pos="1247"/>
      </w:tabs>
      <w:ind w:left="1000" w:hanging="200"/>
    </w:pPr>
  </w:style>
  <w:style w:type="paragraph" w:styleId="Index6">
    <w:name w:val="index 6"/>
    <w:basedOn w:val="Normal"/>
    <w:next w:val="Normal"/>
    <w:autoRedefine/>
    <w:semiHidden/>
    <w:unhideWhenUsed/>
    <w:rsid w:val="001D5F21"/>
    <w:pPr>
      <w:tabs>
        <w:tab w:val="clear" w:pos="1247"/>
      </w:tabs>
      <w:ind w:left="1200" w:hanging="200"/>
    </w:pPr>
  </w:style>
  <w:style w:type="paragraph" w:styleId="Index7">
    <w:name w:val="index 7"/>
    <w:basedOn w:val="Normal"/>
    <w:next w:val="Normal"/>
    <w:autoRedefine/>
    <w:semiHidden/>
    <w:unhideWhenUsed/>
    <w:rsid w:val="001D5F21"/>
    <w:pPr>
      <w:tabs>
        <w:tab w:val="clear" w:pos="1247"/>
      </w:tabs>
      <w:ind w:left="1400" w:hanging="200"/>
    </w:pPr>
  </w:style>
  <w:style w:type="paragraph" w:styleId="Index8">
    <w:name w:val="index 8"/>
    <w:basedOn w:val="Normal"/>
    <w:next w:val="Normal"/>
    <w:autoRedefine/>
    <w:semiHidden/>
    <w:unhideWhenUsed/>
    <w:rsid w:val="001D5F21"/>
    <w:pPr>
      <w:tabs>
        <w:tab w:val="clear" w:pos="1247"/>
      </w:tabs>
      <w:ind w:left="1600" w:hanging="200"/>
    </w:pPr>
  </w:style>
  <w:style w:type="paragraph" w:styleId="Index9">
    <w:name w:val="index 9"/>
    <w:basedOn w:val="Normal"/>
    <w:next w:val="Normal"/>
    <w:autoRedefine/>
    <w:semiHidden/>
    <w:unhideWhenUsed/>
    <w:rsid w:val="001D5F21"/>
    <w:pPr>
      <w:tabs>
        <w:tab w:val="clear" w:pos="1247"/>
      </w:tabs>
      <w:ind w:left="1800" w:hanging="200"/>
    </w:pPr>
  </w:style>
  <w:style w:type="paragraph" w:styleId="IndexHeading">
    <w:name w:val="index heading"/>
    <w:basedOn w:val="Normal"/>
    <w:next w:val="Index1"/>
    <w:semiHidden/>
    <w:unhideWhenUsed/>
    <w:rsid w:val="001D5F2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D5F21"/>
    <w:rPr>
      <w:i/>
      <w:iCs/>
      <w:color w:val="4F81BD" w:themeColor="accent1"/>
      <w:lang w:val="en-GB"/>
    </w:rPr>
  </w:style>
  <w:style w:type="paragraph" w:styleId="IntenseQuote">
    <w:name w:val="Intense Quote"/>
    <w:basedOn w:val="Normal"/>
    <w:next w:val="Normal"/>
    <w:link w:val="IntenseQuoteChar"/>
    <w:uiPriority w:val="30"/>
    <w:semiHidden/>
    <w:qFormat/>
    <w:rsid w:val="001D5F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476CC1"/>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1D5F21"/>
    <w:rPr>
      <w:b/>
      <w:bCs/>
      <w:smallCaps/>
      <w:color w:val="4F81BD" w:themeColor="accent1"/>
      <w:spacing w:val="5"/>
      <w:lang w:val="en-GB"/>
    </w:rPr>
  </w:style>
  <w:style w:type="table" w:styleId="LightGrid">
    <w:name w:val="Light Grid"/>
    <w:basedOn w:val="TableNormal"/>
    <w:uiPriority w:val="62"/>
    <w:semiHidden/>
    <w:unhideWhenUsed/>
    <w:rsid w:val="001D5F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D5F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D5F2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D5F2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D5F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D5F2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D5F2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D5F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D5F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D5F2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D5F2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D5F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D5F2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D5F2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D5F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D5F2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D5F2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D5F2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D5F2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D5F2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D5F2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D5F21"/>
    <w:rPr>
      <w:lang w:val="en-GB"/>
    </w:rPr>
  </w:style>
  <w:style w:type="paragraph" w:styleId="List">
    <w:name w:val="List"/>
    <w:basedOn w:val="Normal"/>
    <w:semiHidden/>
    <w:unhideWhenUsed/>
    <w:rsid w:val="001D5F21"/>
    <w:pPr>
      <w:ind w:left="283" w:hanging="283"/>
      <w:contextualSpacing/>
    </w:pPr>
  </w:style>
  <w:style w:type="paragraph" w:styleId="List2">
    <w:name w:val="List 2"/>
    <w:basedOn w:val="Normal"/>
    <w:semiHidden/>
    <w:unhideWhenUsed/>
    <w:rsid w:val="001D5F21"/>
    <w:pPr>
      <w:ind w:left="566" w:hanging="283"/>
      <w:contextualSpacing/>
    </w:pPr>
  </w:style>
  <w:style w:type="paragraph" w:styleId="List3">
    <w:name w:val="List 3"/>
    <w:basedOn w:val="Normal"/>
    <w:semiHidden/>
    <w:unhideWhenUsed/>
    <w:rsid w:val="001D5F21"/>
    <w:pPr>
      <w:ind w:left="849" w:hanging="283"/>
      <w:contextualSpacing/>
    </w:pPr>
  </w:style>
  <w:style w:type="paragraph" w:styleId="List4">
    <w:name w:val="List 4"/>
    <w:basedOn w:val="Normal"/>
    <w:semiHidden/>
    <w:unhideWhenUsed/>
    <w:rsid w:val="001D5F21"/>
    <w:pPr>
      <w:ind w:left="1132" w:hanging="283"/>
      <w:contextualSpacing/>
    </w:pPr>
  </w:style>
  <w:style w:type="paragraph" w:styleId="List5">
    <w:name w:val="List 5"/>
    <w:basedOn w:val="Normal"/>
    <w:semiHidden/>
    <w:unhideWhenUsed/>
    <w:rsid w:val="001D5F21"/>
    <w:pPr>
      <w:ind w:left="1415" w:hanging="283"/>
      <w:contextualSpacing/>
    </w:pPr>
  </w:style>
  <w:style w:type="paragraph" w:styleId="ListBullet">
    <w:name w:val="List Bullet"/>
    <w:basedOn w:val="Normal"/>
    <w:semiHidden/>
    <w:rsid w:val="001D5F21"/>
    <w:pPr>
      <w:numPr>
        <w:numId w:val="6"/>
      </w:numPr>
      <w:contextualSpacing/>
    </w:pPr>
  </w:style>
  <w:style w:type="paragraph" w:styleId="ListBullet2">
    <w:name w:val="List Bullet 2"/>
    <w:basedOn w:val="Normal"/>
    <w:semiHidden/>
    <w:unhideWhenUsed/>
    <w:rsid w:val="001D5F21"/>
    <w:pPr>
      <w:numPr>
        <w:numId w:val="7"/>
      </w:numPr>
      <w:contextualSpacing/>
    </w:pPr>
  </w:style>
  <w:style w:type="paragraph" w:styleId="ListBullet3">
    <w:name w:val="List Bullet 3"/>
    <w:basedOn w:val="Normal"/>
    <w:semiHidden/>
    <w:unhideWhenUsed/>
    <w:rsid w:val="001D5F21"/>
    <w:pPr>
      <w:numPr>
        <w:numId w:val="8"/>
      </w:numPr>
      <w:contextualSpacing/>
    </w:pPr>
  </w:style>
  <w:style w:type="paragraph" w:styleId="ListBullet4">
    <w:name w:val="List Bullet 4"/>
    <w:basedOn w:val="Normal"/>
    <w:semiHidden/>
    <w:unhideWhenUsed/>
    <w:rsid w:val="001D5F21"/>
    <w:pPr>
      <w:numPr>
        <w:numId w:val="9"/>
      </w:numPr>
      <w:contextualSpacing/>
    </w:pPr>
  </w:style>
  <w:style w:type="paragraph" w:styleId="ListBullet5">
    <w:name w:val="List Bullet 5"/>
    <w:basedOn w:val="Normal"/>
    <w:semiHidden/>
    <w:unhideWhenUsed/>
    <w:rsid w:val="001D5F21"/>
    <w:pPr>
      <w:numPr>
        <w:numId w:val="10"/>
      </w:numPr>
      <w:contextualSpacing/>
    </w:pPr>
  </w:style>
  <w:style w:type="paragraph" w:styleId="ListContinue">
    <w:name w:val="List Continue"/>
    <w:basedOn w:val="Normal"/>
    <w:semiHidden/>
    <w:unhideWhenUsed/>
    <w:rsid w:val="001D5F21"/>
    <w:pPr>
      <w:spacing w:after="120"/>
      <w:ind w:left="283"/>
      <w:contextualSpacing/>
    </w:pPr>
  </w:style>
  <w:style w:type="paragraph" w:styleId="ListContinue2">
    <w:name w:val="List Continue 2"/>
    <w:basedOn w:val="Normal"/>
    <w:semiHidden/>
    <w:unhideWhenUsed/>
    <w:rsid w:val="001D5F21"/>
    <w:pPr>
      <w:spacing w:after="120"/>
      <w:ind w:left="566"/>
      <w:contextualSpacing/>
    </w:pPr>
  </w:style>
  <w:style w:type="paragraph" w:styleId="ListContinue3">
    <w:name w:val="List Continue 3"/>
    <w:basedOn w:val="Normal"/>
    <w:semiHidden/>
    <w:rsid w:val="001D5F21"/>
    <w:pPr>
      <w:spacing w:after="120"/>
      <w:ind w:left="849"/>
      <w:contextualSpacing/>
    </w:pPr>
  </w:style>
  <w:style w:type="paragraph" w:styleId="ListContinue4">
    <w:name w:val="List Continue 4"/>
    <w:basedOn w:val="Normal"/>
    <w:semiHidden/>
    <w:rsid w:val="001D5F21"/>
    <w:pPr>
      <w:spacing w:after="120"/>
      <w:ind w:left="1132"/>
      <w:contextualSpacing/>
    </w:pPr>
  </w:style>
  <w:style w:type="paragraph" w:styleId="ListContinue5">
    <w:name w:val="List Continue 5"/>
    <w:basedOn w:val="Normal"/>
    <w:semiHidden/>
    <w:rsid w:val="001D5F21"/>
    <w:pPr>
      <w:spacing w:after="120"/>
      <w:ind w:left="1415"/>
      <w:contextualSpacing/>
    </w:pPr>
  </w:style>
  <w:style w:type="paragraph" w:styleId="ListNumber">
    <w:name w:val="List Number"/>
    <w:basedOn w:val="Normal"/>
    <w:semiHidden/>
    <w:rsid w:val="001D5F21"/>
    <w:pPr>
      <w:numPr>
        <w:numId w:val="11"/>
      </w:numPr>
      <w:contextualSpacing/>
    </w:pPr>
  </w:style>
  <w:style w:type="paragraph" w:styleId="ListNumber2">
    <w:name w:val="List Number 2"/>
    <w:basedOn w:val="Normal"/>
    <w:semiHidden/>
    <w:unhideWhenUsed/>
    <w:rsid w:val="001D5F21"/>
    <w:pPr>
      <w:numPr>
        <w:numId w:val="12"/>
      </w:numPr>
      <w:contextualSpacing/>
    </w:pPr>
  </w:style>
  <w:style w:type="paragraph" w:styleId="ListNumber3">
    <w:name w:val="List Number 3"/>
    <w:basedOn w:val="Normal"/>
    <w:semiHidden/>
    <w:unhideWhenUsed/>
    <w:rsid w:val="001D5F21"/>
    <w:pPr>
      <w:numPr>
        <w:numId w:val="13"/>
      </w:numPr>
      <w:contextualSpacing/>
    </w:pPr>
  </w:style>
  <w:style w:type="paragraph" w:styleId="ListNumber4">
    <w:name w:val="List Number 4"/>
    <w:basedOn w:val="Normal"/>
    <w:semiHidden/>
    <w:unhideWhenUsed/>
    <w:rsid w:val="001D5F21"/>
    <w:pPr>
      <w:numPr>
        <w:numId w:val="14"/>
      </w:numPr>
      <w:contextualSpacing/>
    </w:pPr>
  </w:style>
  <w:style w:type="paragraph" w:styleId="ListNumber5">
    <w:name w:val="List Number 5"/>
    <w:basedOn w:val="Normal"/>
    <w:semiHidden/>
    <w:unhideWhenUsed/>
    <w:rsid w:val="001D5F21"/>
    <w:pPr>
      <w:numPr>
        <w:numId w:val="15"/>
      </w:numPr>
      <w:contextualSpacing/>
    </w:pPr>
  </w:style>
  <w:style w:type="table" w:styleId="ListTable1Light">
    <w:name w:val="List Table 1 Light"/>
    <w:basedOn w:val="TableNormal"/>
    <w:uiPriority w:val="46"/>
    <w:rsid w:val="001D5F2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F2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D5F2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D5F2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D5F2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D5F2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D5F2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D5F2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F2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D5F2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D5F2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D5F2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D5F2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D5F2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D5F2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F2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D5F2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D5F2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D5F2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D5F2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D5F2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D5F2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F2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F2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F2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F2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F2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F2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F2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F2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D5F2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D5F2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D5F2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D5F2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D5F2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D5F2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F2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F2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F2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F2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F2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F2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D5F2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1D5F21"/>
    <w:rPr>
      <w:rFonts w:ascii="Consolas" w:eastAsia="Times New Roman" w:hAnsi="Consolas"/>
      <w:lang w:val="en-GB" w:eastAsia="en-US"/>
    </w:rPr>
  </w:style>
  <w:style w:type="table" w:styleId="MediumGrid1">
    <w:name w:val="Medium Grid 1"/>
    <w:basedOn w:val="TableNormal"/>
    <w:uiPriority w:val="67"/>
    <w:semiHidden/>
    <w:unhideWhenUsed/>
    <w:rsid w:val="001D5F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D5F2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D5F2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D5F2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D5F2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D5F2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D5F2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D5F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D5F2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D5F2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D5F2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D5F2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D5F2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D5F2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F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D5F2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D5F2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D5F2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D5F2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D5F2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D5F2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D5F21"/>
    <w:rPr>
      <w:color w:val="2B579A"/>
      <w:shd w:val="clear" w:color="auto" w:fill="E1DFDD"/>
      <w:lang w:val="en-GB"/>
    </w:rPr>
  </w:style>
  <w:style w:type="paragraph" w:styleId="MessageHeader">
    <w:name w:val="Message Header"/>
    <w:basedOn w:val="Normal"/>
    <w:link w:val="MessageHeaderChar"/>
    <w:semiHidden/>
    <w:rsid w:val="001D5F2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D5F2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1D5F21"/>
    <w:pPr>
      <w:ind w:left="720"/>
    </w:pPr>
  </w:style>
  <w:style w:type="paragraph" w:styleId="NoteHeading">
    <w:name w:val="Note Heading"/>
    <w:basedOn w:val="Normal"/>
    <w:next w:val="Normal"/>
    <w:link w:val="NoteHeadingChar"/>
    <w:semiHidden/>
    <w:unhideWhenUsed/>
    <w:rsid w:val="001D5F21"/>
  </w:style>
  <w:style w:type="character" w:customStyle="1" w:styleId="NoteHeadingChar">
    <w:name w:val="Note Heading Char"/>
    <w:basedOn w:val="DefaultParagraphFont"/>
    <w:link w:val="NoteHeading"/>
    <w:semiHidden/>
    <w:rsid w:val="001D5F21"/>
    <w:rPr>
      <w:rFonts w:eastAsia="Times New Roman"/>
      <w:lang w:val="en-GB" w:eastAsia="en-US"/>
    </w:rPr>
  </w:style>
  <w:style w:type="table" w:styleId="PlainTable1">
    <w:name w:val="Plain Table 1"/>
    <w:basedOn w:val="TableNormal"/>
    <w:uiPriority w:val="41"/>
    <w:rsid w:val="001D5F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F2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F2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F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F2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D5F21"/>
    <w:rPr>
      <w:rFonts w:ascii="Consolas" w:hAnsi="Consolas"/>
      <w:sz w:val="21"/>
      <w:szCs w:val="21"/>
    </w:rPr>
  </w:style>
  <w:style w:type="character" w:customStyle="1" w:styleId="PlainTextChar">
    <w:name w:val="Plain Text Char"/>
    <w:basedOn w:val="DefaultParagraphFont"/>
    <w:link w:val="PlainText"/>
    <w:semiHidden/>
    <w:rsid w:val="001D5F21"/>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1D5F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76CC1"/>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1D5F21"/>
  </w:style>
  <w:style w:type="character" w:customStyle="1" w:styleId="SalutationChar">
    <w:name w:val="Salutation Char"/>
    <w:basedOn w:val="DefaultParagraphFont"/>
    <w:link w:val="Salutation"/>
    <w:semiHidden/>
    <w:rsid w:val="001D5F21"/>
    <w:rPr>
      <w:rFonts w:eastAsia="Times New Roman"/>
      <w:lang w:val="en-GB" w:eastAsia="en-US"/>
    </w:rPr>
  </w:style>
  <w:style w:type="paragraph" w:styleId="Signature">
    <w:name w:val="Signature"/>
    <w:basedOn w:val="Normal"/>
    <w:link w:val="SignatureChar"/>
    <w:semiHidden/>
    <w:unhideWhenUsed/>
    <w:rsid w:val="001D5F21"/>
    <w:pPr>
      <w:ind w:left="4252"/>
    </w:pPr>
  </w:style>
  <w:style w:type="character" w:customStyle="1" w:styleId="SignatureChar">
    <w:name w:val="Signature Char"/>
    <w:basedOn w:val="DefaultParagraphFont"/>
    <w:link w:val="Signature"/>
    <w:semiHidden/>
    <w:rsid w:val="001D5F21"/>
    <w:rPr>
      <w:rFonts w:eastAsia="Times New Roman"/>
      <w:lang w:val="en-GB" w:eastAsia="en-US"/>
    </w:rPr>
  </w:style>
  <w:style w:type="character" w:styleId="SmartHyperlink">
    <w:name w:val="Smart Hyperlink"/>
    <w:basedOn w:val="DefaultParagraphFont"/>
    <w:uiPriority w:val="99"/>
    <w:semiHidden/>
    <w:rsid w:val="001D5F21"/>
    <w:rPr>
      <w:u w:val="dotted"/>
      <w:lang w:val="en-GB"/>
    </w:rPr>
  </w:style>
  <w:style w:type="character" w:styleId="SmartLink">
    <w:name w:val="Smart Link"/>
    <w:basedOn w:val="DefaultParagraphFont"/>
    <w:uiPriority w:val="99"/>
    <w:semiHidden/>
    <w:unhideWhenUsed/>
    <w:rsid w:val="001D5F21"/>
    <w:rPr>
      <w:color w:val="0000FF"/>
      <w:u w:val="single"/>
      <w:shd w:val="clear" w:color="auto" w:fill="F3F2F1"/>
      <w:lang w:val="en-GB"/>
    </w:rPr>
  </w:style>
  <w:style w:type="character" w:styleId="Strong">
    <w:name w:val="Strong"/>
    <w:basedOn w:val="DefaultParagraphFont"/>
    <w:semiHidden/>
    <w:qFormat/>
    <w:rsid w:val="001D5F21"/>
    <w:rPr>
      <w:b/>
      <w:bCs/>
      <w:lang w:val="en-GB"/>
    </w:rPr>
  </w:style>
  <w:style w:type="paragraph" w:styleId="Subtitle">
    <w:name w:val="Subtitle"/>
    <w:basedOn w:val="Normal"/>
    <w:next w:val="Normal"/>
    <w:link w:val="SubtitleChar"/>
    <w:semiHidden/>
    <w:qFormat/>
    <w:rsid w:val="001D5F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476CC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1D5F21"/>
    <w:rPr>
      <w:i/>
      <w:iCs/>
      <w:color w:val="404040" w:themeColor="text1" w:themeTint="BF"/>
      <w:lang w:val="en-GB"/>
    </w:rPr>
  </w:style>
  <w:style w:type="character" w:styleId="SubtleReference">
    <w:name w:val="Subtle Reference"/>
    <w:basedOn w:val="DefaultParagraphFont"/>
    <w:uiPriority w:val="31"/>
    <w:semiHidden/>
    <w:qFormat/>
    <w:rsid w:val="001D5F21"/>
    <w:rPr>
      <w:smallCaps/>
      <w:color w:val="5A5A5A" w:themeColor="text1" w:themeTint="A5"/>
      <w:lang w:val="en-GB"/>
    </w:rPr>
  </w:style>
  <w:style w:type="table" w:styleId="Table3Deffects1">
    <w:name w:val="Table 3D effects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D5F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D5F21"/>
    <w:pPr>
      <w:tabs>
        <w:tab w:val="clear" w:pos="1247"/>
      </w:tabs>
      <w:ind w:left="200" w:hanging="200"/>
    </w:pPr>
  </w:style>
  <w:style w:type="table" w:styleId="TableProfessional">
    <w:name w:val="Table Professional"/>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D5F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476CC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D5F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D5F2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1D5F21"/>
    <w:rPr>
      <w:rFonts w:eastAsia="Times New Roman"/>
      <w:lang w:val="en-GB" w:eastAsia="en-US"/>
    </w:rPr>
  </w:style>
  <w:style w:type="character" w:customStyle="1" w:styleId="eop">
    <w:name w:val="eop"/>
    <w:basedOn w:val="DefaultParagraphFont"/>
    <w:semiHidden/>
    <w:rsid w:val="001D5F21"/>
    <w:rPr>
      <w:lang w:val="en-US"/>
    </w:rPr>
  </w:style>
  <w:style w:type="paragraph" w:styleId="Revision">
    <w:name w:val="Revision"/>
    <w:hidden/>
    <w:uiPriority w:val="99"/>
    <w:semiHidden/>
    <w:rsid w:val="001D5F21"/>
    <w:rPr>
      <w:rFonts w:eastAsia="Times New Roman"/>
      <w:lang w:val="en-US" w:eastAsia="en-US"/>
    </w:rPr>
  </w:style>
  <w:style w:type="character" w:customStyle="1" w:styleId="preferred">
    <w:name w:val="preferred"/>
    <w:basedOn w:val="DefaultParagraphFont"/>
    <w:rsid w:val="001D5F21"/>
    <w:rPr>
      <w:lang w:val="en-GB"/>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1D5F21"/>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semiHidden/>
    <w:rsid w:val="00476CC1"/>
    <w:rPr>
      <w:rFonts w:eastAsia="Times New Roman"/>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semiHidden/>
    <w:rsid w:val="001D5F21"/>
    <w:pPr>
      <w:tabs>
        <w:tab w:val="clear" w:pos="1247"/>
        <w:tab w:val="clear" w:pos="1814"/>
        <w:tab w:val="clear" w:pos="2381"/>
        <w:tab w:val="clear" w:pos="2948"/>
        <w:tab w:val="clear" w:pos="3515"/>
      </w:tabs>
      <w:spacing w:before="120" w:after="160" w:line="240" w:lineRule="exact"/>
    </w:pPr>
    <w:rPr>
      <w:rFonts w:eastAsiaTheme="minorHAnsi" w:cstheme="minorBidi"/>
      <w:szCs w:val="18"/>
      <w:vertAlign w:val="superscript"/>
      <w:lang w:val="fr-FR"/>
    </w:rPr>
  </w:style>
  <w:style w:type="paragraph" w:customStyle="1" w:styleId="Normalpool">
    <w:name w:val="Normal_pool"/>
    <w:link w:val="NormalpoolChar"/>
    <w:semiHidden/>
    <w:rsid w:val="001D5F21"/>
    <w:pPr>
      <w:tabs>
        <w:tab w:val="left" w:pos="1247"/>
        <w:tab w:val="left" w:pos="1814"/>
        <w:tab w:val="left" w:pos="2381"/>
        <w:tab w:val="left" w:pos="2948"/>
        <w:tab w:val="left" w:pos="3515"/>
        <w:tab w:val="left" w:pos="4082"/>
      </w:tabs>
    </w:pPr>
    <w:rPr>
      <w:rFonts w:eastAsia="Times New Roman"/>
      <w:lang w:val="en-GB" w:eastAsia="en-US"/>
    </w:rPr>
  </w:style>
  <w:style w:type="character" w:customStyle="1" w:styleId="NormalpoolChar">
    <w:name w:val="Normal_pool Char"/>
    <w:link w:val="Normalpool"/>
    <w:semiHidden/>
    <w:locked/>
    <w:rsid w:val="001D5F21"/>
    <w:rPr>
      <w:rFonts w:eastAsia="Times New Roman"/>
      <w:lang w:val="en-GB" w:eastAsia="en-US"/>
    </w:rPr>
  </w:style>
  <w:style w:type="paragraph" w:customStyle="1" w:styleId="paragraph">
    <w:name w:val="paragraph"/>
    <w:basedOn w:val="Normal"/>
    <w:semiHidden/>
    <w:rsid w:val="001D5F21"/>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semiHidden/>
    <w:rsid w:val="001D5F21"/>
    <w:rPr>
      <w:lang w:val="en-GB"/>
    </w:rPr>
  </w:style>
  <w:style w:type="character" w:customStyle="1" w:styleId="scxw192172823">
    <w:name w:val="scxw192172823"/>
    <w:basedOn w:val="DefaultParagraphFont"/>
    <w:semiHidden/>
    <w:rsid w:val="001D5F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794598336">
      <w:bodyDiv w:val="1"/>
      <w:marLeft w:val="0"/>
      <w:marRight w:val="0"/>
      <w:marTop w:val="0"/>
      <w:marBottom w:val="0"/>
      <w:divBdr>
        <w:top w:val="none" w:sz="0" w:space="0" w:color="auto"/>
        <w:left w:val="none" w:sz="0" w:space="0" w:color="auto"/>
        <w:bottom w:val="none" w:sz="0" w:space="0" w:color="auto"/>
        <w:right w:val="none" w:sz="0" w:space="0" w:color="auto"/>
      </w:divBdr>
    </w:div>
    <w:div w:id="190009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en/topics/mercury-supply-sources-and-trade/intersessional-wor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inamataconvention.org/en/parties/report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inamataconvention.org/en/news/minamata-convention-and-unssc-launch-minamata-tools-online-learning-platfor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minamataconvention.org/en/events/minamata-online-mercury-supply-sources-and-trad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en/events/implementing-trade-related-provisions-minamata-conventio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minamataconvention.org/en/topics/mercury-supply-sources-and-trade/intersessional-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55413CC0-81B0-4C40-BC2D-0B0CA95E3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6</TotalTime>
  <Pages>12</Pages>
  <Words>5977</Words>
  <Characters>34070</Characters>
  <Application>Microsoft Office Word</Application>
  <DocSecurity>0</DocSecurity>
  <PresentationFormat/>
  <Lines>283</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My Linh Doan</cp:lastModifiedBy>
  <cp:revision>12</cp:revision>
  <cp:lastPrinted>2025-09-17T12:28:00Z</cp:lastPrinted>
  <dcterms:created xsi:type="dcterms:W3CDTF">2025-09-17T12:14:00Z</dcterms:created>
  <dcterms:modified xsi:type="dcterms:W3CDTF">2025-09-18T08:54:00Z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