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701"/>
        <w:gridCol w:w="4460"/>
        <w:gridCol w:w="3335"/>
      </w:tblGrid>
      <w:tr w:rsidR="00D73ED6" w:rsidRPr="000246A6" w14:paraId="4C9235B4" w14:textId="77777777" w:rsidTr="003A384C">
        <w:trPr>
          <w:cantSplit/>
          <w:trHeight w:val="850"/>
          <w:jc w:val="right"/>
        </w:trPr>
        <w:tc>
          <w:tcPr>
            <w:tcW w:w="1701" w:type="dxa"/>
          </w:tcPr>
          <w:p w14:paraId="6628D4D4" w14:textId="77777777" w:rsidR="00D73ED6" w:rsidRPr="000246A6" w:rsidRDefault="00D73ED6" w:rsidP="003A384C">
            <w:pPr>
              <w:tabs>
                <w:tab w:val="left" w:pos="624"/>
                <w:tab w:val="left" w:pos="1871"/>
                <w:tab w:val="left" w:pos="2495"/>
              </w:tabs>
              <w:rPr>
                <w:rFonts w:ascii="Arial" w:hAnsi="Arial" w:cs="Arial"/>
                <w:b/>
                <w:sz w:val="27"/>
                <w:szCs w:val="27"/>
              </w:rPr>
            </w:pPr>
            <w:r w:rsidRPr="000246A6">
              <w:rPr>
                <w:rFonts w:ascii="Arial" w:hAnsi="Arial" w:cs="Arial"/>
                <w:b/>
                <w:sz w:val="27"/>
                <w:szCs w:val="27"/>
              </w:rPr>
              <w:t>NACIONES UNIDAS</w:t>
            </w:r>
          </w:p>
        </w:tc>
        <w:tc>
          <w:tcPr>
            <w:tcW w:w="4460" w:type="dxa"/>
          </w:tcPr>
          <w:p w14:paraId="4779B0A4" w14:textId="77777777" w:rsidR="00D73ED6" w:rsidRPr="000246A6" w:rsidRDefault="00D73ED6" w:rsidP="003A384C">
            <w:pPr>
              <w:tabs>
                <w:tab w:val="left" w:pos="624"/>
                <w:tab w:val="left" w:pos="1871"/>
                <w:tab w:val="left" w:pos="2495"/>
              </w:tabs>
              <w:rPr>
                <w:rFonts w:ascii="Univers" w:hAnsi="Univers"/>
                <w:b/>
                <w:sz w:val="27"/>
                <w:szCs w:val="27"/>
              </w:rPr>
            </w:pPr>
          </w:p>
        </w:tc>
        <w:tc>
          <w:tcPr>
            <w:tcW w:w="3335" w:type="dxa"/>
          </w:tcPr>
          <w:p w14:paraId="227A6570" w14:textId="77777777" w:rsidR="00D73ED6" w:rsidRPr="000246A6" w:rsidRDefault="00D73ED6" w:rsidP="003A384C">
            <w:pPr>
              <w:tabs>
                <w:tab w:val="left" w:pos="624"/>
                <w:tab w:val="left" w:pos="1871"/>
                <w:tab w:val="left" w:pos="2495"/>
              </w:tabs>
              <w:jc w:val="right"/>
              <w:rPr>
                <w:rFonts w:ascii="Arial" w:hAnsi="Arial" w:cs="Arial"/>
                <w:b/>
                <w:sz w:val="64"/>
                <w:szCs w:val="64"/>
              </w:rPr>
            </w:pPr>
            <w:r w:rsidRPr="000246A6">
              <w:rPr>
                <w:rFonts w:ascii="Arial" w:hAnsi="Arial" w:cs="Arial"/>
                <w:b/>
                <w:sz w:val="64"/>
                <w:szCs w:val="64"/>
              </w:rPr>
              <w:t>MC</w:t>
            </w:r>
          </w:p>
        </w:tc>
      </w:tr>
      <w:tr w:rsidR="00D73ED6" w:rsidRPr="000246A6" w14:paraId="11B6FC35" w14:textId="77777777" w:rsidTr="003A384C">
        <w:trPr>
          <w:cantSplit/>
          <w:trHeight w:val="281"/>
          <w:jc w:val="right"/>
        </w:trPr>
        <w:tc>
          <w:tcPr>
            <w:tcW w:w="1701" w:type="dxa"/>
            <w:tcBorders>
              <w:bottom w:val="single" w:sz="4" w:space="0" w:color="auto"/>
            </w:tcBorders>
          </w:tcPr>
          <w:p w14:paraId="20232730" w14:textId="77777777" w:rsidR="00D73ED6" w:rsidRPr="000246A6" w:rsidRDefault="00D73ED6" w:rsidP="003A384C">
            <w:pPr>
              <w:tabs>
                <w:tab w:val="left" w:pos="624"/>
                <w:tab w:val="left" w:pos="1871"/>
                <w:tab w:val="left" w:pos="2495"/>
              </w:tabs>
              <w:rPr>
                <w:sz w:val="18"/>
                <w:szCs w:val="18"/>
              </w:rPr>
            </w:pPr>
          </w:p>
        </w:tc>
        <w:tc>
          <w:tcPr>
            <w:tcW w:w="4460" w:type="dxa"/>
            <w:tcBorders>
              <w:bottom w:val="single" w:sz="4" w:space="0" w:color="auto"/>
            </w:tcBorders>
          </w:tcPr>
          <w:p w14:paraId="7FA32C62" w14:textId="77777777" w:rsidR="00D73ED6" w:rsidRPr="000246A6" w:rsidRDefault="00D73ED6" w:rsidP="003A384C">
            <w:pPr>
              <w:tabs>
                <w:tab w:val="left" w:pos="624"/>
                <w:tab w:val="left" w:pos="1871"/>
                <w:tab w:val="left" w:pos="2495"/>
              </w:tabs>
              <w:rPr>
                <w:rFonts w:ascii="Univers" w:hAnsi="Univers"/>
                <w:b/>
                <w:sz w:val="18"/>
                <w:szCs w:val="18"/>
              </w:rPr>
            </w:pPr>
          </w:p>
        </w:tc>
        <w:tc>
          <w:tcPr>
            <w:tcW w:w="3335" w:type="dxa"/>
            <w:tcBorders>
              <w:bottom w:val="single" w:sz="4" w:space="0" w:color="auto"/>
            </w:tcBorders>
          </w:tcPr>
          <w:p w14:paraId="31EAA489" w14:textId="77777777" w:rsidR="00D73ED6" w:rsidRPr="000246A6" w:rsidRDefault="00D73ED6" w:rsidP="003A384C">
            <w:pPr>
              <w:tabs>
                <w:tab w:val="left" w:pos="624"/>
                <w:tab w:val="left" w:pos="1871"/>
                <w:tab w:val="left" w:pos="2495"/>
              </w:tabs>
              <w:rPr>
                <w:sz w:val="18"/>
                <w:szCs w:val="18"/>
              </w:rPr>
            </w:pPr>
            <w:r w:rsidRPr="000246A6">
              <w:rPr>
                <w:b/>
                <w:bCs/>
                <w:sz w:val="28"/>
              </w:rPr>
              <w:t>UNEP</w:t>
            </w:r>
            <w:r w:rsidRPr="000246A6">
              <w:rPr>
                <w:b/>
                <w:bCs/>
              </w:rPr>
              <w:t>/</w:t>
            </w:r>
            <w:r w:rsidRPr="000246A6">
              <w:t>MC/COP.3/5</w:t>
            </w:r>
          </w:p>
        </w:tc>
      </w:tr>
      <w:bookmarkStart w:id="0" w:name="_MON_1021710510"/>
      <w:bookmarkEnd w:id="0"/>
      <w:bookmarkStart w:id="1" w:name="_MON_1021710482"/>
      <w:bookmarkEnd w:id="1"/>
      <w:tr w:rsidR="00D73ED6" w:rsidRPr="000246A6" w14:paraId="0F4AE633" w14:textId="77777777" w:rsidTr="003A384C">
        <w:trPr>
          <w:cantSplit/>
          <w:trHeight w:val="2549"/>
          <w:jc w:val="right"/>
        </w:trPr>
        <w:tc>
          <w:tcPr>
            <w:tcW w:w="1701" w:type="dxa"/>
            <w:tcBorders>
              <w:top w:val="single" w:sz="4" w:space="0" w:color="auto"/>
              <w:bottom w:val="single" w:sz="24" w:space="0" w:color="auto"/>
            </w:tcBorders>
          </w:tcPr>
          <w:p w14:paraId="33F627F7" w14:textId="77777777" w:rsidR="00D73ED6" w:rsidRPr="000246A6" w:rsidRDefault="00D73ED6" w:rsidP="003A384C">
            <w:pPr>
              <w:tabs>
                <w:tab w:val="left" w:pos="624"/>
                <w:tab w:val="left" w:pos="1871"/>
                <w:tab w:val="left" w:pos="2495"/>
              </w:tabs>
            </w:pPr>
            <w:r w:rsidRPr="000246A6">
              <w:object w:dxaOrig="1831" w:dyaOrig="1726" w14:anchorId="3620C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61.5pt" o:ole="" fillcolor="window">
                  <v:imagedata r:id="rId11" o:title=""/>
                </v:shape>
                <o:OLEObject Type="Embed" ProgID="Word.Picture.8" ShapeID="_x0000_i1025" DrawAspect="Content" ObjectID="_1630330611" r:id="rId12"/>
              </w:object>
            </w:r>
            <w:r w:rsidRPr="000246A6">
              <w:rPr>
                <w:lang w:val="en-US"/>
              </w:rPr>
              <w:drawing>
                <wp:inline distT="0" distB="0" distL="0" distR="0" wp14:anchorId="21FB0311" wp14:editId="35B16CE8">
                  <wp:extent cx="723900" cy="769620"/>
                  <wp:effectExtent l="0" t="0" r="0" b="0"/>
                  <wp:docPr id="2" name="Picture 2"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69620"/>
                          </a:xfrm>
                          <a:prstGeom prst="rect">
                            <a:avLst/>
                          </a:prstGeom>
                          <a:noFill/>
                          <a:ln>
                            <a:noFill/>
                          </a:ln>
                        </pic:spPr>
                      </pic:pic>
                    </a:graphicData>
                  </a:graphic>
                </wp:inline>
              </w:drawing>
            </w:r>
          </w:p>
        </w:tc>
        <w:tc>
          <w:tcPr>
            <w:tcW w:w="4460" w:type="dxa"/>
            <w:tcBorders>
              <w:top w:val="single" w:sz="4" w:space="0" w:color="auto"/>
              <w:bottom w:val="single" w:sz="24" w:space="0" w:color="auto"/>
            </w:tcBorders>
          </w:tcPr>
          <w:p w14:paraId="0567F6BE" w14:textId="4C15599D" w:rsidR="00D73ED6" w:rsidRPr="000246A6" w:rsidRDefault="00D73ED6" w:rsidP="003A384C">
            <w:pPr>
              <w:tabs>
                <w:tab w:val="left" w:pos="624"/>
                <w:tab w:val="left" w:pos="1871"/>
                <w:tab w:val="left" w:pos="2495"/>
              </w:tabs>
              <w:spacing w:before="1200"/>
              <w:rPr>
                <w:rFonts w:ascii="Arial" w:hAnsi="Arial" w:cs="Arial"/>
                <w:b/>
                <w:sz w:val="32"/>
              </w:rPr>
            </w:pPr>
            <w:r w:rsidRPr="000246A6">
              <w:rPr>
                <w:rFonts w:ascii="Arial" w:hAnsi="Arial" w:cs="Arial"/>
                <w:b/>
                <w:bCs/>
                <w:sz w:val="32"/>
              </w:rPr>
              <w:t xml:space="preserve">Programa de las Naciones Unidas </w:t>
            </w:r>
            <w:r w:rsidR="00492641">
              <w:rPr>
                <w:rFonts w:ascii="Arial" w:hAnsi="Arial" w:cs="Arial"/>
                <w:b/>
                <w:bCs/>
                <w:sz w:val="32"/>
              </w:rPr>
              <w:br/>
            </w:r>
            <w:r w:rsidRPr="000246A6">
              <w:rPr>
                <w:rFonts w:ascii="Arial" w:hAnsi="Arial" w:cs="Arial"/>
                <w:b/>
                <w:bCs/>
                <w:sz w:val="32"/>
              </w:rPr>
              <w:t>para el Medio Ambiente</w:t>
            </w:r>
          </w:p>
        </w:tc>
        <w:tc>
          <w:tcPr>
            <w:tcW w:w="3335" w:type="dxa"/>
            <w:tcBorders>
              <w:top w:val="single" w:sz="4" w:space="0" w:color="auto"/>
              <w:bottom w:val="single" w:sz="24" w:space="0" w:color="auto"/>
            </w:tcBorders>
          </w:tcPr>
          <w:p w14:paraId="0071797F" w14:textId="77777777" w:rsidR="00D73ED6" w:rsidRPr="000246A6" w:rsidRDefault="00D73ED6" w:rsidP="003A384C">
            <w:pPr>
              <w:tabs>
                <w:tab w:val="left" w:pos="624"/>
                <w:tab w:val="left" w:pos="1871"/>
                <w:tab w:val="left" w:pos="2495"/>
              </w:tabs>
              <w:spacing w:before="120"/>
            </w:pPr>
            <w:r w:rsidRPr="000246A6">
              <w:t>Distr. general</w:t>
            </w:r>
            <w:r w:rsidRPr="000246A6">
              <w:br/>
              <w:t>13 de agosto de 2019</w:t>
            </w:r>
          </w:p>
          <w:p w14:paraId="1C4E9F88" w14:textId="77777777" w:rsidR="00D73ED6" w:rsidRPr="000246A6" w:rsidRDefault="00D73ED6" w:rsidP="003A384C">
            <w:pPr>
              <w:tabs>
                <w:tab w:val="left" w:pos="624"/>
                <w:tab w:val="left" w:pos="1871"/>
                <w:tab w:val="left" w:pos="2495"/>
              </w:tabs>
              <w:spacing w:before="240"/>
            </w:pPr>
            <w:r w:rsidRPr="000246A6">
              <w:t>Español</w:t>
            </w:r>
            <w:r w:rsidRPr="000246A6">
              <w:br/>
              <w:t>Original: inglés</w:t>
            </w:r>
          </w:p>
        </w:tc>
      </w:tr>
    </w:tbl>
    <w:p w14:paraId="476DDD93" w14:textId="77777777" w:rsidR="00D73ED6" w:rsidRPr="000246A6" w:rsidRDefault="00D73ED6" w:rsidP="00D73ED6">
      <w:pPr>
        <w:pStyle w:val="AATitle"/>
        <w:keepNext w:val="0"/>
        <w:keepLines w:val="0"/>
        <w:tabs>
          <w:tab w:val="left" w:pos="624"/>
          <w:tab w:val="left" w:pos="1871"/>
          <w:tab w:val="left" w:pos="2495"/>
        </w:tabs>
        <w:rPr>
          <w:noProof/>
          <w:lang w:val="es-ES_tradnl"/>
        </w:rPr>
      </w:pPr>
      <w:r w:rsidRPr="000246A6">
        <w:rPr>
          <w:bCs/>
          <w:noProof/>
          <w:lang w:val="es-ES_tradnl"/>
        </w:rPr>
        <w:t>Conferencia de las Partes en el Convenio de Minamata sobre el Mercurio</w:t>
      </w:r>
    </w:p>
    <w:p w14:paraId="5CDA2495" w14:textId="77777777" w:rsidR="00D73ED6" w:rsidRPr="000246A6" w:rsidRDefault="00D73ED6" w:rsidP="00D73ED6">
      <w:pPr>
        <w:pStyle w:val="AATitle"/>
        <w:keepNext w:val="0"/>
        <w:keepLines w:val="0"/>
        <w:tabs>
          <w:tab w:val="left" w:pos="624"/>
          <w:tab w:val="left" w:pos="1871"/>
          <w:tab w:val="left" w:pos="2495"/>
        </w:tabs>
        <w:ind w:left="624" w:hanging="624"/>
        <w:rPr>
          <w:b w:val="0"/>
          <w:noProof/>
          <w:lang w:val="es-ES_tradnl"/>
        </w:rPr>
      </w:pPr>
      <w:r w:rsidRPr="000246A6">
        <w:rPr>
          <w:bCs/>
          <w:noProof/>
          <w:lang w:val="es-ES_tradnl"/>
        </w:rPr>
        <w:t>Tercera reunión</w:t>
      </w:r>
    </w:p>
    <w:p w14:paraId="37BA57EC" w14:textId="77777777" w:rsidR="00205160" w:rsidRPr="000246A6" w:rsidRDefault="00205160" w:rsidP="00205160">
      <w:pPr>
        <w:pStyle w:val="AATitle"/>
        <w:rPr>
          <w:b w:val="0"/>
          <w:bCs/>
          <w:noProof/>
          <w:lang w:val="es-ES_tradnl"/>
        </w:rPr>
      </w:pPr>
      <w:r w:rsidRPr="000246A6">
        <w:rPr>
          <w:b w:val="0"/>
          <w:bCs/>
          <w:noProof/>
          <w:lang w:val="es-ES_tradnl"/>
        </w:rPr>
        <w:t>Ginebra, 25 a 29 de noviembre de 2019</w:t>
      </w:r>
    </w:p>
    <w:p w14:paraId="02CBD2E1" w14:textId="77777777" w:rsidR="000C65B1" w:rsidRPr="000246A6" w:rsidRDefault="000C65B1" w:rsidP="000C65B1">
      <w:pPr>
        <w:pStyle w:val="AATitle"/>
        <w:keepNext w:val="0"/>
        <w:keepLines w:val="0"/>
        <w:rPr>
          <w:b w:val="0"/>
          <w:noProof/>
          <w:lang w:val="es-ES_tradnl"/>
        </w:rPr>
      </w:pPr>
      <w:r w:rsidRPr="000246A6">
        <w:rPr>
          <w:b w:val="0"/>
          <w:noProof/>
          <w:lang w:val="es-ES_tradnl"/>
        </w:rPr>
        <w:t>Tema 5 a) iii) del programa provisional</w:t>
      </w:r>
      <w:r w:rsidRPr="000246A6">
        <w:rPr>
          <w:b w:val="0"/>
          <w:noProof/>
          <w:lang w:val="es-ES_tradnl"/>
        </w:rPr>
        <w:footnoteReference w:customMarkFollows="1" w:id="1"/>
        <w:t>*</w:t>
      </w:r>
    </w:p>
    <w:p w14:paraId="6065A28E" w14:textId="77777777" w:rsidR="000C65B1" w:rsidRPr="000246A6" w:rsidRDefault="000C65B1" w:rsidP="00205160">
      <w:pPr>
        <w:pStyle w:val="AATitle2"/>
        <w:ind w:right="4253"/>
        <w:rPr>
          <w:noProof/>
          <w:lang w:val="es-ES_tradnl"/>
        </w:rPr>
      </w:pPr>
      <w:r w:rsidRPr="000246A6">
        <w:rPr>
          <w:bCs/>
          <w:noProof/>
          <w:lang w:val="es-ES_tradnl"/>
        </w:rPr>
        <w:t>Cuestiones para el examen o la adopción de medidas por la Conferencia de las Partes: productos con mercurio añadido y procesos de producción en los que se utilizan mercurio o compuestos de mercurio: códigos del Sistema Armonizado</w:t>
      </w:r>
    </w:p>
    <w:p w14:paraId="361A10DC" w14:textId="77777777" w:rsidR="000C65B1" w:rsidRPr="000246A6" w:rsidRDefault="00490440" w:rsidP="000855ED">
      <w:pPr>
        <w:pStyle w:val="BBTitle"/>
        <w:rPr>
          <w:noProof/>
          <w:lang w:val="es-ES_tradnl"/>
        </w:rPr>
      </w:pPr>
      <w:r w:rsidRPr="000246A6">
        <w:rPr>
          <w:bCs/>
          <w:noProof/>
          <w:lang w:val="es-ES_tradnl"/>
        </w:rPr>
        <w:t>Enfoques para codificar</w:t>
      </w:r>
      <w:r w:rsidR="00C27FF6" w:rsidRPr="000246A6">
        <w:rPr>
          <w:bCs/>
          <w:noProof/>
          <w:lang w:val="es-ES_tradnl"/>
        </w:rPr>
        <w:t xml:space="preserve"> los productos con </w:t>
      </w:r>
      <w:r w:rsidR="00001369" w:rsidRPr="000246A6">
        <w:rPr>
          <w:bCs/>
          <w:noProof/>
          <w:lang w:val="es-ES_tradnl"/>
        </w:rPr>
        <w:t xml:space="preserve">mercurio </w:t>
      </w:r>
      <w:r w:rsidR="00C27FF6" w:rsidRPr="000246A6">
        <w:rPr>
          <w:bCs/>
          <w:noProof/>
          <w:lang w:val="es-ES_tradnl"/>
        </w:rPr>
        <w:t>añadido enumerados en el anexo A y distinguirlos de los productos sin mercurio añadido a partir del marco del Sistema Armonizado</w:t>
      </w:r>
    </w:p>
    <w:p w14:paraId="2105884A" w14:textId="77777777" w:rsidR="000C65B1" w:rsidRPr="000246A6" w:rsidRDefault="0004341B" w:rsidP="000855ED">
      <w:pPr>
        <w:pStyle w:val="CH2"/>
        <w:rPr>
          <w:noProof/>
          <w:lang w:val="es-ES_tradnl"/>
        </w:rPr>
      </w:pPr>
      <w:r w:rsidRPr="000246A6">
        <w:rPr>
          <w:noProof/>
          <w:lang w:val="es-ES_tradnl"/>
        </w:rPr>
        <w:tab/>
      </w:r>
      <w:r w:rsidRPr="000246A6">
        <w:rPr>
          <w:noProof/>
          <w:lang w:val="es-ES_tradnl"/>
        </w:rPr>
        <w:tab/>
      </w:r>
      <w:r w:rsidRPr="000246A6">
        <w:rPr>
          <w:bCs/>
          <w:noProof/>
          <w:lang w:val="es-ES_tradnl"/>
        </w:rPr>
        <w:t>Nota de la Secretaría</w:t>
      </w:r>
    </w:p>
    <w:p w14:paraId="6C4A337B" w14:textId="4569826E" w:rsidR="00BE2E9A" w:rsidRPr="000246A6" w:rsidRDefault="00295765" w:rsidP="00D73ED6">
      <w:pPr>
        <w:pStyle w:val="Normalnumber"/>
        <w:numPr>
          <w:ilvl w:val="0"/>
          <w:numId w:val="5"/>
        </w:numPr>
        <w:tabs>
          <w:tab w:val="clear" w:pos="624"/>
        </w:tabs>
        <w:suppressAutoHyphens/>
        <w:autoSpaceDN w:val="0"/>
        <w:ind w:left="1247" w:firstLine="0"/>
        <w:textAlignment w:val="baseline"/>
        <w:rPr>
          <w:bCs/>
          <w:noProof/>
          <w:lang w:val="es-ES_tradnl"/>
        </w:rPr>
      </w:pPr>
      <w:r w:rsidRPr="000246A6">
        <w:rPr>
          <w:noProof/>
          <w:lang w:val="es-ES_tradnl"/>
        </w:rPr>
        <w:t xml:space="preserve">En su decisión MC-2/9, </w:t>
      </w:r>
      <w:r w:rsidR="003A384C" w:rsidRPr="000246A6">
        <w:rPr>
          <w:noProof/>
          <w:lang w:val="es-ES_tradnl"/>
        </w:rPr>
        <w:t xml:space="preserve">sobre los códigos del Sistema Armonizado, </w:t>
      </w:r>
      <w:r w:rsidRPr="000246A6">
        <w:rPr>
          <w:noProof/>
          <w:lang w:val="es-ES_tradnl"/>
        </w:rPr>
        <w:t>adoptada en su segunda reunión, la Conferencia de las Partes en el</w:t>
      </w:r>
      <w:r w:rsidR="00205160" w:rsidRPr="000246A6">
        <w:rPr>
          <w:noProof/>
          <w:lang w:val="es-ES_tradnl"/>
        </w:rPr>
        <w:t> </w:t>
      </w:r>
      <w:r w:rsidRPr="000246A6">
        <w:rPr>
          <w:noProof/>
          <w:lang w:val="es-ES_tradnl"/>
        </w:rPr>
        <w:t xml:space="preserve">Convenio de Minamata sobre el Mercurio solicitó a la Secretaría que, en colaboración con la Asociación sobre Productos que Contienen Mercurio y en consulta con las organizaciones pertinentes, propusiera enfoques para los códigos específicos con los que detectar y distinguir los productos con y sin mercurio añadido enumerados en el anexo A del Convenio, incluidos los enfoques para su posible armonización, teniendo en cuenta los resultados de la encuesta sobre la iniciativa del Sistema Armonizado elaborada por la esfera relativa a las asociaciones sobre el contenido de mercurio en productos de la Asociación Mundial sobre el Mercurio del </w:t>
      </w:r>
      <w:r w:rsidR="003A384C" w:rsidRPr="000246A6">
        <w:rPr>
          <w:noProof/>
          <w:lang w:val="es-ES_tradnl"/>
        </w:rPr>
        <w:t>Programa de las Naciones Unidas para el Medio Ambiente</w:t>
      </w:r>
      <w:r w:rsidRPr="000246A6">
        <w:rPr>
          <w:noProof/>
          <w:lang w:val="es-ES_tradnl"/>
        </w:rPr>
        <w:t xml:space="preserve">. En esa decisión se solicitó </w:t>
      </w:r>
      <w:r w:rsidR="00490440" w:rsidRPr="000246A6">
        <w:rPr>
          <w:noProof/>
          <w:lang w:val="es-ES_tradnl"/>
        </w:rPr>
        <w:t xml:space="preserve">también </w:t>
      </w:r>
      <w:r w:rsidRPr="000246A6">
        <w:rPr>
          <w:noProof/>
          <w:lang w:val="es-ES_tradnl"/>
        </w:rPr>
        <w:t>a la Secretaría que distribuyese a las Partes y demás interesados un proyecto de informe para que formulasen observaciones, revisasen el proyecto de informe teniendo en cuenta las observaciones recibidas y sometiesen el informe al examen de la Conferencia de las Partes en su tercera reunión.</w:t>
      </w:r>
    </w:p>
    <w:p w14:paraId="75A5E327" w14:textId="77777777" w:rsidR="00BE2E9A" w:rsidRPr="000246A6" w:rsidRDefault="004A7E4F" w:rsidP="006B47CE">
      <w:pPr>
        <w:pStyle w:val="Normalnumber"/>
        <w:numPr>
          <w:ilvl w:val="0"/>
          <w:numId w:val="5"/>
        </w:numPr>
        <w:suppressAutoHyphens/>
        <w:autoSpaceDN w:val="0"/>
        <w:ind w:left="1247" w:firstLine="0"/>
        <w:textAlignment w:val="baseline"/>
        <w:rPr>
          <w:bCs/>
          <w:noProof/>
          <w:lang w:val="es-ES_tradnl"/>
        </w:rPr>
      </w:pPr>
      <w:r w:rsidRPr="000246A6">
        <w:rPr>
          <w:noProof/>
          <w:lang w:val="es-ES_tradnl"/>
        </w:rPr>
        <w:t>En respuesta a esa solicitud, la Secretaría elaboró un proyecto de informe en colaboración con la Asociación sobre Productos que Contienen Mercurio y con el apoyo y la asesoría de expertos. La Asociación sobre Productos que Contienen Mercurio formuló observaciones sobre el proyecto de informe durante una semana entre mayo y junio. Después</w:t>
      </w:r>
      <w:r w:rsidR="00490440" w:rsidRPr="000246A6">
        <w:rPr>
          <w:noProof/>
          <w:lang w:val="es-ES_tradnl"/>
        </w:rPr>
        <w:t>,</w:t>
      </w:r>
      <w:r w:rsidRPr="000246A6">
        <w:rPr>
          <w:noProof/>
          <w:lang w:val="es-ES_tradnl"/>
        </w:rPr>
        <w:t xml:space="preserve"> </w:t>
      </w:r>
      <w:r w:rsidR="00490440" w:rsidRPr="000246A6">
        <w:rPr>
          <w:noProof/>
          <w:lang w:val="es-ES_tradnl"/>
        </w:rPr>
        <w:t xml:space="preserve">el proyecto de informe </w:t>
      </w:r>
      <w:r w:rsidRPr="000246A6">
        <w:rPr>
          <w:noProof/>
          <w:lang w:val="es-ES_tradnl"/>
        </w:rPr>
        <w:t>se publicó en el sitio</w:t>
      </w:r>
      <w:r w:rsidR="00205160" w:rsidRPr="000246A6">
        <w:rPr>
          <w:noProof/>
          <w:lang w:val="es-ES_tradnl"/>
        </w:rPr>
        <w:t> </w:t>
      </w:r>
      <w:r w:rsidRPr="000246A6">
        <w:rPr>
          <w:noProof/>
          <w:lang w:val="es-ES_tradnl"/>
        </w:rPr>
        <w:t>web del Convenio para suscitar más observaciones hasta el 1 de agosto de 2019, tras lo cual la Secretaría, en consulta con la Asociación sobre Productos que Contienen Mercurio, lo revisó teniendo en cuenta las observaciones recibidas. En el anexo de la presente nota se presenta el resumen del informe. La versión íntegra del informe se reproduce en el documento UNEP/MC/COP.3/INF/12.</w:t>
      </w:r>
    </w:p>
    <w:p w14:paraId="7808378A" w14:textId="77777777" w:rsidR="000C65B1" w:rsidRPr="000246A6" w:rsidRDefault="007E65A8" w:rsidP="00073122">
      <w:pPr>
        <w:pStyle w:val="CH2"/>
        <w:rPr>
          <w:noProof/>
          <w:lang w:val="es-ES_tradnl"/>
        </w:rPr>
      </w:pPr>
      <w:r w:rsidRPr="000246A6">
        <w:rPr>
          <w:noProof/>
          <w:lang w:val="es-ES_tradnl"/>
        </w:rPr>
        <w:tab/>
      </w:r>
      <w:r w:rsidRPr="000246A6">
        <w:rPr>
          <w:noProof/>
          <w:lang w:val="es-ES_tradnl"/>
        </w:rPr>
        <w:tab/>
      </w:r>
      <w:r w:rsidRPr="000246A6">
        <w:rPr>
          <w:bCs/>
          <w:noProof/>
          <w:lang w:val="es-ES_tradnl"/>
        </w:rPr>
        <w:t>Medida que podría adoptar la Conferencia de las Partes</w:t>
      </w:r>
    </w:p>
    <w:p w14:paraId="6E47AA62" w14:textId="77777777" w:rsidR="003E40A0" w:rsidRPr="000246A6" w:rsidRDefault="000C65B1" w:rsidP="003110BE">
      <w:pPr>
        <w:pStyle w:val="Normalnumber"/>
        <w:numPr>
          <w:ilvl w:val="0"/>
          <w:numId w:val="5"/>
        </w:numPr>
        <w:suppressAutoHyphens/>
        <w:autoSpaceDN w:val="0"/>
        <w:ind w:left="1247" w:firstLine="0"/>
        <w:textAlignment w:val="baseline"/>
        <w:rPr>
          <w:noProof/>
          <w:lang w:val="es-ES_tradnl"/>
        </w:rPr>
      </w:pPr>
      <w:r w:rsidRPr="000246A6">
        <w:rPr>
          <w:noProof/>
          <w:lang w:val="es-ES_tradnl"/>
        </w:rPr>
        <w:t>La Conferencia de las Partes tal vez deseará examinar la información que se aporta en el presente documento.</w:t>
      </w:r>
    </w:p>
    <w:p w14:paraId="4E60582E" w14:textId="77777777" w:rsidR="006B47CE" w:rsidRPr="000246A6" w:rsidRDefault="006B47CE" w:rsidP="006B47CE">
      <w:pPr>
        <w:pStyle w:val="Normal-pool"/>
        <w:rPr>
          <w:noProof/>
          <w:lang w:val="es-ES_tradnl"/>
        </w:rPr>
        <w:sectPr w:rsidR="006B47CE" w:rsidRPr="000246A6" w:rsidSect="009E40F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07" w:right="992" w:bottom="1418" w:left="1418" w:header="539" w:footer="975" w:gutter="0"/>
          <w:cols w:space="539"/>
          <w:titlePg/>
          <w:docGrid w:linePitch="360"/>
        </w:sectPr>
      </w:pPr>
    </w:p>
    <w:p w14:paraId="6123A9CF" w14:textId="77777777" w:rsidR="009E40F6" w:rsidRPr="000246A6" w:rsidRDefault="000C65B1" w:rsidP="009E40F6">
      <w:pPr>
        <w:pStyle w:val="ZZAnxheader"/>
        <w:rPr>
          <w:noProof/>
          <w:lang w:val="es-ES_tradnl"/>
        </w:rPr>
      </w:pPr>
      <w:r w:rsidRPr="000246A6">
        <w:rPr>
          <w:noProof/>
          <w:lang w:val="es-ES_tradnl"/>
        </w:rPr>
        <w:lastRenderedPageBreak/>
        <w:t>Anexo</w:t>
      </w:r>
    </w:p>
    <w:p w14:paraId="303666E2" w14:textId="77777777" w:rsidR="009E40F6" w:rsidRPr="000246A6" w:rsidRDefault="00EF58E4" w:rsidP="009E40F6">
      <w:pPr>
        <w:pStyle w:val="ZZAnxtitle"/>
        <w:rPr>
          <w:noProof/>
          <w:szCs w:val="28"/>
          <w:lang w:val="es-ES_tradnl"/>
        </w:rPr>
      </w:pPr>
      <w:r w:rsidRPr="000246A6">
        <w:rPr>
          <w:noProof/>
          <w:lang w:val="es-ES_tradnl"/>
        </w:rPr>
        <w:t>Resumen del informe s</w:t>
      </w:r>
      <w:r w:rsidR="009A7112" w:rsidRPr="000246A6">
        <w:rPr>
          <w:noProof/>
          <w:lang w:val="es-ES_tradnl"/>
        </w:rPr>
        <w:t xml:space="preserve">obre </w:t>
      </w:r>
      <w:r w:rsidR="00A60A4D" w:rsidRPr="000246A6">
        <w:rPr>
          <w:noProof/>
          <w:lang w:val="es-ES_tradnl"/>
        </w:rPr>
        <w:t xml:space="preserve">los </w:t>
      </w:r>
      <w:r w:rsidR="009A7112" w:rsidRPr="000246A6">
        <w:rPr>
          <w:noProof/>
          <w:lang w:val="es-ES_tradnl"/>
        </w:rPr>
        <w:t xml:space="preserve">enfoques </w:t>
      </w:r>
      <w:r w:rsidR="00A60A4D" w:rsidRPr="000246A6">
        <w:rPr>
          <w:noProof/>
          <w:lang w:val="es-ES_tradnl"/>
        </w:rPr>
        <w:t xml:space="preserve">aplicables </w:t>
      </w:r>
      <w:r w:rsidR="009A7112" w:rsidRPr="000246A6">
        <w:rPr>
          <w:noProof/>
          <w:lang w:val="es-ES_tradnl"/>
        </w:rPr>
        <w:t>para codificar los</w:t>
      </w:r>
      <w:r w:rsidR="004C3FAA" w:rsidRPr="000246A6">
        <w:rPr>
          <w:noProof/>
          <w:lang w:val="es-ES_tradnl"/>
        </w:rPr>
        <w:t> </w:t>
      </w:r>
      <w:r w:rsidR="009A7112" w:rsidRPr="000246A6">
        <w:rPr>
          <w:noProof/>
          <w:lang w:val="es-ES_tradnl"/>
        </w:rPr>
        <w:t>productos con mercurio añadido</w:t>
      </w:r>
      <w:r w:rsidRPr="000246A6">
        <w:rPr>
          <w:noProof/>
          <w:lang w:val="es-ES_tradnl"/>
        </w:rPr>
        <w:t xml:space="preserve"> enumerados en el anexo A </w:t>
      </w:r>
      <w:r w:rsidR="009A7112" w:rsidRPr="000246A6">
        <w:rPr>
          <w:noProof/>
          <w:lang w:val="es-ES_tradnl"/>
        </w:rPr>
        <w:t xml:space="preserve">y distinguirlos de los productos sin mercurio añadido </w:t>
      </w:r>
      <w:r w:rsidRPr="000246A6">
        <w:rPr>
          <w:noProof/>
          <w:lang w:val="es-ES_tradnl"/>
        </w:rPr>
        <w:t>a partir del marco del Sistema Armonizado</w:t>
      </w:r>
    </w:p>
    <w:p w14:paraId="3215A92B" w14:textId="77777777" w:rsidR="00EF5108" w:rsidRPr="000246A6" w:rsidRDefault="008F728D" w:rsidP="0013574F">
      <w:pPr>
        <w:pStyle w:val="CH1"/>
        <w:rPr>
          <w:noProof/>
          <w:lang w:val="es-ES_tradnl"/>
        </w:rPr>
      </w:pPr>
      <w:r w:rsidRPr="000246A6">
        <w:rPr>
          <w:noProof/>
          <w:lang w:val="es-ES_tradnl"/>
        </w:rPr>
        <w:tab/>
      </w:r>
      <w:r w:rsidRPr="000246A6">
        <w:rPr>
          <w:noProof/>
          <w:lang w:val="es-ES_tradnl"/>
        </w:rPr>
        <w:tab/>
      </w:r>
      <w:r w:rsidRPr="000246A6">
        <w:rPr>
          <w:bCs/>
          <w:noProof/>
          <w:lang w:val="es-ES_tradnl"/>
        </w:rPr>
        <w:t>Sinopsis</w:t>
      </w:r>
    </w:p>
    <w:p w14:paraId="0407B1E3" w14:textId="254A9469" w:rsidR="00EF5108" w:rsidRPr="000246A6" w:rsidRDefault="00EF5108" w:rsidP="002D0F77">
      <w:pPr>
        <w:pStyle w:val="Normalnumber"/>
        <w:rPr>
          <w:bCs/>
          <w:noProof/>
          <w:lang w:val="es-ES_tradnl"/>
        </w:rPr>
      </w:pPr>
      <w:r w:rsidRPr="000246A6">
        <w:rPr>
          <w:noProof/>
          <w:lang w:val="es-ES_tradnl"/>
        </w:rPr>
        <w:t xml:space="preserve">En su decisión MC-2/9, adoptada en su segunda reunión, la Conferencia de las Partes en el Convenio de Minamata sobre el Mercurio solicitó a la Secretaría que, en colaboración con la esfera relativa a las asociaciones sobre el contenido de mercurio en productos de la Asociación Mundial sobre el Mercurio del </w:t>
      </w:r>
      <w:r w:rsidR="003A384C" w:rsidRPr="000246A6">
        <w:rPr>
          <w:noProof/>
          <w:lang w:val="es-ES_tradnl"/>
        </w:rPr>
        <w:t xml:space="preserve">Programa de las Naciones Unidas para el Medio Ambiente </w:t>
      </w:r>
      <w:r w:rsidRPr="000246A6">
        <w:rPr>
          <w:noProof/>
          <w:lang w:val="es-ES_tradnl"/>
        </w:rPr>
        <w:t>(Asociación sobre Productos que Contienen Mercurio) y teniendo en</w:t>
      </w:r>
      <w:r w:rsidR="004C3FAA" w:rsidRPr="000246A6">
        <w:rPr>
          <w:noProof/>
          <w:lang w:val="es-ES_tradnl"/>
        </w:rPr>
        <w:t> </w:t>
      </w:r>
      <w:r w:rsidRPr="000246A6">
        <w:rPr>
          <w:noProof/>
          <w:lang w:val="es-ES_tradnl"/>
        </w:rPr>
        <w:t>cuenta los resultados de la encuesta sobre la iniciativa del Sistema Armonizado elaborada por la Asociación sobre Productos que Contienen Mercurio, propusiera enfoques para los códigos específicos con los que detectar y distinguir los productos con y sin mercurio añadido enumerados en el anexo A del Convenio, incluidos los enfoques para su posible armonización. Por tanto, en el informe se ofrece información de antecedentes sobre la cuestión y se presentan enfoques acordes con el marco</w:t>
      </w:r>
      <w:r w:rsidR="009A7112" w:rsidRPr="000246A6">
        <w:rPr>
          <w:noProof/>
          <w:lang w:val="es-ES_tradnl"/>
        </w:rPr>
        <w:t xml:space="preserve"> del Sistema Armonizado para que</w:t>
      </w:r>
      <w:r w:rsidRPr="000246A6">
        <w:rPr>
          <w:noProof/>
          <w:lang w:val="es-ES_tradnl"/>
        </w:rPr>
        <w:t xml:space="preserve"> las Partes y demás interesados los examinen.</w:t>
      </w:r>
      <w:bookmarkStart w:id="2" w:name="_Hlk15919054"/>
      <w:bookmarkEnd w:id="2"/>
    </w:p>
    <w:p w14:paraId="36400E15" w14:textId="77777777" w:rsidR="00A20821" w:rsidRPr="000246A6" w:rsidRDefault="009A7112" w:rsidP="008F728D">
      <w:pPr>
        <w:pStyle w:val="CH1"/>
        <w:rPr>
          <w:noProof/>
          <w:lang w:val="es-ES_tradnl"/>
        </w:rPr>
      </w:pPr>
      <w:r w:rsidRPr="000246A6">
        <w:rPr>
          <w:noProof/>
          <w:lang w:val="es-ES_tradnl"/>
        </w:rPr>
        <w:tab/>
      </w:r>
      <w:r w:rsidR="008F728D" w:rsidRPr="000246A6">
        <w:rPr>
          <w:noProof/>
          <w:lang w:val="es-ES_tradnl"/>
        </w:rPr>
        <w:t>I.</w:t>
      </w:r>
      <w:r w:rsidR="008F728D" w:rsidRPr="000246A6">
        <w:rPr>
          <w:noProof/>
          <w:lang w:val="es-ES_tradnl"/>
        </w:rPr>
        <w:tab/>
      </w:r>
      <w:r w:rsidR="008F728D" w:rsidRPr="000246A6">
        <w:rPr>
          <w:bCs/>
          <w:noProof/>
          <w:lang w:val="es-ES_tradnl"/>
        </w:rPr>
        <w:t>Códigos aduaneros</w:t>
      </w:r>
    </w:p>
    <w:p w14:paraId="52691372" w14:textId="77777777" w:rsidR="004E5126" w:rsidRPr="000246A6" w:rsidRDefault="004E5126" w:rsidP="002D0F77">
      <w:pPr>
        <w:pStyle w:val="Normalnumber"/>
        <w:rPr>
          <w:noProof/>
          <w:lang w:val="es-ES_tradnl"/>
        </w:rPr>
      </w:pPr>
      <w:r w:rsidRPr="000246A6">
        <w:rPr>
          <w:noProof/>
          <w:lang w:val="es-ES_tradnl"/>
        </w:rPr>
        <w:t>El Sistema Armonizado de Designación y Codificación de Mercancías, conocido también como Sistema Armonizado (SA), comprende la nomenclatura normalizada internacionalmente que se</w:t>
      </w:r>
      <w:r w:rsidR="004C3FAA" w:rsidRPr="000246A6">
        <w:rPr>
          <w:noProof/>
          <w:lang w:val="es-ES_tradnl"/>
        </w:rPr>
        <w:t> </w:t>
      </w:r>
      <w:r w:rsidRPr="000246A6">
        <w:rPr>
          <w:noProof/>
          <w:lang w:val="es-ES_tradnl"/>
        </w:rPr>
        <w:t>usa para clasificar los productos comercializados. El Sistema Armonizado entró en vigor en 1988. Desde entonces, su desarrollo y actualización han corrido a cargo de la Organización Mundial de Aduanas (OMA), organización intergubernamental independiente con sede en Bruselas</w:t>
      </w:r>
      <w:r w:rsidRPr="000246A6">
        <w:rPr>
          <w:rStyle w:val="FootnoteReference"/>
          <w:noProof/>
          <w:lang w:val="es-ES_tradnl"/>
        </w:rPr>
        <w:footnoteReference w:id="2"/>
      </w:r>
      <w:r w:rsidRPr="000246A6">
        <w:rPr>
          <w:noProof/>
          <w:lang w:val="es-ES_tradnl"/>
        </w:rPr>
        <w:t>. En mayo de</w:t>
      </w:r>
      <w:r w:rsidR="004C3FAA" w:rsidRPr="000246A6">
        <w:rPr>
          <w:noProof/>
          <w:lang w:val="es-ES_tradnl"/>
        </w:rPr>
        <w:t> </w:t>
      </w:r>
      <w:r w:rsidRPr="000246A6">
        <w:rPr>
          <w:noProof/>
          <w:lang w:val="es-ES_tradnl"/>
        </w:rPr>
        <w:t xml:space="preserve">2019 había 211 países, territorios y uniones aduaneras y económicas que aplicaban el Sistema Armonizado, lo que hace de él un sistema eficaz y reconocido mundialmente. El Sistema Armonizado se divide en 21 secciones subdivididas en 96 capítulos. Los 96 capítulos se subdividen a su vez en cerca de 1.200 partidas y 5.400 subpartidas que describen los productos con más detalle. </w:t>
      </w:r>
      <w:r w:rsidR="009A7112" w:rsidRPr="000246A6">
        <w:rPr>
          <w:noProof/>
          <w:lang w:val="es-ES_tradnl"/>
        </w:rPr>
        <w:t>Sin embargo, h</w:t>
      </w:r>
      <w:r w:rsidRPr="000246A6">
        <w:rPr>
          <w:noProof/>
          <w:lang w:val="es-ES_tradnl"/>
        </w:rPr>
        <w:t xml:space="preserve">oy por hoy, </w:t>
      </w:r>
      <w:r w:rsidR="009A7112" w:rsidRPr="000246A6">
        <w:rPr>
          <w:noProof/>
          <w:lang w:val="es-ES_tradnl"/>
        </w:rPr>
        <w:t xml:space="preserve">el sistema no es </w:t>
      </w:r>
      <w:r w:rsidRPr="000246A6">
        <w:rPr>
          <w:noProof/>
          <w:lang w:val="es-ES_tradnl"/>
        </w:rPr>
        <w:t>lo bastante detallado para distinguir entre productos con y sin mercurio</w:t>
      </w:r>
      <w:r w:rsidR="004C3FAA" w:rsidRPr="000246A6">
        <w:rPr>
          <w:noProof/>
          <w:lang w:val="es-ES_tradnl"/>
        </w:rPr>
        <w:t> </w:t>
      </w:r>
      <w:r w:rsidRPr="000246A6">
        <w:rPr>
          <w:noProof/>
          <w:lang w:val="es-ES_tradnl"/>
        </w:rPr>
        <w:t>añadido.</w:t>
      </w:r>
    </w:p>
    <w:p w14:paraId="241BD1C2" w14:textId="77777777" w:rsidR="004E5126" w:rsidRPr="000246A6" w:rsidRDefault="009A7112" w:rsidP="002D0F77">
      <w:pPr>
        <w:pStyle w:val="Normalnumber"/>
        <w:rPr>
          <w:noProof/>
          <w:lang w:val="es-ES_tradnl"/>
        </w:rPr>
      </w:pPr>
      <w:r w:rsidRPr="000246A6">
        <w:rPr>
          <w:noProof/>
          <w:lang w:val="es-ES_tradnl"/>
        </w:rPr>
        <w:t>Un código básico del Sistema Armonizado</w:t>
      </w:r>
      <w:r w:rsidR="004E5126" w:rsidRPr="000246A6">
        <w:rPr>
          <w:noProof/>
          <w:lang w:val="es-ES_tradnl"/>
        </w:rPr>
        <w:t xml:space="preserve"> consiste en una cifra de hasta seis dígitos. Hasta el</w:t>
      </w:r>
      <w:r w:rsidR="00ED69D4" w:rsidRPr="000246A6">
        <w:rPr>
          <w:noProof/>
          <w:lang w:val="es-ES_tradnl"/>
        </w:rPr>
        <w:t> </w:t>
      </w:r>
      <w:r w:rsidR="004E5126" w:rsidRPr="000246A6">
        <w:rPr>
          <w:noProof/>
          <w:lang w:val="es-ES_tradnl"/>
        </w:rPr>
        <w:t xml:space="preserve">nivel de seis dígitos, las Partes Contratantes en el Convenio </w:t>
      </w:r>
      <w:r w:rsidR="003A384C" w:rsidRPr="000246A6">
        <w:rPr>
          <w:noProof/>
          <w:lang w:val="es-ES_tradnl"/>
        </w:rPr>
        <w:t xml:space="preserve">Internacional </w:t>
      </w:r>
      <w:r w:rsidR="004E5126" w:rsidRPr="000246A6">
        <w:rPr>
          <w:noProof/>
          <w:lang w:val="es-ES_tradnl"/>
        </w:rPr>
        <w:t>sobre el Sistema Armonizado de Designación y Codificación han acor</w:t>
      </w:r>
      <w:r w:rsidRPr="000246A6">
        <w:rPr>
          <w:noProof/>
          <w:lang w:val="es-ES_tradnl"/>
        </w:rPr>
        <w:t>dado usar la nomenclatura del Sistema Armonizado</w:t>
      </w:r>
      <w:r w:rsidR="004E5126" w:rsidRPr="000246A6">
        <w:rPr>
          <w:noProof/>
          <w:lang w:val="es-ES_tradnl"/>
        </w:rPr>
        <w:t xml:space="preserve"> para el capítulo, partida y subpartida, incluidas las notas legales pertinentes. La gestión de los códigos SA en este nivel compete a la OMA, y los cambios se introducen cada cinco o seis años de conformidad con el proceso de presentación y aprobación de la OMA. Por tanto, salvo contadas excepciones, todos los países usan la misma nomenclatura de seis dígitos</w:t>
      </w:r>
      <w:r w:rsidR="00123D07" w:rsidRPr="000246A6">
        <w:rPr>
          <w:rStyle w:val="FootnoteReference"/>
          <w:noProof/>
          <w:lang w:val="es-ES_tradnl"/>
        </w:rPr>
        <w:footnoteReference w:id="3"/>
      </w:r>
      <w:r w:rsidR="004E5126" w:rsidRPr="000246A6">
        <w:rPr>
          <w:noProof/>
          <w:lang w:val="es-ES_tradnl"/>
        </w:rPr>
        <w:t>. Los países podrán revisar o crear unilateralmente códigos aduaneros de más de</w:t>
      </w:r>
      <w:r w:rsidRPr="000246A6">
        <w:rPr>
          <w:noProof/>
          <w:lang w:val="es-ES_tradnl"/>
        </w:rPr>
        <w:t xml:space="preserve"> 6 dígitos </w:t>
      </w:r>
      <w:r w:rsidR="004C3FAA" w:rsidRPr="000246A6">
        <w:rPr>
          <w:noProof/>
          <w:lang w:val="es-ES_tradnl"/>
        </w:rPr>
        <w:t>–</w:t>
      </w:r>
      <w:r w:rsidR="004E5126" w:rsidRPr="000246A6">
        <w:rPr>
          <w:noProof/>
          <w:lang w:val="es-ES_tradnl"/>
        </w:rPr>
        <w:t>normalmente con fi</w:t>
      </w:r>
      <w:r w:rsidRPr="000246A6">
        <w:rPr>
          <w:noProof/>
          <w:lang w:val="es-ES_tradnl"/>
        </w:rPr>
        <w:t>nes arancelarios y estadísticos</w:t>
      </w:r>
      <w:r w:rsidR="004C3FAA" w:rsidRPr="000246A6">
        <w:rPr>
          <w:noProof/>
          <w:lang w:val="es-ES_tradnl"/>
        </w:rPr>
        <w:t>–</w:t>
      </w:r>
      <w:r w:rsidR="004E5126" w:rsidRPr="000246A6">
        <w:rPr>
          <w:noProof/>
          <w:lang w:val="es-ES_tradnl"/>
        </w:rPr>
        <w:t xml:space="preserve"> según sus propios procedimientos</w:t>
      </w:r>
      <w:r w:rsidRPr="000246A6">
        <w:rPr>
          <w:noProof/>
          <w:lang w:val="es-ES_tradnl"/>
        </w:rPr>
        <w:t>.</w:t>
      </w:r>
      <w:r w:rsidR="004E5126" w:rsidRPr="000246A6">
        <w:rPr>
          <w:noProof/>
          <w:lang w:val="es-ES_tradnl"/>
        </w:rPr>
        <w:t xml:space="preserve"> Casi todos los países que aplican el Sistema Armonizado han establecido procedimientos para aplicar códigos aduaneros de más de seis dígitos.</w:t>
      </w:r>
    </w:p>
    <w:p w14:paraId="5A4AD50B" w14:textId="77777777" w:rsidR="00123D07" w:rsidRPr="000246A6" w:rsidRDefault="003E6BAB" w:rsidP="002D0F77">
      <w:pPr>
        <w:pStyle w:val="Normalnumber"/>
        <w:rPr>
          <w:noProof/>
          <w:shd w:val="clear" w:color="auto" w:fill="FFFFFF"/>
          <w:lang w:val="es-ES_tradnl"/>
        </w:rPr>
      </w:pPr>
      <w:r w:rsidRPr="000246A6">
        <w:rPr>
          <w:noProof/>
          <w:lang w:val="es-ES_tradnl"/>
        </w:rPr>
        <w:t>Según los estudios realizados, lo más habitual es que los países trasciendan los códigos de seis dígitos del Sistema Armonizado a nivel regional y nacional con el fin de imponer derechos de aduana, principalmente mediante la creación de códigos “arancelarios” de ocho dígitos. Asimismo, pueden crearse códigos aduaneros de diez dígitos o más con fines estadísticos y de otra índole, a veces p</w:t>
      </w:r>
      <w:r w:rsidR="009A7112" w:rsidRPr="000246A6">
        <w:rPr>
          <w:noProof/>
          <w:lang w:val="es-ES_tradnl"/>
        </w:rPr>
        <w:t xml:space="preserve">or recomendación de la OMA. Es precisamente </w:t>
      </w:r>
      <w:r w:rsidRPr="000246A6">
        <w:rPr>
          <w:noProof/>
          <w:lang w:val="es-ES_tradnl"/>
        </w:rPr>
        <w:t>en el ámbito de los códigos de ocho y diez dígitos donde la Asociación sobre Productos que Contienen Mercurio previó que las Partes pod</w:t>
      </w:r>
      <w:r w:rsidR="009A7112" w:rsidRPr="000246A6">
        <w:rPr>
          <w:noProof/>
          <w:lang w:val="es-ES_tradnl"/>
        </w:rPr>
        <w:t>r</w:t>
      </w:r>
      <w:r w:rsidRPr="000246A6">
        <w:rPr>
          <w:noProof/>
          <w:lang w:val="es-ES_tradnl"/>
        </w:rPr>
        <w:t>ían colaborar entre ellas para mejorar los datos comerciales mediante la disti</w:t>
      </w:r>
      <w:r w:rsidR="009A7112" w:rsidRPr="000246A6">
        <w:rPr>
          <w:noProof/>
          <w:lang w:val="es-ES_tradnl"/>
        </w:rPr>
        <w:t xml:space="preserve">nción entre los productos </w:t>
      </w:r>
      <w:r w:rsidRPr="000246A6">
        <w:rPr>
          <w:noProof/>
          <w:lang w:val="es-ES_tradnl"/>
        </w:rPr>
        <w:t xml:space="preserve">sin mercurio añadido </w:t>
      </w:r>
      <w:r w:rsidR="009A7112" w:rsidRPr="000246A6">
        <w:rPr>
          <w:noProof/>
          <w:lang w:val="es-ES_tradnl"/>
        </w:rPr>
        <w:t xml:space="preserve">y los productos con mercurio añadido </w:t>
      </w:r>
      <w:r w:rsidRPr="000246A6">
        <w:rPr>
          <w:noProof/>
          <w:lang w:val="es-ES_tradnl"/>
        </w:rPr>
        <w:t>enumerados en el anexo A del Convenio de Minamata.</w:t>
      </w:r>
    </w:p>
    <w:p w14:paraId="03DBF179" w14:textId="77777777" w:rsidR="00123D07" w:rsidRPr="000246A6" w:rsidRDefault="009A7112" w:rsidP="008F728D">
      <w:pPr>
        <w:pStyle w:val="CH1"/>
        <w:rPr>
          <w:noProof/>
          <w:shd w:val="clear" w:color="auto" w:fill="FFFFFF"/>
          <w:lang w:val="es-ES_tradnl"/>
        </w:rPr>
      </w:pPr>
      <w:r w:rsidRPr="000246A6">
        <w:rPr>
          <w:noProof/>
          <w:lang w:val="es-ES_tradnl"/>
        </w:rPr>
        <w:lastRenderedPageBreak/>
        <w:tab/>
      </w:r>
      <w:r w:rsidR="008F728D" w:rsidRPr="000246A6">
        <w:rPr>
          <w:noProof/>
          <w:lang w:val="es-ES_tradnl"/>
        </w:rPr>
        <w:t>II.</w:t>
      </w:r>
      <w:r w:rsidR="008F728D" w:rsidRPr="000246A6">
        <w:rPr>
          <w:noProof/>
          <w:lang w:val="es-ES_tradnl"/>
        </w:rPr>
        <w:tab/>
      </w:r>
      <w:r w:rsidR="008F728D" w:rsidRPr="000246A6">
        <w:rPr>
          <w:bCs/>
          <w:noProof/>
          <w:lang w:val="es-ES_tradnl"/>
        </w:rPr>
        <w:t xml:space="preserve">Encuesta sobre </w:t>
      </w:r>
      <w:r w:rsidRPr="000246A6">
        <w:rPr>
          <w:bCs/>
          <w:noProof/>
          <w:lang w:val="es-ES_tradnl"/>
        </w:rPr>
        <w:t xml:space="preserve">los </w:t>
      </w:r>
      <w:r w:rsidR="008F728D" w:rsidRPr="000246A6">
        <w:rPr>
          <w:bCs/>
          <w:noProof/>
          <w:lang w:val="es-ES_tradnl"/>
        </w:rPr>
        <w:t>códigos aduaneros</w:t>
      </w:r>
    </w:p>
    <w:p w14:paraId="27CB66B5" w14:textId="77777777" w:rsidR="00123D07" w:rsidRPr="000246A6" w:rsidRDefault="00DA53AE" w:rsidP="002D0F77">
      <w:pPr>
        <w:pStyle w:val="Normalnumber"/>
        <w:rPr>
          <w:noProof/>
          <w:shd w:val="clear" w:color="auto" w:fill="FFFFFF"/>
          <w:lang w:val="es-ES_tradnl"/>
        </w:rPr>
      </w:pPr>
      <w:r w:rsidRPr="000246A6">
        <w:rPr>
          <w:noProof/>
          <w:lang w:val="es-ES_tradnl"/>
        </w:rPr>
        <w:t>Tras llevar a cabo las pertinentes investigaciones de antecedentes, la Asociación sobre Productos que Contienen Mercurio trató de determinar el nivel de interés de las Partes en el Convenio de Minamata en la mejora de los códigos aduaneros como posible fuente de datos más precisos sobre los productos enumerados en el anexo A en apoyo del Convenio y de la decisión</w:t>
      </w:r>
      <w:r w:rsidR="00660C4C" w:rsidRPr="000246A6">
        <w:rPr>
          <w:noProof/>
          <w:lang w:val="es-ES_tradnl"/>
        </w:rPr>
        <w:t> </w:t>
      </w:r>
      <w:r w:rsidRPr="000246A6">
        <w:rPr>
          <w:noProof/>
          <w:lang w:val="es-ES_tradnl"/>
        </w:rPr>
        <w:t>MC-2/9.</w:t>
      </w:r>
    </w:p>
    <w:p w14:paraId="412FE6A0" w14:textId="77777777" w:rsidR="00DA53AE" w:rsidRPr="000246A6" w:rsidRDefault="00DA53AE" w:rsidP="002D0F77">
      <w:pPr>
        <w:pStyle w:val="Normalnumber"/>
        <w:rPr>
          <w:noProof/>
          <w:lang w:val="es-ES_tradnl"/>
        </w:rPr>
      </w:pPr>
      <w:r w:rsidRPr="000246A6">
        <w:rPr>
          <w:noProof/>
          <w:lang w:val="es-ES_tradnl"/>
        </w:rPr>
        <w:t>En julio de 2018, como parte de la iniciativa del Sistema Armonizado, se remitió una breve encuesta en línea a representantes de todos los Gobiernos que habían asistido a la primera reunión de la Conferencia de las Partes. (</w:t>
      </w:r>
      <w:r w:rsidR="002071B2" w:rsidRPr="000246A6">
        <w:rPr>
          <w:noProof/>
          <w:lang w:val="es-ES_tradnl"/>
        </w:rPr>
        <w:t>La</w:t>
      </w:r>
      <w:r w:rsidRPr="000246A6">
        <w:rPr>
          <w:noProof/>
          <w:lang w:val="es-ES_tradnl"/>
        </w:rPr>
        <w:t xml:space="preserve"> encuesta en línea </w:t>
      </w:r>
      <w:r w:rsidR="002071B2" w:rsidRPr="000246A6">
        <w:rPr>
          <w:noProof/>
          <w:lang w:val="es-ES_tradnl"/>
        </w:rPr>
        <w:t xml:space="preserve">puede consultarse </w:t>
      </w:r>
      <w:r w:rsidRPr="000246A6">
        <w:rPr>
          <w:noProof/>
          <w:lang w:val="es-ES_tradnl"/>
        </w:rPr>
        <w:t>en el apéndice F del informe completo que se reproduce en el documento UNEP/MC/COP.3/INF/12.)</w:t>
      </w:r>
      <w:r w:rsidR="00ED69D4" w:rsidRPr="000246A6">
        <w:rPr>
          <w:noProof/>
          <w:lang w:val="es-ES_tradnl"/>
        </w:rPr>
        <w:t>.</w:t>
      </w:r>
      <w:r w:rsidRPr="000246A6">
        <w:rPr>
          <w:noProof/>
          <w:lang w:val="es-ES_tradnl"/>
        </w:rPr>
        <w:t xml:space="preserve"> De los 40 países que respondieron a la encuesta, 39 apoyaron la iniciativa del Sistema Armonizado. En el caso del único</w:t>
      </w:r>
      <w:r w:rsidR="004C3FAA" w:rsidRPr="000246A6">
        <w:rPr>
          <w:noProof/>
          <w:lang w:val="es-ES_tradnl"/>
        </w:rPr>
        <w:t> </w:t>
      </w:r>
      <w:r w:rsidRPr="000246A6">
        <w:rPr>
          <w:noProof/>
          <w:lang w:val="es-ES_tradnl"/>
        </w:rPr>
        <w:t xml:space="preserve">país que no manifestó su apoyo, no quedó claro si </w:t>
      </w:r>
      <w:r w:rsidR="002071B2" w:rsidRPr="000246A6">
        <w:rPr>
          <w:noProof/>
          <w:lang w:val="es-ES_tradnl"/>
        </w:rPr>
        <w:t xml:space="preserve">se </w:t>
      </w:r>
      <w:r w:rsidRPr="000246A6">
        <w:rPr>
          <w:noProof/>
          <w:lang w:val="es-ES_tradnl"/>
        </w:rPr>
        <w:t>había</w:t>
      </w:r>
      <w:r w:rsidR="002071B2" w:rsidRPr="000246A6">
        <w:rPr>
          <w:noProof/>
          <w:lang w:val="es-ES_tradnl"/>
        </w:rPr>
        <w:t xml:space="preserve">n respondido </w:t>
      </w:r>
      <w:r w:rsidRPr="000246A6">
        <w:rPr>
          <w:noProof/>
          <w:lang w:val="es-ES_tradnl"/>
        </w:rPr>
        <w:t>todas las preguntas del</w:t>
      </w:r>
      <w:r w:rsidR="004C3FAA" w:rsidRPr="000246A6">
        <w:rPr>
          <w:noProof/>
          <w:lang w:val="es-ES_tradnl"/>
        </w:rPr>
        <w:t> </w:t>
      </w:r>
      <w:r w:rsidRPr="000246A6">
        <w:rPr>
          <w:noProof/>
          <w:lang w:val="es-ES_tradnl"/>
        </w:rPr>
        <w:t>cuestionario.</w:t>
      </w:r>
      <w:bookmarkStart w:id="3" w:name="_Hlk15744179"/>
      <w:bookmarkEnd w:id="3"/>
    </w:p>
    <w:p w14:paraId="65AF5CCB" w14:textId="77777777" w:rsidR="00CA2BBE" w:rsidRPr="000246A6" w:rsidRDefault="00CA2BBE" w:rsidP="002D0F77">
      <w:pPr>
        <w:pStyle w:val="Normalnumber"/>
        <w:rPr>
          <w:noProof/>
          <w:lang w:val="es-ES_tradnl"/>
        </w:rPr>
      </w:pPr>
      <w:r w:rsidRPr="000246A6">
        <w:rPr>
          <w:noProof/>
          <w:lang w:val="es-ES_tradnl"/>
        </w:rPr>
        <w:t>Siete de los encuestados indicaron que ya habían adoptado medidas para definir con más precisión los productos del Anexo A mediante códigos aduaneros. Los grupos de productos del anexo</w:t>
      </w:r>
      <w:r w:rsidR="004C3FAA" w:rsidRPr="000246A6">
        <w:rPr>
          <w:noProof/>
          <w:lang w:val="es-ES_tradnl"/>
        </w:rPr>
        <w:t> </w:t>
      </w:r>
      <w:r w:rsidRPr="000246A6">
        <w:rPr>
          <w:noProof/>
          <w:lang w:val="es-ES_tradnl"/>
        </w:rPr>
        <w:t xml:space="preserve">A definidos con más frecuencia por esos siete encuestados correspondían a productos cuya identidad era más fácil de determinar visualmente o productos con un volumen mayor de mercurio añadido (por ejemplo, baterías, interruptores y relés, lámparas y aparatos de medición). </w:t>
      </w:r>
    </w:p>
    <w:p w14:paraId="1387BB54" w14:textId="77777777" w:rsidR="00A32AA8" w:rsidRPr="000246A6" w:rsidRDefault="002071B2" w:rsidP="008F728D">
      <w:pPr>
        <w:pStyle w:val="CH1"/>
        <w:rPr>
          <w:noProof/>
          <w:lang w:val="es-ES_tradnl"/>
        </w:rPr>
      </w:pPr>
      <w:r w:rsidRPr="000246A6">
        <w:rPr>
          <w:noProof/>
          <w:lang w:val="es-ES_tradnl"/>
        </w:rPr>
        <w:tab/>
      </w:r>
      <w:r w:rsidR="008F728D" w:rsidRPr="000246A6">
        <w:rPr>
          <w:noProof/>
          <w:lang w:val="es-ES_tradnl"/>
        </w:rPr>
        <w:t>III.</w:t>
      </w:r>
      <w:r w:rsidR="008F728D" w:rsidRPr="000246A6">
        <w:rPr>
          <w:noProof/>
          <w:lang w:val="es-ES_tradnl"/>
        </w:rPr>
        <w:tab/>
      </w:r>
      <w:r w:rsidR="00A60A4D" w:rsidRPr="000246A6">
        <w:rPr>
          <w:noProof/>
          <w:lang w:val="es-ES_tradnl"/>
        </w:rPr>
        <w:t xml:space="preserve">Investigación </w:t>
      </w:r>
      <w:r w:rsidR="00985891" w:rsidRPr="000246A6">
        <w:rPr>
          <w:noProof/>
          <w:lang w:val="es-ES_tradnl"/>
        </w:rPr>
        <w:t>de seguimiento</w:t>
      </w:r>
      <w:r w:rsidR="00A60A4D" w:rsidRPr="000246A6">
        <w:rPr>
          <w:noProof/>
          <w:lang w:val="es-ES_tradnl"/>
        </w:rPr>
        <w:t xml:space="preserve"> y</w:t>
      </w:r>
      <w:r w:rsidR="008F728D" w:rsidRPr="000246A6">
        <w:rPr>
          <w:bCs/>
          <w:noProof/>
          <w:lang w:val="es-ES_tradnl"/>
        </w:rPr>
        <w:t xml:space="preserve"> consultas</w:t>
      </w:r>
    </w:p>
    <w:p w14:paraId="592A485A" w14:textId="3D87E105" w:rsidR="00950C3F" w:rsidRPr="000246A6" w:rsidRDefault="00A32AA8" w:rsidP="00C442F7">
      <w:pPr>
        <w:pStyle w:val="Normalnumber"/>
        <w:rPr>
          <w:noProof/>
          <w:lang w:val="es-ES_tradnl"/>
        </w:rPr>
      </w:pPr>
      <w:r w:rsidRPr="000246A6">
        <w:rPr>
          <w:noProof/>
          <w:lang w:val="es-ES_tradnl"/>
        </w:rPr>
        <w:t>En respuesta al mandato de la Conferencia de las Partes, la investigación posterior consistió en</w:t>
      </w:r>
      <w:r w:rsidR="00ED69D4" w:rsidRPr="000246A6">
        <w:rPr>
          <w:noProof/>
          <w:lang w:val="es-ES_tradnl"/>
        </w:rPr>
        <w:t> </w:t>
      </w:r>
      <w:r w:rsidRPr="000246A6">
        <w:rPr>
          <w:noProof/>
          <w:lang w:val="es-ES_tradnl"/>
        </w:rPr>
        <w:t>consultas con diversos interesados que estaban versados en el marco del Sistema Armonizado o habían</w:t>
      </w:r>
      <w:r w:rsidR="004C3FAA" w:rsidRPr="000246A6">
        <w:rPr>
          <w:noProof/>
          <w:lang w:val="es-ES_tradnl"/>
        </w:rPr>
        <w:t> </w:t>
      </w:r>
      <w:r w:rsidRPr="000246A6">
        <w:rPr>
          <w:noProof/>
          <w:lang w:val="es-ES_tradnl"/>
        </w:rPr>
        <w:t xml:space="preserve">participado en la elaboración de códigos aduaneros específicos. Se examinaron las cuestiones enumeradas a continuación, junto con los métodos empleados por el Convenio de </w:t>
      </w:r>
      <w:r w:rsidR="003A384C" w:rsidRPr="000246A6">
        <w:rPr>
          <w:noProof/>
          <w:lang w:val="es-ES_tradnl"/>
        </w:rPr>
        <w:t xml:space="preserve">Rotterdam </w:t>
      </w:r>
      <w:r w:rsidR="000246A6" w:rsidRPr="000246A6">
        <w:rPr>
          <w:noProof/>
          <w:lang w:val="es-ES_tradnl"/>
        </w:rPr>
        <w:t xml:space="preserve">sobre el </w:t>
      </w:r>
      <w:r w:rsidR="003A384C" w:rsidRPr="000246A6">
        <w:rPr>
          <w:noProof/>
          <w:lang w:val="es-ES_tradnl"/>
        </w:rPr>
        <w:t xml:space="preserve">Procedimiento de Consentimiento Fundamentado Previo Aplicable a Ciertos Plaguicidas y Productos Químicos Peligrosos Objeto de Comercio Internacional </w:t>
      </w:r>
      <w:r w:rsidRPr="000246A6">
        <w:rPr>
          <w:noProof/>
          <w:lang w:val="es-ES_tradnl"/>
        </w:rPr>
        <w:t xml:space="preserve">y el Protocolo de Montreal relativo a las Sustancias que Agotan la Capa de Ozono, y la labor desplegada por determinados países para responder a las necesidades del Convenio de Basilea </w:t>
      </w:r>
      <w:r w:rsidR="003A384C" w:rsidRPr="000246A6">
        <w:rPr>
          <w:noProof/>
          <w:lang w:val="es-ES_tradnl"/>
        </w:rPr>
        <w:t xml:space="preserve">sobre el Control de los Movimientos Transfronterizos de los Desechos Peligrosos y su Eliminación </w:t>
      </w:r>
      <w:r w:rsidRPr="000246A6">
        <w:rPr>
          <w:noProof/>
          <w:lang w:val="es-ES_tradnl"/>
        </w:rPr>
        <w:t>(Tailandia) y el</w:t>
      </w:r>
      <w:r w:rsidR="004C3FAA" w:rsidRPr="000246A6">
        <w:rPr>
          <w:noProof/>
          <w:lang w:val="es-ES_tradnl"/>
        </w:rPr>
        <w:t> </w:t>
      </w:r>
      <w:r w:rsidRPr="000246A6">
        <w:rPr>
          <w:noProof/>
          <w:lang w:val="es-ES_tradnl"/>
        </w:rPr>
        <w:t xml:space="preserve">Convenio de Estocolmo </w:t>
      </w:r>
      <w:r w:rsidR="00C667D0" w:rsidRPr="000246A6">
        <w:rPr>
          <w:noProof/>
          <w:lang w:val="es-ES_tradnl"/>
        </w:rPr>
        <w:t xml:space="preserve">sobre Contaminantes Orgánicos Persistentes </w:t>
      </w:r>
      <w:r w:rsidRPr="000246A6">
        <w:rPr>
          <w:noProof/>
          <w:lang w:val="es-ES_tradnl"/>
        </w:rPr>
        <w:t>(Uruguay), como se indica en el capítulo 4 del informe íntegro y los apéndices</w:t>
      </w:r>
      <w:r w:rsidR="004C3FAA" w:rsidRPr="000246A6">
        <w:rPr>
          <w:noProof/>
          <w:lang w:val="es-ES_tradnl"/>
        </w:rPr>
        <w:t> </w:t>
      </w:r>
      <w:r w:rsidRPr="000246A6">
        <w:rPr>
          <w:noProof/>
          <w:lang w:val="es-ES_tradnl"/>
        </w:rPr>
        <w:t>conexos.</w:t>
      </w:r>
    </w:p>
    <w:tbl>
      <w:tblPr>
        <w:tblStyle w:val="TableGrid"/>
        <w:tblW w:w="0" w:type="auto"/>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0"/>
        <w:gridCol w:w="2854"/>
        <w:gridCol w:w="2835"/>
      </w:tblGrid>
      <w:tr w:rsidR="00950C3F" w:rsidRPr="000246A6" w14:paraId="26477EB6" w14:textId="77777777" w:rsidTr="000246A6">
        <w:trPr>
          <w:trHeight w:val="57"/>
        </w:trPr>
        <w:tc>
          <w:tcPr>
            <w:tcW w:w="2670" w:type="dxa"/>
            <w:tcBorders>
              <w:top w:val="single" w:sz="4" w:space="0" w:color="auto"/>
              <w:bottom w:val="single" w:sz="12" w:space="0" w:color="auto"/>
            </w:tcBorders>
          </w:tcPr>
          <w:p w14:paraId="46267F6F" w14:textId="77777777" w:rsidR="00950C3F" w:rsidRPr="000246A6" w:rsidRDefault="00950C3F" w:rsidP="00087A9F">
            <w:pPr>
              <w:pStyle w:val="Normalnumber"/>
              <w:numPr>
                <w:ilvl w:val="0"/>
                <w:numId w:val="0"/>
              </w:numPr>
              <w:spacing w:before="40" w:after="40"/>
              <w:ind w:left="57" w:right="57"/>
              <w:rPr>
                <w:i/>
                <w:noProof/>
                <w:sz w:val="18"/>
                <w:szCs w:val="18"/>
                <w:lang w:val="es-ES_tradnl"/>
              </w:rPr>
            </w:pPr>
            <w:r w:rsidRPr="000246A6">
              <w:rPr>
                <w:i/>
                <w:iCs/>
                <w:noProof/>
                <w:sz w:val="18"/>
                <w:szCs w:val="18"/>
                <w:lang w:val="es-ES_tradnl"/>
              </w:rPr>
              <w:t>Códi</w:t>
            </w:r>
            <w:r w:rsidR="002071B2" w:rsidRPr="000246A6">
              <w:rPr>
                <w:i/>
                <w:iCs/>
                <w:noProof/>
                <w:sz w:val="18"/>
                <w:szCs w:val="18"/>
                <w:lang w:val="es-ES_tradnl"/>
              </w:rPr>
              <w:t xml:space="preserve">gos aduaneros vigentes para </w:t>
            </w:r>
            <w:r w:rsidRPr="000246A6">
              <w:rPr>
                <w:i/>
                <w:iCs/>
                <w:noProof/>
                <w:sz w:val="18"/>
                <w:szCs w:val="18"/>
                <w:lang w:val="es-ES_tradnl"/>
              </w:rPr>
              <w:t>productos con mercurio añadido</w:t>
            </w:r>
          </w:p>
        </w:tc>
        <w:tc>
          <w:tcPr>
            <w:tcW w:w="2854" w:type="dxa"/>
            <w:tcBorders>
              <w:top w:val="single" w:sz="4" w:space="0" w:color="auto"/>
              <w:bottom w:val="single" w:sz="12" w:space="0" w:color="auto"/>
            </w:tcBorders>
          </w:tcPr>
          <w:p w14:paraId="4DF39DE4" w14:textId="77777777" w:rsidR="00950C3F" w:rsidRPr="000246A6" w:rsidRDefault="00950C3F" w:rsidP="00087A9F">
            <w:pPr>
              <w:pStyle w:val="Normalnumber"/>
              <w:numPr>
                <w:ilvl w:val="0"/>
                <w:numId w:val="0"/>
              </w:numPr>
              <w:spacing w:before="40" w:after="40"/>
              <w:ind w:left="57" w:right="57"/>
              <w:rPr>
                <w:i/>
                <w:noProof/>
                <w:sz w:val="18"/>
                <w:szCs w:val="18"/>
                <w:lang w:val="es-ES_tradnl"/>
              </w:rPr>
            </w:pPr>
            <w:r w:rsidRPr="000246A6">
              <w:rPr>
                <w:i/>
                <w:iCs/>
                <w:noProof/>
                <w:sz w:val="18"/>
                <w:szCs w:val="18"/>
                <w:lang w:val="es-ES_tradnl"/>
              </w:rPr>
              <w:t>Procesos de creación y aprobación de nuevos códigos aduaneros</w:t>
            </w:r>
          </w:p>
        </w:tc>
        <w:tc>
          <w:tcPr>
            <w:tcW w:w="2835" w:type="dxa"/>
            <w:tcBorders>
              <w:top w:val="single" w:sz="4" w:space="0" w:color="auto"/>
              <w:bottom w:val="single" w:sz="12" w:space="0" w:color="auto"/>
            </w:tcBorders>
          </w:tcPr>
          <w:p w14:paraId="15FD0222" w14:textId="77777777" w:rsidR="00950C3F" w:rsidRPr="000246A6" w:rsidRDefault="00950C3F" w:rsidP="00087A9F">
            <w:pPr>
              <w:pStyle w:val="Normalnumber"/>
              <w:numPr>
                <w:ilvl w:val="0"/>
                <w:numId w:val="0"/>
              </w:numPr>
              <w:spacing w:before="40" w:after="40"/>
              <w:ind w:left="57" w:right="57"/>
              <w:rPr>
                <w:i/>
                <w:noProof/>
                <w:sz w:val="18"/>
                <w:szCs w:val="18"/>
                <w:lang w:val="es-ES_tradnl"/>
              </w:rPr>
            </w:pPr>
            <w:r w:rsidRPr="000246A6">
              <w:rPr>
                <w:i/>
                <w:iCs/>
                <w:noProof/>
                <w:sz w:val="18"/>
                <w:szCs w:val="18"/>
                <w:lang w:val="es-ES_tradnl"/>
              </w:rPr>
              <w:t>Armonización de</w:t>
            </w:r>
            <w:r w:rsidR="002071B2" w:rsidRPr="000246A6">
              <w:rPr>
                <w:i/>
                <w:iCs/>
                <w:noProof/>
                <w:sz w:val="18"/>
                <w:szCs w:val="18"/>
                <w:lang w:val="es-ES_tradnl"/>
              </w:rPr>
              <w:t xml:space="preserve"> los códigos aduaneros correspondientes a </w:t>
            </w:r>
            <w:r w:rsidRPr="000246A6">
              <w:rPr>
                <w:i/>
                <w:iCs/>
                <w:noProof/>
                <w:sz w:val="18"/>
                <w:szCs w:val="18"/>
                <w:lang w:val="es-ES_tradnl"/>
              </w:rPr>
              <w:t>productos con mercurio añadido</w:t>
            </w:r>
          </w:p>
        </w:tc>
      </w:tr>
      <w:tr w:rsidR="00950C3F" w:rsidRPr="000246A6" w14:paraId="5B0BAC07" w14:textId="77777777" w:rsidTr="000246A6">
        <w:trPr>
          <w:trHeight w:val="57"/>
        </w:trPr>
        <w:tc>
          <w:tcPr>
            <w:tcW w:w="2670" w:type="dxa"/>
            <w:tcBorders>
              <w:top w:val="single" w:sz="12" w:space="0" w:color="auto"/>
              <w:bottom w:val="single" w:sz="12" w:space="0" w:color="auto"/>
            </w:tcBorders>
          </w:tcPr>
          <w:p w14:paraId="1FD4D3FA" w14:textId="77777777" w:rsidR="00950C3F" w:rsidRPr="000246A6" w:rsidRDefault="00950C3F" w:rsidP="00087A9F">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Búsqueda de fuentes en línea de códigos aduaneros de diversos países</w:t>
            </w:r>
          </w:p>
          <w:p w14:paraId="42D4D8B7" w14:textId="77777777" w:rsidR="00950C3F" w:rsidRPr="000246A6" w:rsidRDefault="002071B2"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Recopilación</w:t>
            </w:r>
            <w:r w:rsidR="00950C3F" w:rsidRPr="000246A6">
              <w:rPr>
                <w:noProof/>
                <w:sz w:val="18"/>
                <w:szCs w:val="18"/>
                <w:lang w:val="es-ES_tradnl"/>
              </w:rPr>
              <w:t xml:space="preserve"> de</w:t>
            </w:r>
            <w:r w:rsidRPr="000246A6">
              <w:rPr>
                <w:noProof/>
                <w:sz w:val="18"/>
                <w:szCs w:val="18"/>
                <w:lang w:val="es-ES_tradnl"/>
              </w:rPr>
              <w:t xml:space="preserve"> los</w:t>
            </w:r>
            <w:r w:rsidR="00950C3F" w:rsidRPr="000246A6">
              <w:rPr>
                <w:noProof/>
                <w:sz w:val="18"/>
                <w:szCs w:val="18"/>
                <w:lang w:val="es-ES_tradnl"/>
              </w:rPr>
              <w:t xml:space="preserve"> códigos aduaneros de diversos países (de más de seis dígitos) destinados específicamente a productos con mercurio añadido</w:t>
            </w:r>
          </w:p>
          <w:p w14:paraId="7A8AB57A" w14:textId="77777777" w:rsidR="00950C3F" w:rsidRPr="000246A6" w:rsidRDefault="00950C3F"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Consignación de los casos en que algunos países puedan estar usando códigos aduaneros distintos para un mismo producto con mercurio añadido</w:t>
            </w:r>
          </w:p>
        </w:tc>
        <w:tc>
          <w:tcPr>
            <w:tcW w:w="2854" w:type="dxa"/>
            <w:tcBorders>
              <w:top w:val="single" w:sz="12" w:space="0" w:color="auto"/>
              <w:bottom w:val="single" w:sz="12" w:space="0" w:color="auto"/>
            </w:tcBorders>
          </w:tcPr>
          <w:p w14:paraId="3660F0B9" w14:textId="77777777" w:rsidR="00950C3F" w:rsidRPr="000246A6" w:rsidRDefault="00950C3F"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Comprensión de las limitaciones que pueda sufrir un país para la revisión o creación de códigos aduaneros con este fin</w:t>
            </w:r>
          </w:p>
          <w:p w14:paraId="3FFFB629" w14:textId="6321F2DC" w:rsidR="00950C3F" w:rsidRPr="000246A6" w:rsidRDefault="00950C3F"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Comprensión del proceso de creación y aprobación de códigos nuevos de seis dígitos y del uso que se le haya dado en diversos acuerdos multilaterales sobre el medio</w:t>
            </w:r>
            <w:r w:rsidR="000246A6">
              <w:rPr>
                <w:noProof/>
                <w:sz w:val="18"/>
                <w:szCs w:val="18"/>
                <w:lang w:val="es-ES_tradnl"/>
              </w:rPr>
              <w:t> </w:t>
            </w:r>
            <w:r w:rsidRPr="000246A6">
              <w:rPr>
                <w:noProof/>
                <w:sz w:val="18"/>
                <w:szCs w:val="18"/>
                <w:lang w:val="es-ES_tradnl"/>
              </w:rPr>
              <w:t>ambiente</w:t>
            </w:r>
          </w:p>
          <w:p w14:paraId="4FFC0B46" w14:textId="77777777" w:rsidR="00950C3F" w:rsidRPr="000246A6" w:rsidRDefault="00950C3F"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Descripción del proceso de creación y aprobación de códigos nuevos de más de seis dígitos</w:t>
            </w:r>
          </w:p>
          <w:p w14:paraId="1349681B" w14:textId="77777777" w:rsidR="00950C3F" w:rsidRPr="000246A6" w:rsidRDefault="00950C3F"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Disposición de lo necesario para que los nuevos códigos aduaneros se definan y redacten adecuadamente</w:t>
            </w:r>
          </w:p>
        </w:tc>
        <w:tc>
          <w:tcPr>
            <w:tcW w:w="2835" w:type="dxa"/>
            <w:tcBorders>
              <w:top w:val="single" w:sz="12" w:space="0" w:color="auto"/>
              <w:bottom w:val="single" w:sz="12" w:space="0" w:color="auto"/>
            </w:tcBorders>
          </w:tcPr>
          <w:p w14:paraId="022B87F6" w14:textId="77777777" w:rsidR="00950C3F" w:rsidRPr="000246A6" w:rsidRDefault="00950C3F" w:rsidP="006255D5">
            <w:pPr>
              <w:pStyle w:val="Normalnumber"/>
              <w:numPr>
                <w:ilvl w:val="3"/>
                <w:numId w:val="19"/>
              </w:numPr>
              <w:tabs>
                <w:tab w:val="clear" w:pos="624"/>
              </w:tabs>
              <w:spacing w:before="40" w:after="40"/>
              <w:ind w:left="314" w:right="57" w:hanging="257"/>
              <w:rPr>
                <w:noProof/>
                <w:sz w:val="18"/>
                <w:szCs w:val="18"/>
                <w:lang w:val="es-ES_tradnl"/>
              </w:rPr>
            </w:pPr>
            <w:r w:rsidRPr="000246A6">
              <w:rPr>
                <w:noProof/>
                <w:sz w:val="18"/>
                <w:szCs w:val="18"/>
                <w:lang w:val="es-ES_tradnl"/>
              </w:rPr>
              <w:t>Estudio de la posibilidad de adoptar enfoques que incluyan, como se pide en la decisión MC-2/9, la posible armonización de códigos para los productos con mercurio añadido enumerados en el anexo A del Co</w:t>
            </w:r>
            <w:r w:rsidR="002071B2" w:rsidRPr="000246A6">
              <w:rPr>
                <w:noProof/>
                <w:sz w:val="18"/>
                <w:szCs w:val="18"/>
                <w:lang w:val="es-ES_tradnl"/>
              </w:rPr>
              <w:t xml:space="preserve">nvenio, también por conducto de </w:t>
            </w:r>
            <w:r w:rsidRPr="000246A6">
              <w:rPr>
                <w:noProof/>
                <w:sz w:val="18"/>
                <w:szCs w:val="18"/>
                <w:lang w:val="es-ES_tradnl"/>
              </w:rPr>
              <w:t>organizaciones regionales o autoridades nacionales</w:t>
            </w:r>
          </w:p>
        </w:tc>
      </w:tr>
    </w:tbl>
    <w:p w14:paraId="33E9D97A" w14:textId="77777777" w:rsidR="000246A6" w:rsidRDefault="000246A6">
      <w:pPr>
        <w:tabs>
          <w:tab w:val="clear" w:pos="1247"/>
          <w:tab w:val="clear" w:pos="1814"/>
          <w:tab w:val="clear" w:pos="2381"/>
          <w:tab w:val="clear" w:pos="2948"/>
          <w:tab w:val="clear" w:pos="3515"/>
        </w:tabs>
        <w:rPr>
          <w:b/>
          <w:sz w:val="28"/>
          <w:szCs w:val="28"/>
        </w:rPr>
      </w:pPr>
      <w:r>
        <w:br w:type="page"/>
      </w:r>
    </w:p>
    <w:p w14:paraId="69D36335" w14:textId="7FECA102" w:rsidR="00A32AA8" w:rsidRPr="000246A6" w:rsidRDefault="002071B2" w:rsidP="008F728D">
      <w:pPr>
        <w:pStyle w:val="CH1"/>
        <w:rPr>
          <w:noProof/>
          <w:lang w:val="es-ES_tradnl"/>
        </w:rPr>
      </w:pPr>
      <w:r w:rsidRPr="000246A6">
        <w:rPr>
          <w:noProof/>
          <w:lang w:val="es-ES_tradnl"/>
        </w:rPr>
        <w:tab/>
      </w:r>
      <w:r w:rsidR="008F728D" w:rsidRPr="000246A6">
        <w:rPr>
          <w:noProof/>
          <w:lang w:val="es-ES_tradnl"/>
        </w:rPr>
        <w:t>IV.</w:t>
      </w:r>
      <w:r w:rsidR="008F728D" w:rsidRPr="000246A6">
        <w:rPr>
          <w:noProof/>
          <w:lang w:val="es-ES_tradnl"/>
        </w:rPr>
        <w:tab/>
      </w:r>
      <w:r w:rsidR="008F728D" w:rsidRPr="000246A6">
        <w:rPr>
          <w:bCs/>
          <w:noProof/>
          <w:lang w:val="es-ES_tradnl"/>
        </w:rPr>
        <w:t>Productos del anexo A</w:t>
      </w:r>
    </w:p>
    <w:p w14:paraId="6D91D0DA" w14:textId="77777777" w:rsidR="00D52C39" w:rsidRPr="000246A6" w:rsidRDefault="00D52C39" w:rsidP="002D0F77">
      <w:pPr>
        <w:pStyle w:val="Normalnumber"/>
        <w:rPr>
          <w:noProof/>
          <w:lang w:val="es-ES_tradnl"/>
        </w:rPr>
      </w:pPr>
      <w:r w:rsidRPr="000246A6">
        <w:rPr>
          <w:noProof/>
          <w:lang w:val="es-ES_tradnl"/>
        </w:rPr>
        <w:t>En general, el artículo 4 de</w:t>
      </w:r>
      <w:r w:rsidR="00084ED1" w:rsidRPr="000246A6">
        <w:rPr>
          <w:noProof/>
          <w:lang w:val="es-ES_tradnl"/>
        </w:rPr>
        <w:t>l</w:t>
      </w:r>
      <w:r w:rsidRPr="000246A6">
        <w:rPr>
          <w:noProof/>
          <w:lang w:val="es-ES_tradnl"/>
        </w:rPr>
        <w:t xml:space="preserve"> Conven</w:t>
      </w:r>
      <w:r w:rsidR="00084ED1" w:rsidRPr="000246A6">
        <w:rPr>
          <w:noProof/>
          <w:lang w:val="es-ES_tradnl"/>
        </w:rPr>
        <w:t>io</w:t>
      </w:r>
      <w:r w:rsidRPr="000246A6">
        <w:rPr>
          <w:noProof/>
          <w:lang w:val="es-ES_tradnl"/>
        </w:rPr>
        <w:t xml:space="preserve"> prohíbe la fabricación, importación y exportación de los productos con mercurio añadido que se enumeran en la parte I del anexo A, salvo que una Parte haya registrado una exención específica en virtud del artículo 6. En la actualidad se enumeran nueve categorías de productos en la parte I del anexo A, a saber: baterías, interruptores y relés, iluminación, cosméticos, plaguicidas, biocidas y antisépticos, y aparatos de medición. El Convenio exige también a las Partes que adopten las medidas internas para reducir el uso de la amalgama dental que se enumeran en la parte II del anexo A.</w:t>
      </w:r>
    </w:p>
    <w:p w14:paraId="0E062AEB" w14:textId="77777777" w:rsidR="00D52C39" w:rsidRPr="000246A6" w:rsidRDefault="00D52C39" w:rsidP="00660C4C">
      <w:pPr>
        <w:pStyle w:val="Normalnumber"/>
        <w:tabs>
          <w:tab w:val="clear" w:pos="624"/>
        </w:tabs>
        <w:rPr>
          <w:noProof/>
          <w:lang w:val="es-ES_tradnl"/>
        </w:rPr>
      </w:pPr>
      <w:r w:rsidRPr="000246A6">
        <w:rPr>
          <w:noProof/>
          <w:lang w:val="es-ES_tradnl"/>
        </w:rPr>
        <w:lastRenderedPageBreak/>
        <w:t>En su mayor parte, las categorías generales de productos enumeradas en el anexo A</w:t>
      </w:r>
      <w:r w:rsidR="002071B2" w:rsidRPr="000246A6">
        <w:rPr>
          <w:noProof/>
          <w:lang w:val="es-ES_tradnl"/>
        </w:rPr>
        <w:t xml:space="preserve"> ya están incluidas mediante códigos </w:t>
      </w:r>
      <w:r w:rsidR="00E42890" w:rsidRPr="000246A6">
        <w:rPr>
          <w:noProof/>
          <w:lang w:val="es-ES_tradnl"/>
        </w:rPr>
        <w:t xml:space="preserve">SA </w:t>
      </w:r>
      <w:r w:rsidR="002071B2" w:rsidRPr="000246A6">
        <w:rPr>
          <w:noProof/>
          <w:lang w:val="es-ES_tradnl"/>
        </w:rPr>
        <w:t>de s</w:t>
      </w:r>
      <w:r w:rsidR="00E42890" w:rsidRPr="000246A6">
        <w:rPr>
          <w:noProof/>
          <w:lang w:val="es-ES_tradnl"/>
        </w:rPr>
        <w:t xml:space="preserve">eis dígitos </w:t>
      </w:r>
      <w:r w:rsidRPr="000246A6">
        <w:rPr>
          <w:noProof/>
          <w:lang w:val="es-ES_tradnl"/>
        </w:rPr>
        <w:t>en la nomenclatura de la OMA, aunque por lo general el S</w:t>
      </w:r>
      <w:r w:rsidR="002071B2" w:rsidRPr="000246A6">
        <w:rPr>
          <w:noProof/>
          <w:lang w:val="es-ES_tradnl"/>
        </w:rPr>
        <w:t xml:space="preserve">istema </w:t>
      </w:r>
      <w:r w:rsidRPr="000246A6">
        <w:rPr>
          <w:noProof/>
          <w:lang w:val="es-ES_tradnl"/>
        </w:rPr>
        <w:t>A</w:t>
      </w:r>
      <w:r w:rsidR="002071B2" w:rsidRPr="000246A6">
        <w:rPr>
          <w:noProof/>
          <w:lang w:val="es-ES_tradnl"/>
        </w:rPr>
        <w:t>rmonizado</w:t>
      </w:r>
      <w:r w:rsidRPr="000246A6">
        <w:rPr>
          <w:noProof/>
          <w:lang w:val="es-ES_tradnl"/>
        </w:rPr>
        <w:t xml:space="preserve"> carece del detalle suficiente para diferenciar entre productos con y sin mercurio añadido. </w:t>
      </w:r>
      <w:r w:rsidR="002071B2" w:rsidRPr="000246A6">
        <w:rPr>
          <w:noProof/>
          <w:lang w:val="es-ES_tradnl"/>
        </w:rPr>
        <w:t>M</w:t>
      </w:r>
      <w:r w:rsidRPr="000246A6">
        <w:rPr>
          <w:noProof/>
          <w:lang w:val="es-ES_tradnl"/>
        </w:rPr>
        <w:t xml:space="preserve">uchos de los </w:t>
      </w:r>
      <w:r w:rsidR="002071B2" w:rsidRPr="000246A6">
        <w:rPr>
          <w:noProof/>
          <w:lang w:val="es-ES_tradnl"/>
        </w:rPr>
        <w:t xml:space="preserve">códigos </w:t>
      </w:r>
      <w:r w:rsidR="00E42890" w:rsidRPr="000246A6">
        <w:rPr>
          <w:noProof/>
          <w:lang w:val="es-ES_tradnl"/>
        </w:rPr>
        <w:t xml:space="preserve">SA </w:t>
      </w:r>
      <w:r w:rsidR="002071B2" w:rsidRPr="000246A6">
        <w:rPr>
          <w:noProof/>
          <w:lang w:val="es-ES_tradnl"/>
        </w:rPr>
        <w:t xml:space="preserve">de </w:t>
      </w:r>
      <w:r w:rsidRPr="000246A6">
        <w:rPr>
          <w:noProof/>
          <w:lang w:val="es-ES_tradnl"/>
        </w:rPr>
        <w:t>seis dígitos aplicables</w:t>
      </w:r>
      <w:r w:rsidR="002071B2" w:rsidRPr="000246A6">
        <w:rPr>
          <w:noProof/>
          <w:lang w:val="es-ES_tradnl"/>
        </w:rPr>
        <w:t xml:space="preserve"> se reseñan en el capítulo 5 del informe íntegro y se presentan con más detalle</w:t>
      </w:r>
      <w:r w:rsidRPr="000246A6">
        <w:rPr>
          <w:noProof/>
          <w:lang w:val="es-ES_tradnl"/>
        </w:rPr>
        <w:t xml:space="preserve"> en los apéndi</w:t>
      </w:r>
      <w:r w:rsidR="002071B2" w:rsidRPr="000246A6">
        <w:rPr>
          <w:noProof/>
          <w:lang w:val="es-ES_tradnl"/>
        </w:rPr>
        <w:t>ces H e I del informe íntegro</w:t>
      </w:r>
      <w:r w:rsidRPr="000246A6">
        <w:rPr>
          <w:noProof/>
          <w:lang w:val="es-ES_tradnl"/>
        </w:rPr>
        <w:t>.</w:t>
      </w:r>
    </w:p>
    <w:p w14:paraId="1DA92641" w14:textId="77777777" w:rsidR="00D52C39" w:rsidRPr="000246A6" w:rsidRDefault="002071B2" w:rsidP="008F728D">
      <w:pPr>
        <w:pStyle w:val="CH1"/>
        <w:rPr>
          <w:noProof/>
          <w:lang w:val="es-ES_tradnl"/>
        </w:rPr>
      </w:pPr>
      <w:r w:rsidRPr="000246A6">
        <w:rPr>
          <w:noProof/>
          <w:lang w:val="es-ES_tradnl"/>
        </w:rPr>
        <w:tab/>
      </w:r>
      <w:r w:rsidR="008F728D" w:rsidRPr="000246A6">
        <w:rPr>
          <w:noProof/>
          <w:lang w:val="es-ES_tradnl"/>
        </w:rPr>
        <w:t>V.</w:t>
      </w:r>
      <w:r w:rsidR="008F728D" w:rsidRPr="000246A6">
        <w:rPr>
          <w:noProof/>
          <w:lang w:val="es-ES_tradnl"/>
        </w:rPr>
        <w:tab/>
      </w:r>
      <w:r w:rsidR="008F728D" w:rsidRPr="000246A6">
        <w:rPr>
          <w:bCs/>
          <w:noProof/>
          <w:lang w:val="es-ES_tradnl"/>
        </w:rPr>
        <w:t>Enfoques que se proponen en respuesta a la decisión MC-2/9</w:t>
      </w:r>
    </w:p>
    <w:p w14:paraId="7D2D5DE2" w14:textId="77777777" w:rsidR="00A9773E" w:rsidRPr="000246A6" w:rsidRDefault="00A9773E" w:rsidP="00C442F7">
      <w:pPr>
        <w:pStyle w:val="Normalnumber"/>
        <w:rPr>
          <w:noProof/>
          <w:lang w:val="es-ES_tradnl"/>
        </w:rPr>
      </w:pPr>
      <w:r w:rsidRPr="000246A6">
        <w:rPr>
          <w:noProof/>
          <w:lang w:val="es-ES_tradnl"/>
        </w:rPr>
        <w:t>En la decisión MC-2/9 se solicita a la Secretaría que proponga enfoques para los códigos específicos con los que detectar y distinguir los productos con y sin mercurio añadido enumerados en el anexo A del Convenio, incluidos enfoques para su posible armonización. En respuesta a esa solicitud se han definido los cuatro enfoques b</w:t>
      </w:r>
      <w:r w:rsidR="002071B2" w:rsidRPr="000246A6">
        <w:rPr>
          <w:noProof/>
          <w:lang w:val="es-ES_tradnl"/>
        </w:rPr>
        <w:t>ásicos siguientes para codificar y distinguir los productos con y sin mercurio añadido:</w:t>
      </w:r>
    </w:p>
    <w:p w14:paraId="507791E0" w14:textId="77777777" w:rsidR="00A9773E" w:rsidRPr="000246A6" w:rsidRDefault="002071B2" w:rsidP="008F728D">
      <w:pPr>
        <w:pStyle w:val="CH2"/>
        <w:rPr>
          <w:noProof/>
          <w:lang w:val="es-ES_tradnl"/>
        </w:rPr>
      </w:pPr>
      <w:r w:rsidRPr="000246A6">
        <w:rPr>
          <w:noProof/>
          <w:lang w:val="es-ES_tradnl"/>
        </w:rPr>
        <w:tab/>
      </w:r>
      <w:r w:rsidR="008F728D" w:rsidRPr="000246A6">
        <w:rPr>
          <w:noProof/>
          <w:lang w:val="es-ES_tradnl"/>
        </w:rPr>
        <w:t>A.</w:t>
      </w:r>
      <w:r w:rsidR="008F728D" w:rsidRPr="000246A6">
        <w:rPr>
          <w:noProof/>
          <w:lang w:val="es-ES_tradnl"/>
        </w:rPr>
        <w:tab/>
      </w:r>
      <w:r w:rsidR="008F728D" w:rsidRPr="000246A6">
        <w:rPr>
          <w:bCs/>
          <w:noProof/>
          <w:lang w:val="es-ES_tradnl"/>
        </w:rPr>
        <w:t xml:space="preserve">Elaboración de códigos </w:t>
      </w:r>
      <w:r w:rsidR="00E42890" w:rsidRPr="000246A6">
        <w:rPr>
          <w:bCs/>
          <w:noProof/>
          <w:lang w:val="es-ES_tradnl"/>
        </w:rPr>
        <w:t xml:space="preserve">SA de seis dígitos </w:t>
      </w:r>
      <w:r w:rsidR="008F728D" w:rsidRPr="000246A6">
        <w:rPr>
          <w:bCs/>
          <w:noProof/>
          <w:lang w:val="es-ES_tradnl"/>
        </w:rPr>
        <w:t>armonizados internacionalmente con arreglo al proceso establecido de la OMA</w:t>
      </w:r>
    </w:p>
    <w:p w14:paraId="16241213" w14:textId="77777777" w:rsidR="00CB366E" w:rsidRPr="000246A6" w:rsidRDefault="00CB366E" w:rsidP="002D0F77">
      <w:pPr>
        <w:pStyle w:val="Normalnumber"/>
        <w:rPr>
          <w:noProof/>
          <w:lang w:val="es-ES_tradnl"/>
        </w:rPr>
      </w:pPr>
      <w:r w:rsidRPr="000246A6">
        <w:rPr>
          <w:noProof/>
          <w:lang w:val="es-ES_tradnl"/>
        </w:rPr>
        <w:t xml:space="preserve">El uso de códigos </w:t>
      </w:r>
      <w:r w:rsidR="00E42890" w:rsidRPr="000246A6">
        <w:rPr>
          <w:noProof/>
          <w:lang w:val="es-ES_tradnl"/>
        </w:rPr>
        <w:t>SA de seis dígitos</w:t>
      </w:r>
      <w:r w:rsidRPr="000246A6">
        <w:rPr>
          <w:noProof/>
          <w:lang w:val="es-ES_tradnl"/>
        </w:rPr>
        <w:t xml:space="preserve"> para diferenciar los productos con mercurio añadido de los productos sin mercurio añadido, enfoque examinado en el apartado 2.2 del informe íntegro, se basaría en la estructura y los procedimientos f</w:t>
      </w:r>
      <w:r w:rsidR="009B6DBD" w:rsidRPr="000246A6">
        <w:rPr>
          <w:noProof/>
          <w:lang w:val="es-ES_tradnl"/>
        </w:rPr>
        <w:t xml:space="preserve">ormales establecidos de la OMA </w:t>
      </w:r>
      <w:r w:rsidRPr="000246A6">
        <w:rPr>
          <w:noProof/>
          <w:lang w:val="es-ES_tradnl"/>
        </w:rPr>
        <w:t>(por ejemplo, los que rigen las normas de origen y la vigilancia de las mercancías controladas). En co</w:t>
      </w:r>
      <w:r w:rsidR="00E42890" w:rsidRPr="000246A6">
        <w:rPr>
          <w:noProof/>
          <w:lang w:val="es-ES_tradnl"/>
        </w:rPr>
        <w:t>nsonancia con la práctica del Sistema Armonizado</w:t>
      </w:r>
      <w:r w:rsidRPr="000246A6">
        <w:rPr>
          <w:noProof/>
          <w:lang w:val="es-ES_tradnl"/>
        </w:rPr>
        <w:t>, este enfoque conllevaría una armonización internacional “automática”, puesto que, según el proceso de la OMA,</w:t>
      </w:r>
      <w:r w:rsidR="00E42890" w:rsidRPr="000246A6">
        <w:rPr>
          <w:noProof/>
          <w:lang w:val="es-ES_tradnl"/>
        </w:rPr>
        <w:t xml:space="preserve"> todos los países que usan el Sistema Armonizado</w:t>
      </w:r>
      <w:r w:rsidRPr="000246A6">
        <w:rPr>
          <w:noProof/>
          <w:lang w:val="es-ES_tradnl"/>
        </w:rPr>
        <w:t xml:space="preserve"> estarían obligados a adoptar los mismos códigos SA.</w:t>
      </w:r>
    </w:p>
    <w:p w14:paraId="00D61243" w14:textId="77777777" w:rsidR="00A9773E" w:rsidRPr="000246A6" w:rsidRDefault="00E42890" w:rsidP="008F728D">
      <w:pPr>
        <w:pStyle w:val="CH2"/>
        <w:rPr>
          <w:noProof/>
          <w:lang w:val="es-ES_tradnl"/>
        </w:rPr>
      </w:pPr>
      <w:r w:rsidRPr="000246A6">
        <w:rPr>
          <w:noProof/>
          <w:lang w:val="es-ES_tradnl"/>
        </w:rPr>
        <w:tab/>
      </w:r>
      <w:r w:rsidR="008F728D" w:rsidRPr="000246A6">
        <w:rPr>
          <w:noProof/>
          <w:lang w:val="es-ES_tradnl"/>
        </w:rPr>
        <w:t>B.</w:t>
      </w:r>
      <w:r w:rsidR="008F728D" w:rsidRPr="000246A6">
        <w:rPr>
          <w:noProof/>
          <w:lang w:val="es-ES_tradnl"/>
        </w:rPr>
        <w:tab/>
      </w:r>
      <w:r w:rsidR="008F728D" w:rsidRPr="000246A6">
        <w:rPr>
          <w:bCs/>
          <w:noProof/>
          <w:lang w:val="es-ES_tradnl"/>
        </w:rPr>
        <w:t>Elaboración de códigos estadísticos de más de seis dígitos</w:t>
      </w:r>
    </w:p>
    <w:p w14:paraId="2F874006" w14:textId="77777777" w:rsidR="00BC45DC" w:rsidRPr="000246A6" w:rsidRDefault="00BC45DC" w:rsidP="002D0F77">
      <w:pPr>
        <w:pStyle w:val="Normalnumber"/>
        <w:rPr>
          <w:noProof/>
          <w:lang w:val="es-ES_tradnl"/>
        </w:rPr>
      </w:pPr>
      <w:r w:rsidRPr="000246A6">
        <w:rPr>
          <w:noProof/>
          <w:lang w:val="es-ES_tradnl"/>
        </w:rPr>
        <w:t>Con la elaboración de códigos estadísticos de más de seis dígitos para detectar y distinguir los</w:t>
      </w:r>
      <w:r w:rsidR="00084ED1" w:rsidRPr="000246A6">
        <w:rPr>
          <w:noProof/>
          <w:lang w:val="es-ES_tradnl"/>
        </w:rPr>
        <w:t> </w:t>
      </w:r>
      <w:r w:rsidRPr="000246A6">
        <w:rPr>
          <w:noProof/>
          <w:lang w:val="es-ES_tradnl"/>
        </w:rPr>
        <w:t xml:space="preserve">productos con y sin mercurio añadido, enfoque descrito en el apartado 2.5 del informe íntegro, los Gobiernos nacionales y las entidades regionales pueden añadir por iniciativa propia dos o más dígitos a un código </w:t>
      </w:r>
      <w:r w:rsidR="00E42890" w:rsidRPr="000246A6">
        <w:rPr>
          <w:noProof/>
          <w:lang w:val="es-ES_tradnl"/>
        </w:rPr>
        <w:t xml:space="preserve">SA de seis dígitos </w:t>
      </w:r>
      <w:r w:rsidRPr="000246A6">
        <w:rPr>
          <w:noProof/>
          <w:lang w:val="es-ES_tradnl"/>
        </w:rPr>
        <w:t xml:space="preserve">ya implantado (normalmente hasta un total de ocho a </w:t>
      </w:r>
      <w:r w:rsidR="00084ED1" w:rsidRPr="000246A6">
        <w:rPr>
          <w:noProof/>
          <w:lang w:val="es-ES_tradnl"/>
        </w:rPr>
        <w:t>diez</w:t>
      </w:r>
      <w:r w:rsidRPr="000246A6">
        <w:rPr>
          <w:noProof/>
          <w:lang w:val="es-ES_tradnl"/>
        </w:rPr>
        <w:t xml:space="preserve"> dígitos). Estos códigos estadísticos podrían crearse de diversas maneras según el nivel deseado de armonización.</w:t>
      </w:r>
    </w:p>
    <w:p w14:paraId="72AFFC0C" w14:textId="77777777" w:rsidR="00A9773E" w:rsidRPr="000246A6" w:rsidRDefault="00E42890" w:rsidP="008F728D">
      <w:pPr>
        <w:pStyle w:val="CH2"/>
        <w:rPr>
          <w:noProof/>
          <w:lang w:val="es-ES_tradnl"/>
        </w:rPr>
      </w:pPr>
      <w:r w:rsidRPr="000246A6">
        <w:rPr>
          <w:noProof/>
          <w:lang w:val="es-ES_tradnl"/>
        </w:rPr>
        <w:tab/>
      </w:r>
      <w:r w:rsidR="008F728D" w:rsidRPr="000246A6">
        <w:rPr>
          <w:noProof/>
          <w:lang w:val="es-ES_tradnl"/>
        </w:rPr>
        <w:t>C.</w:t>
      </w:r>
      <w:r w:rsidR="008F728D" w:rsidRPr="000246A6">
        <w:rPr>
          <w:noProof/>
          <w:lang w:val="es-ES_tradnl"/>
        </w:rPr>
        <w:tab/>
      </w:r>
      <w:r w:rsidRPr="000246A6">
        <w:rPr>
          <w:bCs/>
          <w:noProof/>
          <w:lang w:val="es-ES_tradnl"/>
        </w:rPr>
        <w:t>Combinación de</w:t>
      </w:r>
      <w:r w:rsidR="008F728D" w:rsidRPr="000246A6">
        <w:rPr>
          <w:bCs/>
          <w:noProof/>
          <w:lang w:val="es-ES_tradnl"/>
        </w:rPr>
        <w:t xml:space="preserve"> los dos enfoques anteriores</w:t>
      </w:r>
    </w:p>
    <w:p w14:paraId="646543D8" w14:textId="77777777" w:rsidR="00BC45DC" w:rsidRPr="000246A6" w:rsidRDefault="00BC45DC" w:rsidP="002D0F77">
      <w:pPr>
        <w:pStyle w:val="Normalnumber"/>
        <w:rPr>
          <w:noProof/>
          <w:lang w:val="es-ES_tradnl"/>
        </w:rPr>
      </w:pPr>
      <w:r w:rsidRPr="000246A6">
        <w:rPr>
          <w:noProof/>
          <w:lang w:val="es-ES_tradnl"/>
        </w:rPr>
        <w:t>Otra posibilida</w:t>
      </w:r>
      <w:r w:rsidR="00E42890" w:rsidRPr="000246A6">
        <w:rPr>
          <w:noProof/>
          <w:lang w:val="es-ES_tradnl"/>
        </w:rPr>
        <w:t xml:space="preserve">d es combinar el enfoque de </w:t>
      </w:r>
      <w:r w:rsidRPr="000246A6">
        <w:rPr>
          <w:noProof/>
          <w:lang w:val="es-ES_tradnl"/>
        </w:rPr>
        <w:t>seis dígitos del apartado A, más formal, con el enfoque de más de seis dígitos descrito en el apartado B, más dinámico. Para ello, en la práctica, habría que elaborar unos códigos estadísticos provisionales de más de seis dígitos a corto plazo, que en</w:t>
      </w:r>
      <w:r w:rsidR="004C3FAA" w:rsidRPr="000246A6">
        <w:rPr>
          <w:noProof/>
          <w:lang w:val="es-ES_tradnl"/>
        </w:rPr>
        <w:t> </w:t>
      </w:r>
      <w:r w:rsidRPr="000246A6">
        <w:rPr>
          <w:noProof/>
          <w:lang w:val="es-ES_tradnl"/>
        </w:rPr>
        <w:t>parte o en su totalidad podrían sustitu</w:t>
      </w:r>
      <w:r w:rsidR="00E42890" w:rsidRPr="000246A6">
        <w:rPr>
          <w:noProof/>
          <w:lang w:val="es-ES_tradnl"/>
        </w:rPr>
        <w:t xml:space="preserve">irse a la larga por códigos </w:t>
      </w:r>
      <w:r w:rsidRPr="000246A6">
        <w:rPr>
          <w:noProof/>
          <w:lang w:val="es-ES_tradnl"/>
        </w:rPr>
        <w:t>SA de seis dígitos creados con arreglo al procedimiento formal de la OMA.</w:t>
      </w:r>
    </w:p>
    <w:p w14:paraId="1BE891DC" w14:textId="77777777" w:rsidR="00A9773E" w:rsidRPr="000246A6" w:rsidRDefault="00E42890" w:rsidP="008F728D">
      <w:pPr>
        <w:pStyle w:val="CH2"/>
        <w:rPr>
          <w:noProof/>
          <w:lang w:val="es-ES_tradnl"/>
        </w:rPr>
      </w:pPr>
      <w:r w:rsidRPr="000246A6">
        <w:rPr>
          <w:noProof/>
          <w:lang w:val="es-ES_tradnl"/>
        </w:rPr>
        <w:tab/>
      </w:r>
      <w:r w:rsidR="008F728D" w:rsidRPr="000246A6">
        <w:rPr>
          <w:noProof/>
          <w:lang w:val="es-ES_tradnl"/>
        </w:rPr>
        <w:t>D.</w:t>
      </w:r>
      <w:r w:rsidR="008F728D" w:rsidRPr="000246A6">
        <w:rPr>
          <w:noProof/>
          <w:lang w:val="es-ES_tradnl"/>
        </w:rPr>
        <w:tab/>
      </w:r>
      <w:r w:rsidR="008F728D" w:rsidRPr="000246A6">
        <w:rPr>
          <w:bCs/>
          <w:noProof/>
          <w:lang w:val="es-ES_tradnl"/>
        </w:rPr>
        <w:t>No elaborar códigos aduaneros nuevos en el marco del Convenio</w:t>
      </w:r>
    </w:p>
    <w:p w14:paraId="443056F9" w14:textId="77777777" w:rsidR="00BC45DC" w:rsidRPr="000246A6" w:rsidRDefault="00BC45DC" w:rsidP="002D0F77">
      <w:pPr>
        <w:pStyle w:val="Normalnumber"/>
        <w:rPr>
          <w:noProof/>
          <w:lang w:val="es-ES_tradnl"/>
        </w:rPr>
      </w:pPr>
      <w:r w:rsidRPr="000246A6">
        <w:rPr>
          <w:noProof/>
          <w:lang w:val="es-ES_tradnl"/>
        </w:rPr>
        <w:t xml:space="preserve">El fundamento de este enfoque es alentar a las Partes a usar los instrumentos y recursos disponibles con la máxima eficacia para aplicar las disposiciones del Convenio de Minamata relativas a los productos con mercurio añadido enumerados en el anexo A. Con esta opción se alienta a las Partes a trabajar de manera individual, o colaborar </w:t>
      </w:r>
      <w:r w:rsidR="00E42890" w:rsidRPr="000246A6">
        <w:rPr>
          <w:noProof/>
          <w:lang w:val="es-ES_tradnl"/>
        </w:rPr>
        <w:t>como</w:t>
      </w:r>
      <w:r w:rsidRPr="000246A6">
        <w:rPr>
          <w:noProof/>
          <w:lang w:val="es-ES_tradnl"/>
        </w:rPr>
        <w:t xml:space="preserve"> estimen más conveniente, en la elaboración y</w:t>
      </w:r>
      <w:r w:rsidR="004C3FAA" w:rsidRPr="000246A6">
        <w:rPr>
          <w:noProof/>
          <w:lang w:val="es-ES_tradnl"/>
        </w:rPr>
        <w:t> </w:t>
      </w:r>
      <w:r w:rsidRPr="000246A6">
        <w:rPr>
          <w:noProof/>
          <w:lang w:val="es-ES_tradnl"/>
        </w:rPr>
        <w:t>uso de códigos aduaneros, junto con otros instrumentos como reglamentos, procedimientos de vigilancia, requisitos de etiquetado, o la adición de información a los códigos aduaneros para que las</w:t>
      </w:r>
      <w:r w:rsidR="004C3FAA" w:rsidRPr="000246A6">
        <w:rPr>
          <w:noProof/>
          <w:lang w:val="es-ES_tradnl"/>
        </w:rPr>
        <w:t> </w:t>
      </w:r>
      <w:r w:rsidRPr="000246A6">
        <w:rPr>
          <w:noProof/>
          <w:lang w:val="es-ES_tradnl"/>
        </w:rPr>
        <w:t>autoridades aduaneras y de supervisión comercial estén plenamente al tanto de las restricciones a</w:t>
      </w:r>
      <w:r w:rsidR="004C3FAA" w:rsidRPr="000246A6">
        <w:rPr>
          <w:noProof/>
          <w:lang w:val="es-ES_tradnl"/>
        </w:rPr>
        <w:t> </w:t>
      </w:r>
      <w:r w:rsidRPr="000246A6">
        <w:rPr>
          <w:noProof/>
          <w:lang w:val="es-ES_tradnl"/>
        </w:rPr>
        <w:t>la</w:t>
      </w:r>
      <w:r w:rsidR="004C3FAA" w:rsidRPr="000246A6">
        <w:rPr>
          <w:noProof/>
          <w:lang w:val="es-ES_tradnl"/>
        </w:rPr>
        <w:t> </w:t>
      </w:r>
      <w:r w:rsidRPr="000246A6">
        <w:rPr>
          <w:noProof/>
          <w:lang w:val="es-ES_tradnl"/>
        </w:rPr>
        <w:t>importación y la exportación de productos con mercurio añadido.</w:t>
      </w:r>
    </w:p>
    <w:p w14:paraId="0D857530" w14:textId="77777777" w:rsidR="00A9773E" w:rsidRPr="000246A6" w:rsidRDefault="006B5D31" w:rsidP="002D0F77">
      <w:pPr>
        <w:pStyle w:val="Normalnumber"/>
        <w:rPr>
          <w:noProof/>
          <w:lang w:val="es-ES_tradnl"/>
        </w:rPr>
      </w:pPr>
      <w:r w:rsidRPr="000246A6">
        <w:rPr>
          <w:noProof/>
          <w:lang w:val="es-ES_tradnl"/>
        </w:rPr>
        <w:t>Para más información sobre esos cuatro enfoques puede consultarse el capítulo 6 del informe</w:t>
      </w:r>
      <w:r w:rsidR="00ED69D4" w:rsidRPr="000246A6">
        <w:rPr>
          <w:noProof/>
          <w:lang w:val="es-ES_tradnl"/>
        </w:rPr>
        <w:t> </w:t>
      </w:r>
      <w:r w:rsidRPr="000246A6">
        <w:rPr>
          <w:noProof/>
          <w:lang w:val="es-ES_tradnl"/>
        </w:rPr>
        <w:t>íntegro, en que se examina cada uno de ellos según varios factores que no son mutuamente excluyentes, como la viabilidad, la complejidad y el plazo de ejecución.</w:t>
      </w:r>
    </w:p>
    <w:p w14:paraId="53ED6709" w14:textId="77777777" w:rsidR="00A9773E" w:rsidRPr="000246A6" w:rsidRDefault="0001792A" w:rsidP="003A384C">
      <w:pPr>
        <w:pStyle w:val="Normalnumber"/>
        <w:rPr>
          <w:noProof/>
          <w:lang w:val="es-ES_tradnl"/>
        </w:rPr>
      </w:pPr>
      <w:r w:rsidRPr="000246A6">
        <w:rPr>
          <w:noProof/>
          <w:lang w:val="es-ES_tradnl"/>
        </w:rPr>
        <w:t>En la decisión</w:t>
      </w:r>
      <w:r w:rsidR="00660C4C" w:rsidRPr="000246A6">
        <w:rPr>
          <w:noProof/>
          <w:lang w:val="es-ES_tradnl"/>
        </w:rPr>
        <w:t> </w:t>
      </w:r>
      <w:r w:rsidRPr="000246A6">
        <w:rPr>
          <w:noProof/>
          <w:lang w:val="es-ES_tradnl"/>
        </w:rPr>
        <w:t>MC-2/9 de la segunda Conferencia de las Partes también se solicitó la inclusión en el informe de los enfoques que podrían adoptarse para armonizar los códigos aduaneros de los productos enumerados en el anexo A, entendiéndose por “armonización” la disposición de lo necesario para que todas las Partes asignasen los mismos códigos a los mismos productos con mercurio añadido. Sin embargo, la armonización con arreglo a los tres primeros enfoques propuestos brinda tantas oportunidades como dificultades entraña, y está inevitablemente supeditada a la decisión de crear códigos aduaneros de seis dígitos o</w:t>
      </w:r>
      <w:bookmarkStart w:id="4" w:name="_GoBack"/>
      <w:bookmarkEnd w:id="4"/>
      <w:r w:rsidRPr="000246A6">
        <w:rPr>
          <w:noProof/>
          <w:lang w:val="es-ES_tradnl"/>
        </w:rPr>
        <w:t xml:space="preserve"> de más de seis dígitos. Si se solicita a</w:t>
      </w:r>
      <w:r w:rsidR="00E42890" w:rsidRPr="000246A6">
        <w:rPr>
          <w:noProof/>
          <w:lang w:val="es-ES_tradnl"/>
        </w:rPr>
        <w:t xml:space="preserve"> la OMA que elabore códigos</w:t>
      </w:r>
      <w:r w:rsidR="00ED69D4" w:rsidRPr="000246A6">
        <w:rPr>
          <w:noProof/>
          <w:lang w:val="es-ES_tradnl"/>
        </w:rPr>
        <w:t> </w:t>
      </w:r>
      <w:r w:rsidRPr="000246A6">
        <w:rPr>
          <w:noProof/>
          <w:lang w:val="es-ES_tradnl"/>
        </w:rPr>
        <w:t xml:space="preserve">SA (es decir, códigos de seis dígitos), todas las Partes tendrán la obligación de adoptar esos </w:t>
      </w:r>
      <w:r w:rsidRPr="000246A6">
        <w:rPr>
          <w:noProof/>
          <w:lang w:val="es-ES_tradnl"/>
        </w:rPr>
        <w:lastRenderedPageBreak/>
        <w:t>códigos. Por el contrario, si se opta por los códigos estadísticos voluntarios de más de seis dígitos, podrán establecerse diversos grados de armonización, según el enfoque adoptado.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2D0F77" w:rsidRPr="000246A6" w14:paraId="61995E6A" w14:textId="77777777" w:rsidTr="000246A6">
        <w:trPr>
          <w:trHeight w:val="609"/>
        </w:trPr>
        <w:tc>
          <w:tcPr>
            <w:tcW w:w="1897" w:type="dxa"/>
          </w:tcPr>
          <w:p w14:paraId="5596B1BD" w14:textId="77777777" w:rsidR="002D0F77" w:rsidRPr="000246A6" w:rsidRDefault="002D0F77" w:rsidP="00084ED1">
            <w:pPr>
              <w:pStyle w:val="Normal-pool"/>
              <w:spacing w:before="60"/>
              <w:rPr>
                <w:noProof/>
                <w:lang w:val="es-ES_tradnl"/>
              </w:rPr>
            </w:pPr>
          </w:p>
        </w:tc>
        <w:tc>
          <w:tcPr>
            <w:tcW w:w="1897" w:type="dxa"/>
          </w:tcPr>
          <w:p w14:paraId="112D87F7" w14:textId="77777777" w:rsidR="002D0F77" w:rsidRPr="000246A6" w:rsidRDefault="002D0F77" w:rsidP="00084ED1">
            <w:pPr>
              <w:pStyle w:val="Normal-pool"/>
              <w:spacing w:before="60"/>
              <w:rPr>
                <w:noProof/>
                <w:lang w:val="es-ES_tradnl"/>
              </w:rPr>
            </w:pPr>
          </w:p>
        </w:tc>
        <w:tc>
          <w:tcPr>
            <w:tcW w:w="1897" w:type="dxa"/>
            <w:tcBorders>
              <w:bottom w:val="single" w:sz="4" w:space="0" w:color="auto"/>
            </w:tcBorders>
          </w:tcPr>
          <w:p w14:paraId="1AC5BC37" w14:textId="77777777" w:rsidR="002D0F77" w:rsidRPr="000246A6" w:rsidRDefault="002D0F77" w:rsidP="00084ED1">
            <w:pPr>
              <w:pStyle w:val="Normal-pool"/>
              <w:spacing w:before="60"/>
              <w:rPr>
                <w:noProof/>
                <w:lang w:val="es-ES_tradnl"/>
              </w:rPr>
            </w:pPr>
          </w:p>
        </w:tc>
        <w:tc>
          <w:tcPr>
            <w:tcW w:w="1897" w:type="dxa"/>
          </w:tcPr>
          <w:p w14:paraId="2ED24746" w14:textId="77777777" w:rsidR="002D0F77" w:rsidRPr="000246A6" w:rsidRDefault="002D0F77" w:rsidP="00084ED1">
            <w:pPr>
              <w:pStyle w:val="Normal-pool"/>
              <w:spacing w:before="60"/>
              <w:rPr>
                <w:noProof/>
                <w:lang w:val="es-ES_tradnl"/>
              </w:rPr>
            </w:pPr>
          </w:p>
        </w:tc>
        <w:tc>
          <w:tcPr>
            <w:tcW w:w="1898" w:type="dxa"/>
          </w:tcPr>
          <w:p w14:paraId="5405123C" w14:textId="77777777" w:rsidR="002D0F77" w:rsidRPr="000246A6" w:rsidRDefault="002D0F77" w:rsidP="00084ED1">
            <w:pPr>
              <w:pStyle w:val="Normal-pool"/>
              <w:spacing w:before="60"/>
              <w:rPr>
                <w:noProof/>
                <w:lang w:val="es-ES_tradnl"/>
              </w:rPr>
            </w:pPr>
          </w:p>
        </w:tc>
      </w:tr>
    </w:tbl>
    <w:p w14:paraId="53C7E172" w14:textId="77777777" w:rsidR="00A20821" w:rsidRPr="000246A6" w:rsidRDefault="00A20821" w:rsidP="002D0F77">
      <w:pPr>
        <w:pStyle w:val="Normal-pool"/>
        <w:rPr>
          <w:noProof/>
          <w:lang w:val="es-ES_tradnl"/>
        </w:rPr>
      </w:pPr>
    </w:p>
    <w:sectPr w:rsidR="00A20821" w:rsidRPr="000246A6" w:rsidSect="006B47CE">
      <w:headerReference w:type="even" r:id="rId20"/>
      <w:headerReference w:type="default" r:id="rId21"/>
      <w:headerReference w:type="first" r:id="rId22"/>
      <w:footerReference w:type="first" r:id="rId23"/>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449A" w14:textId="77777777" w:rsidR="003A384C" w:rsidRDefault="003A384C">
      <w:r>
        <w:separator/>
      </w:r>
    </w:p>
  </w:endnote>
  <w:endnote w:type="continuationSeparator" w:id="0">
    <w:p w14:paraId="31E2EB4B" w14:textId="77777777" w:rsidR="003A384C" w:rsidRDefault="003A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AF6F" w14:textId="77777777" w:rsidR="003A384C" w:rsidRDefault="003A384C" w:rsidP="000855ED">
    <w:pPr>
      <w:pStyle w:val="Normal-pool"/>
    </w:pPr>
    <w:r>
      <w:rPr>
        <w:rStyle w:val="PageNumber"/>
      </w:rPr>
      <w:fldChar w:fldCharType="begin"/>
    </w:r>
    <w:r>
      <w:rPr>
        <w:rStyle w:val="PageNumber"/>
      </w:rPr>
      <w:instrText xml:space="preserve"> PAGE </w:instrText>
    </w:r>
    <w:r>
      <w:rPr>
        <w:rStyle w:val="PageNumber"/>
      </w:rPr>
      <w:fldChar w:fldCharType="separate"/>
    </w:r>
    <w:r w:rsidR="00C667D0">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CAE7" w14:textId="77777777" w:rsidR="003A384C" w:rsidRDefault="003A384C" w:rsidP="000855ED">
    <w:pPr>
      <w:pStyle w:val="Normal-pool"/>
      <w:jc w:val="right"/>
    </w:pPr>
    <w:r>
      <w:rPr>
        <w:rStyle w:val="PageNumber"/>
      </w:rPr>
      <w:fldChar w:fldCharType="begin"/>
    </w:r>
    <w:r>
      <w:rPr>
        <w:rStyle w:val="PageNumber"/>
      </w:rPr>
      <w:instrText xml:space="preserve"> PAGE </w:instrText>
    </w:r>
    <w:r>
      <w:rPr>
        <w:rStyle w:val="PageNumber"/>
      </w:rPr>
      <w:fldChar w:fldCharType="separate"/>
    </w:r>
    <w:r w:rsidR="00C667D0">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808214"/>
      <w:docPartObj>
        <w:docPartGallery w:val="Page Numbers (Bottom of Page)"/>
        <w:docPartUnique/>
      </w:docPartObj>
    </w:sdtPr>
    <w:sdtEndPr>
      <w:rPr>
        <w:noProof/>
      </w:rPr>
    </w:sdtEndPr>
    <w:sdtContent>
      <w:p w14:paraId="62F549F4" w14:textId="1BB411FC" w:rsidR="003A384C" w:rsidRPr="000855ED" w:rsidRDefault="003A384C" w:rsidP="006B47CE">
        <w:pPr>
          <w:pStyle w:val="Normal-pool"/>
        </w:pPr>
        <w:r>
          <w:t>K1903762</w:t>
        </w:r>
        <w:r>
          <w:tab/>
          <w:t>1</w:t>
        </w:r>
        <w:r w:rsidR="000246A6">
          <w:t>8</w:t>
        </w:r>
        <w:r>
          <w:t>0919</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643374"/>
      <w:docPartObj>
        <w:docPartGallery w:val="Page Numbers (Bottom of Page)"/>
        <w:docPartUnique/>
      </w:docPartObj>
    </w:sdtPr>
    <w:sdtEndPr>
      <w:rPr>
        <w:noProof/>
      </w:rPr>
    </w:sdtEndPr>
    <w:sdtContent>
      <w:p w14:paraId="164DB24A" w14:textId="77777777" w:rsidR="003A384C" w:rsidRPr="000855ED" w:rsidRDefault="003A384C" w:rsidP="006B47CE">
        <w:pPr>
          <w:pStyle w:val="Footer-pool"/>
        </w:pPr>
        <w:r>
          <w:fldChar w:fldCharType="begin"/>
        </w:r>
        <w:r>
          <w:instrText xml:space="preserve"> PAGE   \* MERGEFORMAT </w:instrText>
        </w:r>
        <w:r>
          <w:fldChar w:fldCharType="separate"/>
        </w:r>
        <w:r w:rsidR="00C667D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BCFED" w14:textId="77777777" w:rsidR="003A384C" w:rsidRPr="000855ED" w:rsidRDefault="003A384C" w:rsidP="004C3FAA">
      <w:pPr>
        <w:pStyle w:val="NormalNonumber"/>
        <w:tabs>
          <w:tab w:val="clear" w:pos="1247"/>
          <w:tab w:val="clear" w:pos="1814"/>
          <w:tab w:val="clear" w:pos="2381"/>
          <w:tab w:val="clear" w:pos="2948"/>
          <w:tab w:val="clear" w:pos="3515"/>
          <w:tab w:val="clear" w:pos="4082"/>
          <w:tab w:val="left" w:pos="624"/>
        </w:tabs>
        <w:spacing w:before="20" w:after="40"/>
        <w:ind w:left="624"/>
        <w:rPr>
          <w:sz w:val="18"/>
          <w:szCs w:val="18"/>
        </w:rPr>
      </w:pPr>
      <w:r w:rsidRPr="000855ED">
        <w:rPr>
          <w:sz w:val="18"/>
          <w:szCs w:val="18"/>
        </w:rPr>
        <w:separator/>
      </w:r>
    </w:p>
  </w:footnote>
  <w:footnote w:type="continuationSeparator" w:id="0">
    <w:p w14:paraId="0184713D" w14:textId="77777777" w:rsidR="003A384C" w:rsidRDefault="003A384C">
      <w:r>
        <w:continuationSeparator/>
      </w:r>
    </w:p>
  </w:footnote>
  <w:footnote w:id="1">
    <w:p w14:paraId="36B64616" w14:textId="77777777" w:rsidR="003A384C" w:rsidRPr="00490440" w:rsidRDefault="003A384C" w:rsidP="00073122">
      <w:pPr>
        <w:pStyle w:val="NormalNonumber"/>
        <w:tabs>
          <w:tab w:val="clear" w:pos="1247"/>
          <w:tab w:val="clear" w:pos="1814"/>
          <w:tab w:val="clear" w:pos="2381"/>
          <w:tab w:val="clear" w:pos="2948"/>
          <w:tab w:val="clear" w:pos="3515"/>
          <w:tab w:val="clear" w:pos="4082"/>
          <w:tab w:val="left" w:pos="624"/>
        </w:tabs>
        <w:spacing w:before="20" w:after="40"/>
        <w:rPr>
          <w:sz w:val="18"/>
          <w:szCs w:val="18"/>
        </w:rPr>
      </w:pPr>
      <w:r w:rsidRPr="00205160">
        <w:rPr>
          <w:sz w:val="18"/>
          <w:szCs w:val="18"/>
          <w:lang w:val="en-US"/>
        </w:rPr>
        <w:t>* UNEP/MC/COP.3/1.</w:t>
      </w:r>
    </w:p>
  </w:footnote>
  <w:footnote w:id="2">
    <w:p w14:paraId="09AB9AF4" w14:textId="77777777" w:rsidR="003A384C" w:rsidRPr="009A7112" w:rsidRDefault="003A384C" w:rsidP="00073122">
      <w:pPr>
        <w:pStyle w:val="NormalNonumber"/>
        <w:tabs>
          <w:tab w:val="clear" w:pos="1247"/>
          <w:tab w:val="clear" w:pos="1814"/>
          <w:tab w:val="clear" w:pos="2381"/>
          <w:tab w:val="clear" w:pos="2948"/>
          <w:tab w:val="clear" w:pos="3515"/>
          <w:tab w:val="clear" w:pos="4082"/>
          <w:tab w:val="left" w:pos="624"/>
        </w:tabs>
        <w:spacing w:before="20" w:after="40"/>
        <w:rPr>
          <w:sz w:val="18"/>
          <w:szCs w:val="18"/>
        </w:rPr>
      </w:pPr>
      <w:r w:rsidRPr="009A7112">
        <w:rPr>
          <w:rStyle w:val="FootnoteReference"/>
          <w:sz w:val="18"/>
          <w:lang w:val="es-ES"/>
        </w:rPr>
        <w:footnoteRef/>
      </w:r>
      <w:r w:rsidRPr="00205160">
        <w:rPr>
          <w:sz w:val="18"/>
          <w:szCs w:val="18"/>
          <w:lang w:val="en-US"/>
        </w:rPr>
        <w:t xml:space="preserve"> www.wcoomd.org/en/topics/nomenclature/overview.aspx.</w:t>
      </w:r>
    </w:p>
  </w:footnote>
  <w:footnote w:id="3">
    <w:p w14:paraId="176437C5" w14:textId="77777777" w:rsidR="003A384C" w:rsidRPr="009A7112" w:rsidRDefault="003A384C" w:rsidP="00073122">
      <w:pPr>
        <w:pStyle w:val="NormalNonumber"/>
        <w:tabs>
          <w:tab w:val="clear" w:pos="1247"/>
          <w:tab w:val="clear" w:pos="1814"/>
          <w:tab w:val="clear" w:pos="2381"/>
          <w:tab w:val="clear" w:pos="2948"/>
          <w:tab w:val="clear" w:pos="3515"/>
          <w:tab w:val="clear" w:pos="4082"/>
          <w:tab w:val="left" w:pos="624"/>
        </w:tabs>
        <w:spacing w:before="20" w:after="40"/>
        <w:rPr>
          <w:sz w:val="18"/>
          <w:szCs w:val="18"/>
        </w:rPr>
      </w:pPr>
      <w:r w:rsidRPr="009A7112">
        <w:rPr>
          <w:rStyle w:val="FootnoteReference"/>
          <w:sz w:val="18"/>
          <w:lang w:val="es-ES"/>
        </w:rPr>
        <w:footnoteRef/>
      </w:r>
      <w:r w:rsidRPr="00205160">
        <w:rPr>
          <w:sz w:val="18"/>
          <w:szCs w:val="18"/>
          <w:lang w:val="en-US"/>
        </w:rPr>
        <w:t xml:space="preserve"> unstats.un.org/unsd/tradekb/Knowledgebase/50018/Harmonized-Commodity-Description-and-Coding-Systems-HS.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BE83" w14:textId="77777777" w:rsidR="003A384C" w:rsidRPr="00CA5CA9" w:rsidRDefault="00492641" w:rsidP="00434321">
    <w:pPr>
      <w:pStyle w:val="Header"/>
      <w:rPr>
        <w:szCs w:val="18"/>
      </w:rPr>
    </w:pPr>
    <w:r>
      <w:rPr>
        <w:lang w:val="en-GB"/>
      </w:rPr>
      <w:pict w14:anchorId="7C227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06626" o:spid="_x0000_s2050" type="#_x0000_t136" style="position:absolute;margin-left:0;margin-top:0;width:520.65pt;height:148.75pt;rotation:315;z-index:-251655168;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r w:rsidR="003A384C" w:rsidRPr="00CA5CA9">
      <w:rPr>
        <w:bCs/>
        <w:szCs w:val="18"/>
      </w:rPr>
      <w:t>UNEP</w:t>
    </w:r>
    <w:r w:rsidR="003A384C" w:rsidRPr="00CA5CA9">
      <w:rPr>
        <w:szCs w:val="18"/>
      </w:rPr>
      <w:t>/</w:t>
    </w:r>
    <w:r w:rsidR="003A384C">
      <w:rPr>
        <w:szCs w:val="18"/>
      </w:rPr>
      <w:t>MC</w:t>
    </w:r>
    <w:r w:rsidR="003A384C" w:rsidRPr="00CA5CA9">
      <w:rPr>
        <w:szCs w:val="18"/>
      </w:rPr>
      <w:t>/</w:t>
    </w:r>
    <w:r w:rsidR="003A384C">
      <w:rPr>
        <w:szCs w:val="18"/>
      </w:rPr>
      <w:t>COP.3/5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D591" w14:textId="77777777" w:rsidR="003A384C" w:rsidRPr="00CA5CA9" w:rsidRDefault="00492641" w:rsidP="00F7137B">
    <w:pPr>
      <w:pStyle w:val="Header"/>
      <w:jc w:val="right"/>
      <w:rPr>
        <w:szCs w:val="18"/>
      </w:rPr>
    </w:pPr>
    <w:r>
      <w:rPr>
        <w:lang w:val="en-GB"/>
      </w:rPr>
      <w:pict w14:anchorId="5161F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06627" o:spid="_x0000_s2051" type="#_x0000_t136" style="position:absolute;left:0;text-align:left;margin-left:0;margin-top:0;width:520.65pt;height:148.75pt;rotation:315;z-index:-251653120;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r w:rsidR="003A384C" w:rsidRPr="00CA5CA9">
      <w:rPr>
        <w:bCs/>
        <w:szCs w:val="18"/>
      </w:rPr>
      <w:t>UNEP</w:t>
    </w:r>
    <w:r w:rsidR="003A384C" w:rsidRPr="00CA5CA9">
      <w:rPr>
        <w:szCs w:val="18"/>
      </w:rPr>
      <w:t>/</w:t>
    </w:r>
    <w:r w:rsidR="003A384C">
      <w:rPr>
        <w:szCs w:val="18"/>
      </w:rPr>
      <w:t>MC</w:t>
    </w:r>
    <w:r w:rsidR="003A384C" w:rsidRPr="00CA5CA9">
      <w:rPr>
        <w:szCs w:val="18"/>
      </w:rPr>
      <w:t>/</w:t>
    </w:r>
    <w:r w:rsidR="003A384C">
      <w:rPr>
        <w:szCs w:val="18"/>
      </w:rPr>
      <w:t>COP.3/5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3AB3" w14:textId="77777777" w:rsidR="003A384C" w:rsidRPr="006B47CE" w:rsidRDefault="003A384C" w:rsidP="006B47C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E2BB" w14:textId="77777777" w:rsidR="003A384C" w:rsidRDefault="003A384C">
    <w:pPr>
      <w:pStyle w:val="Header"/>
    </w:pPr>
    <w:r w:rsidRPr="00CA5CA9">
      <w:rPr>
        <w:bCs/>
      </w:rPr>
      <w:t>UNEP</w:t>
    </w:r>
    <w:r w:rsidRPr="00CA5CA9">
      <w:t>/</w:t>
    </w:r>
    <w:r>
      <w:t>MC</w:t>
    </w:r>
    <w:r w:rsidRPr="00CA5CA9">
      <w:t>/</w:t>
    </w:r>
    <w:r>
      <w:t>COP.3/5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8CFB" w14:textId="77777777" w:rsidR="003A384C" w:rsidRDefault="003A384C" w:rsidP="004C3FAA">
    <w:pPr>
      <w:pStyle w:val="Header"/>
      <w:jc w:val="right"/>
    </w:pPr>
    <w:r w:rsidRPr="00CA5CA9">
      <w:rPr>
        <w:bCs/>
      </w:rPr>
      <w:t>UNEP</w:t>
    </w:r>
    <w:r w:rsidRPr="00CA5CA9">
      <w:t>/</w:t>
    </w:r>
    <w:r>
      <w:t>MC</w:t>
    </w:r>
    <w:r w:rsidRPr="00CA5CA9">
      <w:t>/</w:t>
    </w:r>
    <w:r>
      <w:t>COP.3/5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E32E" w14:textId="77777777" w:rsidR="003A384C" w:rsidRDefault="003A384C" w:rsidP="000855ED">
    <w:pPr>
      <w:pStyle w:val="Header-pool"/>
    </w:pPr>
    <w:r w:rsidRPr="00CA5CA9">
      <w:rPr>
        <w:bCs/>
      </w:rPr>
      <w:t>UNEP</w:t>
    </w:r>
    <w:r w:rsidRPr="00CA5CA9">
      <w:t>/</w:t>
    </w:r>
    <w:r>
      <w:t>MC</w:t>
    </w:r>
    <w:r w:rsidRPr="00CA5CA9">
      <w:t>/</w:t>
    </w:r>
    <w:r>
      <w:t>COP.3/5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608D"/>
    <w:multiLevelType w:val="hybridMultilevel"/>
    <w:tmpl w:val="E5E89B6C"/>
    <w:lvl w:ilvl="0" w:tplc="854C29B2">
      <w:numFmt w:val="bullet"/>
      <w:lvlText w:val="-"/>
      <w:lvlJc w:val="left"/>
      <w:pPr>
        <w:ind w:left="1608" w:hanging="360"/>
      </w:pPr>
      <w:rPr>
        <w:rFonts w:ascii="Times New Roman" w:eastAsia="Times New Roman" w:hAnsi="Times New Roman" w:cs="Times New Roman"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 w15:restartNumberingAfterBreak="0">
    <w:nsid w:val="08E85C6D"/>
    <w:multiLevelType w:val="hybridMultilevel"/>
    <w:tmpl w:val="0E2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9E3"/>
    <w:multiLevelType w:val="hybridMultilevel"/>
    <w:tmpl w:val="1B1C5F4E"/>
    <w:lvl w:ilvl="0" w:tplc="A072B35A">
      <w:start w:val="1"/>
      <w:numFmt w:val="lowerLetter"/>
      <w:lvlText w:val="(%1)"/>
      <w:lvlJc w:val="left"/>
      <w:pPr>
        <w:ind w:left="3716" w:hanging="1845"/>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4" w15:restartNumberingAfterBreak="0">
    <w:nsid w:val="201C7F90"/>
    <w:multiLevelType w:val="hybridMultilevel"/>
    <w:tmpl w:val="08FE62DE"/>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 w15:restartNumberingAfterBreak="0">
    <w:nsid w:val="25B97142"/>
    <w:multiLevelType w:val="hybridMultilevel"/>
    <w:tmpl w:val="7DB8725A"/>
    <w:lvl w:ilvl="0" w:tplc="04090017">
      <w:start w:val="1"/>
      <w:numFmt w:val="lowerLetter"/>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6" w15:restartNumberingAfterBreak="0">
    <w:nsid w:val="328B390E"/>
    <w:multiLevelType w:val="hybridMultilevel"/>
    <w:tmpl w:val="163451F4"/>
    <w:lvl w:ilvl="0" w:tplc="1972A4D8">
      <w:start w:val="1"/>
      <w:numFmt w:val="lowerLetter"/>
      <w:lvlText w:val="(%1)"/>
      <w:lvlJc w:val="left"/>
      <w:pPr>
        <w:ind w:left="3716" w:hanging="18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8" w15:restartNumberingAfterBreak="0">
    <w:nsid w:val="40E3742E"/>
    <w:multiLevelType w:val="hybridMultilevel"/>
    <w:tmpl w:val="A8BE00E0"/>
    <w:lvl w:ilvl="0" w:tplc="5BB45EB4">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9" w15:restartNumberingAfterBreak="0">
    <w:nsid w:val="432233DC"/>
    <w:multiLevelType w:val="hybridMultilevel"/>
    <w:tmpl w:val="9AE26106"/>
    <w:lvl w:ilvl="0" w:tplc="EAFE9C00">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0" w15:restartNumberingAfterBreak="0">
    <w:nsid w:val="52A66A9D"/>
    <w:multiLevelType w:val="multilevel"/>
    <w:tmpl w:val="D07A6E4C"/>
    <w:styleLink w:val="Normallist"/>
    <w:lvl w:ilvl="0">
      <w:start w:val="1"/>
      <w:numFmt w:val="decimal"/>
      <w:pStyle w:val="Normalnumber"/>
      <w:lvlText w:val="%1."/>
      <w:lvlJc w:val="left"/>
      <w:pPr>
        <w:tabs>
          <w:tab w:val="num" w:pos="1701"/>
        </w:tabs>
        <w:ind w:left="1814" w:firstLine="0"/>
      </w:pPr>
      <w:rPr>
        <w:rFonts w:hint="default"/>
      </w:rPr>
    </w:lvl>
    <w:lvl w:ilvl="1">
      <w:start w:val="1"/>
      <w:numFmt w:val="lowerLetter"/>
      <w:lvlText w:val="(%2)"/>
      <w:lvlJc w:val="left"/>
      <w:pPr>
        <w:tabs>
          <w:tab w:val="num" w:pos="1701"/>
        </w:tabs>
        <w:ind w:left="1814" w:firstLine="567"/>
      </w:pPr>
      <w:rPr>
        <w:rFonts w:hint="default"/>
      </w:rPr>
    </w:lvl>
    <w:lvl w:ilvl="2">
      <w:start w:val="1"/>
      <w:numFmt w:val="lowerRoman"/>
      <w:lvlText w:val="(%3)"/>
      <w:lvlJc w:val="left"/>
      <w:pPr>
        <w:tabs>
          <w:tab w:val="num" w:pos="1701"/>
        </w:tabs>
        <w:ind w:left="3515" w:hanging="567"/>
      </w:pPr>
      <w:rPr>
        <w:rFonts w:hint="default"/>
      </w:rPr>
    </w:lvl>
    <w:lvl w:ilvl="3">
      <w:start w:val="1"/>
      <w:numFmt w:val="lowerLetter"/>
      <w:lvlText w:val="%4."/>
      <w:lvlJc w:val="left"/>
      <w:pPr>
        <w:tabs>
          <w:tab w:val="num" w:pos="1701"/>
        </w:tabs>
        <w:ind w:left="4082" w:hanging="567"/>
      </w:pPr>
      <w:rPr>
        <w:rFonts w:hint="default"/>
      </w:rPr>
    </w:lvl>
    <w:lvl w:ilvl="4">
      <w:start w:val="1"/>
      <w:numFmt w:val="lowerRoman"/>
      <w:lvlText w:val="%5."/>
      <w:lvlJc w:val="left"/>
      <w:pPr>
        <w:tabs>
          <w:tab w:val="num" w:pos="1701"/>
        </w:tabs>
        <w:ind w:left="4649" w:hanging="567"/>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1" w15:restartNumberingAfterBreak="0">
    <w:nsid w:val="540A44D6"/>
    <w:multiLevelType w:val="hybridMultilevel"/>
    <w:tmpl w:val="F9F2490E"/>
    <w:lvl w:ilvl="0" w:tplc="04090011">
      <w:start w:val="1"/>
      <w:numFmt w:val="decimal"/>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2" w15:restartNumberingAfterBreak="0">
    <w:nsid w:val="64683995"/>
    <w:multiLevelType w:val="hybridMultilevel"/>
    <w:tmpl w:val="7CDEE404"/>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3" w15:restartNumberingAfterBreak="0">
    <w:nsid w:val="68E200E0"/>
    <w:multiLevelType w:val="hybridMultilevel"/>
    <w:tmpl w:val="727428A0"/>
    <w:lvl w:ilvl="0" w:tplc="EAFE9C00">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4" w15:restartNumberingAfterBreak="0">
    <w:nsid w:val="6FFE22A9"/>
    <w:multiLevelType w:val="hybridMultilevel"/>
    <w:tmpl w:val="4F942F02"/>
    <w:lvl w:ilvl="0" w:tplc="3DC0444A">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5" w15:restartNumberingAfterBreak="0">
    <w:nsid w:val="798367F0"/>
    <w:multiLevelType w:val="hybridMultilevel"/>
    <w:tmpl w:val="83E6B2E0"/>
    <w:lvl w:ilvl="0" w:tplc="A072B35A">
      <w:start w:val="1"/>
      <w:numFmt w:val="lowerLetter"/>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6" w15:restartNumberingAfterBreak="0">
    <w:nsid w:val="7A253920"/>
    <w:multiLevelType w:val="hybridMultilevel"/>
    <w:tmpl w:val="CAB86F5A"/>
    <w:lvl w:ilvl="0" w:tplc="62B89938">
      <w:start w:val="1"/>
      <w:numFmt w:val="upperLetter"/>
      <w:lvlText w:val="%1."/>
      <w:lvlJc w:val="left"/>
      <w:pPr>
        <w:ind w:left="1608" w:hanging="360"/>
      </w:pPr>
      <w:rPr>
        <w:b/>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num w:numId="1">
    <w:abstractNumId w:val="10"/>
  </w:num>
  <w:num w:numId="2">
    <w:abstractNumId w:val="3"/>
  </w:num>
  <w:num w:numId="3">
    <w:abstractNumId w:val="7"/>
  </w:num>
  <w:num w:numId="4">
    <w:abstractNumId w:val="10"/>
    <w:lvlOverride w:ilvl="0">
      <w:lvl w:ilvl="0">
        <w:start w:val="1"/>
        <w:numFmt w:val="decimal"/>
        <w:pStyle w:val="Normalnumber"/>
        <w:lvlText w:val="%1."/>
        <w:lvlJc w:val="left"/>
        <w:pPr>
          <w:tabs>
            <w:tab w:val="num" w:pos="1701"/>
          </w:tabs>
          <w:ind w:left="1814" w:firstLine="0"/>
        </w:pPr>
        <w:rPr>
          <w:rFonts w:hint="default"/>
        </w:rPr>
      </w:lvl>
    </w:lvlOverride>
  </w:num>
  <w:num w:numId="5">
    <w:abstractNumId w:val="4"/>
  </w:num>
  <w:num w:numId="6">
    <w:abstractNumId w:val="2"/>
  </w:num>
  <w:num w:numId="7">
    <w:abstractNumId w:val="6"/>
  </w:num>
  <w:num w:numId="8">
    <w:abstractNumId w:val="15"/>
  </w:num>
  <w:num w:numId="9">
    <w:abstractNumId w:val="13"/>
  </w:num>
  <w:num w:numId="10">
    <w:abstractNumId w:val="9"/>
  </w:num>
  <w:num w:numId="11">
    <w:abstractNumId w:val="0"/>
  </w:num>
  <w:num w:numId="12">
    <w:abstractNumId w:val="11"/>
  </w:num>
  <w:num w:numId="13">
    <w:abstractNumId w:val="5"/>
  </w:num>
  <w:num w:numId="14">
    <w:abstractNumId w:val="16"/>
  </w:num>
  <w:num w:numId="15">
    <w:abstractNumId w:val="14"/>
  </w:num>
  <w:num w:numId="16">
    <w:abstractNumId w:val="12"/>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0" w:nlCheck="1" w:checkStyle="1"/>
  <w:activeWritingStyle w:appName="MSWord" w:lang="en-US" w:vendorID="64" w:dllVersion="0" w:nlCheck="1" w:checkStyle="0"/>
  <w:activeWritingStyle w:appName="MSWord" w:lang="en-GB" w:vendorID="64" w:dllVersion="0" w:nlCheck="1" w:checkStyle="1"/>
  <w:activeWritingStyle w:appName="MSWord" w:lang="es-ES" w:vendorID="64" w:dllVersion="0" w:nlCheck="1" w:checkStyle="1"/>
  <w:activeWritingStyle w:appName="MSWord" w:lang="es-ES_tradnl"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oNotTrackFormatting/>
  <w:defaultTabStop w:val="624"/>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7F"/>
    <w:rsid w:val="00000E4A"/>
    <w:rsid w:val="0000133B"/>
    <w:rsid w:val="00001367"/>
    <w:rsid w:val="00001369"/>
    <w:rsid w:val="000017CC"/>
    <w:rsid w:val="000024A3"/>
    <w:rsid w:val="000057BB"/>
    <w:rsid w:val="00007100"/>
    <w:rsid w:val="000077AD"/>
    <w:rsid w:val="00011A16"/>
    <w:rsid w:val="000149E6"/>
    <w:rsid w:val="0001792A"/>
    <w:rsid w:val="00020884"/>
    <w:rsid w:val="00023DA9"/>
    <w:rsid w:val="000246A6"/>
    <w:rsid w:val="000247B0"/>
    <w:rsid w:val="0002538D"/>
    <w:rsid w:val="00026997"/>
    <w:rsid w:val="00026A08"/>
    <w:rsid w:val="00026F55"/>
    <w:rsid w:val="00032E4E"/>
    <w:rsid w:val="00033733"/>
    <w:rsid w:val="00033E0B"/>
    <w:rsid w:val="000340A3"/>
    <w:rsid w:val="00035EDE"/>
    <w:rsid w:val="0004341B"/>
    <w:rsid w:val="000436D3"/>
    <w:rsid w:val="00043DDB"/>
    <w:rsid w:val="000468F2"/>
    <w:rsid w:val="000509B4"/>
    <w:rsid w:val="00051622"/>
    <w:rsid w:val="0006035B"/>
    <w:rsid w:val="0006096F"/>
    <w:rsid w:val="00060BBB"/>
    <w:rsid w:val="000649C5"/>
    <w:rsid w:val="00064D52"/>
    <w:rsid w:val="00071669"/>
    <w:rsid w:val="00071886"/>
    <w:rsid w:val="00073122"/>
    <w:rsid w:val="000742BC"/>
    <w:rsid w:val="00074A93"/>
    <w:rsid w:val="00075F0C"/>
    <w:rsid w:val="00076CC6"/>
    <w:rsid w:val="00080C5C"/>
    <w:rsid w:val="00081FC8"/>
    <w:rsid w:val="00082A0C"/>
    <w:rsid w:val="00082B4A"/>
    <w:rsid w:val="00083504"/>
    <w:rsid w:val="00084ED1"/>
    <w:rsid w:val="000855ED"/>
    <w:rsid w:val="000878AF"/>
    <w:rsid w:val="00087A9F"/>
    <w:rsid w:val="00087B56"/>
    <w:rsid w:val="00093425"/>
    <w:rsid w:val="00095510"/>
    <w:rsid w:val="0009640C"/>
    <w:rsid w:val="0009780A"/>
    <w:rsid w:val="000A2B9C"/>
    <w:rsid w:val="000A3B42"/>
    <w:rsid w:val="000A581D"/>
    <w:rsid w:val="000B22A2"/>
    <w:rsid w:val="000B541B"/>
    <w:rsid w:val="000B73F9"/>
    <w:rsid w:val="000C2A52"/>
    <w:rsid w:val="000C2A88"/>
    <w:rsid w:val="000C65B1"/>
    <w:rsid w:val="000C7F47"/>
    <w:rsid w:val="000D05FA"/>
    <w:rsid w:val="000D0832"/>
    <w:rsid w:val="000D1969"/>
    <w:rsid w:val="000D21F8"/>
    <w:rsid w:val="000D33C0"/>
    <w:rsid w:val="000D4CF6"/>
    <w:rsid w:val="000D6941"/>
    <w:rsid w:val="000D76B1"/>
    <w:rsid w:val="000E3644"/>
    <w:rsid w:val="000E457A"/>
    <w:rsid w:val="000F3C3D"/>
    <w:rsid w:val="000F4829"/>
    <w:rsid w:val="000F6B21"/>
    <w:rsid w:val="000F6B39"/>
    <w:rsid w:val="00100821"/>
    <w:rsid w:val="00100843"/>
    <w:rsid w:val="00101BEF"/>
    <w:rsid w:val="00102D6D"/>
    <w:rsid w:val="00102EFB"/>
    <w:rsid w:val="00107CC0"/>
    <w:rsid w:val="00111081"/>
    <w:rsid w:val="00115B5D"/>
    <w:rsid w:val="001202E3"/>
    <w:rsid w:val="0012202F"/>
    <w:rsid w:val="00123699"/>
    <w:rsid w:val="00123D07"/>
    <w:rsid w:val="001241FB"/>
    <w:rsid w:val="0013059D"/>
    <w:rsid w:val="0013072C"/>
    <w:rsid w:val="0013246E"/>
    <w:rsid w:val="0013574F"/>
    <w:rsid w:val="00136187"/>
    <w:rsid w:val="00141A55"/>
    <w:rsid w:val="0014293F"/>
    <w:rsid w:val="0014397D"/>
    <w:rsid w:val="001446A3"/>
    <w:rsid w:val="0014662D"/>
    <w:rsid w:val="00146CD9"/>
    <w:rsid w:val="00151DA5"/>
    <w:rsid w:val="00152B6B"/>
    <w:rsid w:val="00155395"/>
    <w:rsid w:val="00155A2F"/>
    <w:rsid w:val="00156B6B"/>
    <w:rsid w:val="001577EC"/>
    <w:rsid w:val="00160AA5"/>
    <w:rsid w:val="00160D74"/>
    <w:rsid w:val="001646EA"/>
    <w:rsid w:val="00167D02"/>
    <w:rsid w:val="00173390"/>
    <w:rsid w:val="001759D8"/>
    <w:rsid w:val="00177D7F"/>
    <w:rsid w:val="00180C3F"/>
    <w:rsid w:val="00181A93"/>
    <w:rsid w:val="00181EC8"/>
    <w:rsid w:val="00184349"/>
    <w:rsid w:val="00184612"/>
    <w:rsid w:val="00190B60"/>
    <w:rsid w:val="00195F33"/>
    <w:rsid w:val="00197FB6"/>
    <w:rsid w:val="001A3788"/>
    <w:rsid w:val="001A47E5"/>
    <w:rsid w:val="001A5E57"/>
    <w:rsid w:val="001B005F"/>
    <w:rsid w:val="001B1617"/>
    <w:rsid w:val="001B4718"/>
    <w:rsid w:val="001B504B"/>
    <w:rsid w:val="001B5652"/>
    <w:rsid w:val="001B6F98"/>
    <w:rsid w:val="001C00DE"/>
    <w:rsid w:val="001C191A"/>
    <w:rsid w:val="001D3087"/>
    <w:rsid w:val="001D3874"/>
    <w:rsid w:val="001D47B1"/>
    <w:rsid w:val="001D743F"/>
    <w:rsid w:val="001D7935"/>
    <w:rsid w:val="001D7E75"/>
    <w:rsid w:val="001E0D73"/>
    <w:rsid w:val="001E45BD"/>
    <w:rsid w:val="001E56D2"/>
    <w:rsid w:val="001E6F70"/>
    <w:rsid w:val="001E7A1D"/>
    <w:rsid w:val="001E7D56"/>
    <w:rsid w:val="001E7F10"/>
    <w:rsid w:val="001F0625"/>
    <w:rsid w:val="001F12AB"/>
    <w:rsid w:val="001F5186"/>
    <w:rsid w:val="001F75DE"/>
    <w:rsid w:val="00200C4D"/>
    <w:rsid w:val="00200D58"/>
    <w:rsid w:val="002011C1"/>
    <w:rsid w:val="002013BE"/>
    <w:rsid w:val="00201D03"/>
    <w:rsid w:val="00201EDC"/>
    <w:rsid w:val="00204E6B"/>
    <w:rsid w:val="00205160"/>
    <w:rsid w:val="002063A4"/>
    <w:rsid w:val="002071B2"/>
    <w:rsid w:val="00207A9B"/>
    <w:rsid w:val="00207B14"/>
    <w:rsid w:val="0021145B"/>
    <w:rsid w:val="00215127"/>
    <w:rsid w:val="002162B3"/>
    <w:rsid w:val="0021702C"/>
    <w:rsid w:val="00220C23"/>
    <w:rsid w:val="002242D8"/>
    <w:rsid w:val="00224608"/>
    <w:rsid w:val="002247F6"/>
    <w:rsid w:val="0022584B"/>
    <w:rsid w:val="00225E21"/>
    <w:rsid w:val="00225E44"/>
    <w:rsid w:val="00230525"/>
    <w:rsid w:val="002322CD"/>
    <w:rsid w:val="00234E78"/>
    <w:rsid w:val="0023535D"/>
    <w:rsid w:val="0023797F"/>
    <w:rsid w:val="00243D36"/>
    <w:rsid w:val="00245943"/>
    <w:rsid w:val="00245A91"/>
    <w:rsid w:val="00246151"/>
    <w:rsid w:val="00247707"/>
    <w:rsid w:val="00252456"/>
    <w:rsid w:val="0026018E"/>
    <w:rsid w:val="002633BE"/>
    <w:rsid w:val="00271321"/>
    <w:rsid w:val="002729E6"/>
    <w:rsid w:val="00274F0E"/>
    <w:rsid w:val="002816A3"/>
    <w:rsid w:val="00286740"/>
    <w:rsid w:val="00291EAE"/>
    <w:rsid w:val="002929D8"/>
    <w:rsid w:val="00295765"/>
    <w:rsid w:val="00297AE6"/>
    <w:rsid w:val="002A237D"/>
    <w:rsid w:val="002A4790"/>
    <w:rsid w:val="002A47EE"/>
    <w:rsid w:val="002A4C53"/>
    <w:rsid w:val="002A5B0B"/>
    <w:rsid w:val="002B0672"/>
    <w:rsid w:val="002B247F"/>
    <w:rsid w:val="002B50D4"/>
    <w:rsid w:val="002B58BF"/>
    <w:rsid w:val="002C145D"/>
    <w:rsid w:val="002C2C3E"/>
    <w:rsid w:val="002C48F3"/>
    <w:rsid w:val="002C533E"/>
    <w:rsid w:val="002D027F"/>
    <w:rsid w:val="002D0F77"/>
    <w:rsid w:val="002D10C6"/>
    <w:rsid w:val="002D3E15"/>
    <w:rsid w:val="002D6C8A"/>
    <w:rsid w:val="002D7A85"/>
    <w:rsid w:val="002D7B60"/>
    <w:rsid w:val="002E2861"/>
    <w:rsid w:val="002F4761"/>
    <w:rsid w:val="002F5554"/>
    <w:rsid w:val="002F5C79"/>
    <w:rsid w:val="002F68EE"/>
    <w:rsid w:val="003019E2"/>
    <w:rsid w:val="00303E0A"/>
    <w:rsid w:val="00310BEB"/>
    <w:rsid w:val="003110BE"/>
    <w:rsid w:val="0031413F"/>
    <w:rsid w:val="00314854"/>
    <w:rsid w:val="003148BB"/>
    <w:rsid w:val="00316F2F"/>
    <w:rsid w:val="00317976"/>
    <w:rsid w:val="00320F2F"/>
    <w:rsid w:val="0032457E"/>
    <w:rsid w:val="00325D38"/>
    <w:rsid w:val="00332550"/>
    <w:rsid w:val="00346E47"/>
    <w:rsid w:val="0035277E"/>
    <w:rsid w:val="00353F18"/>
    <w:rsid w:val="00355EA9"/>
    <w:rsid w:val="003578DE"/>
    <w:rsid w:val="00361688"/>
    <w:rsid w:val="00361B6B"/>
    <w:rsid w:val="00361C3B"/>
    <w:rsid w:val="003624F1"/>
    <w:rsid w:val="003640BC"/>
    <w:rsid w:val="00364638"/>
    <w:rsid w:val="00366C54"/>
    <w:rsid w:val="00372059"/>
    <w:rsid w:val="00372EC0"/>
    <w:rsid w:val="00380921"/>
    <w:rsid w:val="00381B28"/>
    <w:rsid w:val="003877D5"/>
    <w:rsid w:val="003929B8"/>
    <w:rsid w:val="00393432"/>
    <w:rsid w:val="00396257"/>
    <w:rsid w:val="00397EB8"/>
    <w:rsid w:val="003A11B3"/>
    <w:rsid w:val="003A384C"/>
    <w:rsid w:val="003A4FD0"/>
    <w:rsid w:val="003A5DBA"/>
    <w:rsid w:val="003A69D1"/>
    <w:rsid w:val="003A7705"/>
    <w:rsid w:val="003A77F1"/>
    <w:rsid w:val="003B001D"/>
    <w:rsid w:val="003B1545"/>
    <w:rsid w:val="003C3219"/>
    <w:rsid w:val="003C409D"/>
    <w:rsid w:val="003C4544"/>
    <w:rsid w:val="003C52D4"/>
    <w:rsid w:val="003C5583"/>
    <w:rsid w:val="003C5BA6"/>
    <w:rsid w:val="003C74CF"/>
    <w:rsid w:val="003C7773"/>
    <w:rsid w:val="003D3752"/>
    <w:rsid w:val="003D759B"/>
    <w:rsid w:val="003E2E57"/>
    <w:rsid w:val="003E35DA"/>
    <w:rsid w:val="003E40A0"/>
    <w:rsid w:val="003E455D"/>
    <w:rsid w:val="003E6BAB"/>
    <w:rsid w:val="003F0E85"/>
    <w:rsid w:val="003F4C81"/>
    <w:rsid w:val="00405B97"/>
    <w:rsid w:val="00410C55"/>
    <w:rsid w:val="00416854"/>
    <w:rsid w:val="00417725"/>
    <w:rsid w:val="0042266F"/>
    <w:rsid w:val="004250FA"/>
    <w:rsid w:val="00434321"/>
    <w:rsid w:val="004349B9"/>
    <w:rsid w:val="00437F26"/>
    <w:rsid w:val="00441018"/>
    <w:rsid w:val="00444097"/>
    <w:rsid w:val="00445487"/>
    <w:rsid w:val="00447E0D"/>
    <w:rsid w:val="00453EA8"/>
    <w:rsid w:val="00454769"/>
    <w:rsid w:val="00455209"/>
    <w:rsid w:val="00462568"/>
    <w:rsid w:val="00466991"/>
    <w:rsid w:val="0047064C"/>
    <w:rsid w:val="004822B7"/>
    <w:rsid w:val="00484933"/>
    <w:rsid w:val="0048787B"/>
    <w:rsid w:val="00487925"/>
    <w:rsid w:val="00490440"/>
    <w:rsid w:val="00492641"/>
    <w:rsid w:val="004929D9"/>
    <w:rsid w:val="00493726"/>
    <w:rsid w:val="0049469E"/>
    <w:rsid w:val="004952BA"/>
    <w:rsid w:val="004A1B68"/>
    <w:rsid w:val="004A2217"/>
    <w:rsid w:val="004A24F9"/>
    <w:rsid w:val="004A42E1"/>
    <w:rsid w:val="004A7A97"/>
    <w:rsid w:val="004A7E4F"/>
    <w:rsid w:val="004B0E3E"/>
    <w:rsid w:val="004B162C"/>
    <w:rsid w:val="004B2ABE"/>
    <w:rsid w:val="004C10C8"/>
    <w:rsid w:val="004C3DBE"/>
    <w:rsid w:val="004C3FAA"/>
    <w:rsid w:val="004C45C0"/>
    <w:rsid w:val="004C5C96"/>
    <w:rsid w:val="004D06A4"/>
    <w:rsid w:val="004D23DF"/>
    <w:rsid w:val="004D4345"/>
    <w:rsid w:val="004E5126"/>
    <w:rsid w:val="004E517C"/>
    <w:rsid w:val="004E574D"/>
    <w:rsid w:val="004E6722"/>
    <w:rsid w:val="004F0CF3"/>
    <w:rsid w:val="004F1A81"/>
    <w:rsid w:val="004F5D88"/>
    <w:rsid w:val="0050084A"/>
    <w:rsid w:val="00501354"/>
    <w:rsid w:val="005050D2"/>
    <w:rsid w:val="005146C2"/>
    <w:rsid w:val="005218D9"/>
    <w:rsid w:val="005228DC"/>
    <w:rsid w:val="005245EB"/>
    <w:rsid w:val="00525448"/>
    <w:rsid w:val="00536186"/>
    <w:rsid w:val="00536462"/>
    <w:rsid w:val="0053705A"/>
    <w:rsid w:val="00543460"/>
    <w:rsid w:val="00544067"/>
    <w:rsid w:val="00544CBB"/>
    <w:rsid w:val="00551915"/>
    <w:rsid w:val="00551B65"/>
    <w:rsid w:val="00552A05"/>
    <w:rsid w:val="00553BED"/>
    <w:rsid w:val="00556704"/>
    <w:rsid w:val="005568B6"/>
    <w:rsid w:val="00564C5E"/>
    <w:rsid w:val="005651DF"/>
    <w:rsid w:val="005656D7"/>
    <w:rsid w:val="0057315F"/>
    <w:rsid w:val="00574578"/>
    <w:rsid w:val="00576104"/>
    <w:rsid w:val="00580015"/>
    <w:rsid w:val="005840CD"/>
    <w:rsid w:val="00584F08"/>
    <w:rsid w:val="00586418"/>
    <w:rsid w:val="0059140A"/>
    <w:rsid w:val="00592B21"/>
    <w:rsid w:val="00594027"/>
    <w:rsid w:val="005A5964"/>
    <w:rsid w:val="005B2DF4"/>
    <w:rsid w:val="005B44BF"/>
    <w:rsid w:val="005C0770"/>
    <w:rsid w:val="005C4911"/>
    <w:rsid w:val="005C67C8"/>
    <w:rsid w:val="005D0249"/>
    <w:rsid w:val="005D18FA"/>
    <w:rsid w:val="005D4FD4"/>
    <w:rsid w:val="005D5EB4"/>
    <w:rsid w:val="005D638F"/>
    <w:rsid w:val="005D6E8C"/>
    <w:rsid w:val="005E1625"/>
    <w:rsid w:val="005E252F"/>
    <w:rsid w:val="005E3004"/>
    <w:rsid w:val="005E4780"/>
    <w:rsid w:val="005F100C"/>
    <w:rsid w:val="005F68DA"/>
    <w:rsid w:val="005F7419"/>
    <w:rsid w:val="006018AE"/>
    <w:rsid w:val="00601BC9"/>
    <w:rsid w:val="0060773B"/>
    <w:rsid w:val="006078B8"/>
    <w:rsid w:val="00613FD6"/>
    <w:rsid w:val="006157B5"/>
    <w:rsid w:val="00617224"/>
    <w:rsid w:val="006255D5"/>
    <w:rsid w:val="00626FC6"/>
    <w:rsid w:val="00627CBC"/>
    <w:rsid w:val="006303B4"/>
    <w:rsid w:val="006304C5"/>
    <w:rsid w:val="00630ADC"/>
    <w:rsid w:val="00630C64"/>
    <w:rsid w:val="00633D3D"/>
    <w:rsid w:val="006358EB"/>
    <w:rsid w:val="00637133"/>
    <w:rsid w:val="00641295"/>
    <w:rsid w:val="00641703"/>
    <w:rsid w:val="006431A6"/>
    <w:rsid w:val="00643372"/>
    <w:rsid w:val="00643E3A"/>
    <w:rsid w:val="006459F6"/>
    <w:rsid w:val="006501AD"/>
    <w:rsid w:val="00651BFA"/>
    <w:rsid w:val="00653D2C"/>
    <w:rsid w:val="00654475"/>
    <w:rsid w:val="00656DF0"/>
    <w:rsid w:val="00660C4C"/>
    <w:rsid w:val="00665885"/>
    <w:rsid w:val="00665A4B"/>
    <w:rsid w:val="00670FAE"/>
    <w:rsid w:val="00676314"/>
    <w:rsid w:val="0067786B"/>
    <w:rsid w:val="006801A4"/>
    <w:rsid w:val="00690268"/>
    <w:rsid w:val="00692980"/>
    <w:rsid w:val="00692C30"/>
    <w:rsid w:val="00692E2A"/>
    <w:rsid w:val="006937BE"/>
    <w:rsid w:val="0069496A"/>
    <w:rsid w:val="00696087"/>
    <w:rsid w:val="00696A93"/>
    <w:rsid w:val="00696C1C"/>
    <w:rsid w:val="00697749"/>
    <w:rsid w:val="006A1B57"/>
    <w:rsid w:val="006A76F2"/>
    <w:rsid w:val="006B1049"/>
    <w:rsid w:val="006B1C39"/>
    <w:rsid w:val="006B47CE"/>
    <w:rsid w:val="006B5D31"/>
    <w:rsid w:val="006B7D29"/>
    <w:rsid w:val="006C1555"/>
    <w:rsid w:val="006C1CE5"/>
    <w:rsid w:val="006C3F5D"/>
    <w:rsid w:val="006C55BA"/>
    <w:rsid w:val="006C7106"/>
    <w:rsid w:val="006D19D4"/>
    <w:rsid w:val="006D3BF9"/>
    <w:rsid w:val="006D41BA"/>
    <w:rsid w:val="006D5644"/>
    <w:rsid w:val="006D7EFB"/>
    <w:rsid w:val="006E0455"/>
    <w:rsid w:val="006E6672"/>
    <w:rsid w:val="006E6722"/>
    <w:rsid w:val="006E7C37"/>
    <w:rsid w:val="006F1412"/>
    <w:rsid w:val="006F46BD"/>
    <w:rsid w:val="006F4DE1"/>
    <w:rsid w:val="006F5265"/>
    <w:rsid w:val="006F718B"/>
    <w:rsid w:val="006F7AFF"/>
    <w:rsid w:val="007027B9"/>
    <w:rsid w:val="00704D01"/>
    <w:rsid w:val="007066B5"/>
    <w:rsid w:val="007145DA"/>
    <w:rsid w:val="00715E88"/>
    <w:rsid w:val="00716D8B"/>
    <w:rsid w:val="0072200B"/>
    <w:rsid w:val="007230AE"/>
    <w:rsid w:val="00731576"/>
    <w:rsid w:val="00734CAA"/>
    <w:rsid w:val="00740ADB"/>
    <w:rsid w:val="00740EE2"/>
    <w:rsid w:val="00742680"/>
    <w:rsid w:val="00747459"/>
    <w:rsid w:val="007508FB"/>
    <w:rsid w:val="0075533C"/>
    <w:rsid w:val="00755A18"/>
    <w:rsid w:val="00757581"/>
    <w:rsid w:val="007602F5"/>
    <w:rsid w:val="00760D36"/>
    <w:rsid w:val="007611A0"/>
    <w:rsid w:val="007618FF"/>
    <w:rsid w:val="007645F7"/>
    <w:rsid w:val="00772574"/>
    <w:rsid w:val="00772F55"/>
    <w:rsid w:val="00773E54"/>
    <w:rsid w:val="0077642E"/>
    <w:rsid w:val="00784A03"/>
    <w:rsid w:val="00787688"/>
    <w:rsid w:val="007913CE"/>
    <w:rsid w:val="007935E6"/>
    <w:rsid w:val="00796D3F"/>
    <w:rsid w:val="007A1683"/>
    <w:rsid w:val="007A5C12"/>
    <w:rsid w:val="007A7CB0"/>
    <w:rsid w:val="007B68A3"/>
    <w:rsid w:val="007C2541"/>
    <w:rsid w:val="007C6842"/>
    <w:rsid w:val="007D66A8"/>
    <w:rsid w:val="007E003F"/>
    <w:rsid w:val="007E2691"/>
    <w:rsid w:val="007E3003"/>
    <w:rsid w:val="007E3151"/>
    <w:rsid w:val="007E4526"/>
    <w:rsid w:val="007E5A15"/>
    <w:rsid w:val="007E5FA0"/>
    <w:rsid w:val="007E65A8"/>
    <w:rsid w:val="007E68C0"/>
    <w:rsid w:val="007F0CF8"/>
    <w:rsid w:val="007F41D2"/>
    <w:rsid w:val="007F5E1B"/>
    <w:rsid w:val="007F5E7D"/>
    <w:rsid w:val="007F62CB"/>
    <w:rsid w:val="007F74EA"/>
    <w:rsid w:val="008142EC"/>
    <w:rsid w:val="008164F2"/>
    <w:rsid w:val="008176B3"/>
    <w:rsid w:val="00821395"/>
    <w:rsid w:val="00825C5B"/>
    <w:rsid w:val="00830E26"/>
    <w:rsid w:val="00834368"/>
    <w:rsid w:val="0083441A"/>
    <w:rsid w:val="00834CEA"/>
    <w:rsid w:val="00843576"/>
    <w:rsid w:val="00843B64"/>
    <w:rsid w:val="00844D0D"/>
    <w:rsid w:val="00845261"/>
    <w:rsid w:val="008478FC"/>
    <w:rsid w:val="00851C51"/>
    <w:rsid w:val="008538F7"/>
    <w:rsid w:val="0085469D"/>
    <w:rsid w:val="00867BFF"/>
    <w:rsid w:val="00870345"/>
    <w:rsid w:val="008708B3"/>
    <w:rsid w:val="00871542"/>
    <w:rsid w:val="00872BF6"/>
    <w:rsid w:val="00872F8E"/>
    <w:rsid w:val="0088035A"/>
    <w:rsid w:val="0088480A"/>
    <w:rsid w:val="00886660"/>
    <w:rsid w:val="0088757A"/>
    <w:rsid w:val="00891A8C"/>
    <w:rsid w:val="00891DF4"/>
    <w:rsid w:val="0089431B"/>
    <w:rsid w:val="00894FEB"/>
    <w:rsid w:val="00895668"/>
    <w:rsid w:val="008957DD"/>
    <w:rsid w:val="00897D98"/>
    <w:rsid w:val="008A4FE9"/>
    <w:rsid w:val="008A59AD"/>
    <w:rsid w:val="008A6DF2"/>
    <w:rsid w:val="008A7807"/>
    <w:rsid w:val="008B4CC9"/>
    <w:rsid w:val="008C0B15"/>
    <w:rsid w:val="008C3940"/>
    <w:rsid w:val="008C4869"/>
    <w:rsid w:val="008D75E4"/>
    <w:rsid w:val="008D7C99"/>
    <w:rsid w:val="008E0FCB"/>
    <w:rsid w:val="008E444D"/>
    <w:rsid w:val="008E547D"/>
    <w:rsid w:val="008E645B"/>
    <w:rsid w:val="008F26EF"/>
    <w:rsid w:val="008F6567"/>
    <w:rsid w:val="008F6DFE"/>
    <w:rsid w:val="008F728D"/>
    <w:rsid w:val="00900D8D"/>
    <w:rsid w:val="00904151"/>
    <w:rsid w:val="0090529F"/>
    <w:rsid w:val="00907E2F"/>
    <w:rsid w:val="00915613"/>
    <w:rsid w:val="00915D85"/>
    <w:rsid w:val="009176E4"/>
    <w:rsid w:val="0092178C"/>
    <w:rsid w:val="00930B88"/>
    <w:rsid w:val="009319C5"/>
    <w:rsid w:val="0093482F"/>
    <w:rsid w:val="00935376"/>
    <w:rsid w:val="00940DCC"/>
    <w:rsid w:val="0094179A"/>
    <w:rsid w:val="0094459E"/>
    <w:rsid w:val="00944DBC"/>
    <w:rsid w:val="00945646"/>
    <w:rsid w:val="00946C67"/>
    <w:rsid w:val="00950221"/>
    <w:rsid w:val="00950977"/>
    <w:rsid w:val="00950C3F"/>
    <w:rsid w:val="009511DE"/>
    <w:rsid w:val="00951A7B"/>
    <w:rsid w:val="00954DA1"/>
    <w:rsid w:val="00955512"/>
    <w:rsid w:val="009564A6"/>
    <w:rsid w:val="00957EF8"/>
    <w:rsid w:val="00966A53"/>
    <w:rsid w:val="00967621"/>
    <w:rsid w:val="00967E6A"/>
    <w:rsid w:val="0097109D"/>
    <w:rsid w:val="00974F45"/>
    <w:rsid w:val="00977331"/>
    <w:rsid w:val="009813AA"/>
    <w:rsid w:val="00982887"/>
    <w:rsid w:val="00985027"/>
    <w:rsid w:val="00985891"/>
    <w:rsid w:val="009907B9"/>
    <w:rsid w:val="00990918"/>
    <w:rsid w:val="00992522"/>
    <w:rsid w:val="009A399C"/>
    <w:rsid w:val="009A3A83"/>
    <w:rsid w:val="009A3EAF"/>
    <w:rsid w:val="009A7112"/>
    <w:rsid w:val="009B0382"/>
    <w:rsid w:val="009B4A0F"/>
    <w:rsid w:val="009B4AD7"/>
    <w:rsid w:val="009B6DBD"/>
    <w:rsid w:val="009C11D2"/>
    <w:rsid w:val="009C2157"/>
    <w:rsid w:val="009C6595"/>
    <w:rsid w:val="009C6C70"/>
    <w:rsid w:val="009C7B0A"/>
    <w:rsid w:val="009D0B63"/>
    <w:rsid w:val="009D5CB8"/>
    <w:rsid w:val="009D5EC9"/>
    <w:rsid w:val="009E1460"/>
    <w:rsid w:val="009E286B"/>
    <w:rsid w:val="009E307E"/>
    <w:rsid w:val="009E40F6"/>
    <w:rsid w:val="009E6C64"/>
    <w:rsid w:val="009E7DE9"/>
    <w:rsid w:val="009F206A"/>
    <w:rsid w:val="009F5964"/>
    <w:rsid w:val="00A07870"/>
    <w:rsid w:val="00A07C54"/>
    <w:rsid w:val="00A07F19"/>
    <w:rsid w:val="00A109BC"/>
    <w:rsid w:val="00A10ABB"/>
    <w:rsid w:val="00A1348D"/>
    <w:rsid w:val="00A13C99"/>
    <w:rsid w:val="00A20821"/>
    <w:rsid w:val="00A219F7"/>
    <w:rsid w:val="00A220E7"/>
    <w:rsid w:val="00A232EE"/>
    <w:rsid w:val="00A279A1"/>
    <w:rsid w:val="00A30645"/>
    <w:rsid w:val="00A32AA8"/>
    <w:rsid w:val="00A37C54"/>
    <w:rsid w:val="00A40A33"/>
    <w:rsid w:val="00A4175F"/>
    <w:rsid w:val="00A44411"/>
    <w:rsid w:val="00A464F0"/>
    <w:rsid w:val="00A46724"/>
    <w:rsid w:val="00A469FA"/>
    <w:rsid w:val="00A50C65"/>
    <w:rsid w:val="00A51A7B"/>
    <w:rsid w:val="00A53662"/>
    <w:rsid w:val="00A55B01"/>
    <w:rsid w:val="00A56B5B"/>
    <w:rsid w:val="00A603FF"/>
    <w:rsid w:val="00A60A4D"/>
    <w:rsid w:val="00A60DC8"/>
    <w:rsid w:val="00A619B6"/>
    <w:rsid w:val="00A62D25"/>
    <w:rsid w:val="00A63B11"/>
    <w:rsid w:val="00A648CA"/>
    <w:rsid w:val="00A657DD"/>
    <w:rsid w:val="00A666A6"/>
    <w:rsid w:val="00A675FD"/>
    <w:rsid w:val="00A72437"/>
    <w:rsid w:val="00A8048B"/>
    <w:rsid w:val="00A80611"/>
    <w:rsid w:val="00A81DD4"/>
    <w:rsid w:val="00A8341E"/>
    <w:rsid w:val="00A84118"/>
    <w:rsid w:val="00A845B6"/>
    <w:rsid w:val="00A85732"/>
    <w:rsid w:val="00A9773E"/>
    <w:rsid w:val="00AA139A"/>
    <w:rsid w:val="00AA1691"/>
    <w:rsid w:val="00AA5BF4"/>
    <w:rsid w:val="00AB0E9F"/>
    <w:rsid w:val="00AB1AFF"/>
    <w:rsid w:val="00AB5340"/>
    <w:rsid w:val="00AB729D"/>
    <w:rsid w:val="00AC0A89"/>
    <w:rsid w:val="00AC37CE"/>
    <w:rsid w:val="00AC3D2A"/>
    <w:rsid w:val="00AC7C96"/>
    <w:rsid w:val="00AD3593"/>
    <w:rsid w:val="00AD730C"/>
    <w:rsid w:val="00AE0812"/>
    <w:rsid w:val="00AE237D"/>
    <w:rsid w:val="00AE502A"/>
    <w:rsid w:val="00AE7849"/>
    <w:rsid w:val="00AF0010"/>
    <w:rsid w:val="00AF1AA8"/>
    <w:rsid w:val="00AF2C1F"/>
    <w:rsid w:val="00AF7C07"/>
    <w:rsid w:val="00B045B8"/>
    <w:rsid w:val="00B06C64"/>
    <w:rsid w:val="00B076F2"/>
    <w:rsid w:val="00B07D8E"/>
    <w:rsid w:val="00B11CAC"/>
    <w:rsid w:val="00B153C1"/>
    <w:rsid w:val="00B15A29"/>
    <w:rsid w:val="00B15AD6"/>
    <w:rsid w:val="00B22C93"/>
    <w:rsid w:val="00B24F2A"/>
    <w:rsid w:val="00B259B2"/>
    <w:rsid w:val="00B27589"/>
    <w:rsid w:val="00B333BA"/>
    <w:rsid w:val="00B405B7"/>
    <w:rsid w:val="00B468C0"/>
    <w:rsid w:val="00B52222"/>
    <w:rsid w:val="00B531DA"/>
    <w:rsid w:val="00B54895"/>
    <w:rsid w:val="00B54FE7"/>
    <w:rsid w:val="00B5526D"/>
    <w:rsid w:val="00B56125"/>
    <w:rsid w:val="00B647C6"/>
    <w:rsid w:val="00B64DAD"/>
    <w:rsid w:val="00B655F9"/>
    <w:rsid w:val="00B66266"/>
    <w:rsid w:val="00B66901"/>
    <w:rsid w:val="00B66F60"/>
    <w:rsid w:val="00B6796F"/>
    <w:rsid w:val="00B71E6D"/>
    <w:rsid w:val="00B72070"/>
    <w:rsid w:val="00B73405"/>
    <w:rsid w:val="00B779E1"/>
    <w:rsid w:val="00B80976"/>
    <w:rsid w:val="00B81E3A"/>
    <w:rsid w:val="00B826A8"/>
    <w:rsid w:val="00B84F2C"/>
    <w:rsid w:val="00B85CFB"/>
    <w:rsid w:val="00B914E9"/>
    <w:rsid w:val="00B91DCA"/>
    <w:rsid w:val="00B91EE1"/>
    <w:rsid w:val="00B94602"/>
    <w:rsid w:val="00B94787"/>
    <w:rsid w:val="00B97A2E"/>
    <w:rsid w:val="00BA0090"/>
    <w:rsid w:val="00BA1A67"/>
    <w:rsid w:val="00BA6A80"/>
    <w:rsid w:val="00BA7D3A"/>
    <w:rsid w:val="00BB2FBC"/>
    <w:rsid w:val="00BB3F90"/>
    <w:rsid w:val="00BB4998"/>
    <w:rsid w:val="00BB4ABB"/>
    <w:rsid w:val="00BC45DC"/>
    <w:rsid w:val="00BC62BA"/>
    <w:rsid w:val="00BD091C"/>
    <w:rsid w:val="00BD5573"/>
    <w:rsid w:val="00BE2E9A"/>
    <w:rsid w:val="00BE2F41"/>
    <w:rsid w:val="00BE5B5F"/>
    <w:rsid w:val="00BE7993"/>
    <w:rsid w:val="00BF2760"/>
    <w:rsid w:val="00BF2DE6"/>
    <w:rsid w:val="00C0032B"/>
    <w:rsid w:val="00C0509E"/>
    <w:rsid w:val="00C055B1"/>
    <w:rsid w:val="00C11971"/>
    <w:rsid w:val="00C179DE"/>
    <w:rsid w:val="00C2189F"/>
    <w:rsid w:val="00C264CB"/>
    <w:rsid w:val="00C26F55"/>
    <w:rsid w:val="00C27140"/>
    <w:rsid w:val="00C27FF6"/>
    <w:rsid w:val="00C30C63"/>
    <w:rsid w:val="00C30FF3"/>
    <w:rsid w:val="00C312F9"/>
    <w:rsid w:val="00C31724"/>
    <w:rsid w:val="00C32A29"/>
    <w:rsid w:val="00C34D5C"/>
    <w:rsid w:val="00C36B8B"/>
    <w:rsid w:val="00C415C1"/>
    <w:rsid w:val="00C442F7"/>
    <w:rsid w:val="00C47DBF"/>
    <w:rsid w:val="00C50F7F"/>
    <w:rsid w:val="00C54468"/>
    <w:rsid w:val="00C54908"/>
    <w:rsid w:val="00C552FF"/>
    <w:rsid w:val="00C558DA"/>
    <w:rsid w:val="00C55AF3"/>
    <w:rsid w:val="00C55FA4"/>
    <w:rsid w:val="00C56263"/>
    <w:rsid w:val="00C606D5"/>
    <w:rsid w:val="00C61E46"/>
    <w:rsid w:val="00C667D0"/>
    <w:rsid w:val="00C70202"/>
    <w:rsid w:val="00C745B8"/>
    <w:rsid w:val="00C756E5"/>
    <w:rsid w:val="00C771A9"/>
    <w:rsid w:val="00C77439"/>
    <w:rsid w:val="00C82943"/>
    <w:rsid w:val="00C83A61"/>
    <w:rsid w:val="00C84329"/>
    <w:rsid w:val="00C84759"/>
    <w:rsid w:val="00C86F5A"/>
    <w:rsid w:val="00C9267D"/>
    <w:rsid w:val="00C93096"/>
    <w:rsid w:val="00C96761"/>
    <w:rsid w:val="00CA2BBE"/>
    <w:rsid w:val="00CA5CA9"/>
    <w:rsid w:val="00CA6C7F"/>
    <w:rsid w:val="00CA781C"/>
    <w:rsid w:val="00CB007D"/>
    <w:rsid w:val="00CB1A4C"/>
    <w:rsid w:val="00CB2D8F"/>
    <w:rsid w:val="00CB30C3"/>
    <w:rsid w:val="00CB366E"/>
    <w:rsid w:val="00CB44AC"/>
    <w:rsid w:val="00CB60CA"/>
    <w:rsid w:val="00CC0FC7"/>
    <w:rsid w:val="00CC10A6"/>
    <w:rsid w:val="00CD286F"/>
    <w:rsid w:val="00CD48B7"/>
    <w:rsid w:val="00CD5EB8"/>
    <w:rsid w:val="00CD7044"/>
    <w:rsid w:val="00CE08B9"/>
    <w:rsid w:val="00CE1BBA"/>
    <w:rsid w:val="00CE1BED"/>
    <w:rsid w:val="00CE3515"/>
    <w:rsid w:val="00CE4D8E"/>
    <w:rsid w:val="00CE4E08"/>
    <w:rsid w:val="00CE524C"/>
    <w:rsid w:val="00CF141F"/>
    <w:rsid w:val="00CF1C83"/>
    <w:rsid w:val="00CF26AC"/>
    <w:rsid w:val="00CF4777"/>
    <w:rsid w:val="00CF65C8"/>
    <w:rsid w:val="00D013F5"/>
    <w:rsid w:val="00D05E3F"/>
    <w:rsid w:val="00D067BB"/>
    <w:rsid w:val="00D113E2"/>
    <w:rsid w:val="00D1352A"/>
    <w:rsid w:val="00D1638E"/>
    <w:rsid w:val="00D169AF"/>
    <w:rsid w:val="00D17A26"/>
    <w:rsid w:val="00D200EF"/>
    <w:rsid w:val="00D25175"/>
    <w:rsid w:val="00D25249"/>
    <w:rsid w:val="00D26854"/>
    <w:rsid w:val="00D26A6A"/>
    <w:rsid w:val="00D30601"/>
    <w:rsid w:val="00D319AD"/>
    <w:rsid w:val="00D324EE"/>
    <w:rsid w:val="00D32F37"/>
    <w:rsid w:val="00D37CDE"/>
    <w:rsid w:val="00D44172"/>
    <w:rsid w:val="00D47BE3"/>
    <w:rsid w:val="00D52C39"/>
    <w:rsid w:val="00D63B8C"/>
    <w:rsid w:val="00D70C63"/>
    <w:rsid w:val="00D739CC"/>
    <w:rsid w:val="00D73ED6"/>
    <w:rsid w:val="00D7583F"/>
    <w:rsid w:val="00D75ED1"/>
    <w:rsid w:val="00D76205"/>
    <w:rsid w:val="00D778B5"/>
    <w:rsid w:val="00D77FE8"/>
    <w:rsid w:val="00D806F9"/>
    <w:rsid w:val="00D8093D"/>
    <w:rsid w:val="00D80EEF"/>
    <w:rsid w:val="00D8108C"/>
    <w:rsid w:val="00D82014"/>
    <w:rsid w:val="00D842AE"/>
    <w:rsid w:val="00D8536F"/>
    <w:rsid w:val="00D86FCB"/>
    <w:rsid w:val="00D87691"/>
    <w:rsid w:val="00D9211C"/>
    <w:rsid w:val="00D92DE0"/>
    <w:rsid w:val="00D92FEF"/>
    <w:rsid w:val="00D931F9"/>
    <w:rsid w:val="00D93A0F"/>
    <w:rsid w:val="00D9494F"/>
    <w:rsid w:val="00D954FE"/>
    <w:rsid w:val="00DA18AF"/>
    <w:rsid w:val="00DA1BCA"/>
    <w:rsid w:val="00DA3663"/>
    <w:rsid w:val="00DA53AE"/>
    <w:rsid w:val="00DA57B2"/>
    <w:rsid w:val="00DB24F4"/>
    <w:rsid w:val="00DB264B"/>
    <w:rsid w:val="00DB295A"/>
    <w:rsid w:val="00DB56BA"/>
    <w:rsid w:val="00DB78B4"/>
    <w:rsid w:val="00DC274A"/>
    <w:rsid w:val="00DC46FF"/>
    <w:rsid w:val="00DC5254"/>
    <w:rsid w:val="00DC569D"/>
    <w:rsid w:val="00DC5FD5"/>
    <w:rsid w:val="00DD1A4F"/>
    <w:rsid w:val="00DD1BBF"/>
    <w:rsid w:val="00DD1CF9"/>
    <w:rsid w:val="00DD21F8"/>
    <w:rsid w:val="00DD2287"/>
    <w:rsid w:val="00DD3107"/>
    <w:rsid w:val="00DD4C70"/>
    <w:rsid w:val="00DD7C2C"/>
    <w:rsid w:val="00DE1A2D"/>
    <w:rsid w:val="00DE5BDA"/>
    <w:rsid w:val="00DE5C2A"/>
    <w:rsid w:val="00DF433C"/>
    <w:rsid w:val="00DF519F"/>
    <w:rsid w:val="00E0035A"/>
    <w:rsid w:val="00E023A9"/>
    <w:rsid w:val="00E02C5C"/>
    <w:rsid w:val="00E06797"/>
    <w:rsid w:val="00E1265B"/>
    <w:rsid w:val="00E12E09"/>
    <w:rsid w:val="00E13B48"/>
    <w:rsid w:val="00E1404F"/>
    <w:rsid w:val="00E21C83"/>
    <w:rsid w:val="00E24ADA"/>
    <w:rsid w:val="00E32F59"/>
    <w:rsid w:val="00E33F86"/>
    <w:rsid w:val="00E406DE"/>
    <w:rsid w:val="00E41908"/>
    <w:rsid w:val="00E41E77"/>
    <w:rsid w:val="00E426E5"/>
    <w:rsid w:val="00E42890"/>
    <w:rsid w:val="00E46D9A"/>
    <w:rsid w:val="00E54A8D"/>
    <w:rsid w:val="00E565FF"/>
    <w:rsid w:val="00E5693F"/>
    <w:rsid w:val="00E56D12"/>
    <w:rsid w:val="00E60DF9"/>
    <w:rsid w:val="00E65388"/>
    <w:rsid w:val="00E70089"/>
    <w:rsid w:val="00E770B8"/>
    <w:rsid w:val="00E7741D"/>
    <w:rsid w:val="00E808CD"/>
    <w:rsid w:val="00E8302A"/>
    <w:rsid w:val="00E83408"/>
    <w:rsid w:val="00E8348F"/>
    <w:rsid w:val="00E84700"/>
    <w:rsid w:val="00E85B7D"/>
    <w:rsid w:val="00E9121B"/>
    <w:rsid w:val="00E9302E"/>
    <w:rsid w:val="00E976AB"/>
    <w:rsid w:val="00EA0737"/>
    <w:rsid w:val="00EA0AE2"/>
    <w:rsid w:val="00EA1247"/>
    <w:rsid w:val="00EA39E5"/>
    <w:rsid w:val="00EA549D"/>
    <w:rsid w:val="00EA57A3"/>
    <w:rsid w:val="00EB4597"/>
    <w:rsid w:val="00EC2813"/>
    <w:rsid w:val="00EC5A46"/>
    <w:rsid w:val="00EC63E2"/>
    <w:rsid w:val="00EC693E"/>
    <w:rsid w:val="00EC6EB1"/>
    <w:rsid w:val="00ED0225"/>
    <w:rsid w:val="00ED0D3B"/>
    <w:rsid w:val="00ED325C"/>
    <w:rsid w:val="00ED366A"/>
    <w:rsid w:val="00ED69D4"/>
    <w:rsid w:val="00ED6BB7"/>
    <w:rsid w:val="00EE0FBF"/>
    <w:rsid w:val="00EE2807"/>
    <w:rsid w:val="00EE3A9B"/>
    <w:rsid w:val="00EF0D79"/>
    <w:rsid w:val="00EF22B3"/>
    <w:rsid w:val="00EF2806"/>
    <w:rsid w:val="00EF4140"/>
    <w:rsid w:val="00EF5108"/>
    <w:rsid w:val="00EF58E4"/>
    <w:rsid w:val="00EF74FB"/>
    <w:rsid w:val="00F03B69"/>
    <w:rsid w:val="00F04D08"/>
    <w:rsid w:val="00F058FB"/>
    <w:rsid w:val="00F07A50"/>
    <w:rsid w:val="00F07CD9"/>
    <w:rsid w:val="00F103CF"/>
    <w:rsid w:val="00F113DA"/>
    <w:rsid w:val="00F12C7E"/>
    <w:rsid w:val="00F24167"/>
    <w:rsid w:val="00F261D2"/>
    <w:rsid w:val="00F266FC"/>
    <w:rsid w:val="00F3037A"/>
    <w:rsid w:val="00F33009"/>
    <w:rsid w:val="00F3465A"/>
    <w:rsid w:val="00F35F13"/>
    <w:rsid w:val="00F37DC8"/>
    <w:rsid w:val="00F439B3"/>
    <w:rsid w:val="00F47787"/>
    <w:rsid w:val="00F5283D"/>
    <w:rsid w:val="00F5529A"/>
    <w:rsid w:val="00F56D86"/>
    <w:rsid w:val="00F57169"/>
    <w:rsid w:val="00F6061C"/>
    <w:rsid w:val="00F61AB4"/>
    <w:rsid w:val="00F623C9"/>
    <w:rsid w:val="00F650C3"/>
    <w:rsid w:val="00F65D85"/>
    <w:rsid w:val="00F6700B"/>
    <w:rsid w:val="00F6760B"/>
    <w:rsid w:val="00F707A6"/>
    <w:rsid w:val="00F7137B"/>
    <w:rsid w:val="00F73346"/>
    <w:rsid w:val="00F8091E"/>
    <w:rsid w:val="00F811D5"/>
    <w:rsid w:val="00F8431A"/>
    <w:rsid w:val="00F84AFE"/>
    <w:rsid w:val="00F8615C"/>
    <w:rsid w:val="00F87347"/>
    <w:rsid w:val="00F93C0E"/>
    <w:rsid w:val="00F94980"/>
    <w:rsid w:val="00F95196"/>
    <w:rsid w:val="00F969E5"/>
    <w:rsid w:val="00FA4972"/>
    <w:rsid w:val="00FA6BB0"/>
    <w:rsid w:val="00FA7C24"/>
    <w:rsid w:val="00FB2DBD"/>
    <w:rsid w:val="00FC65A0"/>
    <w:rsid w:val="00FD1CDA"/>
    <w:rsid w:val="00FD3B90"/>
    <w:rsid w:val="00FD48DF"/>
    <w:rsid w:val="00FD5860"/>
    <w:rsid w:val="00FD6376"/>
    <w:rsid w:val="00FE20B2"/>
    <w:rsid w:val="00FE352D"/>
    <w:rsid w:val="00FE40EB"/>
    <w:rsid w:val="00FE4D02"/>
    <w:rsid w:val="00FE7D62"/>
    <w:rsid w:val="00FF0DA0"/>
    <w:rsid w:val="00FF211F"/>
    <w:rsid w:val="00FF3819"/>
    <w:rsid w:val="00FF62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0B29EB8"/>
  <w15:docId w15:val="{B9B98794-E673-4E0D-8E8B-361EA266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E4E"/>
    <w:pPr>
      <w:tabs>
        <w:tab w:val="left" w:pos="1247"/>
        <w:tab w:val="left" w:pos="1814"/>
        <w:tab w:val="left" w:pos="2381"/>
        <w:tab w:val="left" w:pos="2948"/>
        <w:tab w:val="left" w:pos="3515"/>
      </w:tabs>
    </w:pPr>
    <w:rPr>
      <w:noProof/>
      <w:lang w:val="es-ES_tradnl"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CEC Footnote Reference"/>
    <w:uiPriority w:val="99"/>
    <w:qFormat/>
    <w:rsid w:val="000D6941"/>
    <w:rPr>
      <w:rFonts w:ascii="Times New Roman" w:hAnsi="Times New Roman"/>
      <w:color w:val="auto"/>
      <w:sz w:val="20"/>
      <w:szCs w:val="18"/>
      <w:vertAlign w:val="superscript"/>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pool"/>
    <w:link w:val="FootnoteTextChar"/>
    <w:uiPriority w:val="99"/>
    <w:rsid w:val="000D6941"/>
    <w:pPr>
      <w:spacing w:before="20" w:after="40"/>
      <w:ind w:left="1247"/>
    </w:pPr>
    <w:rPr>
      <w:sz w:val="18"/>
    </w:rPr>
  </w:style>
  <w:style w:type="character" w:styleId="CommentReference">
    <w:name w:val="annotation reference"/>
    <w:uiPriority w:val="99"/>
    <w:rsid w:val="003929B8"/>
    <w:rPr>
      <w:sz w:val="16"/>
      <w:szCs w:val="16"/>
    </w:rPr>
  </w:style>
  <w:style w:type="paragraph" w:styleId="CommentText">
    <w:name w:val="annotation text"/>
    <w:basedOn w:val="Normal"/>
    <w:link w:val="CommentTextChar"/>
    <w:uiPriority w:val="99"/>
    <w:rsid w:val="003929B8"/>
  </w:style>
  <w:style w:type="character" w:customStyle="1" w:styleId="CommentTextChar">
    <w:name w:val="Comment Text Char"/>
    <w:link w:val="CommentText"/>
    <w:uiPriority w:val="99"/>
    <w:rsid w:val="003929B8"/>
    <w:rPr>
      <w:lang w:eastAsia="en-US"/>
    </w:rPr>
  </w:style>
  <w:style w:type="paragraph" w:styleId="CommentSubject">
    <w:name w:val="annotation subject"/>
    <w:basedOn w:val="CommentText"/>
    <w:next w:val="CommentText"/>
    <w:link w:val="CommentSubjectChar"/>
    <w:rsid w:val="003929B8"/>
    <w:rPr>
      <w:b/>
      <w:bCs/>
    </w:rPr>
  </w:style>
  <w:style w:type="character" w:customStyle="1" w:styleId="CommentSubjectChar">
    <w:name w:val="Comment Subject Char"/>
    <w:link w:val="CommentSubject"/>
    <w:rsid w:val="003929B8"/>
    <w:rPr>
      <w:b/>
      <w:bCs/>
      <w:lang w:eastAsia="en-US"/>
    </w:rPr>
  </w:style>
  <w:style w:type="paragraph" w:styleId="BalloonText">
    <w:name w:val="Balloon Text"/>
    <w:basedOn w:val="Normal"/>
    <w:link w:val="BalloonTextChar"/>
    <w:rsid w:val="003929B8"/>
    <w:rPr>
      <w:rFonts w:ascii="Tahoma" w:hAnsi="Tahoma" w:cs="Tahoma"/>
      <w:sz w:val="16"/>
      <w:szCs w:val="16"/>
    </w:rPr>
  </w:style>
  <w:style w:type="character" w:customStyle="1" w:styleId="BalloonTextChar">
    <w:name w:val="Balloon Text Char"/>
    <w:link w:val="BalloonText"/>
    <w:rsid w:val="003929B8"/>
    <w:rPr>
      <w:rFonts w:ascii="Tahoma" w:hAnsi="Tahoma" w:cs="Tahoma"/>
      <w:sz w:val="16"/>
      <w:szCs w:val="16"/>
      <w:lang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locked/>
    <w:rsid w:val="0014293F"/>
    <w:rPr>
      <w:sz w:val="18"/>
      <w:lang w:val="fr-FR" w:eastAsia="en-US"/>
    </w:rPr>
  </w:style>
  <w:style w:type="table" w:styleId="TableGrid">
    <w:name w:val="Table Grid"/>
    <w:basedOn w:val="TableNormal"/>
    <w:rsid w:val="00E9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4F9"/>
    <w:pPr>
      <w:ind w:left="720"/>
    </w:p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6B47CE"/>
    <w:pPr>
      <w:tabs>
        <w:tab w:val="clear" w:pos="1247"/>
        <w:tab w:val="clear" w:pos="1814"/>
        <w:tab w:val="clear" w:pos="2381"/>
        <w:tab w:val="clear" w:pos="2948"/>
        <w:tab w:val="clear" w:pos="3515"/>
        <w:tab w:val="clear" w:pos="4082"/>
        <w:tab w:val="left" w:pos="624"/>
      </w:tabs>
      <w:spacing w:before="60"/>
      <w:ind w:right="4536"/>
    </w:pPr>
  </w:style>
  <w:style w:type="paragraph" w:customStyle="1" w:styleId="BBTitle">
    <w:name w:val="BB_Title"/>
    <w:basedOn w:val="Normalpool"/>
    <w:link w:val="BBTitleChar"/>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1"/>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53705A"/>
    <w:pPr>
      <w:numPr>
        <w:numId w:val="4"/>
      </w:numPr>
      <w:tabs>
        <w:tab w:val="clear" w:pos="1247"/>
        <w:tab w:val="clear" w:pos="1701"/>
        <w:tab w:val="clear" w:pos="1814"/>
        <w:tab w:val="clear" w:pos="2381"/>
        <w:tab w:val="clear" w:pos="2948"/>
        <w:tab w:val="clear" w:pos="3515"/>
        <w:tab w:val="clear" w:pos="4082"/>
        <w:tab w:val="left" w:pos="624"/>
      </w:tabs>
      <w:spacing w:after="120"/>
      <w:ind w:left="1247"/>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link w:val="ZZAnxtitleChar"/>
    <w:rsid w:val="00160D74"/>
    <w:pPr>
      <w:spacing w:before="360" w:after="120"/>
      <w:ind w:left="1247"/>
    </w:pPr>
    <w:rPr>
      <w:b/>
      <w:bCs/>
      <w:sz w:val="28"/>
      <w:szCs w:val="26"/>
      <w:lang w:val="en-GB"/>
    </w:rPr>
  </w:style>
  <w:style w:type="paragraph" w:styleId="Revision">
    <w:name w:val="Revision"/>
    <w:hidden/>
    <w:uiPriority w:val="99"/>
    <w:semiHidden/>
    <w:rsid w:val="00D806F9"/>
    <w:rPr>
      <w:lang w:eastAsia="en-US"/>
    </w:rPr>
  </w:style>
  <w:style w:type="character" w:styleId="Emphasis">
    <w:name w:val="Emphasis"/>
    <w:basedOn w:val="DefaultParagraphFont"/>
    <w:qFormat/>
    <w:rsid w:val="00155A2F"/>
    <w:rPr>
      <w:i/>
      <w:iCs/>
    </w:rPr>
  </w:style>
  <w:style w:type="character" w:customStyle="1" w:styleId="BBTitleChar">
    <w:name w:val="BB_Title Char"/>
    <w:link w:val="BBTitle"/>
    <w:rsid w:val="000C65B1"/>
    <w:rPr>
      <w:b/>
      <w:sz w:val="28"/>
      <w:szCs w:val="28"/>
      <w:lang w:eastAsia="en-US"/>
    </w:rPr>
  </w:style>
  <w:style w:type="character" w:customStyle="1" w:styleId="CH2Char">
    <w:name w:val="CH2 Char"/>
    <w:link w:val="CH2"/>
    <w:locked/>
    <w:rsid w:val="000C65B1"/>
    <w:rPr>
      <w:b/>
      <w:sz w:val="24"/>
      <w:szCs w:val="24"/>
      <w:lang w:eastAsia="en-US"/>
    </w:rPr>
  </w:style>
  <w:style w:type="character" w:customStyle="1" w:styleId="Normal-poolChar">
    <w:name w:val="Normal-pool Char"/>
    <w:link w:val="Normal-pool"/>
    <w:rsid w:val="000C65B1"/>
    <w:rPr>
      <w:lang w:eastAsia="en-US"/>
    </w:rPr>
  </w:style>
  <w:style w:type="character" w:customStyle="1" w:styleId="NormalnumberChar">
    <w:name w:val="Normal_number Char"/>
    <w:link w:val="Normalnumber"/>
    <w:locked/>
    <w:rsid w:val="0053705A"/>
    <w:rPr>
      <w:lang w:eastAsia="en-US"/>
    </w:rPr>
  </w:style>
  <w:style w:type="character" w:customStyle="1" w:styleId="FooterChar">
    <w:name w:val="Footer Char"/>
    <w:basedOn w:val="DefaultParagraphFont"/>
    <w:link w:val="Footer"/>
    <w:uiPriority w:val="99"/>
    <w:rsid w:val="000C65B1"/>
    <w:rPr>
      <w:sz w:val="18"/>
      <w:lang w:eastAsia="en-US"/>
    </w:rPr>
  </w:style>
  <w:style w:type="paragraph" w:styleId="Title">
    <w:name w:val="Title"/>
    <w:basedOn w:val="Normal"/>
    <w:link w:val="TitleChar"/>
    <w:autoRedefine/>
    <w:qFormat/>
    <w:rsid w:val="000C65B1"/>
    <w:pPr>
      <w:tabs>
        <w:tab w:val="clear" w:pos="1247"/>
        <w:tab w:val="clear" w:pos="1814"/>
        <w:tab w:val="clear" w:pos="2381"/>
        <w:tab w:val="clear" w:pos="2948"/>
        <w:tab w:val="clear" w:pos="3515"/>
      </w:tabs>
      <w:spacing w:before="360" w:after="240"/>
      <w:ind w:left="1247" w:right="567"/>
      <w:outlineLvl w:val="0"/>
    </w:pPr>
    <w:rPr>
      <w:rFonts w:eastAsia="Yu Mincho"/>
      <w:b/>
      <w:bCs/>
      <w:kern w:val="28"/>
      <w:sz w:val="28"/>
      <w:szCs w:val="28"/>
      <w:lang w:val="en-US"/>
    </w:rPr>
  </w:style>
  <w:style w:type="character" w:customStyle="1" w:styleId="TitleChar">
    <w:name w:val="Title Char"/>
    <w:basedOn w:val="DefaultParagraphFont"/>
    <w:link w:val="Title"/>
    <w:rsid w:val="000C65B1"/>
    <w:rPr>
      <w:rFonts w:eastAsia="Yu Mincho"/>
      <w:b/>
      <w:bCs/>
      <w:kern w:val="28"/>
      <w:sz w:val="28"/>
      <w:szCs w:val="28"/>
      <w:lang w:val="en-US" w:eastAsia="en-US"/>
    </w:rPr>
  </w:style>
  <w:style w:type="character" w:customStyle="1" w:styleId="HeaderChar">
    <w:name w:val="Header Char"/>
    <w:link w:val="Header"/>
    <w:semiHidden/>
    <w:rsid w:val="000C65B1"/>
    <w:rPr>
      <w:b/>
      <w:sz w:val="18"/>
      <w:lang w:eastAsia="en-US"/>
    </w:rPr>
  </w:style>
  <w:style w:type="character" w:customStyle="1" w:styleId="ZZAnxtitleChar">
    <w:name w:val="ZZ_Anx_title Char"/>
    <w:link w:val="ZZAnxtitle"/>
    <w:rsid w:val="009E40F6"/>
    <w:rPr>
      <w:b/>
      <w:bCs/>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0044809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14721487">
      <w:bodyDiv w:val="1"/>
      <w:marLeft w:val="0"/>
      <w:marRight w:val="0"/>
      <w:marTop w:val="0"/>
      <w:marBottom w:val="0"/>
      <w:divBdr>
        <w:top w:val="none" w:sz="0" w:space="0" w:color="auto"/>
        <w:left w:val="none" w:sz="0" w:space="0" w:color="auto"/>
        <w:bottom w:val="none" w:sz="0" w:space="0" w:color="auto"/>
        <w:right w:val="none" w:sz="0" w:space="0" w:color="auto"/>
      </w:divBdr>
    </w:div>
    <w:div w:id="1805348543">
      <w:bodyDiv w:val="1"/>
      <w:marLeft w:val="0"/>
      <w:marRight w:val="0"/>
      <w:marTop w:val="0"/>
      <w:marBottom w:val="0"/>
      <w:divBdr>
        <w:top w:val="none" w:sz="0" w:space="0" w:color="auto"/>
        <w:left w:val="none" w:sz="0" w:space="0" w:color="auto"/>
        <w:bottom w:val="none" w:sz="0" w:space="0" w:color="auto"/>
        <w:right w:val="none" w:sz="0" w:space="0" w:color="auto"/>
      </w:divBdr>
    </w:div>
    <w:div w:id="18492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1454BBBC1CDE42AB175907F3F7B4C8" ma:contentTypeVersion="11" ma:contentTypeDescription="Create a new document." ma:contentTypeScope="" ma:versionID="0992cbdc4f5bbcb8e361be6395f03726">
  <xsd:schema xmlns:xsd="http://www.w3.org/2001/XMLSchema" xmlns:xs="http://www.w3.org/2001/XMLSchema" xmlns:p="http://schemas.microsoft.com/office/2006/metadata/properties" xmlns:ns3="d18b2cca-499f-4557-a4e9-65dcf311f482" xmlns:ns4="f500b1e4-de7e-4e77-a903-0925b28ae6a4" targetNamespace="http://schemas.microsoft.com/office/2006/metadata/properties" ma:root="true" ma:fieldsID="d6551fd0daded6097ec55b1000056b70" ns3:_="" ns4:_="">
    <xsd:import namespace="d18b2cca-499f-4557-a4e9-65dcf311f482"/>
    <xsd:import namespace="f500b1e4-de7e-4e77-a903-0925b28ae6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b2cca-499f-4557-a4e9-65dcf311f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0b1e4-de7e-4e77-a903-0925b28ae6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6B1F-C025-4DAE-B79E-B61610E81FCF}">
  <ds:schemaRefs>
    <ds:schemaRef ds:uri="http://schemas.microsoft.com/sharepoint/v3/contenttype/forms"/>
  </ds:schemaRefs>
</ds:datastoreItem>
</file>

<file path=customXml/itemProps2.xml><?xml version="1.0" encoding="utf-8"?>
<ds:datastoreItem xmlns:ds="http://schemas.openxmlformats.org/officeDocument/2006/customXml" ds:itemID="{BC5903A9-F43E-4D6F-9E1E-2F433C0A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b2cca-499f-4557-a4e9-65dcf311f482"/>
    <ds:schemaRef ds:uri="f500b1e4-de7e-4e77-a903-0925b28a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91DE0-A345-4C62-92CC-1FA24361D5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70B29F-2277-4E35-9BDA-083BDD64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2483</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Cynthia Mwanza</dc:creator>
  <cp:keywords/>
  <dc:description/>
  <cp:lastModifiedBy>Jimena Vallejo Montes</cp:lastModifiedBy>
  <cp:revision>2</cp:revision>
  <cp:lastPrinted>2018-10-09T13:09:00Z</cp:lastPrinted>
  <dcterms:created xsi:type="dcterms:W3CDTF">2019-09-18T13:50:00Z</dcterms:created>
  <dcterms:modified xsi:type="dcterms:W3CDTF">2019-09-18T13:50:00Z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0x0101009B1454BBBC1CDE42AB175907F3F7B4C8</vt:lpwstr>
  </property>
  <property fmtid="{D5CDD505-2E9C-101B-9397-08002B2CF9AE}" pid="3" name="TranslatedWith">
    <vt:lpwstr>Mercury</vt:lpwstr>
  </property>
  <property fmtid="{D5CDD505-2E9C-101B-9397-08002B2CF9AE}" pid="4" name="GeneratedBy">
    <vt:lpwstr>vicente.ubeda fernandez</vt:lpwstr>
  </property>
  <property fmtid="{D5CDD505-2E9C-101B-9397-08002B2CF9AE}" pid="5" name="GeneratedDate">
    <vt:lpwstr>9/16/2019 11:37:43 AM</vt:lpwstr>
  </property>
  <property fmtid="{D5CDD505-2E9C-101B-9397-08002B2CF9AE}" pid="6" name="OriginalDocID">
    <vt:lpwstr>d17183d5-2add-46b5-a303-dd6f5bd69255</vt:lpwstr>
  </property>
</Properties>
</file>