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1518"/>
        <w:gridCol w:w="4643"/>
        <w:gridCol w:w="3335"/>
      </w:tblGrid>
      <w:tr w:rsidR="00032E4E" w:rsidRPr="008D77D5" w14:paraId="62560B0E" w14:textId="77777777" w:rsidTr="00AF2834">
        <w:trPr>
          <w:cantSplit/>
          <w:trHeight w:val="850"/>
          <w:jc w:val="right"/>
        </w:trPr>
        <w:tc>
          <w:tcPr>
            <w:tcW w:w="1518" w:type="dxa"/>
          </w:tcPr>
          <w:p w14:paraId="47D5A83D" w14:textId="6124A6F0" w:rsidR="00032E4E" w:rsidRPr="008D77D5" w:rsidRDefault="00032E4E" w:rsidP="006B47CE">
            <w:pPr>
              <w:pStyle w:val="Normal-pool"/>
              <w:rPr>
                <w:rFonts w:ascii="Arial" w:hAnsi="Arial" w:cs="Arial"/>
                <w:b/>
                <w:noProof/>
                <w:sz w:val="27"/>
                <w:szCs w:val="27"/>
                <w:lang w:val="fr-FR"/>
              </w:rPr>
            </w:pPr>
            <w:r w:rsidRPr="008D77D5">
              <w:rPr>
                <w:rFonts w:ascii="Arial" w:hAnsi="Arial" w:cs="Arial"/>
                <w:b/>
                <w:noProof/>
                <w:sz w:val="27"/>
                <w:szCs w:val="27"/>
                <w:lang w:val="fr-FR"/>
              </w:rPr>
              <w:t>NATIONS</w:t>
            </w:r>
            <w:r w:rsidR="00B311D1" w:rsidRPr="008D77D5">
              <w:rPr>
                <w:rFonts w:ascii="Arial" w:hAnsi="Arial" w:cs="Arial"/>
                <w:b/>
                <w:noProof/>
                <w:sz w:val="27"/>
                <w:szCs w:val="27"/>
                <w:lang w:val="fr-FR"/>
              </w:rPr>
              <w:br/>
              <w:t>UNIES</w:t>
            </w:r>
          </w:p>
        </w:tc>
        <w:tc>
          <w:tcPr>
            <w:tcW w:w="4643" w:type="dxa"/>
          </w:tcPr>
          <w:p w14:paraId="6AA3FAE8" w14:textId="77777777" w:rsidR="00032E4E" w:rsidRPr="008D77D5" w:rsidRDefault="00032E4E" w:rsidP="006B47CE">
            <w:pPr>
              <w:pStyle w:val="Normal-pool"/>
              <w:rPr>
                <w:rFonts w:ascii="Univers" w:hAnsi="Univers"/>
                <w:lang w:val="fr-FR"/>
              </w:rPr>
            </w:pPr>
          </w:p>
        </w:tc>
        <w:tc>
          <w:tcPr>
            <w:tcW w:w="3335" w:type="dxa"/>
          </w:tcPr>
          <w:p w14:paraId="2FDD92D0" w14:textId="77777777" w:rsidR="00032E4E" w:rsidRPr="008D77D5" w:rsidRDefault="00787688" w:rsidP="006B47CE">
            <w:pPr>
              <w:pStyle w:val="Normal-pool"/>
              <w:jc w:val="right"/>
              <w:rPr>
                <w:rFonts w:ascii="Arial" w:hAnsi="Arial" w:cs="Arial"/>
                <w:b/>
                <w:sz w:val="64"/>
                <w:szCs w:val="64"/>
                <w:lang w:val="fr-FR"/>
              </w:rPr>
            </w:pPr>
            <w:r w:rsidRPr="008D77D5">
              <w:rPr>
                <w:rFonts w:ascii="Arial" w:hAnsi="Arial" w:cs="Arial"/>
                <w:b/>
                <w:sz w:val="64"/>
                <w:szCs w:val="64"/>
                <w:lang w:val="fr-FR"/>
              </w:rPr>
              <w:t>MC</w:t>
            </w:r>
          </w:p>
        </w:tc>
      </w:tr>
      <w:tr w:rsidR="00032E4E" w:rsidRPr="008D77D5" w14:paraId="50B88763" w14:textId="77777777" w:rsidTr="00AF2834">
        <w:trPr>
          <w:cantSplit/>
          <w:trHeight w:val="281"/>
          <w:jc w:val="right"/>
        </w:trPr>
        <w:tc>
          <w:tcPr>
            <w:tcW w:w="1518" w:type="dxa"/>
            <w:tcBorders>
              <w:bottom w:val="single" w:sz="4" w:space="0" w:color="auto"/>
            </w:tcBorders>
          </w:tcPr>
          <w:p w14:paraId="19F2FB98" w14:textId="77777777" w:rsidR="00032E4E" w:rsidRPr="008D77D5" w:rsidRDefault="00032E4E" w:rsidP="006B47CE">
            <w:pPr>
              <w:pStyle w:val="Normal-pool"/>
              <w:rPr>
                <w:noProof/>
                <w:sz w:val="18"/>
                <w:szCs w:val="18"/>
                <w:lang w:val="fr-FR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14:paraId="19AAB217" w14:textId="77777777" w:rsidR="00032E4E" w:rsidRPr="008D77D5" w:rsidRDefault="00032E4E" w:rsidP="006B47CE">
            <w:pPr>
              <w:pStyle w:val="Normal-pool"/>
              <w:rPr>
                <w:rFonts w:ascii="Univers" w:hAnsi="Univers"/>
                <w:sz w:val="18"/>
                <w:szCs w:val="18"/>
                <w:lang w:val="fr-FR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447ED4DA" w14:textId="5BC1210F" w:rsidR="00032E4E" w:rsidRPr="008D77D5" w:rsidRDefault="00032E4E" w:rsidP="006B47CE">
            <w:pPr>
              <w:pStyle w:val="Normal-pool"/>
              <w:rPr>
                <w:noProof/>
                <w:sz w:val="18"/>
                <w:szCs w:val="18"/>
                <w:lang w:val="fr-FR"/>
              </w:rPr>
            </w:pPr>
            <w:r w:rsidRPr="008D77D5">
              <w:rPr>
                <w:b/>
                <w:bCs/>
                <w:sz w:val="28"/>
                <w:lang w:val="fr-FR"/>
              </w:rPr>
              <w:t>UNEP</w:t>
            </w:r>
            <w:bookmarkStart w:id="0" w:name="OLE_LINK1"/>
            <w:bookmarkStart w:id="1" w:name="OLE_LINK2"/>
            <w:r w:rsidR="00787688" w:rsidRPr="008D77D5">
              <w:rPr>
                <w:bCs/>
                <w:lang w:val="fr-FR"/>
              </w:rPr>
              <w:t>/</w:t>
            </w:r>
            <w:r w:rsidR="00787688" w:rsidRPr="008D77D5">
              <w:rPr>
                <w:lang w:val="fr-FR"/>
              </w:rPr>
              <w:t>MC</w:t>
            </w:r>
            <w:r w:rsidRPr="008D77D5">
              <w:rPr>
                <w:lang w:val="fr-FR"/>
              </w:rPr>
              <w:t>/</w:t>
            </w:r>
            <w:bookmarkEnd w:id="0"/>
            <w:bookmarkEnd w:id="1"/>
            <w:r w:rsidR="00787688" w:rsidRPr="008D77D5">
              <w:rPr>
                <w:lang w:val="fr-FR"/>
              </w:rPr>
              <w:t>COP.</w:t>
            </w:r>
            <w:r w:rsidR="00BB4998" w:rsidRPr="008D77D5">
              <w:rPr>
                <w:lang w:val="fr-FR"/>
              </w:rPr>
              <w:t>3</w:t>
            </w:r>
            <w:r w:rsidRPr="008D77D5">
              <w:rPr>
                <w:lang w:val="fr-FR"/>
              </w:rPr>
              <w:t>/</w:t>
            </w:r>
            <w:r w:rsidR="00C27FF6" w:rsidRPr="008D77D5">
              <w:rPr>
                <w:lang w:val="fr-FR"/>
              </w:rPr>
              <w:t>5</w:t>
            </w:r>
          </w:p>
        </w:tc>
      </w:tr>
      <w:bookmarkStart w:id="2" w:name="_MON_1021710510"/>
      <w:bookmarkEnd w:id="2"/>
      <w:bookmarkStart w:id="3" w:name="_MON_1021710482"/>
      <w:bookmarkEnd w:id="3"/>
      <w:tr w:rsidR="00032E4E" w:rsidRPr="001A6AB7" w14:paraId="5129AE65" w14:textId="77777777" w:rsidTr="00AF2834">
        <w:trPr>
          <w:cantSplit/>
          <w:trHeight w:val="2549"/>
          <w:jc w:val="right"/>
        </w:trPr>
        <w:tc>
          <w:tcPr>
            <w:tcW w:w="1518" w:type="dxa"/>
            <w:tcBorders>
              <w:top w:val="single" w:sz="4" w:space="0" w:color="auto"/>
              <w:bottom w:val="single" w:sz="24" w:space="0" w:color="auto"/>
            </w:tcBorders>
          </w:tcPr>
          <w:p w14:paraId="522EB2C9" w14:textId="77777777" w:rsidR="00032E4E" w:rsidRPr="008D77D5" w:rsidRDefault="00A279A1" w:rsidP="006B47CE">
            <w:pPr>
              <w:pStyle w:val="Normal-pool"/>
              <w:rPr>
                <w:noProof/>
                <w:lang w:val="fr-FR"/>
              </w:rPr>
            </w:pPr>
            <w:r w:rsidRPr="008D77D5">
              <w:rPr>
                <w:noProof/>
                <w:lang w:val="fr-FR"/>
              </w:rPr>
              <w:object w:dxaOrig="1831" w:dyaOrig="1726" w14:anchorId="7F3D70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05pt;height:57.05pt" o:ole="" fillcolor="window">
                  <v:imagedata r:id="rId11" o:title=""/>
                </v:shape>
                <o:OLEObject Type="Embed" ProgID="Word.Picture.8" ShapeID="_x0000_i1025" DrawAspect="Content" ObjectID="_1630324080" r:id="rId12"/>
              </w:object>
            </w:r>
            <w:r w:rsidR="00011A16" w:rsidRPr="008D77D5">
              <w:rPr>
                <w:noProof/>
                <w:lang w:val="fr-FR" w:eastAsia="fr-FR"/>
              </w:rPr>
              <w:drawing>
                <wp:inline distT="0" distB="0" distL="0" distR="0" wp14:anchorId="731DCC7A" wp14:editId="593A5A55">
                  <wp:extent cx="723900" cy="769620"/>
                  <wp:effectExtent l="0" t="0" r="0" b="0"/>
                  <wp:docPr id="2" name="Picture 2" descr="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3" w:type="dxa"/>
            <w:tcBorders>
              <w:top w:val="single" w:sz="4" w:space="0" w:color="auto"/>
              <w:bottom w:val="single" w:sz="24" w:space="0" w:color="auto"/>
            </w:tcBorders>
          </w:tcPr>
          <w:p w14:paraId="648DB058" w14:textId="3F846418" w:rsidR="00032E4E" w:rsidRPr="008D77D5" w:rsidRDefault="00321EE3" w:rsidP="006B47CE">
            <w:pPr>
              <w:pStyle w:val="Normal-pool"/>
              <w:spacing w:before="1200"/>
              <w:rPr>
                <w:rFonts w:ascii="Arial" w:hAnsi="Arial" w:cs="Arial"/>
                <w:b/>
                <w:sz w:val="28"/>
                <w:lang w:val="fr-FR"/>
              </w:rPr>
            </w:pPr>
            <w:r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t>Programme</w:t>
            </w:r>
            <w:r w:rsidR="005B2DF4"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032E4E"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br w:type="textWrapping" w:clear="all"/>
            </w:r>
            <w:r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t>des Nations Unies</w:t>
            </w:r>
            <w:r w:rsidR="005B2DF4"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t xml:space="preserve"> </w:t>
            </w:r>
            <w:r w:rsidR="00032E4E"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br w:type="textWrapping" w:clear="all"/>
            </w:r>
            <w:r w:rsidRPr="008D77D5">
              <w:rPr>
                <w:rFonts w:ascii="Arial" w:hAnsi="Arial" w:cs="Arial"/>
                <w:b/>
                <w:sz w:val="32"/>
                <w:szCs w:val="32"/>
                <w:lang w:val="fr-FR"/>
              </w:rPr>
              <w:t>pour l’environnement</w:t>
            </w:r>
          </w:p>
        </w:tc>
        <w:tc>
          <w:tcPr>
            <w:tcW w:w="333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14:paraId="03BF9956" w14:textId="4D55556B" w:rsidR="00201532" w:rsidRDefault="003F7F81" w:rsidP="00201532">
            <w:pPr>
              <w:pStyle w:val="Normal-pool"/>
              <w:spacing w:before="120"/>
              <w:rPr>
                <w:lang w:val="fr-FR"/>
              </w:rPr>
            </w:pPr>
            <w:proofErr w:type="spellStart"/>
            <w:r>
              <w:rPr>
                <w:lang w:val="fr-FR"/>
              </w:rPr>
              <w:t>Distr</w:t>
            </w:r>
            <w:proofErr w:type="spellEnd"/>
            <w:r>
              <w:rPr>
                <w:lang w:val="fr-FR"/>
              </w:rPr>
              <w:t>. </w:t>
            </w:r>
            <w:r w:rsidR="00201532" w:rsidRPr="008D77D5">
              <w:rPr>
                <w:lang w:val="fr-FR"/>
              </w:rPr>
              <w:t>G</w:t>
            </w:r>
            <w:r w:rsidR="00CF26C7" w:rsidRPr="008D77D5">
              <w:rPr>
                <w:lang w:val="fr-FR"/>
              </w:rPr>
              <w:t>é</w:t>
            </w:r>
            <w:r w:rsidR="00032E4E" w:rsidRPr="008D77D5">
              <w:rPr>
                <w:lang w:val="fr-FR"/>
              </w:rPr>
              <w:t>n</w:t>
            </w:r>
            <w:r w:rsidR="00CF26C7" w:rsidRPr="008D77D5">
              <w:rPr>
                <w:lang w:val="fr-FR"/>
              </w:rPr>
              <w:t>é</w:t>
            </w:r>
            <w:r w:rsidR="00032E4E" w:rsidRPr="008D77D5">
              <w:rPr>
                <w:lang w:val="fr-FR"/>
              </w:rPr>
              <w:t>ral</w:t>
            </w:r>
            <w:r w:rsidR="00CF26C7" w:rsidRPr="008D77D5">
              <w:rPr>
                <w:lang w:val="fr-FR"/>
              </w:rPr>
              <w:t>e</w:t>
            </w:r>
          </w:p>
          <w:p w14:paraId="2AB30C51" w14:textId="1BD63518" w:rsidR="00032E4E" w:rsidRPr="008D77D5" w:rsidRDefault="006B47CE" w:rsidP="00201532">
            <w:pPr>
              <w:pStyle w:val="Normal-pool"/>
              <w:rPr>
                <w:lang w:val="fr-FR"/>
              </w:rPr>
            </w:pPr>
            <w:r w:rsidRPr="008D77D5">
              <w:rPr>
                <w:lang w:val="fr-FR"/>
              </w:rPr>
              <w:t>13</w:t>
            </w:r>
            <w:r w:rsidR="00B311D1" w:rsidRPr="008D77D5">
              <w:rPr>
                <w:lang w:val="fr-FR"/>
              </w:rPr>
              <w:t> </w:t>
            </w:r>
            <w:r w:rsidR="00CF26C7" w:rsidRPr="008D77D5">
              <w:rPr>
                <w:lang w:val="fr-FR"/>
              </w:rPr>
              <w:t>août</w:t>
            </w:r>
            <w:r w:rsidR="00BB4998" w:rsidRPr="008D77D5">
              <w:rPr>
                <w:lang w:val="fr-FR"/>
              </w:rPr>
              <w:t xml:space="preserve"> 2019</w:t>
            </w:r>
          </w:p>
          <w:p w14:paraId="775FD900" w14:textId="74A09C8C" w:rsidR="00CF26C7" w:rsidRPr="008D77D5" w:rsidRDefault="00CF26C7" w:rsidP="006B47CE">
            <w:pPr>
              <w:pStyle w:val="Normal-pool"/>
              <w:spacing w:before="120"/>
              <w:rPr>
                <w:lang w:val="fr-FR"/>
              </w:rPr>
            </w:pPr>
            <w:r w:rsidRPr="008D77D5">
              <w:rPr>
                <w:lang w:val="fr-FR"/>
              </w:rPr>
              <w:t>Français</w:t>
            </w:r>
          </w:p>
          <w:p w14:paraId="31EC4BEE" w14:textId="70D67236" w:rsidR="00032E4E" w:rsidRPr="008D77D5" w:rsidRDefault="00032E4E" w:rsidP="00201532">
            <w:pPr>
              <w:pStyle w:val="Normal-pool"/>
              <w:tabs>
                <w:tab w:val="clear" w:pos="2948"/>
              </w:tabs>
              <w:rPr>
                <w:lang w:val="fr-FR"/>
              </w:rPr>
            </w:pPr>
            <w:r w:rsidRPr="008D77D5">
              <w:rPr>
                <w:lang w:val="fr-FR"/>
              </w:rPr>
              <w:t>Original</w:t>
            </w:r>
            <w:r w:rsidR="00CF26C7" w:rsidRPr="008D77D5">
              <w:rPr>
                <w:lang w:val="fr-FR"/>
              </w:rPr>
              <w:t> </w:t>
            </w:r>
            <w:r w:rsidRPr="008D77D5">
              <w:rPr>
                <w:lang w:val="fr-FR"/>
              </w:rPr>
              <w:t xml:space="preserve">: </w:t>
            </w:r>
            <w:r w:rsidR="00CF26C7" w:rsidRPr="008D77D5">
              <w:rPr>
                <w:lang w:val="fr-FR"/>
              </w:rPr>
              <w:t>anglais</w:t>
            </w:r>
          </w:p>
        </w:tc>
      </w:tr>
    </w:tbl>
    <w:p w14:paraId="471436BA" w14:textId="7F7D664B" w:rsidR="00E976AB" w:rsidRPr="008D77D5" w:rsidRDefault="00AF2834" w:rsidP="00E976AB">
      <w:pPr>
        <w:pStyle w:val="AATitle"/>
        <w:keepNext w:val="0"/>
        <w:keepLines w:val="0"/>
        <w:rPr>
          <w:lang w:val="fr-FR"/>
        </w:rPr>
      </w:pPr>
      <w:r w:rsidRPr="008D77D5">
        <w:rPr>
          <w:lang w:val="fr-FR"/>
        </w:rPr>
        <w:t>Conférence des Parties à la Convention</w:t>
      </w:r>
      <w:r w:rsidRPr="008D77D5">
        <w:rPr>
          <w:lang w:val="fr-FR"/>
        </w:rPr>
        <w:br/>
      </w:r>
      <w:r w:rsidR="00B311D1" w:rsidRPr="008D77D5">
        <w:rPr>
          <w:lang w:val="fr-FR"/>
        </w:rPr>
        <w:t xml:space="preserve">de </w:t>
      </w:r>
      <w:r w:rsidRPr="008D77D5">
        <w:rPr>
          <w:lang w:val="fr-FR"/>
        </w:rPr>
        <w:t>Minamata sur le mercure</w:t>
      </w:r>
    </w:p>
    <w:p w14:paraId="6D8455D5" w14:textId="5F268975" w:rsidR="00E976AB" w:rsidRPr="008D77D5" w:rsidRDefault="00703748" w:rsidP="00E976AB">
      <w:pPr>
        <w:pStyle w:val="AATitle"/>
        <w:keepNext w:val="0"/>
        <w:keepLines w:val="0"/>
        <w:rPr>
          <w:lang w:val="fr-FR"/>
        </w:rPr>
      </w:pPr>
      <w:r>
        <w:rPr>
          <w:lang w:val="fr-FR"/>
        </w:rPr>
        <w:t>Troisième </w:t>
      </w:r>
      <w:r w:rsidR="00AF2834" w:rsidRPr="008D77D5">
        <w:rPr>
          <w:lang w:val="fr-FR"/>
        </w:rPr>
        <w:t>réunion</w:t>
      </w:r>
    </w:p>
    <w:p w14:paraId="08DDCB89" w14:textId="5CB01FCE" w:rsidR="00787688" w:rsidRPr="008D77D5" w:rsidRDefault="00787688" w:rsidP="00434321">
      <w:pPr>
        <w:pStyle w:val="AATitle"/>
        <w:rPr>
          <w:lang w:val="fr-FR"/>
        </w:rPr>
      </w:pPr>
      <w:r w:rsidRPr="008D77D5">
        <w:rPr>
          <w:b w:val="0"/>
          <w:lang w:val="fr-FR"/>
        </w:rPr>
        <w:t>Gen</w:t>
      </w:r>
      <w:r w:rsidR="00AF2834" w:rsidRPr="008D77D5">
        <w:rPr>
          <w:b w:val="0"/>
          <w:lang w:val="fr-FR"/>
        </w:rPr>
        <w:t>è</w:t>
      </w:r>
      <w:r w:rsidRPr="008D77D5">
        <w:rPr>
          <w:b w:val="0"/>
          <w:lang w:val="fr-FR"/>
        </w:rPr>
        <w:t>v</w:t>
      </w:r>
      <w:r w:rsidR="00AF2834" w:rsidRPr="008D77D5">
        <w:rPr>
          <w:b w:val="0"/>
          <w:lang w:val="fr-FR"/>
        </w:rPr>
        <w:t>e</w:t>
      </w:r>
      <w:r w:rsidR="00E976AB" w:rsidRPr="008D77D5">
        <w:rPr>
          <w:b w:val="0"/>
          <w:lang w:val="fr-FR"/>
        </w:rPr>
        <w:t xml:space="preserve">, </w:t>
      </w:r>
      <w:r w:rsidR="00BB4998" w:rsidRPr="008D77D5">
        <w:rPr>
          <w:b w:val="0"/>
          <w:lang w:val="fr-FR"/>
        </w:rPr>
        <w:t>25-29</w:t>
      </w:r>
      <w:r w:rsidR="00AF2834" w:rsidRPr="008D77D5">
        <w:rPr>
          <w:b w:val="0"/>
          <w:lang w:val="fr-FR"/>
        </w:rPr>
        <w:t> novembre</w:t>
      </w:r>
      <w:r w:rsidR="00434321" w:rsidRPr="008D77D5">
        <w:rPr>
          <w:b w:val="0"/>
          <w:lang w:val="fr-FR"/>
        </w:rPr>
        <w:t xml:space="preserve"> 201</w:t>
      </w:r>
      <w:r w:rsidR="00BB4998" w:rsidRPr="008D77D5">
        <w:rPr>
          <w:b w:val="0"/>
          <w:lang w:val="fr-FR"/>
        </w:rPr>
        <w:t>9</w:t>
      </w:r>
    </w:p>
    <w:p w14:paraId="3FD603B0" w14:textId="537533E5" w:rsidR="000C65B1" w:rsidRPr="008D77D5" w:rsidRDefault="00AF2834" w:rsidP="000C65B1">
      <w:pPr>
        <w:pStyle w:val="AATitle"/>
        <w:keepNext w:val="0"/>
        <w:keepLines w:val="0"/>
        <w:rPr>
          <w:b w:val="0"/>
          <w:lang w:val="fr-FR"/>
        </w:rPr>
      </w:pPr>
      <w:r w:rsidRPr="008D77D5">
        <w:rPr>
          <w:b w:val="0"/>
          <w:lang w:val="fr-FR"/>
        </w:rPr>
        <w:t>Point</w:t>
      </w:r>
      <w:r w:rsidR="00B311D1" w:rsidRPr="008D77D5">
        <w:rPr>
          <w:b w:val="0"/>
          <w:lang w:val="fr-FR"/>
        </w:rPr>
        <w:t> </w:t>
      </w:r>
      <w:r w:rsidR="000C65B1" w:rsidRPr="008D77D5">
        <w:rPr>
          <w:b w:val="0"/>
          <w:lang w:val="fr-FR"/>
        </w:rPr>
        <w:t>5</w:t>
      </w:r>
      <w:r w:rsidR="003F7F81">
        <w:rPr>
          <w:b w:val="0"/>
          <w:lang w:val="fr-FR"/>
        </w:rPr>
        <w:t> </w:t>
      </w:r>
      <w:r w:rsidR="00BB4998" w:rsidRPr="008D77D5">
        <w:rPr>
          <w:b w:val="0"/>
          <w:lang w:val="fr-FR"/>
        </w:rPr>
        <w:t>a</w:t>
      </w:r>
      <w:r w:rsidR="00703748">
        <w:rPr>
          <w:b w:val="0"/>
          <w:lang w:val="fr-FR"/>
        </w:rPr>
        <w:t>) </w:t>
      </w:r>
      <w:r w:rsidR="00BB4998" w:rsidRPr="008D77D5">
        <w:rPr>
          <w:b w:val="0"/>
          <w:lang w:val="fr-FR"/>
        </w:rPr>
        <w:t>i</w:t>
      </w:r>
      <w:r w:rsidR="00C27FF6" w:rsidRPr="008D77D5">
        <w:rPr>
          <w:b w:val="0"/>
          <w:lang w:val="fr-FR"/>
        </w:rPr>
        <w:t>ii</w:t>
      </w:r>
      <w:r w:rsidR="00BB4998" w:rsidRPr="008D77D5">
        <w:rPr>
          <w:b w:val="0"/>
          <w:lang w:val="fr-FR"/>
        </w:rPr>
        <w:t xml:space="preserve">) </w:t>
      </w:r>
      <w:r w:rsidRPr="008D77D5">
        <w:rPr>
          <w:b w:val="0"/>
          <w:lang w:val="fr-FR"/>
        </w:rPr>
        <w:t>de l’ordre du jour provisoire</w:t>
      </w:r>
      <w:r w:rsidR="000C65B1" w:rsidRPr="008D77D5">
        <w:rPr>
          <w:b w:val="0"/>
          <w:lang w:val="fr-FR"/>
        </w:rPr>
        <w:footnoteReference w:customMarkFollows="1" w:id="1"/>
        <w:t>*</w:t>
      </w:r>
    </w:p>
    <w:p w14:paraId="10584444" w14:textId="58F5B5BC" w:rsidR="000C65B1" w:rsidRPr="008D77D5" w:rsidRDefault="00CF26C7" w:rsidP="00E8302A">
      <w:pPr>
        <w:pStyle w:val="AATitle2"/>
        <w:rPr>
          <w:lang w:val="fr-FR"/>
        </w:rPr>
      </w:pPr>
      <w:r w:rsidRPr="008D77D5">
        <w:rPr>
          <w:lang w:val="fr-FR"/>
        </w:rPr>
        <w:t>Questions soumises à la Conférence des Parties pour examen ou décision </w:t>
      </w:r>
      <w:r w:rsidR="000C65B1" w:rsidRPr="008D77D5">
        <w:rPr>
          <w:lang w:val="fr-FR"/>
        </w:rPr>
        <w:t xml:space="preserve">: </w:t>
      </w:r>
      <w:r w:rsidRPr="008D77D5">
        <w:rPr>
          <w:lang w:val="fr-FR"/>
        </w:rPr>
        <w:t>produits contenant du mercure ajouté et procédés de fabrication utilisant du mercure ou des composés du mercure </w:t>
      </w:r>
      <w:r w:rsidR="00BE2E9A" w:rsidRPr="008D77D5">
        <w:rPr>
          <w:lang w:val="fr-FR"/>
        </w:rPr>
        <w:t xml:space="preserve">: </w:t>
      </w:r>
      <w:r w:rsidRPr="008D77D5">
        <w:rPr>
          <w:lang w:val="fr-FR"/>
        </w:rPr>
        <w:t xml:space="preserve">codes du Système </w:t>
      </w:r>
      <w:r w:rsidR="00B311D1" w:rsidRPr="008D77D5">
        <w:rPr>
          <w:lang w:val="fr-FR"/>
        </w:rPr>
        <w:t>h</w:t>
      </w:r>
      <w:r w:rsidRPr="008D77D5">
        <w:rPr>
          <w:lang w:val="fr-FR"/>
        </w:rPr>
        <w:t>armonisé</w:t>
      </w:r>
    </w:p>
    <w:p w14:paraId="1658D062" w14:textId="2736DE08" w:rsidR="000C65B1" w:rsidRPr="008D77D5" w:rsidRDefault="009E1996" w:rsidP="000855ED">
      <w:pPr>
        <w:pStyle w:val="BBTitle"/>
        <w:rPr>
          <w:lang w:val="fr-FR" w:eastAsia="ja-JP"/>
        </w:rPr>
      </w:pPr>
      <w:r w:rsidRPr="008D77D5">
        <w:rPr>
          <w:lang w:val="fr-FR"/>
        </w:rPr>
        <w:t xml:space="preserve">Solutions </w:t>
      </w:r>
      <w:r w:rsidR="007D5080">
        <w:rPr>
          <w:lang w:val="fr-FR"/>
        </w:rPr>
        <w:t xml:space="preserve">pour </w:t>
      </w:r>
      <w:r w:rsidRPr="008D77D5">
        <w:rPr>
          <w:lang w:val="fr-FR"/>
        </w:rPr>
        <w:t>identifi</w:t>
      </w:r>
      <w:r w:rsidR="007D5080">
        <w:rPr>
          <w:lang w:val="fr-FR"/>
        </w:rPr>
        <w:t>er</w:t>
      </w:r>
      <w:r w:rsidRPr="008D77D5">
        <w:rPr>
          <w:lang w:val="fr-FR"/>
        </w:rPr>
        <w:t xml:space="preserve"> et distin</w:t>
      </w:r>
      <w:r w:rsidR="007D5080">
        <w:rPr>
          <w:lang w:val="fr-FR"/>
        </w:rPr>
        <w:t>guer</w:t>
      </w:r>
      <w:r w:rsidRPr="008D77D5">
        <w:rPr>
          <w:lang w:val="fr-FR"/>
        </w:rPr>
        <w:t xml:space="preserve"> </w:t>
      </w:r>
      <w:r w:rsidR="007D5080">
        <w:rPr>
          <w:lang w:val="fr-FR"/>
        </w:rPr>
        <w:t>l</w:t>
      </w:r>
      <w:r w:rsidRPr="008D77D5">
        <w:rPr>
          <w:lang w:val="fr-FR"/>
        </w:rPr>
        <w:t>es</w:t>
      </w:r>
      <w:r w:rsidR="005E025D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produits </w:t>
      </w:r>
      <w:r w:rsidR="00FB6081" w:rsidRPr="008D77D5">
        <w:rPr>
          <w:lang w:val="fr-FR"/>
        </w:rPr>
        <w:t xml:space="preserve">sans mercure ajouté et </w:t>
      </w:r>
      <w:r w:rsidR="007D5080">
        <w:rPr>
          <w:lang w:val="fr-FR"/>
        </w:rPr>
        <w:t>ceux en</w:t>
      </w:r>
      <w:r w:rsidR="00FB6081" w:rsidRPr="008D77D5">
        <w:rPr>
          <w:lang w:val="fr-FR"/>
        </w:rPr>
        <w:t xml:space="preserve"> contenant </w:t>
      </w:r>
      <w:r w:rsidR="007D5080">
        <w:rPr>
          <w:lang w:val="fr-FR"/>
        </w:rPr>
        <w:t>qui</w:t>
      </w:r>
      <w:r w:rsidR="00FB6081" w:rsidRPr="008D77D5">
        <w:rPr>
          <w:lang w:val="fr-FR"/>
        </w:rPr>
        <w:t xml:space="preserve"> </w:t>
      </w:r>
      <w:r w:rsidR="008D77D5" w:rsidRPr="008D77D5">
        <w:rPr>
          <w:lang w:val="fr-FR"/>
        </w:rPr>
        <w:t>figur</w:t>
      </w:r>
      <w:r w:rsidR="007D5080">
        <w:rPr>
          <w:lang w:val="fr-FR"/>
        </w:rPr>
        <w:t>e</w:t>
      </w:r>
      <w:r w:rsidR="008D77D5" w:rsidRPr="008D77D5">
        <w:rPr>
          <w:lang w:val="fr-FR"/>
        </w:rPr>
        <w:t>nt</w:t>
      </w:r>
      <w:r w:rsidR="00FB6081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dans l’Annexe A </w:t>
      </w:r>
      <w:r w:rsidR="008E462B">
        <w:rPr>
          <w:lang w:val="fr-FR"/>
        </w:rPr>
        <w:t xml:space="preserve">dans le cadre </w:t>
      </w:r>
      <w:r w:rsidR="007E4476" w:rsidRPr="008D77D5">
        <w:rPr>
          <w:lang w:val="fr-FR"/>
        </w:rPr>
        <w:t>du</w:t>
      </w:r>
      <w:r w:rsidRPr="008D77D5">
        <w:rPr>
          <w:lang w:val="fr-FR"/>
        </w:rPr>
        <w:t xml:space="preserve"> Système </w:t>
      </w:r>
      <w:r w:rsidR="0077388C" w:rsidRPr="008D77D5">
        <w:rPr>
          <w:lang w:val="fr-FR"/>
        </w:rPr>
        <w:t>h</w:t>
      </w:r>
      <w:r w:rsidRPr="008D77D5">
        <w:rPr>
          <w:lang w:val="fr-FR"/>
        </w:rPr>
        <w:t>armonisé</w:t>
      </w:r>
    </w:p>
    <w:p w14:paraId="683EF59F" w14:textId="28245EFE" w:rsidR="000C65B1" w:rsidRPr="008D77D5" w:rsidRDefault="0004341B" w:rsidP="000855ED">
      <w:pPr>
        <w:pStyle w:val="CH2"/>
        <w:rPr>
          <w:lang w:val="fr-FR"/>
        </w:rPr>
      </w:pPr>
      <w:r w:rsidRPr="008D77D5">
        <w:rPr>
          <w:lang w:val="fr-FR"/>
        </w:rPr>
        <w:tab/>
      </w:r>
      <w:r w:rsidRPr="008D77D5">
        <w:rPr>
          <w:lang w:val="fr-FR"/>
        </w:rPr>
        <w:tab/>
      </w:r>
      <w:r w:rsidR="000C65B1" w:rsidRPr="008D77D5">
        <w:rPr>
          <w:lang w:val="fr-FR"/>
        </w:rPr>
        <w:t xml:space="preserve">Note </w:t>
      </w:r>
      <w:r w:rsidR="009E1996" w:rsidRPr="008D77D5">
        <w:rPr>
          <w:lang w:val="fr-FR"/>
        </w:rPr>
        <w:t>du secrétariat</w:t>
      </w:r>
    </w:p>
    <w:p w14:paraId="0E99DB51" w14:textId="3D1C49F1" w:rsidR="00BE2E9A" w:rsidRPr="008D77D5" w:rsidRDefault="0077388C" w:rsidP="006B47CE">
      <w:pPr>
        <w:pStyle w:val="Normalnumber"/>
        <w:numPr>
          <w:ilvl w:val="0"/>
          <w:numId w:val="5"/>
        </w:numPr>
        <w:suppressAutoHyphens/>
        <w:autoSpaceDN w:val="0"/>
        <w:ind w:left="1247" w:firstLine="0"/>
        <w:textAlignment w:val="baseline"/>
        <w:rPr>
          <w:bCs/>
          <w:lang w:val="fr-FR"/>
        </w:rPr>
      </w:pPr>
      <w:r w:rsidRPr="008D77D5">
        <w:rPr>
          <w:lang w:val="fr-FR"/>
        </w:rPr>
        <w:t>Lors de</w:t>
      </w:r>
      <w:r w:rsidR="00703748">
        <w:rPr>
          <w:lang w:val="fr-FR"/>
        </w:rPr>
        <w:t xml:space="preserve"> sa deuxième </w:t>
      </w:r>
      <w:r w:rsidR="009E1996" w:rsidRPr="008D77D5">
        <w:rPr>
          <w:lang w:val="fr-FR"/>
        </w:rPr>
        <w:t>réunion, la Conférence des Parties à l</w:t>
      </w:r>
      <w:r w:rsidR="00201532">
        <w:rPr>
          <w:lang w:val="fr-FR"/>
        </w:rPr>
        <w:t>a Convention de Minamata sur le </w:t>
      </w:r>
      <w:r w:rsidR="009E1996" w:rsidRPr="008D77D5">
        <w:rPr>
          <w:lang w:val="fr-FR"/>
        </w:rPr>
        <w:t>mercure</w:t>
      </w:r>
      <w:r w:rsidR="0012202F" w:rsidRPr="008D77D5">
        <w:rPr>
          <w:lang w:val="fr-FR"/>
        </w:rPr>
        <w:t>,</w:t>
      </w:r>
      <w:r w:rsidR="00295765" w:rsidRPr="008D77D5">
        <w:rPr>
          <w:lang w:val="fr-FR"/>
        </w:rPr>
        <w:t xml:space="preserve"> </w:t>
      </w:r>
      <w:r w:rsidR="00321EE3" w:rsidRPr="008D77D5">
        <w:rPr>
          <w:lang w:val="fr-FR"/>
        </w:rPr>
        <w:t>dans sa dé</w:t>
      </w:r>
      <w:r w:rsidR="00295765" w:rsidRPr="008D77D5">
        <w:rPr>
          <w:lang w:val="fr-FR"/>
        </w:rPr>
        <w:t>cision</w:t>
      </w:r>
      <w:r w:rsidR="00FE5B86" w:rsidRPr="008D77D5">
        <w:rPr>
          <w:lang w:val="fr-FR"/>
        </w:rPr>
        <w:t> </w:t>
      </w:r>
      <w:r w:rsidR="002D6C8A" w:rsidRPr="008D77D5">
        <w:rPr>
          <w:lang w:val="fr-FR"/>
        </w:rPr>
        <w:t>MC</w:t>
      </w:r>
      <w:r w:rsidR="002D6C8A" w:rsidRPr="008D77D5">
        <w:rPr>
          <w:lang w:val="fr-FR"/>
        </w:rPr>
        <w:noBreakHyphen/>
        <w:t>2/9</w:t>
      </w:r>
      <w:r w:rsidR="001A6AB7">
        <w:rPr>
          <w:lang w:val="fr-FR"/>
        </w:rPr>
        <w:t xml:space="preserve"> sur les codes du Système harmonisé</w:t>
      </w:r>
      <w:r w:rsidR="0012202F" w:rsidRPr="008D77D5">
        <w:rPr>
          <w:lang w:val="fr-FR"/>
        </w:rPr>
        <w:t>,</w:t>
      </w:r>
      <w:r w:rsidR="00295765" w:rsidRPr="008D77D5">
        <w:rPr>
          <w:lang w:val="fr-FR"/>
        </w:rPr>
        <w:t xml:space="preserve"> </w:t>
      </w:r>
      <w:r w:rsidR="00321EE3" w:rsidRPr="008D77D5">
        <w:rPr>
          <w:lang w:val="fr-FR"/>
        </w:rPr>
        <w:t>a prié le secrétariat</w:t>
      </w:r>
      <w:r w:rsidR="00FE5B86" w:rsidRPr="008D77D5">
        <w:rPr>
          <w:lang w:val="fr-FR"/>
        </w:rPr>
        <w:t>,</w:t>
      </w:r>
      <w:r w:rsidR="00201532">
        <w:rPr>
          <w:lang w:val="fr-FR"/>
        </w:rPr>
        <w:t xml:space="preserve"> en </w:t>
      </w:r>
      <w:r w:rsidR="00321EE3" w:rsidRPr="008D77D5">
        <w:rPr>
          <w:lang w:val="fr-FR"/>
        </w:rPr>
        <w:t>collaboration avec le Partenariat sur les produits contenant du mercure et en concertation avec les organisations compétentes</w:t>
      </w:r>
      <w:r w:rsidR="007230AE" w:rsidRPr="008D77D5">
        <w:rPr>
          <w:lang w:val="fr-FR"/>
        </w:rPr>
        <w:t>,</w:t>
      </w:r>
      <w:r w:rsidR="00295765" w:rsidRPr="008D77D5">
        <w:rPr>
          <w:lang w:val="fr-FR"/>
        </w:rPr>
        <w:t xml:space="preserve"> </w:t>
      </w:r>
      <w:r w:rsidR="00914082">
        <w:rPr>
          <w:lang w:val="fr-FR"/>
        </w:rPr>
        <w:t>de proposer, en </w:t>
      </w:r>
      <w:r w:rsidR="00321EE3" w:rsidRPr="008D77D5">
        <w:rPr>
          <w:lang w:val="fr-FR"/>
        </w:rPr>
        <w:t xml:space="preserve">tenant compte des </w:t>
      </w:r>
      <w:r w:rsidR="00FE5B86" w:rsidRPr="008D77D5">
        <w:rPr>
          <w:lang w:val="fr-FR"/>
        </w:rPr>
        <w:t>résultats de l’</w:t>
      </w:r>
      <w:r w:rsidR="00504DD1" w:rsidRPr="008D77D5">
        <w:rPr>
          <w:lang w:val="fr-FR"/>
        </w:rPr>
        <w:t>enquête</w:t>
      </w:r>
      <w:r w:rsidR="00FE5B86" w:rsidRPr="008D77D5">
        <w:rPr>
          <w:lang w:val="fr-FR"/>
        </w:rPr>
        <w:t xml:space="preserve"> sur l</w:t>
      </w:r>
      <w:r w:rsidR="00201532">
        <w:rPr>
          <w:lang w:val="fr-FR"/>
        </w:rPr>
        <w:t>’initiative en </w:t>
      </w:r>
      <w:r w:rsidR="00766191" w:rsidRPr="008D77D5">
        <w:rPr>
          <w:lang w:val="fr-FR"/>
        </w:rPr>
        <w:t>faveur du</w:t>
      </w:r>
      <w:r w:rsidR="00FE5B86" w:rsidRPr="008D77D5">
        <w:rPr>
          <w:lang w:val="fr-FR"/>
        </w:rPr>
        <w:t xml:space="preserve"> Système harmonisé </w:t>
      </w:r>
      <w:r w:rsidR="00AD592D" w:rsidRPr="008D77D5">
        <w:rPr>
          <w:lang w:val="fr-FR"/>
        </w:rPr>
        <w:t>mise en œuvre</w:t>
      </w:r>
      <w:r w:rsidR="00FE5B86" w:rsidRPr="008D77D5">
        <w:rPr>
          <w:lang w:val="fr-FR"/>
        </w:rPr>
        <w:t xml:space="preserve"> par le Partenariat </w:t>
      </w:r>
      <w:r w:rsidR="00AD592D" w:rsidRPr="008D77D5">
        <w:rPr>
          <w:lang w:val="fr-FR"/>
        </w:rPr>
        <w:t xml:space="preserve">mondial </w:t>
      </w:r>
      <w:r w:rsidR="00FE5B86" w:rsidRPr="008D77D5">
        <w:rPr>
          <w:lang w:val="fr-FR"/>
        </w:rPr>
        <w:t xml:space="preserve">sur le mercure du </w:t>
      </w:r>
      <w:r w:rsidR="001A6AB7">
        <w:rPr>
          <w:lang w:val="fr-FR"/>
        </w:rPr>
        <w:t xml:space="preserve">Programme des Nations Unies pour l’environnement </w:t>
      </w:r>
      <w:r w:rsidR="000157D7" w:rsidRPr="008D77D5">
        <w:rPr>
          <w:lang w:val="fr-FR"/>
        </w:rPr>
        <w:t>au titre du dom</w:t>
      </w:r>
      <w:r w:rsidR="00914082">
        <w:rPr>
          <w:lang w:val="fr-FR"/>
        </w:rPr>
        <w:t>aine de partenariat relatif aux </w:t>
      </w:r>
      <w:r w:rsidR="000157D7" w:rsidRPr="008D77D5">
        <w:rPr>
          <w:lang w:val="fr-FR"/>
        </w:rPr>
        <w:t>produits contenant du mercure</w:t>
      </w:r>
      <w:r w:rsidR="00321EE3" w:rsidRPr="008D77D5">
        <w:rPr>
          <w:lang w:val="fr-FR"/>
        </w:rPr>
        <w:t>,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>des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 xml:space="preserve">solutions </w:t>
      </w:r>
      <w:r w:rsidR="00766191" w:rsidRPr="008D77D5">
        <w:rPr>
          <w:lang w:val="fr-FR"/>
        </w:rPr>
        <w:t xml:space="preserve">pour </w:t>
      </w:r>
      <w:r w:rsidR="007D5080">
        <w:rPr>
          <w:lang w:val="fr-FR"/>
        </w:rPr>
        <w:t xml:space="preserve">la </w:t>
      </w:r>
      <w:r w:rsidR="00766191" w:rsidRPr="008D77D5">
        <w:rPr>
          <w:lang w:val="fr-FR"/>
        </w:rPr>
        <w:t>défini</w:t>
      </w:r>
      <w:r w:rsidR="007D5080">
        <w:rPr>
          <w:lang w:val="fr-FR"/>
        </w:rPr>
        <w:t xml:space="preserve">tion de </w:t>
      </w:r>
      <w:r w:rsidR="00321EE3" w:rsidRPr="008D77D5">
        <w:rPr>
          <w:lang w:val="fr-FR"/>
        </w:rPr>
        <w:t>codes douaniers permettant d’identifier et de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>distinguer</w:t>
      </w:r>
      <w:r w:rsidR="00FE5B86" w:rsidRPr="008D77D5">
        <w:rPr>
          <w:lang w:val="fr-FR"/>
        </w:rPr>
        <w:t xml:space="preserve"> </w:t>
      </w:r>
      <w:r w:rsidR="00FB6081" w:rsidRPr="008D77D5">
        <w:rPr>
          <w:lang w:val="fr-FR"/>
        </w:rPr>
        <w:t xml:space="preserve">les produits sans mercure ajouté et </w:t>
      </w:r>
      <w:r w:rsidR="00262F1C">
        <w:rPr>
          <w:lang w:val="fr-FR"/>
        </w:rPr>
        <w:t>ceux en</w:t>
      </w:r>
      <w:r w:rsidR="00FB6081" w:rsidRPr="008D77D5">
        <w:rPr>
          <w:lang w:val="fr-FR"/>
        </w:rPr>
        <w:t xml:space="preserve"> contenant </w:t>
      </w:r>
      <w:r w:rsidR="00262F1C">
        <w:rPr>
          <w:lang w:val="fr-FR"/>
        </w:rPr>
        <w:t xml:space="preserve">qui </w:t>
      </w:r>
      <w:r w:rsidR="008D77D5" w:rsidRPr="008D77D5">
        <w:rPr>
          <w:lang w:val="fr-FR"/>
        </w:rPr>
        <w:t>figur</w:t>
      </w:r>
      <w:r w:rsidR="00262F1C">
        <w:rPr>
          <w:lang w:val="fr-FR"/>
        </w:rPr>
        <w:t>e</w:t>
      </w:r>
      <w:r w:rsidR="008D77D5" w:rsidRPr="008D77D5">
        <w:rPr>
          <w:lang w:val="fr-FR"/>
        </w:rPr>
        <w:t>nt</w:t>
      </w:r>
      <w:r w:rsidR="00321EE3" w:rsidRPr="008D77D5">
        <w:rPr>
          <w:lang w:val="fr-FR"/>
        </w:rPr>
        <w:t xml:space="preserve"> dans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>l’Annexe</w:t>
      </w:r>
      <w:r w:rsidR="00FE5B86" w:rsidRPr="008D77D5">
        <w:rPr>
          <w:lang w:val="fr-FR"/>
        </w:rPr>
        <w:t> </w:t>
      </w:r>
      <w:r w:rsidR="00321EE3" w:rsidRPr="008D77D5">
        <w:rPr>
          <w:lang w:val="fr-FR"/>
        </w:rPr>
        <w:t>A de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>la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 xml:space="preserve">Convention, </w:t>
      </w:r>
      <w:r w:rsidR="007D5080">
        <w:rPr>
          <w:lang w:val="fr-FR"/>
        </w:rPr>
        <w:t>y compris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>des</w:t>
      </w:r>
      <w:r w:rsidR="00FE5B86" w:rsidRPr="008D77D5">
        <w:rPr>
          <w:lang w:val="fr-FR"/>
        </w:rPr>
        <w:t xml:space="preserve"> </w:t>
      </w:r>
      <w:r w:rsidR="00321EE3" w:rsidRPr="008D77D5">
        <w:rPr>
          <w:lang w:val="fr-FR"/>
        </w:rPr>
        <w:t xml:space="preserve">moyens </w:t>
      </w:r>
      <w:r w:rsidR="00B24D38">
        <w:rPr>
          <w:lang w:val="fr-FR"/>
        </w:rPr>
        <w:t>d’</w:t>
      </w:r>
      <w:r w:rsidR="00321EE3" w:rsidRPr="008D77D5">
        <w:rPr>
          <w:lang w:val="fr-FR"/>
        </w:rPr>
        <w:t>harmoniser éventuellement</w:t>
      </w:r>
      <w:r w:rsidR="00B24D38">
        <w:rPr>
          <w:lang w:val="fr-FR"/>
        </w:rPr>
        <w:t xml:space="preserve"> ces codes</w:t>
      </w:r>
      <w:r w:rsidR="00295765" w:rsidRPr="008D77D5">
        <w:rPr>
          <w:lang w:val="fr-FR"/>
        </w:rPr>
        <w:t xml:space="preserve">. </w:t>
      </w:r>
      <w:r w:rsidR="00914082">
        <w:rPr>
          <w:lang w:val="fr-FR"/>
        </w:rPr>
        <w:t>Par cette </w:t>
      </w:r>
      <w:r w:rsidR="00FE5B86" w:rsidRPr="008D77D5">
        <w:rPr>
          <w:lang w:val="fr-FR"/>
        </w:rPr>
        <w:t xml:space="preserve">décision, le </w:t>
      </w:r>
      <w:r w:rsidR="00295765" w:rsidRPr="008D77D5">
        <w:rPr>
          <w:lang w:val="fr-FR"/>
        </w:rPr>
        <w:t>secr</w:t>
      </w:r>
      <w:r w:rsidR="00FE5B86" w:rsidRPr="008D77D5">
        <w:rPr>
          <w:lang w:val="fr-FR"/>
        </w:rPr>
        <w:t>é</w:t>
      </w:r>
      <w:r w:rsidR="00295765" w:rsidRPr="008D77D5">
        <w:rPr>
          <w:lang w:val="fr-FR"/>
        </w:rPr>
        <w:t>tariat</w:t>
      </w:r>
      <w:r w:rsidR="0012202F" w:rsidRPr="008D77D5">
        <w:rPr>
          <w:lang w:val="fr-FR"/>
        </w:rPr>
        <w:t xml:space="preserve"> </w:t>
      </w:r>
      <w:r w:rsidR="00FE5B86" w:rsidRPr="008D77D5">
        <w:rPr>
          <w:lang w:val="fr-FR"/>
        </w:rPr>
        <w:t xml:space="preserve">a été prié de faire parvenir aux Parties et </w:t>
      </w:r>
      <w:r w:rsidR="00AD592D" w:rsidRPr="008D77D5">
        <w:rPr>
          <w:lang w:val="fr-FR"/>
        </w:rPr>
        <w:t xml:space="preserve">ainsi qu’aux </w:t>
      </w:r>
      <w:r w:rsidR="00FE5B86" w:rsidRPr="008D77D5">
        <w:rPr>
          <w:lang w:val="fr-FR"/>
        </w:rPr>
        <w:t xml:space="preserve">autres </w:t>
      </w:r>
      <w:r w:rsidR="00AD592D" w:rsidRPr="008D77D5">
        <w:rPr>
          <w:lang w:val="fr-FR"/>
        </w:rPr>
        <w:t xml:space="preserve">parties prenantes </w:t>
      </w:r>
      <w:r w:rsidR="00FE5B86" w:rsidRPr="008D77D5">
        <w:rPr>
          <w:lang w:val="fr-FR"/>
        </w:rPr>
        <w:t>un projet de rapport pour observations</w:t>
      </w:r>
      <w:r w:rsidR="00295765" w:rsidRPr="008D77D5">
        <w:rPr>
          <w:lang w:val="fr-FR"/>
        </w:rPr>
        <w:t xml:space="preserve">, </w:t>
      </w:r>
      <w:r w:rsidR="00471A44" w:rsidRPr="008D77D5">
        <w:rPr>
          <w:lang w:val="fr-FR"/>
        </w:rPr>
        <w:t>de réviser le projet de rapport en tenant compte des observations reçues</w:t>
      </w:r>
      <w:r w:rsidR="00295765" w:rsidRPr="008D77D5">
        <w:rPr>
          <w:lang w:val="fr-FR"/>
        </w:rPr>
        <w:t xml:space="preserve">, </w:t>
      </w:r>
      <w:r w:rsidR="00471A44" w:rsidRPr="008D77D5">
        <w:rPr>
          <w:lang w:val="fr-FR"/>
        </w:rPr>
        <w:t xml:space="preserve">et de présenter le rapport </w:t>
      </w:r>
      <w:r w:rsidR="007D5080">
        <w:rPr>
          <w:lang w:val="fr-FR"/>
        </w:rPr>
        <w:t xml:space="preserve">résultant </w:t>
      </w:r>
      <w:r w:rsidR="00471A44" w:rsidRPr="008D77D5">
        <w:rPr>
          <w:lang w:val="fr-FR"/>
        </w:rPr>
        <w:t xml:space="preserve">à la Conférence des Parties </w:t>
      </w:r>
      <w:r w:rsidR="00262F1C">
        <w:rPr>
          <w:lang w:val="fr-FR"/>
        </w:rPr>
        <w:t>à</w:t>
      </w:r>
      <w:r w:rsidR="00471A44" w:rsidRPr="008D77D5">
        <w:rPr>
          <w:lang w:val="fr-FR"/>
        </w:rPr>
        <w:t xml:space="preserve"> sa troisième réunion, pour examen</w:t>
      </w:r>
      <w:r w:rsidR="00295765" w:rsidRPr="008D77D5">
        <w:rPr>
          <w:lang w:val="fr-FR"/>
        </w:rPr>
        <w:t>.</w:t>
      </w:r>
    </w:p>
    <w:p w14:paraId="3F7F7CC1" w14:textId="4B904313" w:rsidR="00BE2E9A" w:rsidRPr="008D77D5" w:rsidRDefault="00471A44" w:rsidP="006B47CE">
      <w:pPr>
        <w:pStyle w:val="Normalnumber"/>
        <w:numPr>
          <w:ilvl w:val="0"/>
          <w:numId w:val="5"/>
        </w:numPr>
        <w:suppressAutoHyphens/>
        <w:autoSpaceDN w:val="0"/>
        <w:ind w:left="1247" w:firstLine="0"/>
        <w:textAlignment w:val="baseline"/>
        <w:rPr>
          <w:bCs/>
          <w:lang w:val="fr-FR"/>
        </w:rPr>
      </w:pPr>
      <w:r w:rsidRPr="008D77D5">
        <w:rPr>
          <w:lang w:val="fr-FR"/>
        </w:rPr>
        <w:t xml:space="preserve">En réponse à ces demandes, le secrétariat a </w:t>
      </w:r>
      <w:r w:rsidR="00AD592D" w:rsidRPr="008D77D5">
        <w:rPr>
          <w:lang w:val="fr-FR"/>
        </w:rPr>
        <w:t>rédigé</w:t>
      </w:r>
      <w:r w:rsidRPr="008D77D5">
        <w:rPr>
          <w:lang w:val="fr-FR"/>
        </w:rPr>
        <w:t xml:space="preserve"> un projet de rapport</w:t>
      </w:r>
      <w:r w:rsidR="007D5080">
        <w:rPr>
          <w:lang w:val="fr-FR"/>
        </w:rPr>
        <w:t>,</w:t>
      </w:r>
      <w:r w:rsidRPr="008D77D5">
        <w:rPr>
          <w:lang w:val="fr-FR"/>
        </w:rPr>
        <w:t xml:space="preserve"> en collaboration avec le Partenariat sur les produits</w:t>
      </w:r>
      <w:r w:rsidR="00AD592D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et avec </w:t>
      </w:r>
      <w:r w:rsidR="00AD592D" w:rsidRPr="008D77D5">
        <w:rPr>
          <w:lang w:val="fr-FR"/>
        </w:rPr>
        <w:t xml:space="preserve">l’assistance </w:t>
      </w:r>
      <w:r w:rsidRPr="008D77D5">
        <w:rPr>
          <w:lang w:val="fr-FR"/>
        </w:rPr>
        <w:t>d’experts-conseils</w:t>
      </w:r>
      <w:r w:rsidR="00DD2287" w:rsidRPr="008D77D5">
        <w:rPr>
          <w:lang w:val="fr-FR"/>
        </w:rPr>
        <w:t>.</w:t>
      </w:r>
      <w:r w:rsidR="004A7E4F" w:rsidRPr="008D77D5">
        <w:rPr>
          <w:lang w:val="fr-FR"/>
        </w:rPr>
        <w:t xml:space="preserve"> </w:t>
      </w:r>
      <w:r w:rsidR="00703748">
        <w:rPr>
          <w:lang w:val="fr-FR"/>
        </w:rPr>
        <w:t>Le </w:t>
      </w:r>
      <w:r w:rsidRPr="008D77D5">
        <w:rPr>
          <w:lang w:val="fr-FR"/>
        </w:rPr>
        <w:t xml:space="preserve">Partenariat sur les produits </w:t>
      </w:r>
      <w:r w:rsidR="007E4476" w:rsidRPr="008D77D5">
        <w:rPr>
          <w:lang w:val="fr-FR"/>
        </w:rPr>
        <w:t xml:space="preserve">a eu une semaine pour </w:t>
      </w:r>
      <w:r w:rsidRPr="008D77D5">
        <w:rPr>
          <w:lang w:val="fr-FR"/>
        </w:rPr>
        <w:t>formul</w:t>
      </w:r>
      <w:r w:rsidR="007E4476" w:rsidRPr="008D77D5">
        <w:rPr>
          <w:lang w:val="fr-FR"/>
        </w:rPr>
        <w:t>er</w:t>
      </w:r>
      <w:r w:rsidRPr="008D77D5">
        <w:rPr>
          <w:lang w:val="fr-FR"/>
        </w:rPr>
        <w:t xml:space="preserve"> des </w:t>
      </w:r>
      <w:r w:rsidR="003544F5" w:rsidRPr="008D77D5">
        <w:rPr>
          <w:lang w:val="fr-FR"/>
        </w:rPr>
        <w:t>observations</w:t>
      </w:r>
      <w:r w:rsidRPr="008D77D5">
        <w:rPr>
          <w:lang w:val="fr-FR"/>
        </w:rPr>
        <w:t xml:space="preserve"> sur ce projet de rapport</w:t>
      </w:r>
      <w:r w:rsidR="007E4476" w:rsidRPr="008D77D5">
        <w:rPr>
          <w:lang w:val="fr-FR"/>
        </w:rPr>
        <w:t xml:space="preserve">, </w:t>
      </w:r>
      <w:r w:rsidRPr="008D77D5">
        <w:rPr>
          <w:lang w:val="fr-FR"/>
        </w:rPr>
        <w:t>entre mai et juin</w:t>
      </w:r>
      <w:r w:rsidR="00EF74FB" w:rsidRPr="008D77D5">
        <w:rPr>
          <w:lang w:val="fr-FR"/>
        </w:rPr>
        <w:t xml:space="preserve">. </w:t>
      </w:r>
      <w:r w:rsidR="007E4476" w:rsidRPr="008D77D5">
        <w:rPr>
          <w:lang w:val="fr-FR"/>
        </w:rPr>
        <w:t>Le projet de rapport</w:t>
      </w:r>
      <w:r w:rsidRPr="008D77D5">
        <w:rPr>
          <w:lang w:val="fr-FR"/>
        </w:rPr>
        <w:t xml:space="preserve"> a ensuite été téléchargé sur le site </w:t>
      </w:r>
      <w:r w:rsidR="003544F5" w:rsidRPr="008D77D5">
        <w:rPr>
          <w:lang w:val="fr-FR"/>
        </w:rPr>
        <w:t xml:space="preserve">Web de la </w:t>
      </w:r>
      <w:r w:rsidR="004A7E4F" w:rsidRPr="008D77D5">
        <w:rPr>
          <w:lang w:val="fr-FR"/>
        </w:rPr>
        <w:t xml:space="preserve">Convention </w:t>
      </w:r>
      <w:r w:rsidR="003544F5" w:rsidRPr="008D77D5">
        <w:rPr>
          <w:lang w:val="fr-FR"/>
        </w:rPr>
        <w:t xml:space="preserve">pour observations jusqu’au </w:t>
      </w:r>
      <w:r w:rsidR="00EF74FB" w:rsidRPr="008D77D5">
        <w:rPr>
          <w:lang w:val="fr-FR"/>
        </w:rPr>
        <w:t>1</w:t>
      </w:r>
      <w:r w:rsidR="003544F5" w:rsidRPr="008D77D5">
        <w:rPr>
          <w:vertAlign w:val="superscript"/>
          <w:lang w:val="fr-FR"/>
        </w:rPr>
        <w:t>er</w:t>
      </w:r>
      <w:r w:rsidR="003544F5" w:rsidRPr="008D77D5">
        <w:rPr>
          <w:lang w:val="fr-FR"/>
        </w:rPr>
        <w:t xml:space="preserve"> août </w:t>
      </w:r>
      <w:r w:rsidR="00C54908" w:rsidRPr="008D77D5">
        <w:rPr>
          <w:lang w:val="fr-FR"/>
        </w:rPr>
        <w:t>2019</w:t>
      </w:r>
      <w:r w:rsidR="003C2425">
        <w:rPr>
          <w:lang w:val="fr-FR"/>
        </w:rPr>
        <w:t>,</w:t>
      </w:r>
      <w:r w:rsidR="0002538D" w:rsidRPr="008D77D5">
        <w:rPr>
          <w:lang w:val="fr-FR"/>
        </w:rPr>
        <w:t xml:space="preserve"> </w:t>
      </w:r>
      <w:r w:rsidR="003544F5" w:rsidRPr="008D77D5">
        <w:rPr>
          <w:lang w:val="fr-FR"/>
        </w:rPr>
        <w:t xml:space="preserve">avant d’être révisé par le </w:t>
      </w:r>
      <w:r w:rsidR="003B001D" w:rsidRPr="008D77D5">
        <w:rPr>
          <w:lang w:val="fr-FR"/>
        </w:rPr>
        <w:t>secr</w:t>
      </w:r>
      <w:r w:rsidR="003544F5" w:rsidRPr="008D77D5">
        <w:rPr>
          <w:lang w:val="fr-FR"/>
        </w:rPr>
        <w:t>é</w:t>
      </w:r>
      <w:r w:rsidR="003B001D" w:rsidRPr="008D77D5">
        <w:rPr>
          <w:lang w:val="fr-FR"/>
        </w:rPr>
        <w:t>tariat</w:t>
      </w:r>
      <w:r w:rsidR="003C2425">
        <w:rPr>
          <w:lang w:val="fr-FR"/>
        </w:rPr>
        <w:t>,</w:t>
      </w:r>
      <w:r w:rsidR="003B001D" w:rsidRPr="008D77D5">
        <w:rPr>
          <w:lang w:val="fr-FR"/>
        </w:rPr>
        <w:t xml:space="preserve"> </w:t>
      </w:r>
      <w:r w:rsidR="003544F5" w:rsidRPr="008D77D5">
        <w:rPr>
          <w:lang w:val="fr-FR"/>
        </w:rPr>
        <w:t>e</w:t>
      </w:r>
      <w:r w:rsidR="00EF58E4" w:rsidRPr="008D77D5">
        <w:rPr>
          <w:lang w:val="fr-FR"/>
        </w:rPr>
        <w:t xml:space="preserve">n consultation </w:t>
      </w:r>
      <w:r w:rsidR="003544F5" w:rsidRPr="008D77D5">
        <w:rPr>
          <w:lang w:val="fr-FR"/>
        </w:rPr>
        <w:t>avec le Partenariat sur les produits</w:t>
      </w:r>
      <w:r w:rsidR="00DD2287" w:rsidRPr="008D77D5">
        <w:rPr>
          <w:lang w:val="fr-FR"/>
        </w:rPr>
        <w:t>,</w:t>
      </w:r>
      <w:r w:rsidR="00EF58E4" w:rsidRPr="008D77D5">
        <w:rPr>
          <w:lang w:val="fr-FR"/>
        </w:rPr>
        <w:t xml:space="preserve"> </w:t>
      </w:r>
      <w:r w:rsidR="007346B2">
        <w:rPr>
          <w:lang w:val="fr-FR"/>
        </w:rPr>
        <w:t>en </w:t>
      </w:r>
      <w:r w:rsidR="003544F5" w:rsidRPr="008D77D5">
        <w:rPr>
          <w:lang w:val="fr-FR"/>
        </w:rPr>
        <w:t>tenant compte d</w:t>
      </w:r>
      <w:r w:rsidR="007E4476" w:rsidRPr="008D77D5">
        <w:rPr>
          <w:lang w:val="fr-FR"/>
        </w:rPr>
        <w:t>e</w:t>
      </w:r>
      <w:r w:rsidR="003544F5" w:rsidRPr="008D77D5">
        <w:rPr>
          <w:lang w:val="fr-FR"/>
        </w:rPr>
        <w:t>s observations</w:t>
      </w:r>
      <w:r w:rsidR="00AC3EB4">
        <w:rPr>
          <w:lang w:val="fr-FR"/>
        </w:rPr>
        <w:t xml:space="preserve"> formulées</w:t>
      </w:r>
      <w:r w:rsidR="00EF58E4" w:rsidRPr="008D77D5">
        <w:rPr>
          <w:lang w:val="fr-FR"/>
        </w:rPr>
        <w:t xml:space="preserve">. </w:t>
      </w:r>
      <w:r w:rsidR="003544F5" w:rsidRPr="008D77D5">
        <w:rPr>
          <w:lang w:val="fr-FR"/>
        </w:rPr>
        <w:t xml:space="preserve">Le résumé de ce rapport </w:t>
      </w:r>
      <w:r w:rsidR="007E4476" w:rsidRPr="008D77D5">
        <w:rPr>
          <w:lang w:val="fr-FR"/>
        </w:rPr>
        <w:t>figure</w:t>
      </w:r>
      <w:r w:rsidR="003544F5" w:rsidRPr="008D77D5">
        <w:rPr>
          <w:lang w:val="fr-FR"/>
        </w:rPr>
        <w:t xml:space="preserve"> en annexe </w:t>
      </w:r>
      <w:r w:rsidR="00262F1C">
        <w:rPr>
          <w:lang w:val="fr-FR"/>
        </w:rPr>
        <w:t>à</w:t>
      </w:r>
      <w:r w:rsidR="003544F5" w:rsidRPr="008D77D5">
        <w:rPr>
          <w:lang w:val="fr-FR"/>
        </w:rPr>
        <w:t xml:space="preserve"> la présente note</w:t>
      </w:r>
      <w:r w:rsidR="00EF58E4" w:rsidRPr="008D77D5">
        <w:rPr>
          <w:lang w:val="fr-FR"/>
        </w:rPr>
        <w:t xml:space="preserve">. </w:t>
      </w:r>
      <w:r w:rsidR="007E4476" w:rsidRPr="008D77D5">
        <w:rPr>
          <w:lang w:val="fr-FR"/>
        </w:rPr>
        <w:t xml:space="preserve">Le </w:t>
      </w:r>
      <w:r w:rsidR="003544F5" w:rsidRPr="008D77D5">
        <w:rPr>
          <w:lang w:val="fr-FR"/>
        </w:rPr>
        <w:t xml:space="preserve">rapport </w:t>
      </w:r>
      <w:r w:rsidR="007E4476" w:rsidRPr="008D77D5">
        <w:rPr>
          <w:lang w:val="fr-FR"/>
        </w:rPr>
        <w:t xml:space="preserve">est disponible en intégralité </w:t>
      </w:r>
      <w:r w:rsidR="007346B2">
        <w:rPr>
          <w:lang w:val="fr-FR"/>
        </w:rPr>
        <w:t>dans le document </w:t>
      </w:r>
      <w:r w:rsidR="00D8536F" w:rsidRPr="008D77D5">
        <w:rPr>
          <w:bCs/>
          <w:lang w:val="fr-FR"/>
        </w:rPr>
        <w:t>UNEP/MC/COP.3/INF/12.</w:t>
      </w:r>
    </w:p>
    <w:p w14:paraId="43FF7602" w14:textId="647C3269" w:rsidR="000C65B1" w:rsidRPr="008D77D5" w:rsidRDefault="005E025D" w:rsidP="003544F5">
      <w:pPr>
        <w:pStyle w:val="CH2"/>
        <w:ind w:firstLine="0"/>
        <w:rPr>
          <w:lang w:val="fr-FR"/>
        </w:rPr>
      </w:pPr>
      <w:r w:rsidRPr="008D77D5">
        <w:rPr>
          <w:lang w:val="fr-FR"/>
        </w:rPr>
        <w:t>Mesures que pourrait prendre la Conférence des Parties</w:t>
      </w:r>
    </w:p>
    <w:p w14:paraId="4D317B72" w14:textId="510477B4" w:rsidR="003E40A0" w:rsidRPr="008D77D5" w:rsidRDefault="005E025D" w:rsidP="003110BE">
      <w:pPr>
        <w:pStyle w:val="Normalnumber"/>
        <w:numPr>
          <w:ilvl w:val="0"/>
          <w:numId w:val="5"/>
        </w:numPr>
        <w:suppressAutoHyphens/>
        <w:autoSpaceDN w:val="0"/>
        <w:ind w:left="1247" w:firstLine="0"/>
        <w:textAlignment w:val="baseline"/>
        <w:rPr>
          <w:lang w:val="fr-FR"/>
        </w:rPr>
      </w:pPr>
      <w:r w:rsidRPr="008D77D5">
        <w:rPr>
          <w:bCs/>
          <w:lang w:val="fr-FR"/>
        </w:rPr>
        <w:t>La Conférence des Parties souhaitera peut-être examiner les informations présentées</w:t>
      </w:r>
      <w:r w:rsidR="00DD2287" w:rsidRPr="008D77D5">
        <w:rPr>
          <w:bCs/>
          <w:lang w:val="fr-FR"/>
        </w:rPr>
        <w:t>.</w:t>
      </w:r>
    </w:p>
    <w:p w14:paraId="427E933A" w14:textId="77777777" w:rsidR="006B47CE" w:rsidRPr="008D77D5" w:rsidRDefault="000C65B1" w:rsidP="006B47CE">
      <w:pPr>
        <w:pStyle w:val="Normal-pool"/>
        <w:rPr>
          <w:lang w:val="fr-FR"/>
        </w:rPr>
        <w:sectPr w:rsidR="006B47CE" w:rsidRPr="008D77D5" w:rsidSect="003F7F8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907" w:right="992" w:bottom="1418" w:left="1418" w:header="539" w:footer="975" w:gutter="0"/>
          <w:cols w:space="539"/>
          <w:titlePg/>
          <w:docGrid w:linePitch="360"/>
        </w:sectPr>
      </w:pPr>
      <w:r w:rsidRPr="008D77D5">
        <w:rPr>
          <w:lang w:val="fr-FR"/>
        </w:rPr>
        <w:br w:type="page"/>
      </w:r>
    </w:p>
    <w:p w14:paraId="7B780EE1" w14:textId="33711918" w:rsidR="009E40F6" w:rsidRPr="008D77D5" w:rsidRDefault="000C65B1" w:rsidP="009E40F6">
      <w:pPr>
        <w:pStyle w:val="ZZAnxheader"/>
        <w:rPr>
          <w:lang w:val="fr-FR"/>
        </w:rPr>
      </w:pPr>
      <w:r w:rsidRPr="008D77D5">
        <w:rPr>
          <w:lang w:val="fr-FR"/>
        </w:rPr>
        <w:lastRenderedPageBreak/>
        <w:t>Annex</w:t>
      </w:r>
      <w:r w:rsidR="005E025D" w:rsidRPr="008D77D5">
        <w:rPr>
          <w:lang w:val="fr-FR"/>
        </w:rPr>
        <w:t>e</w:t>
      </w:r>
    </w:p>
    <w:p w14:paraId="0CA9E910" w14:textId="26BA0B6D" w:rsidR="009E40F6" w:rsidRPr="008D77D5" w:rsidRDefault="005E025D" w:rsidP="009E40F6">
      <w:pPr>
        <w:pStyle w:val="ZZAnxtitle"/>
        <w:rPr>
          <w:szCs w:val="28"/>
          <w:lang w:val="fr-FR" w:eastAsia="ja-JP"/>
        </w:rPr>
      </w:pPr>
      <w:r w:rsidRPr="008D77D5">
        <w:rPr>
          <w:szCs w:val="28"/>
          <w:lang w:val="fr-FR"/>
        </w:rPr>
        <w:t xml:space="preserve">Résumé du rapport relatif aux </w:t>
      </w:r>
      <w:r w:rsidR="00FB6081" w:rsidRPr="008D77D5">
        <w:rPr>
          <w:szCs w:val="28"/>
          <w:lang w:val="fr-FR"/>
        </w:rPr>
        <w:t xml:space="preserve">solutions </w:t>
      </w:r>
      <w:r w:rsidR="007D5080">
        <w:rPr>
          <w:szCs w:val="28"/>
          <w:lang w:val="fr-FR"/>
        </w:rPr>
        <w:t xml:space="preserve">pour </w:t>
      </w:r>
      <w:r w:rsidR="00FB6081" w:rsidRPr="008D77D5">
        <w:rPr>
          <w:szCs w:val="28"/>
          <w:lang w:val="fr-FR"/>
        </w:rPr>
        <w:t>identifi</w:t>
      </w:r>
      <w:r w:rsidR="007D5080">
        <w:rPr>
          <w:szCs w:val="28"/>
          <w:lang w:val="fr-FR"/>
        </w:rPr>
        <w:t>er</w:t>
      </w:r>
      <w:r w:rsidR="00FB6081" w:rsidRPr="008D77D5">
        <w:rPr>
          <w:szCs w:val="28"/>
          <w:lang w:val="fr-FR"/>
        </w:rPr>
        <w:t xml:space="preserve"> et distin</w:t>
      </w:r>
      <w:r w:rsidR="007D5080">
        <w:rPr>
          <w:szCs w:val="28"/>
          <w:lang w:val="fr-FR"/>
        </w:rPr>
        <w:t>guer</w:t>
      </w:r>
      <w:r w:rsidR="00FB6081" w:rsidRPr="008D77D5">
        <w:rPr>
          <w:szCs w:val="28"/>
          <w:lang w:val="fr-FR"/>
        </w:rPr>
        <w:t xml:space="preserve"> </w:t>
      </w:r>
      <w:r w:rsidR="007D5080">
        <w:rPr>
          <w:szCs w:val="28"/>
          <w:lang w:val="fr-FR"/>
        </w:rPr>
        <w:t>l</w:t>
      </w:r>
      <w:r w:rsidR="00FB6081" w:rsidRPr="008D77D5">
        <w:rPr>
          <w:szCs w:val="28"/>
          <w:lang w:val="fr-FR"/>
        </w:rPr>
        <w:t xml:space="preserve">es produits sans mercure ajouté et </w:t>
      </w:r>
      <w:r w:rsidR="007D5080">
        <w:rPr>
          <w:szCs w:val="28"/>
          <w:lang w:val="fr-FR"/>
        </w:rPr>
        <w:t>ceux en</w:t>
      </w:r>
      <w:r w:rsidR="00FB6081" w:rsidRPr="008D77D5">
        <w:rPr>
          <w:szCs w:val="28"/>
          <w:lang w:val="fr-FR"/>
        </w:rPr>
        <w:t xml:space="preserve"> contenant </w:t>
      </w:r>
      <w:r w:rsidR="007D5080">
        <w:rPr>
          <w:szCs w:val="28"/>
          <w:lang w:val="fr-FR"/>
        </w:rPr>
        <w:t>qui</w:t>
      </w:r>
      <w:r w:rsidR="00FB6081" w:rsidRPr="008D77D5">
        <w:rPr>
          <w:szCs w:val="28"/>
          <w:lang w:val="fr-FR"/>
        </w:rPr>
        <w:t xml:space="preserve"> </w:t>
      </w:r>
      <w:r w:rsidR="008D77D5" w:rsidRPr="008D77D5">
        <w:rPr>
          <w:szCs w:val="28"/>
          <w:lang w:val="fr-FR"/>
        </w:rPr>
        <w:t>figur</w:t>
      </w:r>
      <w:r w:rsidR="007D5080">
        <w:rPr>
          <w:szCs w:val="28"/>
          <w:lang w:val="fr-FR"/>
        </w:rPr>
        <w:t>e</w:t>
      </w:r>
      <w:r w:rsidR="008D77D5" w:rsidRPr="008D77D5">
        <w:rPr>
          <w:szCs w:val="28"/>
          <w:lang w:val="fr-FR"/>
        </w:rPr>
        <w:t>nt</w:t>
      </w:r>
      <w:r w:rsidR="00FB6081" w:rsidRPr="008D77D5">
        <w:rPr>
          <w:szCs w:val="28"/>
          <w:lang w:val="fr-FR"/>
        </w:rPr>
        <w:t xml:space="preserve"> dans l’Annexe A </w:t>
      </w:r>
      <w:r w:rsidR="003C2425">
        <w:rPr>
          <w:szCs w:val="28"/>
          <w:lang w:val="fr-FR"/>
        </w:rPr>
        <w:t xml:space="preserve">dans le cadre </w:t>
      </w:r>
      <w:r w:rsidR="00FB6081" w:rsidRPr="008D77D5">
        <w:rPr>
          <w:szCs w:val="28"/>
          <w:lang w:val="fr-FR"/>
        </w:rPr>
        <w:t>du Système harmonisé</w:t>
      </w:r>
    </w:p>
    <w:p w14:paraId="36FC1596" w14:textId="4EC8CB6A" w:rsidR="00EF5108" w:rsidRPr="008D77D5" w:rsidRDefault="008F728D" w:rsidP="0013574F">
      <w:pPr>
        <w:pStyle w:val="CH1"/>
        <w:rPr>
          <w:lang w:val="fr-FR"/>
        </w:rPr>
      </w:pPr>
      <w:r w:rsidRPr="008D77D5">
        <w:rPr>
          <w:lang w:val="fr-FR"/>
        </w:rPr>
        <w:tab/>
      </w:r>
      <w:r w:rsidRPr="008D77D5">
        <w:rPr>
          <w:lang w:val="fr-FR"/>
        </w:rPr>
        <w:tab/>
      </w:r>
      <w:r w:rsidR="005E025D" w:rsidRPr="008D77D5">
        <w:rPr>
          <w:lang w:val="fr-FR"/>
        </w:rPr>
        <w:t>Vue d’ensemble</w:t>
      </w:r>
    </w:p>
    <w:p w14:paraId="03D15D66" w14:textId="31101B47" w:rsidR="00EF5108" w:rsidRPr="008D77D5" w:rsidRDefault="00262F1C" w:rsidP="002D0F77">
      <w:pPr>
        <w:pStyle w:val="Normalnumber"/>
        <w:rPr>
          <w:bCs/>
          <w:lang w:val="fr-FR"/>
        </w:rPr>
      </w:pPr>
      <w:r>
        <w:rPr>
          <w:lang w:val="fr-FR"/>
        </w:rPr>
        <w:t>À</w:t>
      </w:r>
      <w:r w:rsidR="005E025D" w:rsidRPr="008D77D5">
        <w:rPr>
          <w:lang w:val="fr-FR"/>
        </w:rPr>
        <w:t xml:space="preserve"> sa deuxième réunion, la Conférence des Parties à la Convention de Minamata sur le mercure, dans sa décision</w:t>
      </w:r>
      <w:r w:rsidR="00236FEF" w:rsidRPr="008D77D5">
        <w:rPr>
          <w:lang w:val="fr-FR"/>
        </w:rPr>
        <w:t> </w:t>
      </w:r>
      <w:r w:rsidR="005E025D" w:rsidRPr="008D77D5">
        <w:rPr>
          <w:lang w:val="fr-FR"/>
        </w:rPr>
        <w:t>MC</w:t>
      </w:r>
      <w:r w:rsidR="00236FEF" w:rsidRPr="008D77D5">
        <w:rPr>
          <w:lang w:val="fr-FR"/>
        </w:rPr>
        <w:t> </w:t>
      </w:r>
      <w:r w:rsidR="005E025D" w:rsidRPr="008D77D5">
        <w:rPr>
          <w:lang w:val="fr-FR"/>
        </w:rPr>
        <w:t xml:space="preserve">2/9, a prié le secrétariat, en collaboration avec </w:t>
      </w:r>
      <w:r w:rsidR="000157D7" w:rsidRPr="008D77D5">
        <w:rPr>
          <w:lang w:val="fr-FR"/>
        </w:rPr>
        <w:t>le domaine de partenariat relatif</w:t>
      </w:r>
      <w:r w:rsidR="0077388C" w:rsidRPr="008D77D5">
        <w:rPr>
          <w:lang w:val="fr-FR"/>
        </w:rPr>
        <w:t xml:space="preserve"> aux produits contenant du</w:t>
      </w:r>
      <w:r w:rsidR="000157D7" w:rsidRPr="008D77D5">
        <w:rPr>
          <w:lang w:val="fr-FR"/>
        </w:rPr>
        <w:t xml:space="preserve"> mercure du </w:t>
      </w:r>
      <w:r w:rsidR="005E025D" w:rsidRPr="008D77D5">
        <w:rPr>
          <w:lang w:val="fr-FR"/>
        </w:rPr>
        <w:t xml:space="preserve">Partenariat </w:t>
      </w:r>
      <w:r w:rsidR="000157D7" w:rsidRPr="008D77D5">
        <w:rPr>
          <w:lang w:val="fr-FR"/>
        </w:rPr>
        <w:t xml:space="preserve">mondial </w:t>
      </w:r>
      <w:r w:rsidR="007A4C50" w:rsidRPr="008D77D5">
        <w:rPr>
          <w:lang w:val="fr-FR"/>
        </w:rPr>
        <w:t>sur le</w:t>
      </w:r>
      <w:r w:rsidR="005E025D" w:rsidRPr="008D77D5">
        <w:rPr>
          <w:lang w:val="fr-FR"/>
        </w:rPr>
        <w:t xml:space="preserve"> mercure </w:t>
      </w:r>
      <w:r w:rsidR="000157D7" w:rsidRPr="008D77D5">
        <w:rPr>
          <w:lang w:val="fr-FR"/>
        </w:rPr>
        <w:t xml:space="preserve">du </w:t>
      </w:r>
      <w:r w:rsidR="001A6AB7">
        <w:rPr>
          <w:lang w:val="fr-FR"/>
        </w:rPr>
        <w:t xml:space="preserve">Programme des Nations Unies pour l’environnement </w:t>
      </w:r>
      <w:r w:rsidR="007A4C50" w:rsidRPr="008D77D5">
        <w:rPr>
          <w:lang w:val="fr-FR"/>
        </w:rPr>
        <w:t>(Partenariat sur les produits)</w:t>
      </w:r>
      <w:r w:rsidR="005E025D" w:rsidRPr="008D77D5">
        <w:rPr>
          <w:lang w:val="fr-FR"/>
        </w:rPr>
        <w:t xml:space="preserve">, </w:t>
      </w:r>
      <w:r w:rsidR="000157D7" w:rsidRPr="008D77D5">
        <w:rPr>
          <w:lang w:val="fr-FR"/>
        </w:rPr>
        <w:t>et en tenant compte des résultats de l’</w:t>
      </w:r>
      <w:r w:rsidR="00766191" w:rsidRPr="008D77D5">
        <w:rPr>
          <w:lang w:val="fr-FR"/>
        </w:rPr>
        <w:t>enquête</w:t>
      </w:r>
      <w:r w:rsidR="000157D7" w:rsidRPr="008D77D5">
        <w:rPr>
          <w:lang w:val="fr-FR"/>
        </w:rPr>
        <w:t xml:space="preserve"> sur l</w:t>
      </w:r>
      <w:r w:rsidR="007E4476" w:rsidRPr="008D77D5">
        <w:rPr>
          <w:lang w:val="fr-FR"/>
        </w:rPr>
        <w:t>’initiative en faveur du</w:t>
      </w:r>
      <w:r w:rsidR="000157D7" w:rsidRPr="008D77D5">
        <w:rPr>
          <w:lang w:val="fr-FR"/>
        </w:rPr>
        <w:t xml:space="preserve"> Système harmonisé </w:t>
      </w:r>
      <w:r w:rsidR="007E4476" w:rsidRPr="008D77D5">
        <w:rPr>
          <w:lang w:val="fr-FR"/>
        </w:rPr>
        <w:t xml:space="preserve">mise en œuvre </w:t>
      </w:r>
      <w:r w:rsidR="000157D7" w:rsidRPr="008D77D5">
        <w:rPr>
          <w:lang w:val="fr-FR"/>
        </w:rPr>
        <w:t>par le Partenariat</w:t>
      </w:r>
      <w:r w:rsidR="00C476C6">
        <w:rPr>
          <w:lang w:val="fr-FR"/>
        </w:rPr>
        <w:t xml:space="preserve"> sur les produits</w:t>
      </w:r>
      <w:r w:rsidR="005E025D" w:rsidRPr="008D77D5">
        <w:rPr>
          <w:lang w:val="fr-FR"/>
        </w:rPr>
        <w:t xml:space="preserve">, </w:t>
      </w:r>
      <w:r w:rsidR="007A4C50" w:rsidRPr="008D77D5">
        <w:rPr>
          <w:lang w:val="fr-FR"/>
        </w:rPr>
        <w:t xml:space="preserve">de proposer </w:t>
      </w:r>
      <w:r w:rsidR="005E025D" w:rsidRPr="008D77D5">
        <w:rPr>
          <w:lang w:val="fr-FR"/>
        </w:rPr>
        <w:t xml:space="preserve">des solutions </w:t>
      </w:r>
      <w:r w:rsidR="00E256D7" w:rsidRPr="00E256D7">
        <w:rPr>
          <w:lang w:val="fr-FR"/>
        </w:rPr>
        <w:t>pour la définition de codes douaniers permettant d’identifier et de distinguer les produits sans mercure ajouté et ceux en contenant qui figurent dans l’Annexe A de la Convention, y compris des moyens d’harmoniser éventuellement ces codes</w:t>
      </w:r>
      <w:r w:rsidR="005E025D" w:rsidRPr="008D77D5">
        <w:rPr>
          <w:lang w:val="fr-FR"/>
        </w:rPr>
        <w:t xml:space="preserve">. </w:t>
      </w:r>
      <w:r w:rsidR="007A4C50" w:rsidRPr="008D77D5">
        <w:rPr>
          <w:lang w:val="fr-FR"/>
        </w:rPr>
        <w:t xml:space="preserve">Ce rapport fournit donc des informations générales sur </w:t>
      </w:r>
      <w:r w:rsidR="007E4476" w:rsidRPr="008D77D5">
        <w:rPr>
          <w:lang w:val="fr-FR"/>
        </w:rPr>
        <w:t>cette</w:t>
      </w:r>
      <w:r w:rsidR="007A4C50" w:rsidRPr="008D77D5">
        <w:rPr>
          <w:lang w:val="fr-FR"/>
        </w:rPr>
        <w:t xml:space="preserve"> question</w:t>
      </w:r>
      <w:r w:rsidR="007E4476" w:rsidRPr="008D77D5">
        <w:rPr>
          <w:lang w:val="fr-FR"/>
        </w:rPr>
        <w:t>,</w:t>
      </w:r>
      <w:r w:rsidR="007A4C50" w:rsidRPr="008D77D5">
        <w:rPr>
          <w:lang w:val="fr-FR"/>
        </w:rPr>
        <w:t xml:space="preserve"> et </w:t>
      </w:r>
      <w:r w:rsidR="007E4476" w:rsidRPr="008D77D5">
        <w:rPr>
          <w:lang w:val="fr-FR"/>
        </w:rPr>
        <w:t xml:space="preserve">propose </w:t>
      </w:r>
      <w:r w:rsidR="007A4C50" w:rsidRPr="008D77D5">
        <w:rPr>
          <w:lang w:val="fr-FR"/>
        </w:rPr>
        <w:t xml:space="preserve">des solutions </w:t>
      </w:r>
      <w:r w:rsidR="007A4C50" w:rsidRPr="008D77D5">
        <w:rPr>
          <w:bCs/>
          <w:lang w:val="fr-FR"/>
        </w:rPr>
        <w:t xml:space="preserve">compatibles avec </w:t>
      </w:r>
      <w:r w:rsidR="003E4E03">
        <w:rPr>
          <w:bCs/>
          <w:lang w:val="fr-FR"/>
        </w:rPr>
        <w:t>le</w:t>
      </w:r>
      <w:r w:rsidR="007A4C50" w:rsidRPr="008D77D5">
        <w:rPr>
          <w:bCs/>
          <w:lang w:val="fr-FR"/>
        </w:rPr>
        <w:t xml:space="preserve"> Système harmonisé</w:t>
      </w:r>
      <w:r w:rsidR="00086E7D" w:rsidRPr="008D77D5">
        <w:rPr>
          <w:bCs/>
          <w:lang w:val="fr-FR"/>
        </w:rPr>
        <w:t xml:space="preserve">, pour examen par les </w:t>
      </w:r>
      <w:r w:rsidR="00C476C6">
        <w:rPr>
          <w:bCs/>
          <w:lang w:val="fr-FR"/>
        </w:rPr>
        <w:t>P</w:t>
      </w:r>
      <w:r w:rsidR="00086E7D" w:rsidRPr="008D77D5">
        <w:rPr>
          <w:bCs/>
          <w:lang w:val="fr-FR"/>
        </w:rPr>
        <w:t>arties ainsi que les non</w:t>
      </w:r>
      <w:r w:rsidR="00C32890">
        <w:rPr>
          <w:bCs/>
          <w:lang w:val="fr-FR"/>
        </w:rPr>
        <w:t xml:space="preserve"> P</w:t>
      </w:r>
      <w:r w:rsidR="00086E7D" w:rsidRPr="008D77D5">
        <w:rPr>
          <w:bCs/>
          <w:lang w:val="fr-FR"/>
        </w:rPr>
        <w:t>arties</w:t>
      </w:r>
      <w:r w:rsidR="004E5126" w:rsidRPr="008D77D5">
        <w:rPr>
          <w:bCs/>
          <w:lang w:val="fr-FR"/>
        </w:rPr>
        <w:t>.</w:t>
      </w:r>
    </w:p>
    <w:p w14:paraId="1E99CA58" w14:textId="104E4D16" w:rsidR="00A20821" w:rsidRPr="008D77D5" w:rsidRDefault="008F728D" w:rsidP="008F728D">
      <w:pPr>
        <w:pStyle w:val="CH1"/>
        <w:rPr>
          <w:lang w:val="fr-FR"/>
        </w:rPr>
      </w:pPr>
      <w:r w:rsidRPr="008D77D5">
        <w:rPr>
          <w:lang w:val="fr-FR"/>
        </w:rPr>
        <w:tab/>
        <w:t>I.</w:t>
      </w:r>
      <w:r w:rsidRPr="008D77D5">
        <w:rPr>
          <w:lang w:val="fr-FR"/>
        </w:rPr>
        <w:tab/>
      </w:r>
      <w:r w:rsidR="007A4C50" w:rsidRPr="008D77D5">
        <w:rPr>
          <w:lang w:val="fr-FR"/>
        </w:rPr>
        <w:t>Code</w:t>
      </w:r>
      <w:r w:rsidR="00016334">
        <w:rPr>
          <w:lang w:val="fr-FR"/>
        </w:rPr>
        <w:t>s</w:t>
      </w:r>
      <w:r w:rsidR="007A4C50" w:rsidRPr="008D77D5">
        <w:rPr>
          <w:lang w:val="fr-FR"/>
        </w:rPr>
        <w:t xml:space="preserve"> douaniers</w:t>
      </w:r>
    </w:p>
    <w:p w14:paraId="344E077E" w14:textId="683FBF08" w:rsidR="004E5126" w:rsidRPr="008D77D5" w:rsidRDefault="00D66D59" w:rsidP="002D0F77">
      <w:pPr>
        <w:pStyle w:val="Normalnumber"/>
        <w:rPr>
          <w:lang w:val="fr-FR"/>
        </w:rPr>
      </w:pPr>
      <w:r w:rsidRPr="008D77D5">
        <w:rPr>
          <w:lang w:val="fr-FR"/>
        </w:rPr>
        <w:t>Le Système harmonisé de désignation et de codification des marchandises</w:t>
      </w:r>
      <w:r w:rsidR="004E5126" w:rsidRPr="008D77D5">
        <w:rPr>
          <w:lang w:val="fr-FR"/>
        </w:rPr>
        <w:t xml:space="preserve">, </w:t>
      </w:r>
      <w:r w:rsidRPr="008D77D5">
        <w:rPr>
          <w:lang w:val="fr-FR"/>
        </w:rPr>
        <w:t xml:space="preserve">ou Système harmonisé </w:t>
      </w:r>
      <w:r w:rsidR="004E5126" w:rsidRPr="008D77D5">
        <w:rPr>
          <w:lang w:val="fr-FR"/>
        </w:rPr>
        <w:t>(</w:t>
      </w:r>
      <w:r w:rsidRPr="008D77D5">
        <w:rPr>
          <w:lang w:val="fr-FR"/>
        </w:rPr>
        <w:t>SH</w:t>
      </w:r>
      <w:r w:rsidR="004E5126" w:rsidRPr="008D77D5">
        <w:rPr>
          <w:lang w:val="fr-FR"/>
        </w:rPr>
        <w:t xml:space="preserve">), </w:t>
      </w:r>
      <w:r w:rsidRPr="008D77D5">
        <w:rPr>
          <w:lang w:val="fr-FR"/>
        </w:rPr>
        <w:t>est une nomenclature internationale normalisée utilisée pour classer les produits échangés</w:t>
      </w:r>
      <w:r w:rsidR="004E5126" w:rsidRPr="008D77D5">
        <w:rPr>
          <w:lang w:val="fr-FR"/>
        </w:rPr>
        <w:t xml:space="preserve">. </w:t>
      </w:r>
      <w:r w:rsidR="00B80790">
        <w:rPr>
          <w:lang w:val="fr-FR"/>
        </w:rPr>
        <w:t xml:space="preserve">Il </w:t>
      </w:r>
      <w:r w:rsidRPr="008D77D5">
        <w:rPr>
          <w:lang w:val="fr-FR"/>
        </w:rPr>
        <w:t xml:space="preserve">est entré en vigueur en </w:t>
      </w:r>
      <w:r w:rsidR="004E5126" w:rsidRPr="008D77D5">
        <w:rPr>
          <w:lang w:val="fr-FR"/>
        </w:rPr>
        <w:t xml:space="preserve">1988 </w:t>
      </w:r>
      <w:r w:rsidRPr="008D77D5">
        <w:rPr>
          <w:lang w:val="fr-FR"/>
        </w:rPr>
        <w:t xml:space="preserve">et a depuis été </w:t>
      </w:r>
      <w:r w:rsidR="004139A4" w:rsidRPr="008D77D5">
        <w:rPr>
          <w:lang w:val="fr-FR"/>
        </w:rPr>
        <w:t xml:space="preserve">développé et actualisé par l’Organisation mondiale des douanes </w:t>
      </w:r>
      <w:r w:rsidR="004E5126" w:rsidRPr="008D77D5">
        <w:rPr>
          <w:lang w:val="fr-FR"/>
        </w:rPr>
        <w:t>(</w:t>
      </w:r>
      <w:r w:rsidR="004139A4" w:rsidRPr="008D77D5">
        <w:rPr>
          <w:lang w:val="fr-FR"/>
        </w:rPr>
        <w:t>OMD</w:t>
      </w:r>
      <w:r w:rsidR="004E5126" w:rsidRPr="008D77D5">
        <w:rPr>
          <w:lang w:val="fr-FR"/>
        </w:rPr>
        <w:t xml:space="preserve">), </w:t>
      </w:r>
      <w:r w:rsidR="004139A4" w:rsidRPr="008D77D5">
        <w:rPr>
          <w:lang w:val="fr-FR"/>
        </w:rPr>
        <w:t>un</w:t>
      </w:r>
      <w:r w:rsidR="00016334">
        <w:rPr>
          <w:lang w:val="fr-FR"/>
        </w:rPr>
        <w:t>e</w:t>
      </w:r>
      <w:r w:rsidR="004139A4" w:rsidRPr="008D77D5">
        <w:rPr>
          <w:lang w:val="fr-FR"/>
        </w:rPr>
        <w:t xml:space="preserve"> organisation intergouvernementale indépendante </w:t>
      </w:r>
      <w:r w:rsidR="006B6640" w:rsidRPr="008D77D5">
        <w:rPr>
          <w:lang w:val="fr-FR"/>
        </w:rPr>
        <w:t>ayant</w:t>
      </w:r>
      <w:r w:rsidR="007346B2">
        <w:rPr>
          <w:lang w:val="fr-FR"/>
        </w:rPr>
        <w:t xml:space="preserve"> son siège à </w:t>
      </w:r>
      <w:r w:rsidR="004139A4" w:rsidRPr="008D77D5">
        <w:rPr>
          <w:lang w:val="fr-FR"/>
        </w:rPr>
        <w:t>Bruxelles</w:t>
      </w:r>
      <w:r w:rsidR="004E5126" w:rsidRPr="008D77D5">
        <w:rPr>
          <w:rStyle w:val="FootnoteReference"/>
          <w:lang w:val="fr-FR"/>
        </w:rPr>
        <w:footnoteReference w:id="2"/>
      </w:r>
      <w:r w:rsidR="00B80790">
        <w:rPr>
          <w:lang w:val="fr-FR"/>
        </w:rPr>
        <w:t>.</w:t>
      </w:r>
      <w:r w:rsidR="004E5126" w:rsidRPr="008D77D5">
        <w:rPr>
          <w:lang w:val="fr-FR"/>
        </w:rPr>
        <w:t xml:space="preserve"> </w:t>
      </w:r>
      <w:r w:rsidR="004139A4" w:rsidRPr="008D77D5">
        <w:rPr>
          <w:lang w:val="fr-FR"/>
        </w:rPr>
        <w:t>En mai </w:t>
      </w:r>
      <w:r w:rsidR="004E5126" w:rsidRPr="008D77D5">
        <w:rPr>
          <w:lang w:val="fr-FR"/>
        </w:rPr>
        <w:t>2019, 211</w:t>
      </w:r>
      <w:r w:rsidR="004139A4" w:rsidRPr="008D77D5">
        <w:rPr>
          <w:lang w:val="fr-FR"/>
        </w:rPr>
        <w:t> pays</w:t>
      </w:r>
      <w:r w:rsidR="004E5126" w:rsidRPr="008D77D5">
        <w:rPr>
          <w:lang w:val="fr-FR"/>
        </w:rPr>
        <w:t xml:space="preserve">, </w:t>
      </w:r>
      <w:r w:rsidR="004139A4" w:rsidRPr="008D77D5">
        <w:rPr>
          <w:lang w:val="fr-FR"/>
        </w:rPr>
        <w:t>territoires</w:t>
      </w:r>
      <w:r w:rsidR="0058124C" w:rsidRPr="008D77D5">
        <w:rPr>
          <w:lang w:val="fr-FR"/>
        </w:rPr>
        <w:t xml:space="preserve"> </w:t>
      </w:r>
      <w:r w:rsidR="004139A4" w:rsidRPr="008D77D5">
        <w:rPr>
          <w:lang w:val="fr-FR"/>
        </w:rPr>
        <w:t xml:space="preserve">et unions douanières et économiques </w:t>
      </w:r>
      <w:r w:rsidR="00B80790">
        <w:rPr>
          <w:lang w:val="fr-FR"/>
        </w:rPr>
        <w:t>l’</w:t>
      </w:r>
      <w:r w:rsidR="004139A4" w:rsidRPr="008D77D5">
        <w:rPr>
          <w:lang w:val="fr-FR"/>
        </w:rPr>
        <w:t>appliquaient</w:t>
      </w:r>
      <w:r w:rsidR="00C06F86">
        <w:rPr>
          <w:lang w:val="fr-FR"/>
        </w:rPr>
        <w:t>.</w:t>
      </w:r>
      <w:r w:rsidR="004E5126" w:rsidRPr="008D77D5">
        <w:rPr>
          <w:lang w:val="fr-FR"/>
        </w:rPr>
        <w:t xml:space="preserve"> </w:t>
      </w:r>
      <w:r w:rsidR="007346B2">
        <w:rPr>
          <w:lang w:val="fr-FR"/>
        </w:rPr>
        <w:t>Il </w:t>
      </w:r>
      <w:r w:rsidR="00C06F86">
        <w:rPr>
          <w:lang w:val="fr-FR"/>
        </w:rPr>
        <w:t>s’agit donc d’</w:t>
      </w:r>
      <w:r w:rsidR="004139A4" w:rsidRPr="008D77D5">
        <w:rPr>
          <w:lang w:val="fr-FR"/>
        </w:rPr>
        <w:t>un système efficace et reconnu à l’échelle mondiale</w:t>
      </w:r>
      <w:r w:rsidR="004E5126" w:rsidRPr="008D77D5">
        <w:rPr>
          <w:lang w:val="fr-FR"/>
        </w:rPr>
        <w:t xml:space="preserve">. </w:t>
      </w:r>
      <w:r w:rsidR="004139A4" w:rsidRPr="008D77D5">
        <w:rPr>
          <w:lang w:val="fr-FR"/>
        </w:rPr>
        <w:t>Le S</w:t>
      </w:r>
      <w:r w:rsidR="00B80790">
        <w:rPr>
          <w:lang w:val="fr-FR"/>
        </w:rPr>
        <w:t>H</w:t>
      </w:r>
      <w:r w:rsidR="004139A4" w:rsidRPr="008D77D5">
        <w:rPr>
          <w:lang w:val="fr-FR"/>
        </w:rPr>
        <w:t xml:space="preserve"> est organisé en 21 </w:t>
      </w:r>
      <w:r w:rsidR="004E5126" w:rsidRPr="008D77D5">
        <w:rPr>
          <w:lang w:val="fr-FR"/>
        </w:rPr>
        <w:t xml:space="preserve">sections </w:t>
      </w:r>
      <w:r w:rsidR="004139A4" w:rsidRPr="008D77D5">
        <w:rPr>
          <w:lang w:val="fr-FR"/>
        </w:rPr>
        <w:t xml:space="preserve">subdivisées en </w:t>
      </w:r>
      <w:r w:rsidR="002242D8" w:rsidRPr="008D77D5">
        <w:rPr>
          <w:lang w:val="fr-FR"/>
        </w:rPr>
        <w:t>96</w:t>
      </w:r>
      <w:r w:rsidR="004139A4" w:rsidRPr="008D77D5">
        <w:rPr>
          <w:lang w:val="fr-FR"/>
        </w:rPr>
        <w:t> </w:t>
      </w:r>
      <w:r w:rsidR="004E5126" w:rsidRPr="008D77D5">
        <w:rPr>
          <w:lang w:val="fr-FR"/>
        </w:rPr>
        <w:t>chap</w:t>
      </w:r>
      <w:r w:rsidR="004139A4" w:rsidRPr="008D77D5">
        <w:rPr>
          <w:lang w:val="fr-FR"/>
        </w:rPr>
        <w:t>i</w:t>
      </w:r>
      <w:r w:rsidR="004E5126" w:rsidRPr="008D77D5">
        <w:rPr>
          <w:lang w:val="fr-FR"/>
        </w:rPr>
        <w:t>tr</w:t>
      </w:r>
      <w:r w:rsidR="004139A4" w:rsidRPr="008D77D5">
        <w:rPr>
          <w:lang w:val="fr-FR"/>
        </w:rPr>
        <w:t>e</w:t>
      </w:r>
      <w:r w:rsidR="004E5126" w:rsidRPr="008D77D5">
        <w:rPr>
          <w:lang w:val="fr-FR"/>
        </w:rPr>
        <w:t xml:space="preserve">s. </w:t>
      </w:r>
      <w:r w:rsidR="004139A4" w:rsidRPr="008D77D5">
        <w:rPr>
          <w:lang w:val="fr-FR"/>
        </w:rPr>
        <w:t xml:space="preserve">Ces </w:t>
      </w:r>
      <w:r w:rsidR="002242D8" w:rsidRPr="008D77D5">
        <w:rPr>
          <w:lang w:val="fr-FR"/>
        </w:rPr>
        <w:t>96</w:t>
      </w:r>
      <w:r w:rsidR="004139A4" w:rsidRPr="008D77D5">
        <w:rPr>
          <w:lang w:val="fr-FR"/>
        </w:rPr>
        <w:t xml:space="preserve"> chapitres sont </w:t>
      </w:r>
      <w:r w:rsidR="00FB6081" w:rsidRPr="008D77D5">
        <w:rPr>
          <w:lang w:val="fr-FR"/>
        </w:rPr>
        <w:t xml:space="preserve">à leur tour </w:t>
      </w:r>
      <w:r w:rsidR="004139A4" w:rsidRPr="008D77D5">
        <w:rPr>
          <w:lang w:val="fr-FR"/>
        </w:rPr>
        <w:t xml:space="preserve">subdivisés en </w:t>
      </w:r>
      <w:r w:rsidR="00FB6081" w:rsidRPr="008D77D5">
        <w:rPr>
          <w:lang w:val="fr-FR"/>
        </w:rPr>
        <w:t>quelque</w:t>
      </w:r>
      <w:r w:rsidR="004139A4" w:rsidRPr="008D77D5">
        <w:rPr>
          <w:lang w:val="fr-FR"/>
        </w:rPr>
        <w:t xml:space="preserve"> </w:t>
      </w:r>
      <w:r w:rsidR="002242D8" w:rsidRPr="008D77D5">
        <w:rPr>
          <w:lang w:val="fr-FR"/>
        </w:rPr>
        <w:t>1</w:t>
      </w:r>
      <w:r w:rsidR="007A3E56" w:rsidRPr="008D77D5">
        <w:rPr>
          <w:lang w:val="fr-FR"/>
        </w:rPr>
        <w:t> </w:t>
      </w:r>
      <w:r w:rsidR="002242D8" w:rsidRPr="008D77D5">
        <w:rPr>
          <w:lang w:val="fr-FR"/>
        </w:rPr>
        <w:t>200</w:t>
      </w:r>
      <w:r w:rsidR="007A3E56" w:rsidRPr="008D77D5">
        <w:rPr>
          <w:lang w:val="fr-FR"/>
        </w:rPr>
        <w:t> positions et</w:t>
      </w:r>
      <w:r w:rsidR="00201532">
        <w:rPr>
          <w:lang w:val="fr-FR"/>
        </w:rPr>
        <w:t> </w:t>
      </w:r>
      <w:r w:rsidR="002242D8" w:rsidRPr="008D77D5">
        <w:rPr>
          <w:lang w:val="fr-FR"/>
        </w:rPr>
        <w:t>5</w:t>
      </w:r>
      <w:r w:rsidR="00FB6081" w:rsidRPr="008D77D5">
        <w:rPr>
          <w:lang w:val="fr-FR"/>
        </w:rPr>
        <w:t> </w:t>
      </w:r>
      <w:r w:rsidR="002242D8" w:rsidRPr="008D77D5">
        <w:rPr>
          <w:lang w:val="fr-FR"/>
        </w:rPr>
        <w:t>400</w:t>
      </w:r>
      <w:r w:rsidR="00FB6081" w:rsidRPr="008D77D5">
        <w:rPr>
          <w:lang w:val="fr-FR"/>
        </w:rPr>
        <w:t> </w:t>
      </w:r>
      <w:r w:rsidR="007A3E56" w:rsidRPr="008D77D5">
        <w:rPr>
          <w:lang w:val="fr-FR"/>
        </w:rPr>
        <w:t>sous-positions décrivant les produits de manière plus détaillée</w:t>
      </w:r>
      <w:r w:rsidR="004E5126" w:rsidRPr="008D77D5">
        <w:rPr>
          <w:lang w:val="fr-FR"/>
        </w:rPr>
        <w:t xml:space="preserve">. </w:t>
      </w:r>
      <w:r w:rsidR="007A3E56" w:rsidRPr="008D77D5">
        <w:rPr>
          <w:lang w:val="fr-FR"/>
        </w:rPr>
        <w:t xml:space="preserve">Toutefois, à l’heure actuelle, </w:t>
      </w:r>
      <w:r w:rsidR="007346B2">
        <w:rPr>
          <w:lang w:val="fr-FR"/>
        </w:rPr>
        <w:t>le </w:t>
      </w:r>
      <w:r w:rsidR="00B80790" w:rsidRPr="00B80790">
        <w:rPr>
          <w:lang w:val="fr-FR"/>
        </w:rPr>
        <w:t>S</w:t>
      </w:r>
      <w:r w:rsidR="00B80790">
        <w:rPr>
          <w:lang w:val="fr-FR"/>
        </w:rPr>
        <w:t>H</w:t>
      </w:r>
      <w:r w:rsidR="00B80790" w:rsidRPr="00B80790">
        <w:rPr>
          <w:lang w:val="fr-FR"/>
        </w:rPr>
        <w:t xml:space="preserve"> </w:t>
      </w:r>
      <w:r w:rsidR="007A3E56" w:rsidRPr="008D77D5">
        <w:rPr>
          <w:lang w:val="fr-FR"/>
        </w:rPr>
        <w:t xml:space="preserve">n’est généralement pas suffisamment détaillé pour faire la distinction entre les produits contenant du mercure </w:t>
      </w:r>
      <w:r w:rsidR="00FB6081" w:rsidRPr="008D77D5">
        <w:rPr>
          <w:lang w:val="fr-FR"/>
        </w:rPr>
        <w:t xml:space="preserve">ajouté </w:t>
      </w:r>
      <w:r w:rsidR="007A3E56" w:rsidRPr="008D77D5">
        <w:rPr>
          <w:lang w:val="fr-FR"/>
        </w:rPr>
        <w:t xml:space="preserve">et ceux </w:t>
      </w:r>
      <w:r w:rsidR="00B80790">
        <w:rPr>
          <w:lang w:val="fr-FR"/>
        </w:rPr>
        <w:t xml:space="preserve">qui </w:t>
      </w:r>
      <w:r w:rsidR="007A3E56" w:rsidRPr="008D77D5">
        <w:rPr>
          <w:lang w:val="fr-FR"/>
        </w:rPr>
        <w:t>n’en cont</w:t>
      </w:r>
      <w:r w:rsidR="00B80790">
        <w:rPr>
          <w:lang w:val="fr-FR"/>
        </w:rPr>
        <w:t>iennen</w:t>
      </w:r>
      <w:r w:rsidR="007A3E56" w:rsidRPr="008D77D5">
        <w:rPr>
          <w:lang w:val="fr-FR"/>
        </w:rPr>
        <w:t>t pas</w:t>
      </w:r>
      <w:r w:rsidR="004E5126" w:rsidRPr="008D77D5">
        <w:rPr>
          <w:lang w:val="fr-FR"/>
        </w:rPr>
        <w:t>.</w:t>
      </w:r>
    </w:p>
    <w:p w14:paraId="1A21687A" w14:textId="35AE7855" w:rsidR="004E5126" w:rsidRPr="008D77D5" w:rsidRDefault="007A3E56" w:rsidP="008D77D5">
      <w:pPr>
        <w:pStyle w:val="Normalnumber"/>
        <w:rPr>
          <w:lang w:val="fr-FR"/>
        </w:rPr>
      </w:pPr>
      <w:r w:rsidRPr="008D77D5">
        <w:rPr>
          <w:lang w:val="fr-FR"/>
        </w:rPr>
        <w:t>Un code de base du SH contient jusqu’à six chiffres</w:t>
      </w:r>
      <w:r w:rsidR="004E5126" w:rsidRPr="008D77D5">
        <w:rPr>
          <w:lang w:val="fr-FR"/>
        </w:rPr>
        <w:t xml:space="preserve">. </w:t>
      </w:r>
      <w:r w:rsidRPr="008D77D5">
        <w:rPr>
          <w:lang w:val="fr-FR"/>
        </w:rPr>
        <w:t xml:space="preserve">Jusqu’au niveau </w:t>
      </w:r>
      <w:r w:rsidR="001C6354">
        <w:rPr>
          <w:lang w:val="fr-FR"/>
        </w:rPr>
        <w:t xml:space="preserve">de codage </w:t>
      </w:r>
      <w:r w:rsidRPr="008D77D5">
        <w:rPr>
          <w:lang w:val="fr-FR"/>
        </w:rPr>
        <w:t>à six chiffres</w:t>
      </w:r>
      <w:r w:rsidR="004E5126" w:rsidRPr="008D77D5">
        <w:rPr>
          <w:lang w:val="fr-FR"/>
        </w:rPr>
        <w:t xml:space="preserve">, </w:t>
      </w:r>
      <w:r w:rsidRPr="008D77D5">
        <w:rPr>
          <w:lang w:val="fr-FR"/>
        </w:rPr>
        <w:t xml:space="preserve">les </w:t>
      </w:r>
      <w:r w:rsidR="00C32890">
        <w:rPr>
          <w:lang w:val="fr-FR"/>
        </w:rPr>
        <w:t>Parties</w:t>
      </w:r>
      <w:r w:rsidRPr="008D77D5">
        <w:rPr>
          <w:lang w:val="fr-FR"/>
        </w:rPr>
        <w:t xml:space="preserve"> </w:t>
      </w:r>
      <w:r w:rsidR="00E256D7">
        <w:rPr>
          <w:lang w:val="fr-FR"/>
        </w:rPr>
        <w:t xml:space="preserve">contractantes </w:t>
      </w:r>
      <w:r w:rsidRPr="008D77D5">
        <w:rPr>
          <w:lang w:val="fr-FR"/>
        </w:rPr>
        <w:t>à la Convention internationale sur le système</w:t>
      </w:r>
      <w:r w:rsidR="00201532">
        <w:rPr>
          <w:lang w:val="fr-FR"/>
        </w:rPr>
        <w:t xml:space="preserve"> harmonisé de désignation et de </w:t>
      </w:r>
      <w:r w:rsidRPr="008D77D5">
        <w:rPr>
          <w:lang w:val="fr-FR"/>
        </w:rPr>
        <w:t xml:space="preserve">codification des marchandises </w:t>
      </w:r>
      <w:r w:rsidR="009C29CF">
        <w:rPr>
          <w:lang w:val="fr-FR"/>
        </w:rPr>
        <w:t>ont convenu d’</w:t>
      </w:r>
      <w:r w:rsidR="0097319D" w:rsidRPr="008D77D5">
        <w:rPr>
          <w:lang w:val="fr-FR"/>
        </w:rPr>
        <w:t>utilise</w:t>
      </w:r>
      <w:r w:rsidR="009C29CF">
        <w:rPr>
          <w:lang w:val="fr-FR"/>
        </w:rPr>
        <w:t>r</w:t>
      </w:r>
      <w:r w:rsidR="0097319D" w:rsidRPr="008D77D5">
        <w:rPr>
          <w:lang w:val="fr-FR"/>
        </w:rPr>
        <w:t xml:space="preserve"> la nomenclatur</w:t>
      </w:r>
      <w:r w:rsidR="00201532">
        <w:rPr>
          <w:lang w:val="fr-FR"/>
        </w:rPr>
        <w:t>e du SH pour les chapitres, les </w:t>
      </w:r>
      <w:r w:rsidR="0097319D" w:rsidRPr="008D77D5">
        <w:rPr>
          <w:lang w:val="fr-FR"/>
        </w:rPr>
        <w:t>positions et les sous-positions</w:t>
      </w:r>
      <w:r w:rsidR="004E5126" w:rsidRPr="008D77D5">
        <w:rPr>
          <w:lang w:val="fr-FR"/>
        </w:rPr>
        <w:t xml:space="preserve">, </w:t>
      </w:r>
      <w:r w:rsidR="0097319D" w:rsidRPr="008D77D5">
        <w:rPr>
          <w:lang w:val="fr-FR"/>
        </w:rPr>
        <w:t>ainsi que les notes légales pertinentes</w:t>
      </w:r>
      <w:r w:rsidR="004E5126" w:rsidRPr="008D77D5">
        <w:rPr>
          <w:lang w:val="fr-FR"/>
        </w:rPr>
        <w:t xml:space="preserve">. </w:t>
      </w:r>
      <w:r w:rsidR="0097319D" w:rsidRPr="008D77D5">
        <w:rPr>
          <w:lang w:val="fr-FR"/>
        </w:rPr>
        <w:t xml:space="preserve">À ce niveau, la gestion des codes du SH </w:t>
      </w:r>
      <w:r w:rsidR="00E256D7">
        <w:rPr>
          <w:lang w:val="fr-FR"/>
        </w:rPr>
        <w:t>incombe à</w:t>
      </w:r>
      <w:r w:rsidR="0097319D" w:rsidRPr="008D77D5">
        <w:rPr>
          <w:lang w:val="fr-FR"/>
        </w:rPr>
        <w:t xml:space="preserve"> l’OMD</w:t>
      </w:r>
      <w:r w:rsidR="007F41D2" w:rsidRPr="008D77D5">
        <w:rPr>
          <w:lang w:val="fr-FR"/>
        </w:rPr>
        <w:t>,</w:t>
      </w:r>
      <w:r w:rsidR="00AC3D2A" w:rsidRPr="008D77D5">
        <w:rPr>
          <w:lang w:val="fr-FR"/>
        </w:rPr>
        <w:t xml:space="preserve"> </w:t>
      </w:r>
      <w:r w:rsidR="0097319D" w:rsidRPr="008D77D5">
        <w:rPr>
          <w:lang w:val="fr-FR"/>
        </w:rPr>
        <w:t>et des modifications sont apportées tous les cinq ou six ans en conformité avec la procédure de soumission et d’approbation de l’OMD</w:t>
      </w:r>
      <w:r w:rsidR="00123D07" w:rsidRPr="008D77D5">
        <w:rPr>
          <w:lang w:val="fr-FR"/>
        </w:rPr>
        <w:t xml:space="preserve">. </w:t>
      </w:r>
      <w:r w:rsidR="0097319D" w:rsidRPr="008D77D5">
        <w:rPr>
          <w:lang w:val="fr-FR"/>
        </w:rPr>
        <w:t xml:space="preserve">À quelques très rares exceptions près, tous les pays utilisent </w:t>
      </w:r>
      <w:r w:rsidR="00E256D7">
        <w:rPr>
          <w:lang w:val="fr-FR"/>
        </w:rPr>
        <w:t xml:space="preserve">donc </w:t>
      </w:r>
      <w:r w:rsidR="0097319D" w:rsidRPr="008D77D5">
        <w:rPr>
          <w:lang w:val="fr-FR"/>
        </w:rPr>
        <w:t>la même nomenclature à six chiffres</w:t>
      </w:r>
      <w:r w:rsidR="00123D07" w:rsidRPr="008D77D5">
        <w:rPr>
          <w:rStyle w:val="FootnoteReference"/>
          <w:lang w:val="fr-FR"/>
        </w:rPr>
        <w:footnoteReference w:id="3"/>
      </w:r>
      <w:r w:rsidR="00E256D7">
        <w:rPr>
          <w:lang w:val="fr-FR"/>
        </w:rPr>
        <w:t>.</w:t>
      </w:r>
      <w:r w:rsidR="00123D07" w:rsidRPr="008D77D5">
        <w:rPr>
          <w:lang w:val="fr-FR"/>
        </w:rPr>
        <w:t xml:space="preserve"> </w:t>
      </w:r>
      <w:r w:rsidR="00962123" w:rsidRPr="008D77D5">
        <w:rPr>
          <w:lang w:val="fr-FR"/>
        </w:rPr>
        <w:t xml:space="preserve">Les codes douaniers </w:t>
      </w:r>
      <w:r w:rsidR="00E05B7B">
        <w:rPr>
          <w:lang w:val="fr-FR"/>
        </w:rPr>
        <w:t xml:space="preserve">qui </w:t>
      </w:r>
      <w:r w:rsidR="00962123" w:rsidRPr="008D77D5">
        <w:rPr>
          <w:lang w:val="fr-FR"/>
        </w:rPr>
        <w:t>compt</w:t>
      </w:r>
      <w:r w:rsidR="00E05B7B">
        <w:rPr>
          <w:lang w:val="fr-FR"/>
        </w:rPr>
        <w:t>e</w:t>
      </w:r>
      <w:r w:rsidR="00962123" w:rsidRPr="008D77D5">
        <w:rPr>
          <w:lang w:val="fr-FR"/>
        </w:rPr>
        <w:t xml:space="preserve">nt plus de </w:t>
      </w:r>
      <w:r w:rsidR="00E05B7B">
        <w:rPr>
          <w:lang w:val="fr-FR"/>
        </w:rPr>
        <w:t>six</w:t>
      </w:r>
      <w:r w:rsidR="00962123" w:rsidRPr="008D77D5">
        <w:rPr>
          <w:lang w:val="fr-FR"/>
        </w:rPr>
        <w:t xml:space="preserve"> chiffres </w:t>
      </w:r>
      <w:r w:rsidR="003C52D4" w:rsidRPr="008D77D5">
        <w:rPr>
          <w:lang w:val="fr-FR"/>
        </w:rPr>
        <w:t>–</w:t>
      </w:r>
      <w:r w:rsidR="009C29CF">
        <w:rPr>
          <w:lang w:val="fr-FR"/>
        </w:rPr>
        <w:t> </w:t>
      </w:r>
      <w:r w:rsidR="00962123" w:rsidRPr="008D77D5">
        <w:rPr>
          <w:lang w:val="fr-FR"/>
        </w:rPr>
        <w:t>généralement utilisés à des fins tarifaires et statistiques</w:t>
      </w:r>
      <w:r w:rsidR="009C29CF">
        <w:rPr>
          <w:lang w:val="fr-FR"/>
        </w:rPr>
        <w:t> </w:t>
      </w:r>
      <w:r w:rsidR="003C52D4" w:rsidRPr="008D77D5">
        <w:rPr>
          <w:lang w:val="fr-FR"/>
        </w:rPr>
        <w:t xml:space="preserve">– </w:t>
      </w:r>
      <w:r w:rsidR="00962123" w:rsidRPr="008D77D5">
        <w:rPr>
          <w:lang w:val="fr-FR"/>
        </w:rPr>
        <w:t xml:space="preserve">peuvent être révisés ou créés unilatéralement par chaque pays </w:t>
      </w:r>
      <w:r w:rsidR="00B80790">
        <w:rPr>
          <w:lang w:val="fr-FR"/>
        </w:rPr>
        <w:t>selon</w:t>
      </w:r>
      <w:r w:rsidR="00962123" w:rsidRPr="008D77D5">
        <w:rPr>
          <w:lang w:val="fr-FR"/>
        </w:rPr>
        <w:t xml:space="preserve"> de</w:t>
      </w:r>
      <w:r w:rsidR="002B062B">
        <w:rPr>
          <w:lang w:val="fr-FR"/>
        </w:rPr>
        <w:t xml:space="preserve">s </w:t>
      </w:r>
      <w:r w:rsidR="00962123" w:rsidRPr="008D77D5">
        <w:rPr>
          <w:lang w:val="fr-FR"/>
        </w:rPr>
        <w:t>procédures</w:t>
      </w:r>
      <w:r w:rsidR="002B062B">
        <w:rPr>
          <w:lang w:val="fr-FR"/>
        </w:rPr>
        <w:t xml:space="preserve"> qui lui sont propres</w:t>
      </w:r>
      <w:r w:rsidR="00123D07" w:rsidRPr="008D77D5">
        <w:rPr>
          <w:lang w:val="fr-FR"/>
        </w:rPr>
        <w:t xml:space="preserve">. </w:t>
      </w:r>
      <w:r w:rsidR="00201532">
        <w:rPr>
          <w:lang w:val="fr-FR"/>
        </w:rPr>
        <w:t>La </w:t>
      </w:r>
      <w:r w:rsidR="00962123" w:rsidRPr="008D77D5">
        <w:rPr>
          <w:lang w:val="fr-FR"/>
        </w:rPr>
        <w:t xml:space="preserve">plupart des pays </w:t>
      </w:r>
      <w:r w:rsidR="00E05B7B">
        <w:rPr>
          <w:lang w:val="fr-FR"/>
        </w:rPr>
        <w:t xml:space="preserve">qui </w:t>
      </w:r>
      <w:r w:rsidR="00962123" w:rsidRPr="008D77D5">
        <w:rPr>
          <w:lang w:val="fr-FR"/>
        </w:rPr>
        <w:t>utilis</w:t>
      </w:r>
      <w:r w:rsidR="00E05B7B">
        <w:rPr>
          <w:lang w:val="fr-FR"/>
        </w:rPr>
        <w:t>e</w:t>
      </w:r>
      <w:r w:rsidR="00962123" w:rsidRPr="008D77D5">
        <w:rPr>
          <w:lang w:val="fr-FR"/>
        </w:rPr>
        <w:t xml:space="preserve">nt le Système harmonisé ont </w:t>
      </w:r>
      <w:r w:rsidR="00E05B7B">
        <w:rPr>
          <w:lang w:val="fr-FR"/>
        </w:rPr>
        <w:t xml:space="preserve">mis en place </w:t>
      </w:r>
      <w:r w:rsidR="00962123" w:rsidRPr="008D77D5">
        <w:rPr>
          <w:lang w:val="fr-FR"/>
        </w:rPr>
        <w:t xml:space="preserve">des procédures </w:t>
      </w:r>
      <w:r w:rsidR="009C29CF">
        <w:rPr>
          <w:lang w:val="fr-FR"/>
        </w:rPr>
        <w:t>pour l’</w:t>
      </w:r>
      <w:r w:rsidR="00E05B7B">
        <w:rPr>
          <w:lang w:val="fr-FR"/>
        </w:rPr>
        <w:t>applic</w:t>
      </w:r>
      <w:r w:rsidR="009C29CF">
        <w:rPr>
          <w:lang w:val="fr-FR"/>
        </w:rPr>
        <w:t xml:space="preserve">ation de </w:t>
      </w:r>
      <w:r w:rsidR="00962123" w:rsidRPr="008D77D5">
        <w:rPr>
          <w:lang w:val="fr-FR"/>
        </w:rPr>
        <w:t>codes douaniers de plus de six chiffres</w:t>
      </w:r>
      <w:r w:rsidR="00123D07" w:rsidRPr="008D77D5">
        <w:rPr>
          <w:lang w:val="fr-FR"/>
        </w:rPr>
        <w:t>.</w:t>
      </w:r>
    </w:p>
    <w:p w14:paraId="3F265D02" w14:textId="3BC7BB40" w:rsidR="00123D07" w:rsidRPr="008D77D5" w:rsidRDefault="009C29CF" w:rsidP="002D0F77">
      <w:pPr>
        <w:pStyle w:val="Normalnumber"/>
        <w:rPr>
          <w:shd w:val="clear" w:color="auto" w:fill="FFFFFF"/>
          <w:lang w:val="fr-FR"/>
        </w:rPr>
      </w:pPr>
      <w:r>
        <w:rPr>
          <w:lang w:val="fr-FR"/>
        </w:rPr>
        <w:t xml:space="preserve">D’après les études menées, </w:t>
      </w:r>
      <w:r w:rsidR="00962123" w:rsidRPr="008D77D5">
        <w:rPr>
          <w:lang w:val="fr-FR"/>
        </w:rPr>
        <w:t xml:space="preserve">les pays qui </w:t>
      </w:r>
      <w:r>
        <w:rPr>
          <w:lang w:val="fr-FR"/>
        </w:rPr>
        <w:t xml:space="preserve">utilisent des </w:t>
      </w:r>
      <w:r w:rsidR="00962123" w:rsidRPr="008D77D5">
        <w:rPr>
          <w:lang w:val="fr-FR"/>
        </w:rPr>
        <w:t>codes</w:t>
      </w:r>
      <w:r>
        <w:rPr>
          <w:lang w:val="fr-FR"/>
        </w:rPr>
        <w:t xml:space="preserve"> </w:t>
      </w:r>
      <w:r w:rsidR="002B062B">
        <w:rPr>
          <w:lang w:val="fr-FR"/>
        </w:rPr>
        <w:t xml:space="preserve">comptant </w:t>
      </w:r>
      <w:r>
        <w:rPr>
          <w:lang w:val="fr-FR"/>
        </w:rPr>
        <w:t xml:space="preserve">plus de </w:t>
      </w:r>
      <w:r w:rsidR="00914082">
        <w:rPr>
          <w:lang w:val="fr-FR"/>
        </w:rPr>
        <w:t>six chiffres aux </w:t>
      </w:r>
      <w:r w:rsidR="00962123" w:rsidRPr="008D77D5">
        <w:rPr>
          <w:lang w:val="fr-FR"/>
        </w:rPr>
        <w:t xml:space="preserve">niveaux régional et national le font généralement </w:t>
      </w:r>
      <w:r w:rsidR="003764B6">
        <w:rPr>
          <w:lang w:val="fr-FR"/>
        </w:rPr>
        <w:t>à des fins de perception</w:t>
      </w:r>
      <w:r>
        <w:rPr>
          <w:lang w:val="fr-FR"/>
        </w:rPr>
        <w:t xml:space="preserve"> de </w:t>
      </w:r>
      <w:r w:rsidR="00962123" w:rsidRPr="008D77D5">
        <w:rPr>
          <w:lang w:val="fr-FR"/>
        </w:rPr>
        <w:t>droits de douane, principalement par la création de codes « tarifaires » à huit chiffres</w:t>
      </w:r>
      <w:r w:rsidR="00F261D2" w:rsidRPr="008D77D5">
        <w:rPr>
          <w:lang w:val="fr-FR"/>
        </w:rPr>
        <w:t>.</w:t>
      </w:r>
      <w:r w:rsidR="00123D07" w:rsidRPr="008D77D5">
        <w:rPr>
          <w:lang w:val="fr-FR"/>
        </w:rPr>
        <w:t xml:space="preserve"> </w:t>
      </w:r>
      <w:r w:rsidR="00962123" w:rsidRPr="008D77D5">
        <w:rPr>
          <w:lang w:val="fr-FR"/>
        </w:rPr>
        <w:t xml:space="preserve">De même, </w:t>
      </w:r>
      <w:r w:rsidR="005112CA">
        <w:rPr>
          <w:lang w:val="fr-FR"/>
        </w:rPr>
        <w:t>d</w:t>
      </w:r>
      <w:r w:rsidR="00914082">
        <w:rPr>
          <w:lang w:val="fr-FR"/>
        </w:rPr>
        <w:t>es codes douaniers à 10</w:t>
      </w:r>
      <w:r w:rsidR="00962123" w:rsidRPr="008D77D5">
        <w:rPr>
          <w:lang w:val="fr-FR"/>
        </w:rPr>
        <w:t> chiffres ou plus peuvent être créés à des fins statistiques ou autres</w:t>
      </w:r>
      <w:r w:rsidR="00914082">
        <w:rPr>
          <w:lang w:val="fr-FR"/>
        </w:rPr>
        <w:t>, parfois sur recommandation de </w:t>
      </w:r>
      <w:r w:rsidR="00962123" w:rsidRPr="008D77D5">
        <w:rPr>
          <w:lang w:val="fr-FR"/>
        </w:rPr>
        <w:t>l’OMD</w:t>
      </w:r>
      <w:r w:rsidR="00123D07" w:rsidRPr="008D77D5">
        <w:rPr>
          <w:lang w:val="fr-FR"/>
        </w:rPr>
        <w:t xml:space="preserve">. </w:t>
      </w:r>
      <w:r w:rsidR="003764B6">
        <w:rPr>
          <w:lang w:val="fr-FR"/>
        </w:rPr>
        <w:t>C’est sur les codes à</w:t>
      </w:r>
      <w:r w:rsidR="005112CA">
        <w:rPr>
          <w:lang w:val="fr-FR"/>
        </w:rPr>
        <w:t xml:space="preserve"> </w:t>
      </w:r>
      <w:r w:rsidR="00962123" w:rsidRPr="008D77D5">
        <w:rPr>
          <w:lang w:val="fr-FR"/>
        </w:rPr>
        <w:t xml:space="preserve">huit et </w:t>
      </w:r>
      <w:r w:rsidR="00914082">
        <w:rPr>
          <w:lang w:val="fr-FR"/>
        </w:rPr>
        <w:t>10</w:t>
      </w:r>
      <w:r w:rsidR="00962123" w:rsidRPr="008D77D5">
        <w:rPr>
          <w:lang w:val="fr-FR"/>
        </w:rPr>
        <w:t> chiffres</w:t>
      </w:r>
      <w:r w:rsidR="003764B6">
        <w:rPr>
          <w:lang w:val="fr-FR"/>
        </w:rPr>
        <w:t xml:space="preserve"> que</w:t>
      </w:r>
      <w:r w:rsidR="00962123" w:rsidRPr="008D77D5">
        <w:rPr>
          <w:lang w:val="fr-FR"/>
        </w:rPr>
        <w:t xml:space="preserve"> le </w:t>
      </w:r>
      <w:r w:rsidR="003764B6">
        <w:rPr>
          <w:lang w:val="fr-FR"/>
        </w:rPr>
        <w:t>Partenariat sur les produits</w:t>
      </w:r>
      <w:r w:rsidR="00962123" w:rsidRPr="008D77D5">
        <w:rPr>
          <w:lang w:val="fr-FR"/>
        </w:rPr>
        <w:t xml:space="preserve"> envisag</w:t>
      </w:r>
      <w:r w:rsidR="003764B6">
        <w:rPr>
          <w:lang w:val="fr-FR"/>
        </w:rPr>
        <w:t>eait</w:t>
      </w:r>
      <w:r w:rsidR="00914082">
        <w:rPr>
          <w:lang w:val="fr-FR"/>
        </w:rPr>
        <w:t xml:space="preserve"> une </w:t>
      </w:r>
      <w:r w:rsidR="00962123" w:rsidRPr="008D77D5">
        <w:rPr>
          <w:lang w:val="fr-FR"/>
        </w:rPr>
        <w:t xml:space="preserve">éventuelle collaboration entre les </w:t>
      </w:r>
      <w:r w:rsidR="009E68C8">
        <w:rPr>
          <w:lang w:val="fr-FR"/>
        </w:rPr>
        <w:t>P</w:t>
      </w:r>
      <w:r w:rsidR="00962123" w:rsidRPr="008D77D5">
        <w:rPr>
          <w:lang w:val="fr-FR"/>
        </w:rPr>
        <w:t xml:space="preserve">arties, </w:t>
      </w:r>
      <w:r w:rsidR="003764B6">
        <w:rPr>
          <w:lang w:val="fr-FR"/>
        </w:rPr>
        <w:t>dans le but</w:t>
      </w:r>
      <w:r w:rsidR="00962123" w:rsidRPr="008D77D5">
        <w:rPr>
          <w:lang w:val="fr-FR"/>
        </w:rPr>
        <w:t xml:space="preserve"> d</w:t>
      </w:r>
      <w:r w:rsidR="009836EE" w:rsidRPr="008D77D5">
        <w:rPr>
          <w:lang w:val="fr-FR"/>
        </w:rPr>
        <w:t xml:space="preserve">’obtenir des données de meilleure qualité </w:t>
      </w:r>
      <w:r w:rsidR="00374E0A">
        <w:rPr>
          <w:lang w:val="fr-FR"/>
        </w:rPr>
        <w:t xml:space="preserve">sur les échanges, </w:t>
      </w:r>
      <w:r w:rsidR="005112CA">
        <w:rPr>
          <w:lang w:val="fr-FR"/>
        </w:rPr>
        <w:t xml:space="preserve">permettant de faire </w:t>
      </w:r>
      <w:r w:rsidR="009836EE" w:rsidRPr="008D77D5">
        <w:rPr>
          <w:lang w:val="fr-FR"/>
        </w:rPr>
        <w:t xml:space="preserve">la distinction entre les produits sans mercure ajouté et ceux </w:t>
      </w:r>
      <w:r w:rsidR="00201532">
        <w:rPr>
          <w:lang w:val="fr-FR"/>
        </w:rPr>
        <w:t>en </w:t>
      </w:r>
      <w:r w:rsidR="009836EE" w:rsidRPr="008D77D5">
        <w:rPr>
          <w:lang w:val="fr-FR"/>
        </w:rPr>
        <w:t xml:space="preserve">contenant </w:t>
      </w:r>
      <w:r w:rsidR="00B80790">
        <w:rPr>
          <w:lang w:val="fr-FR"/>
        </w:rPr>
        <w:t xml:space="preserve">qui </w:t>
      </w:r>
      <w:r w:rsidR="005112CA">
        <w:rPr>
          <w:lang w:val="fr-FR"/>
        </w:rPr>
        <w:t>figur</w:t>
      </w:r>
      <w:r w:rsidR="00B80790">
        <w:rPr>
          <w:lang w:val="fr-FR"/>
        </w:rPr>
        <w:t>e</w:t>
      </w:r>
      <w:r w:rsidR="005112CA">
        <w:rPr>
          <w:lang w:val="fr-FR"/>
        </w:rPr>
        <w:t xml:space="preserve">nt </w:t>
      </w:r>
      <w:r w:rsidR="009836EE" w:rsidRPr="008D77D5">
        <w:rPr>
          <w:lang w:val="fr-FR"/>
        </w:rPr>
        <w:t xml:space="preserve">dans l’Annexe A </w:t>
      </w:r>
      <w:r w:rsidR="009836EE" w:rsidRPr="008D77D5">
        <w:rPr>
          <w:shd w:val="clear" w:color="auto" w:fill="FFFFFF"/>
          <w:lang w:val="fr-FR"/>
        </w:rPr>
        <w:t xml:space="preserve">de la Convention de </w:t>
      </w:r>
      <w:r w:rsidR="00123D07" w:rsidRPr="008D77D5">
        <w:rPr>
          <w:shd w:val="clear" w:color="auto" w:fill="FFFFFF"/>
          <w:lang w:val="fr-FR"/>
        </w:rPr>
        <w:t>Minamat</w:t>
      </w:r>
      <w:r w:rsidR="009836EE" w:rsidRPr="008D77D5">
        <w:rPr>
          <w:shd w:val="clear" w:color="auto" w:fill="FFFFFF"/>
          <w:lang w:val="fr-FR"/>
        </w:rPr>
        <w:t>a</w:t>
      </w:r>
      <w:r w:rsidR="00123D07" w:rsidRPr="008D77D5">
        <w:rPr>
          <w:shd w:val="clear" w:color="auto" w:fill="FFFFFF"/>
          <w:lang w:val="fr-FR"/>
        </w:rPr>
        <w:t>.</w:t>
      </w:r>
    </w:p>
    <w:p w14:paraId="2D7ABDAB" w14:textId="7D65629C" w:rsidR="00123D07" w:rsidRPr="008D77D5" w:rsidRDefault="008F728D" w:rsidP="00D93D95">
      <w:pPr>
        <w:pStyle w:val="CH1"/>
        <w:rPr>
          <w:shd w:val="clear" w:color="auto" w:fill="FFFFFF"/>
          <w:lang w:val="fr-FR"/>
        </w:rPr>
      </w:pPr>
      <w:r w:rsidRPr="008D77D5">
        <w:rPr>
          <w:shd w:val="clear" w:color="auto" w:fill="FFFFFF"/>
          <w:lang w:val="fr-FR"/>
        </w:rPr>
        <w:lastRenderedPageBreak/>
        <w:tab/>
        <w:t>II.</w:t>
      </w:r>
      <w:r w:rsidRPr="008D77D5">
        <w:rPr>
          <w:shd w:val="clear" w:color="auto" w:fill="FFFFFF"/>
          <w:lang w:val="fr-FR"/>
        </w:rPr>
        <w:tab/>
      </w:r>
      <w:r w:rsidR="009836EE" w:rsidRPr="008D77D5">
        <w:rPr>
          <w:shd w:val="clear" w:color="auto" w:fill="FFFFFF"/>
          <w:lang w:val="fr-FR"/>
        </w:rPr>
        <w:t>Enquête sur les codes douaniers</w:t>
      </w:r>
    </w:p>
    <w:p w14:paraId="01B04412" w14:textId="17D784F8" w:rsidR="00123D07" w:rsidRPr="008D77D5" w:rsidRDefault="0016300A" w:rsidP="00D93D95">
      <w:pPr>
        <w:pStyle w:val="Normalnumber"/>
        <w:keepNext/>
        <w:keepLines/>
        <w:rPr>
          <w:shd w:val="clear" w:color="auto" w:fill="FFFFFF"/>
          <w:lang w:val="fr-FR"/>
        </w:rPr>
      </w:pPr>
      <w:r w:rsidRPr="008D77D5">
        <w:rPr>
          <w:lang w:val="fr-FR"/>
        </w:rPr>
        <w:t xml:space="preserve">Après avoir mené </w:t>
      </w:r>
      <w:r w:rsidR="00C40F05">
        <w:rPr>
          <w:lang w:val="fr-FR"/>
        </w:rPr>
        <w:t>l</w:t>
      </w:r>
      <w:r w:rsidRPr="008D77D5">
        <w:rPr>
          <w:lang w:val="fr-FR"/>
        </w:rPr>
        <w:t xml:space="preserve">es </w:t>
      </w:r>
      <w:r w:rsidR="00C40F05">
        <w:rPr>
          <w:lang w:val="fr-FR"/>
        </w:rPr>
        <w:t xml:space="preserve">études </w:t>
      </w:r>
      <w:r w:rsidRPr="008D77D5">
        <w:rPr>
          <w:lang w:val="fr-FR"/>
        </w:rPr>
        <w:t>de fond</w:t>
      </w:r>
      <w:r w:rsidR="00C40F05">
        <w:rPr>
          <w:lang w:val="fr-FR"/>
        </w:rPr>
        <w:t xml:space="preserve"> nécessaire</w:t>
      </w:r>
      <w:r w:rsidR="00374E0A">
        <w:rPr>
          <w:lang w:val="fr-FR"/>
        </w:rPr>
        <w:t>s</w:t>
      </w:r>
      <w:r w:rsidR="00DA53AE" w:rsidRPr="008D77D5">
        <w:rPr>
          <w:lang w:val="fr-FR"/>
        </w:rPr>
        <w:t xml:space="preserve">, </w:t>
      </w:r>
      <w:r w:rsidRPr="008D77D5">
        <w:rPr>
          <w:lang w:val="fr-FR"/>
        </w:rPr>
        <w:t xml:space="preserve">le </w:t>
      </w:r>
      <w:r w:rsidR="003764B6">
        <w:rPr>
          <w:lang w:val="fr-FR"/>
        </w:rPr>
        <w:t>Partenariat sur les produits</w:t>
      </w:r>
      <w:r w:rsidR="00D93D95">
        <w:rPr>
          <w:lang w:val="fr-FR"/>
        </w:rPr>
        <w:t xml:space="preserve"> a cherché à </w:t>
      </w:r>
      <w:r w:rsidRPr="008D77D5">
        <w:rPr>
          <w:lang w:val="fr-FR"/>
        </w:rPr>
        <w:t xml:space="preserve">déterminer dans quelle mesure les </w:t>
      </w:r>
      <w:r w:rsidR="00C32890">
        <w:rPr>
          <w:lang w:val="fr-FR"/>
        </w:rPr>
        <w:t>Parties</w:t>
      </w:r>
      <w:r w:rsidRPr="008D77D5">
        <w:rPr>
          <w:lang w:val="fr-FR"/>
        </w:rPr>
        <w:t xml:space="preserve"> à la Convention de Minamata </w:t>
      </w:r>
      <w:r w:rsidR="00F17011" w:rsidRPr="008D77D5">
        <w:rPr>
          <w:lang w:val="fr-FR"/>
        </w:rPr>
        <w:t>étaient intéressées par</w:t>
      </w:r>
      <w:r w:rsidRPr="008D77D5">
        <w:rPr>
          <w:lang w:val="fr-FR"/>
        </w:rPr>
        <w:t xml:space="preserve"> </w:t>
      </w:r>
      <w:r w:rsidR="00C40F05">
        <w:rPr>
          <w:lang w:val="fr-FR"/>
        </w:rPr>
        <w:t xml:space="preserve">une </w:t>
      </w:r>
      <w:r w:rsidRPr="008D77D5">
        <w:rPr>
          <w:lang w:val="fr-FR"/>
        </w:rPr>
        <w:t>optimisation des codes douanier</w:t>
      </w:r>
      <w:r w:rsidR="00A201F7" w:rsidRPr="008D77D5">
        <w:rPr>
          <w:lang w:val="fr-FR"/>
        </w:rPr>
        <w:t>s</w:t>
      </w:r>
      <w:r w:rsidRPr="008D77D5">
        <w:rPr>
          <w:lang w:val="fr-FR"/>
        </w:rPr>
        <w:t xml:space="preserve"> </w:t>
      </w:r>
      <w:r w:rsidR="004F32CC">
        <w:rPr>
          <w:lang w:val="fr-FR"/>
        </w:rPr>
        <w:t>afin d’</w:t>
      </w:r>
      <w:r w:rsidR="00C40F05">
        <w:rPr>
          <w:lang w:val="fr-FR"/>
        </w:rPr>
        <w:t xml:space="preserve">améliorer </w:t>
      </w:r>
      <w:r w:rsidR="004F32CC" w:rsidRPr="004F32CC">
        <w:rPr>
          <w:lang w:val="fr-FR"/>
        </w:rPr>
        <w:t xml:space="preserve">éventuellement </w:t>
      </w:r>
      <w:r w:rsidR="00C40F05">
        <w:rPr>
          <w:lang w:val="fr-FR"/>
        </w:rPr>
        <w:t xml:space="preserve">les </w:t>
      </w:r>
      <w:r w:rsidR="00F17011" w:rsidRPr="008D77D5">
        <w:rPr>
          <w:lang w:val="fr-FR"/>
        </w:rPr>
        <w:t xml:space="preserve">données </w:t>
      </w:r>
      <w:r w:rsidR="00C40F05">
        <w:rPr>
          <w:lang w:val="fr-FR"/>
        </w:rPr>
        <w:t xml:space="preserve">relatives aux </w:t>
      </w:r>
      <w:r w:rsidR="00F17011" w:rsidRPr="008D77D5">
        <w:rPr>
          <w:lang w:val="fr-FR"/>
        </w:rPr>
        <w:t>produits figurant dans l’Annexe </w:t>
      </w:r>
      <w:r w:rsidR="00DA53AE" w:rsidRPr="008D77D5">
        <w:rPr>
          <w:lang w:val="fr-FR"/>
        </w:rPr>
        <w:t>A</w:t>
      </w:r>
      <w:r w:rsidR="00C40F05">
        <w:rPr>
          <w:lang w:val="fr-FR"/>
        </w:rPr>
        <w:t>,</w:t>
      </w:r>
      <w:r w:rsidR="00DA53AE" w:rsidRPr="008D77D5">
        <w:rPr>
          <w:lang w:val="fr-FR"/>
        </w:rPr>
        <w:t xml:space="preserve"> </w:t>
      </w:r>
      <w:r w:rsidR="00C40F05">
        <w:rPr>
          <w:lang w:val="fr-FR"/>
        </w:rPr>
        <w:t xml:space="preserve">et faciliter ainsi l’application </w:t>
      </w:r>
      <w:r w:rsidR="00F17011" w:rsidRPr="008D77D5">
        <w:rPr>
          <w:lang w:val="fr-FR"/>
        </w:rPr>
        <w:t xml:space="preserve">de la </w:t>
      </w:r>
      <w:r w:rsidR="00DA53AE" w:rsidRPr="008D77D5">
        <w:rPr>
          <w:lang w:val="fr-FR"/>
        </w:rPr>
        <w:t>Convention</w:t>
      </w:r>
      <w:r w:rsidR="00F261D2" w:rsidRPr="008D77D5">
        <w:rPr>
          <w:lang w:val="fr-FR"/>
        </w:rPr>
        <w:t xml:space="preserve"> </w:t>
      </w:r>
      <w:r w:rsidR="00F17011" w:rsidRPr="008D77D5">
        <w:rPr>
          <w:lang w:val="fr-FR"/>
        </w:rPr>
        <w:t>et de la dé</w:t>
      </w:r>
      <w:r w:rsidR="00F261D2" w:rsidRPr="008D77D5">
        <w:rPr>
          <w:lang w:val="fr-FR"/>
        </w:rPr>
        <w:t>cision</w:t>
      </w:r>
      <w:r w:rsidR="00F17011" w:rsidRPr="008D77D5">
        <w:rPr>
          <w:lang w:val="fr-FR"/>
        </w:rPr>
        <w:t> </w:t>
      </w:r>
      <w:r w:rsidR="002D6C8A" w:rsidRPr="008D77D5">
        <w:rPr>
          <w:rFonts w:eastAsia="Times New Roman"/>
          <w:lang w:val="fr-FR"/>
        </w:rPr>
        <w:t>MC</w:t>
      </w:r>
      <w:r w:rsidR="002D6C8A" w:rsidRPr="008D77D5">
        <w:rPr>
          <w:rFonts w:eastAsia="Times New Roman"/>
          <w:lang w:val="fr-FR"/>
        </w:rPr>
        <w:noBreakHyphen/>
        <w:t>2/9</w:t>
      </w:r>
      <w:r w:rsidR="00DA53AE" w:rsidRPr="008D77D5">
        <w:rPr>
          <w:lang w:val="fr-FR"/>
        </w:rPr>
        <w:t>.</w:t>
      </w:r>
    </w:p>
    <w:p w14:paraId="572FE737" w14:textId="612AD96E" w:rsidR="00DA53AE" w:rsidRPr="008D77D5" w:rsidRDefault="0016300A" w:rsidP="002D0F77">
      <w:pPr>
        <w:pStyle w:val="Normalnumber"/>
        <w:rPr>
          <w:lang w:val="fr-FR"/>
        </w:rPr>
      </w:pPr>
      <w:r w:rsidRPr="008D77D5">
        <w:rPr>
          <w:lang w:val="fr-FR"/>
        </w:rPr>
        <w:t>E</w:t>
      </w:r>
      <w:r w:rsidR="00DA53AE" w:rsidRPr="008D77D5">
        <w:rPr>
          <w:lang w:val="fr-FR"/>
        </w:rPr>
        <w:t xml:space="preserve">n </w:t>
      </w:r>
      <w:r w:rsidRPr="008D77D5">
        <w:rPr>
          <w:lang w:val="fr-FR"/>
        </w:rPr>
        <w:t>juillet </w:t>
      </w:r>
      <w:r w:rsidR="00DA53AE" w:rsidRPr="008D77D5">
        <w:rPr>
          <w:lang w:val="fr-FR"/>
        </w:rPr>
        <w:t xml:space="preserve">2018, </w:t>
      </w:r>
      <w:r w:rsidR="00F17011" w:rsidRPr="008D77D5">
        <w:rPr>
          <w:lang w:val="fr-FR"/>
        </w:rPr>
        <w:t xml:space="preserve">dans le cadre de l’initiative </w:t>
      </w:r>
      <w:r w:rsidR="00C40F05">
        <w:rPr>
          <w:lang w:val="fr-FR"/>
        </w:rPr>
        <w:t xml:space="preserve">en faveur du </w:t>
      </w:r>
      <w:r w:rsidR="00F17011" w:rsidRPr="008D77D5">
        <w:rPr>
          <w:lang w:val="fr-FR"/>
        </w:rPr>
        <w:t>Système harmonisé</w:t>
      </w:r>
      <w:r w:rsidR="003B001D" w:rsidRPr="008D77D5">
        <w:rPr>
          <w:lang w:val="fr-FR"/>
        </w:rPr>
        <w:t xml:space="preserve">, </w:t>
      </w:r>
      <w:r w:rsidR="00F17011" w:rsidRPr="008D77D5">
        <w:rPr>
          <w:lang w:val="fr-FR"/>
        </w:rPr>
        <w:t xml:space="preserve">une courte enquête en ligne </w:t>
      </w:r>
      <w:r w:rsidR="00DA53AE" w:rsidRPr="008D77D5">
        <w:rPr>
          <w:lang w:val="fr-FR"/>
        </w:rPr>
        <w:t xml:space="preserve">a </w:t>
      </w:r>
      <w:r w:rsidR="00913954" w:rsidRPr="008D77D5">
        <w:rPr>
          <w:lang w:val="fr-FR"/>
        </w:rPr>
        <w:t xml:space="preserve">été </w:t>
      </w:r>
      <w:r w:rsidR="00E05B7B">
        <w:rPr>
          <w:lang w:val="fr-FR"/>
        </w:rPr>
        <w:t>envoyé</w:t>
      </w:r>
      <w:r w:rsidR="00913954" w:rsidRPr="008D77D5">
        <w:rPr>
          <w:lang w:val="fr-FR"/>
        </w:rPr>
        <w:t xml:space="preserve">e aux représentants de </w:t>
      </w:r>
      <w:r w:rsidR="003764B6">
        <w:rPr>
          <w:lang w:val="fr-FR"/>
        </w:rPr>
        <w:t>tous l</w:t>
      </w:r>
      <w:r w:rsidR="00913954" w:rsidRPr="008D77D5">
        <w:rPr>
          <w:lang w:val="fr-FR"/>
        </w:rPr>
        <w:t xml:space="preserve">es gouvernements </w:t>
      </w:r>
      <w:r w:rsidR="003764B6">
        <w:rPr>
          <w:lang w:val="fr-FR"/>
        </w:rPr>
        <w:t>qui avaient</w:t>
      </w:r>
      <w:r w:rsidR="00D93D95">
        <w:rPr>
          <w:lang w:val="fr-FR"/>
        </w:rPr>
        <w:t xml:space="preserve"> assisté à la </w:t>
      </w:r>
      <w:r w:rsidR="00913954" w:rsidRPr="008D77D5">
        <w:rPr>
          <w:lang w:val="fr-FR"/>
        </w:rPr>
        <w:t xml:space="preserve">première réunion de la </w:t>
      </w:r>
      <w:r w:rsidR="00DA53AE" w:rsidRPr="008D77D5">
        <w:rPr>
          <w:lang w:val="fr-FR"/>
        </w:rPr>
        <w:t>Conf</w:t>
      </w:r>
      <w:r w:rsidR="00913954" w:rsidRPr="008D77D5">
        <w:rPr>
          <w:lang w:val="fr-FR"/>
        </w:rPr>
        <w:t>é</w:t>
      </w:r>
      <w:r w:rsidR="00DA53AE" w:rsidRPr="008D77D5">
        <w:rPr>
          <w:lang w:val="fr-FR"/>
        </w:rPr>
        <w:t xml:space="preserve">rence </w:t>
      </w:r>
      <w:r w:rsidR="00913954" w:rsidRPr="008D77D5">
        <w:rPr>
          <w:lang w:val="fr-FR"/>
        </w:rPr>
        <w:t xml:space="preserve">des </w:t>
      </w:r>
      <w:r w:rsidR="00DA53AE" w:rsidRPr="008D77D5">
        <w:rPr>
          <w:lang w:val="fr-FR"/>
        </w:rPr>
        <w:t>Parties</w:t>
      </w:r>
      <w:r w:rsidR="00043DDB" w:rsidRPr="008D77D5">
        <w:rPr>
          <w:lang w:val="fr-FR"/>
        </w:rPr>
        <w:t>.</w:t>
      </w:r>
      <w:r w:rsidR="00DA53AE" w:rsidRPr="008D77D5">
        <w:rPr>
          <w:lang w:val="fr-FR"/>
        </w:rPr>
        <w:t xml:space="preserve"> </w:t>
      </w:r>
      <w:r w:rsidR="00A32AA8" w:rsidRPr="008D77D5">
        <w:rPr>
          <w:lang w:val="fr-FR"/>
        </w:rPr>
        <w:t>(</w:t>
      </w:r>
      <w:r w:rsidR="00913954" w:rsidRPr="008D77D5">
        <w:rPr>
          <w:lang w:val="fr-FR"/>
        </w:rPr>
        <w:t xml:space="preserve">Cette enquête en ligne est disponible à l’annexe F du rapport intégral figurant dans le </w:t>
      </w:r>
      <w:bookmarkStart w:id="4" w:name="_Hlk15744179"/>
      <w:r w:rsidR="00CB366E" w:rsidRPr="008D77D5">
        <w:rPr>
          <w:bCs/>
          <w:lang w:val="fr-FR"/>
        </w:rPr>
        <w:t>document UNEP/MC/COP.3/INF/12</w:t>
      </w:r>
      <w:bookmarkEnd w:id="4"/>
      <w:r w:rsidR="00043DDB" w:rsidRPr="008D77D5">
        <w:rPr>
          <w:bCs/>
          <w:lang w:val="fr-FR"/>
        </w:rPr>
        <w:t>.</w:t>
      </w:r>
      <w:r w:rsidR="00A32AA8" w:rsidRPr="008D77D5">
        <w:rPr>
          <w:lang w:val="fr-FR"/>
        </w:rPr>
        <w:t>)</w:t>
      </w:r>
      <w:r w:rsidR="00DA53AE" w:rsidRPr="008D77D5">
        <w:rPr>
          <w:lang w:val="fr-FR"/>
        </w:rPr>
        <w:t xml:space="preserve"> </w:t>
      </w:r>
      <w:r w:rsidR="00913954" w:rsidRPr="008D77D5">
        <w:rPr>
          <w:lang w:val="fr-FR"/>
        </w:rPr>
        <w:t xml:space="preserve">Sur les </w:t>
      </w:r>
      <w:r w:rsidR="00DA53AE" w:rsidRPr="008D77D5">
        <w:rPr>
          <w:lang w:val="fr-FR"/>
        </w:rPr>
        <w:t>40</w:t>
      </w:r>
      <w:r w:rsidR="00913954" w:rsidRPr="008D77D5">
        <w:rPr>
          <w:lang w:val="fr-FR"/>
        </w:rPr>
        <w:t xml:space="preserve"> pays </w:t>
      </w:r>
      <w:r w:rsidR="003764B6">
        <w:rPr>
          <w:lang w:val="fr-FR"/>
        </w:rPr>
        <w:t>qui avaient</w:t>
      </w:r>
      <w:r w:rsidR="00913954" w:rsidRPr="008D77D5">
        <w:rPr>
          <w:lang w:val="fr-FR"/>
        </w:rPr>
        <w:t xml:space="preserve"> répondu à l’enquête</w:t>
      </w:r>
      <w:r w:rsidR="007346B2">
        <w:rPr>
          <w:lang w:val="fr-FR"/>
        </w:rPr>
        <w:t>, 39 </w:t>
      </w:r>
      <w:r w:rsidR="00913954" w:rsidRPr="008D77D5">
        <w:rPr>
          <w:lang w:val="fr-FR"/>
        </w:rPr>
        <w:t xml:space="preserve">étaient favorables à une initiative </w:t>
      </w:r>
      <w:r w:rsidR="00C40F05">
        <w:rPr>
          <w:lang w:val="fr-FR"/>
        </w:rPr>
        <w:t xml:space="preserve">en faveur du </w:t>
      </w:r>
      <w:r w:rsidR="00913954" w:rsidRPr="008D77D5">
        <w:rPr>
          <w:lang w:val="fr-FR"/>
        </w:rPr>
        <w:t>Système harmonisé</w:t>
      </w:r>
      <w:r w:rsidR="00DA53AE" w:rsidRPr="008D77D5">
        <w:rPr>
          <w:lang w:val="fr-FR"/>
        </w:rPr>
        <w:t xml:space="preserve">. </w:t>
      </w:r>
      <w:r w:rsidR="00E72CDB">
        <w:rPr>
          <w:lang w:val="fr-FR"/>
        </w:rPr>
        <w:t>Un</w:t>
      </w:r>
      <w:r w:rsidR="00913954" w:rsidRPr="008D77D5">
        <w:rPr>
          <w:lang w:val="fr-FR"/>
        </w:rPr>
        <w:t xml:space="preserve"> seul pays ne s’est pas montré favorable</w:t>
      </w:r>
      <w:r w:rsidR="00DA53AE" w:rsidRPr="008D77D5">
        <w:rPr>
          <w:lang w:val="fr-FR"/>
        </w:rPr>
        <w:t xml:space="preserve">, </w:t>
      </w:r>
      <w:r w:rsidR="00E72CDB">
        <w:rPr>
          <w:lang w:val="fr-FR"/>
        </w:rPr>
        <w:t xml:space="preserve">mais </w:t>
      </w:r>
      <w:r w:rsidR="00913954" w:rsidRPr="008D77D5">
        <w:rPr>
          <w:lang w:val="fr-FR"/>
        </w:rPr>
        <w:t>il n’est pas certain qu’il ait répondu de manière exhaustive aux questions de l’enquête</w:t>
      </w:r>
      <w:r w:rsidR="00CA2BBE" w:rsidRPr="008D77D5">
        <w:rPr>
          <w:lang w:val="fr-FR"/>
        </w:rPr>
        <w:t>.</w:t>
      </w:r>
    </w:p>
    <w:p w14:paraId="3823A266" w14:textId="4A1A0549" w:rsidR="00E05B7B" w:rsidRPr="008D77D5" w:rsidRDefault="00913954" w:rsidP="002D0F77">
      <w:pPr>
        <w:pStyle w:val="Normalnumber"/>
        <w:rPr>
          <w:lang w:val="fr-FR"/>
        </w:rPr>
      </w:pPr>
      <w:r w:rsidRPr="008D77D5">
        <w:rPr>
          <w:lang w:val="fr-FR"/>
        </w:rPr>
        <w:t>Sept répondants ont déclaré avoir déjà pris de</w:t>
      </w:r>
      <w:r w:rsidR="00E72CDB">
        <w:rPr>
          <w:lang w:val="fr-FR"/>
        </w:rPr>
        <w:t>s</w:t>
      </w:r>
      <w:r w:rsidRPr="008D77D5">
        <w:rPr>
          <w:lang w:val="fr-FR"/>
        </w:rPr>
        <w:t xml:space="preserve"> mesure</w:t>
      </w:r>
      <w:r w:rsidR="00E72CDB">
        <w:rPr>
          <w:lang w:val="fr-FR"/>
        </w:rPr>
        <w:t>s</w:t>
      </w:r>
      <w:r w:rsidRPr="008D77D5">
        <w:rPr>
          <w:lang w:val="fr-FR"/>
        </w:rPr>
        <w:t xml:space="preserve"> </w:t>
      </w:r>
      <w:r w:rsidR="00C40F05">
        <w:rPr>
          <w:lang w:val="fr-FR"/>
        </w:rPr>
        <w:t xml:space="preserve">pour </w:t>
      </w:r>
      <w:r w:rsidRPr="008D77D5">
        <w:rPr>
          <w:lang w:val="fr-FR"/>
        </w:rPr>
        <w:t>améliorer l’identification des produits de l’</w:t>
      </w:r>
      <w:r w:rsidR="00DB78B4" w:rsidRPr="008D77D5">
        <w:rPr>
          <w:lang w:val="fr-FR"/>
        </w:rPr>
        <w:t>A</w:t>
      </w:r>
      <w:r w:rsidR="00CA2BBE" w:rsidRPr="008D77D5">
        <w:rPr>
          <w:lang w:val="fr-FR"/>
        </w:rPr>
        <w:t>nnex</w:t>
      </w:r>
      <w:r w:rsidRPr="008D77D5">
        <w:rPr>
          <w:lang w:val="fr-FR"/>
        </w:rPr>
        <w:t>e </w:t>
      </w:r>
      <w:r w:rsidR="00CA2BBE" w:rsidRPr="008D77D5">
        <w:rPr>
          <w:lang w:val="fr-FR"/>
        </w:rPr>
        <w:t xml:space="preserve">A </w:t>
      </w:r>
      <w:r w:rsidR="00E72CDB">
        <w:rPr>
          <w:lang w:val="fr-FR"/>
        </w:rPr>
        <w:t>au moyen</w:t>
      </w:r>
      <w:r w:rsidRPr="008D77D5">
        <w:rPr>
          <w:lang w:val="fr-FR"/>
        </w:rPr>
        <w:t xml:space="preserve"> des codes douaniers</w:t>
      </w:r>
      <w:r w:rsidR="00CA2BBE" w:rsidRPr="008D77D5">
        <w:rPr>
          <w:lang w:val="fr-FR"/>
        </w:rPr>
        <w:t xml:space="preserve">. </w:t>
      </w:r>
      <w:r w:rsidRPr="008D77D5">
        <w:rPr>
          <w:lang w:val="fr-FR"/>
        </w:rPr>
        <w:t>Les groupes de produits de l’</w:t>
      </w:r>
      <w:r w:rsidR="00CA2BBE" w:rsidRPr="008D77D5">
        <w:rPr>
          <w:lang w:val="fr-FR"/>
        </w:rPr>
        <w:t>Annex</w:t>
      </w:r>
      <w:r w:rsidRPr="008D77D5">
        <w:rPr>
          <w:lang w:val="fr-FR"/>
        </w:rPr>
        <w:t>e </w:t>
      </w:r>
      <w:r w:rsidR="00CA2BBE" w:rsidRPr="008D77D5">
        <w:rPr>
          <w:lang w:val="fr-FR"/>
        </w:rPr>
        <w:t xml:space="preserve">A </w:t>
      </w:r>
      <w:r w:rsidR="00E72CDB" w:rsidRPr="00E72CDB">
        <w:rPr>
          <w:lang w:val="fr-FR"/>
        </w:rPr>
        <w:t>le</w:t>
      </w:r>
      <w:r w:rsidR="003764B6">
        <w:rPr>
          <w:lang w:val="fr-FR"/>
        </w:rPr>
        <w:t>s</w:t>
      </w:r>
      <w:r w:rsidR="00E72CDB" w:rsidRPr="00E72CDB">
        <w:rPr>
          <w:lang w:val="fr-FR"/>
        </w:rPr>
        <w:t xml:space="preserve"> plus </w:t>
      </w:r>
      <w:r w:rsidR="003764B6">
        <w:rPr>
          <w:lang w:val="fr-FR"/>
        </w:rPr>
        <w:t xml:space="preserve">fréquemment </w:t>
      </w:r>
      <w:r w:rsidR="003764B6" w:rsidRPr="003764B6">
        <w:rPr>
          <w:lang w:val="fr-FR"/>
        </w:rPr>
        <w:t xml:space="preserve">cités </w:t>
      </w:r>
      <w:r w:rsidRPr="008D77D5">
        <w:rPr>
          <w:lang w:val="fr-FR"/>
        </w:rPr>
        <w:t xml:space="preserve">par ces sept répondants étaient </w:t>
      </w:r>
      <w:r w:rsidR="001F0934">
        <w:rPr>
          <w:lang w:val="fr-FR"/>
        </w:rPr>
        <w:t>ceux</w:t>
      </w:r>
      <w:r w:rsidRPr="008D77D5">
        <w:rPr>
          <w:lang w:val="fr-FR"/>
        </w:rPr>
        <w:t xml:space="preserve"> </w:t>
      </w:r>
      <w:r w:rsidR="001F0934">
        <w:rPr>
          <w:lang w:val="fr-FR"/>
        </w:rPr>
        <w:t xml:space="preserve">dans lesquels se trouvaient </w:t>
      </w:r>
      <w:r w:rsidRPr="008D77D5">
        <w:rPr>
          <w:lang w:val="fr-FR"/>
        </w:rPr>
        <w:t xml:space="preserve">des </w:t>
      </w:r>
      <w:r w:rsidR="001F0934">
        <w:rPr>
          <w:lang w:val="fr-FR"/>
        </w:rPr>
        <w:t>éléments</w:t>
      </w:r>
      <w:r w:rsidRPr="008D77D5">
        <w:rPr>
          <w:lang w:val="fr-FR"/>
        </w:rPr>
        <w:t xml:space="preserve"> </w:t>
      </w:r>
      <w:r w:rsidR="001F0934" w:rsidRPr="001F0934">
        <w:rPr>
          <w:lang w:val="fr-FR"/>
        </w:rPr>
        <w:t xml:space="preserve">visuellement </w:t>
      </w:r>
      <w:r w:rsidRPr="008D77D5">
        <w:rPr>
          <w:lang w:val="fr-FR"/>
        </w:rPr>
        <w:t>plus faciles à identifier</w:t>
      </w:r>
      <w:r w:rsidR="003E4E03">
        <w:rPr>
          <w:lang w:val="fr-FR"/>
        </w:rPr>
        <w:t>,</w:t>
      </w:r>
      <w:r w:rsidRPr="008D77D5">
        <w:rPr>
          <w:lang w:val="fr-FR"/>
        </w:rPr>
        <w:t xml:space="preserve"> ou </w:t>
      </w:r>
      <w:r w:rsidR="00E72CDB">
        <w:rPr>
          <w:lang w:val="fr-FR"/>
        </w:rPr>
        <w:t xml:space="preserve">à plus forte teneur </w:t>
      </w:r>
      <w:r w:rsidR="003E4E03">
        <w:rPr>
          <w:lang w:val="fr-FR"/>
        </w:rPr>
        <w:t xml:space="preserve">en </w:t>
      </w:r>
      <w:r w:rsidRPr="008D77D5">
        <w:rPr>
          <w:lang w:val="fr-FR"/>
        </w:rPr>
        <w:t xml:space="preserve">mercure ajouté </w:t>
      </w:r>
      <w:r w:rsidR="00CA2BBE" w:rsidRPr="008D77D5">
        <w:rPr>
          <w:lang w:val="fr-FR"/>
        </w:rPr>
        <w:t>(</w:t>
      </w:r>
      <w:r w:rsidR="001F0934">
        <w:rPr>
          <w:lang w:val="fr-FR"/>
        </w:rPr>
        <w:t xml:space="preserve">à savoir les </w:t>
      </w:r>
      <w:r w:rsidR="0048182E" w:rsidRPr="008D77D5">
        <w:rPr>
          <w:lang w:val="fr-FR"/>
        </w:rPr>
        <w:t>piles</w:t>
      </w:r>
      <w:r w:rsidR="00CA2BBE" w:rsidRPr="008D77D5">
        <w:rPr>
          <w:lang w:val="fr-FR"/>
        </w:rPr>
        <w:t xml:space="preserve">, </w:t>
      </w:r>
      <w:r w:rsidR="0048182E" w:rsidRPr="008D77D5">
        <w:rPr>
          <w:lang w:val="fr-FR"/>
        </w:rPr>
        <w:t>commutateurs</w:t>
      </w:r>
      <w:r w:rsidR="00CA2BBE" w:rsidRPr="008D77D5">
        <w:rPr>
          <w:lang w:val="fr-FR"/>
        </w:rPr>
        <w:t>/rela</w:t>
      </w:r>
      <w:r w:rsidRPr="008D77D5">
        <w:rPr>
          <w:lang w:val="fr-FR"/>
        </w:rPr>
        <w:t>i</w:t>
      </w:r>
      <w:r w:rsidR="00CA2BBE" w:rsidRPr="008D77D5">
        <w:rPr>
          <w:lang w:val="fr-FR"/>
        </w:rPr>
        <w:t xml:space="preserve">s, </w:t>
      </w:r>
      <w:r w:rsidRPr="008D77D5">
        <w:rPr>
          <w:lang w:val="fr-FR"/>
        </w:rPr>
        <w:t>lampes</w:t>
      </w:r>
      <w:r w:rsidR="001F0934">
        <w:rPr>
          <w:lang w:val="fr-FR"/>
        </w:rPr>
        <w:t xml:space="preserve"> et</w:t>
      </w:r>
      <w:r w:rsidRPr="008D77D5">
        <w:rPr>
          <w:lang w:val="fr-FR"/>
        </w:rPr>
        <w:t xml:space="preserve"> appareils de mesure</w:t>
      </w:r>
      <w:r w:rsidR="00CA2BBE" w:rsidRPr="008D77D5">
        <w:rPr>
          <w:lang w:val="fr-FR"/>
        </w:rPr>
        <w:t>).</w:t>
      </w:r>
    </w:p>
    <w:p w14:paraId="19A2BCD6" w14:textId="7FD56228" w:rsidR="00A32AA8" w:rsidRPr="008D77D5" w:rsidRDefault="008F728D" w:rsidP="008F728D">
      <w:pPr>
        <w:pStyle w:val="CH1"/>
        <w:rPr>
          <w:lang w:val="fr-FR"/>
        </w:rPr>
      </w:pPr>
      <w:r w:rsidRPr="008D77D5">
        <w:rPr>
          <w:lang w:val="fr-FR"/>
        </w:rPr>
        <w:tab/>
        <w:t>I</w:t>
      </w:r>
      <w:r w:rsidR="00B97A2E" w:rsidRPr="008D77D5">
        <w:rPr>
          <w:lang w:val="fr-FR"/>
        </w:rPr>
        <w:t>II</w:t>
      </w:r>
      <w:r w:rsidRPr="008D77D5">
        <w:rPr>
          <w:lang w:val="fr-FR"/>
        </w:rPr>
        <w:t>.</w:t>
      </w:r>
      <w:r w:rsidRPr="008D77D5">
        <w:rPr>
          <w:lang w:val="fr-FR"/>
        </w:rPr>
        <w:tab/>
      </w:r>
      <w:r w:rsidR="00913954" w:rsidRPr="008D77D5">
        <w:rPr>
          <w:lang w:val="fr-FR"/>
        </w:rPr>
        <w:t>Recherche</w:t>
      </w:r>
      <w:r w:rsidR="00E72CDB">
        <w:rPr>
          <w:lang w:val="fr-FR"/>
        </w:rPr>
        <w:t>s</w:t>
      </w:r>
      <w:r w:rsidR="00913954" w:rsidRPr="008D77D5">
        <w:rPr>
          <w:lang w:val="fr-FR"/>
        </w:rPr>
        <w:t xml:space="preserve"> et consultation de suivi</w:t>
      </w:r>
    </w:p>
    <w:p w14:paraId="160425A3" w14:textId="48689287" w:rsidR="00950C3F" w:rsidRPr="008D77D5" w:rsidRDefault="00E72CDB" w:rsidP="00C442F7">
      <w:pPr>
        <w:pStyle w:val="Normalnumber"/>
        <w:rPr>
          <w:lang w:val="fr-FR"/>
        </w:rPr>
      </w:pPr>
      <w:r>
        <w:rPr>
          <w:lang w:val="fr-FR"/>
        </w:rPr>
        <w:t xml:space="preserve">Différentes </w:t>
      </w:r>
      <w:r w:rsidR="00A6004A" w:rsidRPr="008D77D5">
        <w:rPr>
          <w:lang w:val="fr-FR"/>
        </w:rPr>
        <w:t xml:space="preserve">parties prenantes </w:t>
      </w:r>
      <w:r>
        <w:rPr>
          <w:lang w:val="fr-FR"/>
        </w:rPr>
        <w:t xml:space="preserve">dotées d’une expertise particulière </w:t>
      </w:r>
      <w:r w:rsidR="004F32CC">
        <w:rPr>
          <w:lang w:val="fr-FR"/>
        </w:rPr>
        <w:t>au regard du</w:t>
      </w:r>
      <w:r w:rsidR="00224233">
        <w:rPr>
          <w:lang w:val="fr-FR"/>
        </w:rPr>
        <w:t xml:space="preserve"> </w:t>
      </w:r>
      <w:r w:rsidR="00A6004A" w:rsidRPr="008D77D5">
        <w:rPr>
          <w:lang w:val="fr-FR"/>
        </w:rPr>
        <w:t>SH</w:t>
      </w:r>
      <w:r w:rsidR="00B15AD6" w:rsidRPr="008D77D5">
        <w:rPr>
          <w:lang w:val="fr-FR"/>
        </w:rPr>
        <w:t xml:space="preserve"> </w:t>
      </w:r>
      <w:r w:rsidR="00A6004A" w:rsidRPr="008D77D5">
        <w:rPr>
          <w:lang w:val="fr-FR"/>
        </w:rPr>
        <w:t>et</w:t>
      </w:r>
      <w:r w:rsidR="00B15AD6" w:rsidRPr="008D77D5">
        <w:rPr>
          <w:lang w:val="fr-FR"/>
        </w:rPr>
        <w:t>/</w:t>
      </w:r>
      <w:r w:rsidR="00A6004A" w:rsidRPr="008D77D5">
        <w:rPr>
          <w:lang w:val="fr-FR"/>
        </w:rPr>
        <w:t>ou</w:t>
      </w:r>
      <w:r w:rsidR="00A32AA8" w:rsidRPr="008D77D5">
        <w:rPr>
          <w:lang w:val="fr-FR"/>
        </w:rPr>
        <w:t xml:space="preserve"> </w:t>
      </w:r>
      <w:r w:rsidR="00A6004A" w:rsidRPr="008D77D5">
        <w:rPr>
          <w:lang w:val="fr-FR"/>
        </w:rPr>
        <w:t>ayant déjà participé à l’élaboration de codes douaniers ciblés</w:t>
      </w:r>
      <w:r>
        <w:rPr>
          <w:lang w:val="fr-FR"/>
        </w:rPr>
        <w:t xml:space="preserve"> ont été consultées dans le cadre des recherches menées </w:t>
      </w:r>
      <w:r w:rsidR="001F0934">
        <w:rPr>
          <w:lang w:val="fr-FR"/>
        </w:rPr>
        <w:t>en application</w:t>
      </w:r>
      <w:r w:rsidR="003E4E03">
        <w:rPr>
          <w:lang w:val="fr-FR"/>
        </w:rPr>
        <w:t xml:space="preserve"> du</w:t>
      </w:r>
      <w:r w:rsidRPr="00E72CDB">
        <w:rPr>
          <w:lang w:val="fr-FR"/>
        </w:rPr>
        <w:t xml:space="preserve"> mandat donné par la Conférence des Parties</w:t>
      </w:r>
      <w:r w:rsidR="00A32AA8" w:rsidRPr="008D77D5">
        <w:rPr>
          <w:lang w:val="fr-FR"/>
        </w:rPr>
        <w:t xml:space="preserve">. </w:t>
      </w:r>
      <w:r w:rsidR="00A6004A" w:rsidRPr="008D77D5">
        <w:rPr>
          <w:lang w:val="fr-FR"/>
        </w:rPr>
        <w:t xml:space="preserve">Les questions ci-dessous ont été examinées, </w:t>
      </w:r>
      <w:r w:rsidR="001F0934">
        <w:rPr>
          <w:lang w:val="fr-FR"/>
        </w:rPr>
        <w:t>de même que l</w:t>
      </w:r>
      <w:r w:rsidR="00224233">
        <w:rPr>
          <w:lang w:val="fr-FR"/>
        </w:rPr>
        <w:t xml:space="preserve">es </w:t>
      </w:r>
      <w:r w:rsidR="00A6004A" w:rsidRPr="008D77D5">
        <w:rPr>
          <w:lang w:val="fr-FR"/>
        </w:rPr>
        <w:t xml:space="preserve">solutions adoptées par la </w:t>
      </w:r>
      <w:r w:rsidR="001A6AB7">
        <w:rPr>
          <w:lang w:val="fr-FR"/>
        </w:rPr>
        <w:t xml:space="preserve">Convention de Rotterdam sur la procédure de consentement préalable en connaissance de cause applicable à certains produits chimiques et pesticides dangereux qui font l’objet d’un commerce international </w:t>
      </w:r>
      <w:r w:rsidR="00A6004A" w:rsidRPr="008D77D5">
        <w:rPr>
          <w:lang w:val="fr-FR"/>
        </w:rPr>
        <w:t xml:space="preserve">et le </w:t>
      </w:r>
      <w:r w:rsidR="001F0934">
        <w:rPr>
          <w:rStyle w:val="Emphasis"/>
          <w:i w:val="0"/>
          <w:iCs w:val="0"/>
          <w:lang w:val="fr-FR"/>
        </w:rPr>
        <w:t>Protocole de Montréal relatif à des substances qui appauvrissent la couche d’ozone</w:t>
      </w:r>
      <w:r w:rsidR="00224233">
        <w:rPr>
          <w:rStyle w:val="st"/>
          <w:lang w:val="fr-FR"/>
        </w:rPr>
        <w:t>,</w:t>
      </w:r>
      <w:r w:rsidR="00224233">
        <w:rPr>
          <w:lang w:val="fr-FR"/>
        </w:rPr>
        <w:t xml:space="preserve"> et </w:t>
      </w:r>
      <w:r w:rsidR="001F0934">
        <w:rPr>
          <w:lang w:val="fr-FR"/>
        </w:rPr>
        <w:t>l</w:t>
      </w:r>
      <w:r w:rsidR="00224233">
        <w:rPr>
          <w:lang w:val="fr-FR"/>
        </w:rPr>
        <w:t xml:space="preserve">es </w:t>
      </w:r>
      <w:r w:rsidR="00A6004A" w:rsidRPr="008D77D5">
        <w:rPr>
          <w:lang w:val="fr-FR"/>
        </w:rPr>
        <w:t xml:space="preserve">efforts </w:t>
      </w:r>
      <w:r w:rsidR="001F0934">
        <w:rPr>
          <w:lang w:val="fr-FR"/>
        </w:rPr>
        <w:t>faits</w:t>
      </w:r>
      <w:r w:rsidR="00A6004A" w:rsidRPr="008D77D5">
        <w:rPr>
          <w:lang w:val="fr-FR"/>
        </w:rPr>
        <w:t xml:space="preserve"> par </w:t>
      </w:r>
      <w:r w:rsidR="00B41D50">
        <w:rPr>
          <w:lang w:val="fr-FR"/>
        </w:rPr>
        <w:t>différents</w:t>
      </w:r>
      <w:r w:rsidR="00A6004A" w:rsidRPr="008D77D5">
        <w:rPr>
          <w:lang w:val="fr-FR"/>
        </w:rPr>
        <w:t xml:space="preserve"> pays pour répondre aux besoins de la </w:t>
      </w:r>
      <w:r w:rsidR="001A6AB7">
        <w:rPr>
          <w:lang w:val="fr-FR"/>
        </w:rPr>
        <w:t xml:space="preserve">Convention de Bâle sur le contrôle des mouvements transfrontières de déchets dangereux et de leur élimination </w:t>
      </w:r>
      <w:r w:rsidR="00A32AA8" w:rsidRPr="008D77D5">
        <w:rPr>
          <w:lang w:val="fr-FR"/>
        </w:rPr>
        <w:t>(Tha</w:t>
      </w:r>
      <w:r w:rsidR="00A6004A" w:rsidRPr="008D77D5">
        <w:rPr>
          <w:lang w:val="fr-FR"/>
        </w:rPr>
        <w:t>ï</w:t>
      </w:r>
      <w:r w:rsidR="00A32AA8" w:rsidRPr="008D77D5">
        <w:rPr>
          <w:lang w:val="fr-FR"/>
        </w:rPr>
        <w:t>land</w:t>
      </w:r>
      <w:r w:rsidR="00A6004A" w:rsidRPr="008D77D5">
        <w:rPr>
          <w:lang w:val="fr-FR"/>
        </w:rPr>
        <w:t>e</w:t>
      </w:r>
      <w:r w:rsidR="00A32AA8" w:rsidRPr="008D77D5">
        <w:rPr>
          <w:lang w:val="fr-FR"/>
        </w:rPr>
        <w:t xml:space="preserve">) </w:t>
      </w:r>
      <w:r w:rsidR="00A6004A" w:rsidRPr="008D77D5">
        <w:rPr>
          <w:lang w:val="fr-FR"/>
        </w:rPr>
        <w:t xml:space="preserve">et </w:t>
      </w:r>
      <w:r w:rsidR="00224233">
        <w:rPr>
          <w:lang w:val="fr-FR"/>
        </w:rPr>
        <w:t xml:space="preserve">de </w:t>
      </w:r>
      <w:r w:rsidR="00A6004A" w:rsidRPr="008D77D5">
        <w:rPr>
          <w:lang w:val="fr-FR"/>
        </w:rPr>
        <w:t xml:space="preserve">la </w:t>
      </w:r>
      <w:r w:rsidR="001A6AB7">
        <w:rPr>
          <w:lang w:val="fr-FR"/>
        </w:rPr>
        <w:t xml:space="preserve">Convention de Stockholm sur les polluants organiques persistants </w:t>
      </w:r>
      <w:r w:rsidR="00A32AA8" w:rsidRPr="008D77D5">
        <w:rPr>
          <w:lang w:val="fr-FR"/>
        </w:rPr>
        <w:t>(Uruguay)</w:t>
      </w:r>
      <w:r w:rsidR="00224233">
        <w:rPr>
          <w:lang w:val="fr-FR"/>
        </w:rPr>
        <w:t>.</w:t>
      </w:r>
      <w:r w:rsidR="00A32AA8" w:rsidRPr="008D77D5">
        <w:rPr>
          <w:lang w:val="fr-FR"/>
        </w:rPr>
        <w:t xml:space="preserve"> </w:t>
      </w:r>
      <w:r w:rsidR="00224233">
        <w:rPr>
          <w:lang w:val="fr-FR"/>
        </w:rPr>
        <w:t xml:space="preserve">C’est l’objet du </w:t>
      </w:r>
      <w:r w:rsidR="00A6004A" w:rsidRPr="008D77D5">
        <w:rPr>
          <w:lang w:val="fr-FR"/>
        </w:rPr>
        <w:t>chapitre </w:t>
      </w:r>
      <w:r w:rsidR="00A32AA8" w:rsidRPr="008D77D5">
        <w:rPr>
          <w:lang w:val="fr-FR"/>
        </w:rPr>
        <w:t>4</w:t>
      </w:r>
      <w:r w:rsidR="003F4C81" w:rsidRPr="008D77D5">
        <w:rPr>
          <w:lang w:val="fr-FR"/>
        </w:rPr>
        <w:t xml:space="preserve"> </w:t>
      </w:r>
      <w:r w:rsidR="00A6004A" w:rsidRPr="008D77D5">
        <w:rPr>
          <w:lang w:val="fr-FR"/>
        </w:rPr>
        <w:t xml:space="preserve">du rapport intégral et </w:t>
      </w:r>
      <w:r w:rsidR="00224233">
        <w:rPr>
          <w:lang w:val="fr-FR"/>
        </w:rPr>
        <w:t>d</w:t>
      </w:r>
      <w:r w:rsidR="00A6004A" w:rsidRPr="008D77D5">
        <w:rPr>
          <w:lang w:val="fr-FR"/>
        </w:rPr>
        <w:t>es annexes</w:t>
      </w:r>
      <w:r w:rsidR="00224233">
        <w:rPr>
          <w:lang w:val="fr-FR"/>
        </w:rPr>
        <w:t xml:space="preserve"> qui s’y rapportent</w:t>
      </w:r>
      <w:r w:rsidR="00A32AA8" w:rsidRPr="008D77D5">
        <w:rPr>
          <w:lang w:val="fr-FR"/>
        </w:rPr>
        <w:t>.</w:t>
      </w:r>
    </w:p>
    <w:tbl>
      <w:tblPr>
        <w:tblStyle w:val="TableGrid"/>
        <w:tblW w:w="830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5"/>
        <w:gridCol w:w="2785"/>
        <w:gridCol w:w="2797"/>
      </w:tblGrid>
      <w:tr w:rsidR="00950C3F" w:rsidRPr="001A6AB7" w14:paraId="666583F2" w14:textId="77777777" w:rsidTr="0053705A">
        <w:trPr>
          <w:trHeight w:val="57"/>
          <w:jc w:val="right"/>
        </w:trPr>
        <w:tc>
          <w:tcPr>
            <w:tcW w:w="2703" w:type="dxa"/>
            <w:tcBorders>
              <w:top w:val="single" w:sz="4" w:space="0" w:color="auto"/>
              <w:bottom w:val="single" w:sz="12" w:space="0" w:color="auto"/>
            </w:tcBorders>
          </w:tcPr>
          <w:p w14:paraId="64B5B7B0" w14:textId="4212B4CF" w:rsidR="00950C3F" w:rsidRPr="008D77D5" w:rsidRDefault="00A6004A" w:rsidP="00087A9F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  <w:lang w:val="fr-FR"/>
              </w:rPr>
            </w:pPr>
            <w:r w:rsidRPr="008D77D5">
              <w:rPr>
                <w:i/>
                <w:sz w:val="18"/>
                <w:szCs w:val="18"/>
                <w:lang w:val="fr-FR"/>
              </w:rPr>
              <w:t xml:space="preserve">Codes douaniers existants </w:t>
            </w:r>
            <w:r w:rsidR="00224233">
              <w:rPr>
                <w:i/>
                <w:sz w:val="18"/>
                <w:szCs w:val="18"/>
                <w:lang w:val="fr-FR"/>
              </w:rPr>
              <w:t xml:space="preserve">relatifs aux </w:t>
            </w:r>
            <w:r w:rsidRPr="008D77D5">
              <w:rPr>
                <w:i/>
                <w:sz w:val="18"/>
                <w:szCs w:val="18"/>
                <w:lang w:val="fr-FR"/>
              </w:rPr>
              <w:t>produits contenant du mercure ajouté</w:t>
            </w:r>
          </w:p>
        </w:tc>
        <w:tc>
          <w:tcPr>
            <w:tcW w:w="2762" w:type="dxa"/>
            <w:tcBorders>
              <w:top w:val="single" w:sz="4" w:space="0" w:color="auto"/>
              <w:bottom w:val="single" w:sz="12" w:space="0" w:color="auto"/>
            </w:tcBorders>
          </w:tcPr>
          <w:p w14:paraId="2A54D30D" w14:textId="51CF9D4E" w:rsidR="00950C3F" w:rsidRPr="008D77D5" w:rsidRDefault="00A6004A" w:rsidP="00087A9F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  <w:lang w:val="fr-FR"/>
              </w:rPr>
            </w:pPr>
            <w:r w:rsidRPr="008D77D5">
              <w:rPr>
                <w:i/>
                <w:sz w:val="18"/>
                <w:szCs w:val="18"/>
                <w:lang w:val="fr-FR"/>
              </w:rPr>
              <w:t>Procédures d’élaboration et d’approbation de nouveaux codes douaniers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12" w:space="0" w:color="auto"/>
            </w:tcBorders>
          </w:tcPr>
          <w:p w14:paraId="133153B8" w14:textId="7A47E711" w:rsidR="00950C3F" w:rsidRPr="008D77D5" w:rsidRDefault="00950C3F" w:rsidP="00087A9F">
            <w:pPr>
              <w:pStyle w:val="Normalnumber"/>
              <w:numPr>
                <w:ilvl w:val="0"/>
                <w:numId w:val="0"/>
              </w:numPr>
              <w:spacing w:before="40" w:after="40"/>
              <w:ind w:left="57" w:right="57"/>
              <w:rPr>
                <w:i/>
                <w:sz w:val="18"/>
                <w:szCs w:val="18"/>
                <w:lang w:val="fr-FR"/>
              </w:rPr>
            </w:pPr>
            <w:r w:rsidRPr="008D77D5">
              <w:rPr>
                <w:i/>
                <w:sz w:val="18"/>
                <w:szCs w:val="18"/>
                <w:lang w:val="fr-FR"/>
              </w:rPr>
              <w:t>Harmoni</w:t>
            </w:r>
            <w:r w:rsidR="00A6004A" w:rsidRPr="008D77D5">
              <w:rPr>
                <w:i/>
                <w:sz w:val="18"/>
                <w:szCs w:val="18"/>
                <w:lang w:val="fr-FR"/>
              </w:rPr>
              <w:t>s</w:t>
            </w:r>
            <w:r w:rsidRPr="008D77D5">
              <w:rPr>
                <w:i/>
                <w:sz w:val="18"/>
                <w:szCs w:val="18"/>
                <w:lang w:val="fr-FR"/>
              </w:rPr>
              <w:t xml:space="preserve">ation </w:t>
            </w:r>
            <w:r w:rsidR="00A6004A" w:rsidRPr="008D77D5">
              <w:rPr>
                <w:i/>
                <w:sz w:val="18"/>
                <w:szCs w:val="18"/>
                <w:lang w:val="fr-FR"/>
              </w:rPr>
              <w:t>des codes douaniers relatifs aux produits contenant du mercure ajouté</w:t>
            </w:r>
          </w:p>
        </w:tc>
      </w:tr>
      <w:tr w:rsidR="00950C3F" w:rsidRPr="001A6AB7" w14:paraId="5D1C9E14" w14:textId="77777777" w:rsidTr="0053705A">
        <w:trPr>
          <w:trHeight w:val="57"/>
          <w:jc w:val="right"/>
        </w:trPr>
        <w:tc>
          <w:tcPr>
            <w:tcW w:w="2703" w:type="dxa"/>
            <w:tcBorders>
              <w:top w:val="single" w:sz="12" w:space="0" w:color="auto"/>
              <w:bottom w:val="single" w:sz="12" w:space="0" w:color="auto"/>
            </w:tcBorders>
          </w:tcPr>
          <w:p w14:paraId="7A877DAE" w14:textId="031F254D" w:rsidR="00950C3F" w:rsidRPr="008D77D5" w:rsidRDefault="00950C3F" w:rsidP="00087A9F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>Identif</w:t>
            </w:r>
            <w:r w:rsidR="005C784A" w:rsidRPr="008D77D5">
              <w:rPr>
                <w:sz w:val="18"/>
                <w:szCs w:val="18"/>
                <w:lang w:val="fr-FR"/>
              </w:rPr>
              <w:t>ier les sources en ligne</w:t>
            </w:r>
            <w:r w:rsidRPr="008D77D5">
              <w:rPr>
                <w:sz w:val="18"/>
                <w:szCs w:val="18"/>
                <w:lang w:val="fr-FR"/>
              </w:rPr>
              <w:t xml:space="preserve"> </w:t>
            </w:r>
            <w:r w:rsidR="00B41D50">
              <w:rPr>
                <w:sz w:val="18"/>
                <w:szCs w:val="18"/>
                <w:lang w:val="fr-FR"/>
              </w:rPr>
              <w:t>répertoriant l</w:t>
            </w:r>
            <w:r w:rsidR="005C784A" w:rsidRPr="008D77D5">
              <w:rPr>
                <w:sz w:val="18"/>
                <w:szCs w:val="18"/>
                <w:lang w:val="fr-FR"/>
              </w:rPr>
              <w:t>es codes douaniers des différents pays</w:t>
            </w:r>
          </w:p>
          <w:p w14:paraId="3AED7B84" w14:textId="3F63FB03" w:rsidR="00950C3F" w:rsidRPr="008D77D5" w:rsidRDefault="00950C3F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>Identif</w:t>
            </w:r>
            <w:r w:rsidR="005C784A" w:rsidRPr="008D77D5">
              <w:rPr>
                <w:sz w:val="18"/>
                <w:szCs w:val="18"/>
                <w:lang w:val="fr-FR"/>
              </w:rPr>
              <w:t xml:space="preserve">ier les codes douaniers </w:t>
            </w:r>
            <w:r w:rsidR="00224233" w:rsidRPr="00224233">
              <w:rPr>
                <w:sz w:val="18"/>
                <w:szCs w:val="18"/>
                <w:lang w:val="fr-FR"/>
              </w:rPr>
              <w:t>(de plus de six</w:t>
            </w:r>
            <w:r w:rsidR="006D5D2A">
              <w:rPr>
                <w:sz w:val="18"/>
                <w:szCs w:val="18"/>
                <w:lang w:val="fr-FR"/>
              </w:rPr>
              <w:t> </w:t>
            </w:r>
            <w:r w:rsidR="00224233" w:rsidRPr="00224233">
              <w:rPr>
                <w:sz w:val="18"/>
                <w:szCs w:val="18"/>
                <w:lang w:val="fr-FR"/>
              </w:rPr>
              <w:t xml:space="preserve">chiffres) </w:t>
            </w:r>
            <w:r w:rsidR="00D93D95">
              <w:rPr>
                <w:sz w:val="18"/>
                <w:szCs w:val="18"/>
                <w:lang w:val="fr-FR"/>
              </w:rPr>
              <w:t>se </w:t>
            </w:r>
            <w:r w:rsidR="00553F1F">
              <w:rPr>
                <w:sz w:val="18"/>
                <w:szCs w:val="18"/>
                <w:lang w:val="fr-FR"/>
              </w:rPr>
              <w:t xml:space="preserve">rapportant </w:t>
            </w:r>
            <w:r w:rsidR="005C784A" w:rsidRPr="008D77D5">
              <w:rPr>
                <w:sz w:val="18"/>
                <w:szCs w:val="18"/>
                <w:lang w:val="fr-FR"/>
              </w:rPr>
              <w:t xml:space="preserve">spécifiquement </w:t>
            </w:r>
            <w:r w:rsidR="00553F1F">
              <w:rPr>
                <w:sz w:val="18"/>
                <w:szCs w:val="18"/>
                <w:lang w:val="fr-FR"/>
              </w:rPr>
              <w:t xml:space="preserve">aux </w:t>
            </w:r>
            <w:r w:rsidR="00D93D95">
              <w:rPr>
                <w:sz w:val="18"/>
                <w:szCs w:val="18"/>
                <w:lang w:val="fr-FR"/>
              </w:rPr>
              <w:t>produits contenant du </w:t>
            </w:r>
            <w:r w:rsidR="005C784A" w:rsidRPr="008D77D5">
              <w:rPr>
                <w:sz w:val="18"/>
                <w:szCs w:val="18"/>
                <w:lang w:val="fr-FR"/>
              </w:rPr>
              <w:t>mercure ajouté</w:t>
            </w:r>
            <w:r w:rsidR="006D5D2A">
              <w:rPr>
                <w:sz w:val="18"/>
                <w:szCs w:val="18"/>
                <w:lang w:val="fr-FR"/>
              </w:rPr>
              <w:t xml:space="preserve"> dans les différents pays</w:t>
            </w:r>
          </w:p>
          <w:p w14:paraId="5F83CD67" w14:textId="08484748" w:rsidR="00950C3F" w:rsidRPr="008D77D5" w:rsidRDefault="00553F1F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Relever</w:t>
            </w:r>
            <w:r w:rsidR="005C784A" w:rsidRPr="008D77D5">
              <w:rPr>
                <w:sz w:val="18"/>
                <w:szCs w:val="18"/>
                <w:lang w:val="fr-FR"/>
              </w:rPr>
              <w:t xml:space="preserve"> les cas dans lesquels les pays utilisent peut-être déjà des codes douaniers différents pour un même produit contenant du mercure ajouté</w:t>
            </w:r>
          </w:p>
        </w:tc>
        <w:tc>
          <w:tcPr>
            <w:tcW w:w="2762" w:type="dxa"/>
            <w:tcBorders>
              <w:top w:val="single" w:sz="12" w:space="0" w:color="auto"/>
              <w:bottom w:val="single" w:sz="12" w:space="0" w:color="auto"/>
            </w:tcBorders>
          </w:tcPr>
          <w:p w14:paraId="2D756EA3" w14:textId="4A4D4781" w:rsidR="00950C3F" w:rsidRPr="008D77D5" w:rsidRDefault="005C784A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 xml:space="preserve">Comprendre les éventuelles contraintes nationales empêchant la révision </w:t>
            </w:r>
            <w:r w:rsidR="00D93D95">
              <w:rPr>
                <w:sz w:val="18"/>
                <w:szCs w:val="18"/>
                <w:lang w:val="fr-FR"/>
              </w:rPr>
              <w:t>ou l’ajout de codes douaniers à </w:t>
            </w:r>
            <w:r w:rsidRPr="008D77D5">
              <w:rPr>
                <w:sz w:val="18"/>
                <w:szCs w:val="18"/>
                <w:lang w:val="fr-FR"/>
              </w:rPr>
              <w:t>cette fin</w:t>
            </w:r>
          </w:p>
          <w:p w14:paraId="0D222B74" w14:textId="615FF549" w:rsidR="00950C3F" w:rsidRPr="008D77D5" w:rsidRDefault="005C784A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>Comprendre la procédure d’élaboration et d’approbation des nouveaux codes à six</w:t>
            </w:r>
            <w:r w:rsidR="0048182E" w:rsidRPr="008D77D5">
              <w:rPr>
                <w:sz w:val="18"/>
                <w:szCs w:val="18"/>
                <w:lang w:val="fr-FR"/>
              </w:rPr>
              <w:t> </w:t>
            </w:r>
            <w:r w:rsidRPr="008D77D5">
              <w:rPr>
                <w:sz w:val="18"/>
                <w:szCs w:val="18"/>
                <w:lang w:val="fr-FR"/>
              </w:rPr>
              <w:t xml:space="preserve">chiffres, et comment elle </w:t>
            </w:r>
            <w:r w:rsidR="00BD156B">
              <w:rPr>
                <w:sz w:val="18"/>
                <w:szCs w:val="18"/>
                <w:lang w:val="fr-FR"/>
              </w:rPr>
              <w:t>est</w:t>
            </w:r>
            <w:r w:rsidRPr="008D77D5">
              <w:rPr>
                <w:sz w:val="18"/>
                <w:szCs w:val="18"/>
                <w:lang w:val="fr-FR"/>
              </w:rPr>
              <w:t xml:space="preserve"> utilisée dans </w:t>
            </w:r>
            <w:r w:rsidR="00BD156B">
              <w:rPr>
                <w:sz w:val="18"/>
                <w:szCs w:val="18"/>
                <w:lang w:val="fr-FR"/>
              </w:rPr>
              <w:t xml:space="preserve">les </w:t>
            </w:r>
            <w:r w:rsidRPr="008D77D5">
              <w:rPr>
                <w:sz w:val="18"/>
                <w:szCs w:val="18"/>
                <w:lang w:val="fr-FR"/>
              </w:rPr>
              <w:t>différents accords multilatéraux sur l’environnement</w:t>
            </w:r>
          </w:p>
          <w:p w14:paraId="72E9A926" w14:textId="7967F806" w:rsidR="00950C3F" w:rsidRPr="008D77D5" w:rsidRDefault="0048182E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>Décrire la procédure d’élaboration et d’approbation des nouveaux codes de plus d</w:t>
            </w:r>
            <w:r w:rsidR="000C5371">
              <w:rPr>
                <w:sz w:val="18"/>
                <w:szCs w:val="18"/>
                <w:lang w:val="fr-FR"/>
              </w:rPr>
              <w:t>e six </w:t>
            </w:r>
            <w:r w:rsidRPr="008D77D5">
              <w:rPr>
                <w:sz w:val="18"/>
                <w:szCs w:val="18"/>
                <w:lang w:val="fr-FR"/>
              </w:rPr>
              <w:t>chiffres</w:t>
            </w:r>
          </w:p>
          <w:p w14:paraId="5E6BD73C" w14:textId="395D9FB1" w:rsidR="00950C3F" w:rsidRPr="008D77D5" w:rsidRDefault="0048182E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>S’assurer que les nouveaux codes douaniers sont correctement définis et formulés</w:t>
            </w:r>
          </w:p>
        </w:tc>
        <w:tc>
          <w:tcPr>
            <w:tcW w:w="2774" w:type="dxa"/>
            <w:tcBorders>
              <w:top w:val="single" w:sz="12" w:space="0" w:color="auto"/>
              <w:bottom w:val="single" w:sz="12" w:space="0" w:color="auto"/>
            </w:tcBorders>
          </w:tcPr>
          <w:p w14:paraId="6A2D0B6F" w14:textId="2551E05E" w:rsidR="00950C3F" w:rsidRPr="008D77D5" w:rsidRDefault="0048182E" w:rsidP="006255D5">
            <w:pPr>
              <w:pStyle w:val="Normalnumber"/>
              <w:numPr>
                <w:ilvl w:val="3"/>
                <w:numId w:val="19"/>
              </w:numPr>
              <w:tabs>
                <w:tab w:val="clear" w:pos="624"/>
              </w:tabs>
              <w:spacing w:before="40" w:after="40"/>
              <w:ind w:left="314" w:right="57" w:hanging="257"/>
              <w:rPr>
                <w:sz w:val="18"/>
                <w:szCs w:val="18"/>
                <w:lang w:val="fr-FR"/>
              </w:rPr>
            </w:pPr>
            <w:r w:rsidRPr="008D77D5">
              <w:rPr>
                <w:sz w:val="18"/>
                <w:szCs w:val="18"/>
                <w:lang w:val="fr-FR"/>
              </w:rPr>
              <w:t xml:space="preserve">Envisager des solutions </w:t>
            </w:r>
            <w:r w:rsidR="00224233">
              <w:rPr>
                <w:sz w:val="18"/>
                <w:szCs w:val="18"/>
                <w:lang w:val="fr-FR"/>
              </w:rPr>
              <w:t>permettant</w:t>
            </w:r>
            <w:r w:rsidR="00950C3F" w:rsidRPr="008D77D5">
              <w:rPr>
                <w:sz w:val="18"/>
                <w:szCs w:val="18"/>
                <w:lang w:val="fr-FR"/>
              </w:rPr>
              <w:t xml:space="preserve">, </w:t>
            </w:r>
            <w:r w:rsidR="00201532">
              <w:rPr>
                <w:sz w:val="18"/>
                <w:szCs w:val="18"/>
                <w:lang w:val="fr-FR"/>
              </w:rPr>
              <w:t>conformément à la </w:t>
            </w:r>
            <w:r w:rsidRPr="008D77D5">
              <w:rPr>
                <w:sz w:val="18"/>
                <w:szCs w:val="18"/>
                <w:lang w:val="fr-FR"/>
              </w:rPr>
              <w:t xml:space="preserve">demande </w:t>
            </w:r>
            <w:r w:rsidR="00224233">
              <w:rPr>
                <w:sz w:val="18"/>
                <w:szCs w:val="18"/>
                <w:lang w:val="fr-FR"/>
              </w:rPr>
              <w:t xml:space="preserve">formulée </w:t>
            </w:r>
            <w:r w:rsidRPr="008D77D5">
              <w:rPr>
                <w:sz w:val="18"/>
                <w:szCs w:val="18"/>
                <w:lang w:val="fr-FR"/>
              </w:rPr>
              <w:t>dans la décision </w:t>
            </w:r>
            <w:r w:rsidR="002D6C8A" w:rsidRPr="008D77D5">
              <w:rPr>
                <w:sz w:val="18"/>
                <w:szCs w:val="18"/>
                <w:lang w:val="fr-FR"/>
              </w:rPr>
              <w:t>MC</w:t>
            </w:r>
            <w:r w:rsidR="002D6C8A" w:rsidRPr="008D77D5">
              <w:rPr>
                <w:sz w:val="18"/>
                <w:szCs w:val="18"/>
                <w:lang w:val="fr-FR"/>
              </w:rPr>
              <w:noBreakHyphen/>
              <w:t>2/9</w:t>
            </w:r>
            <w:r w:rsidR="00950C3F" w:rsidRPr="008D77D5">
              <w:rPr>
                <w:sz w:val="18"/>
                <w:szCs w:val="18"/>
                <w:lang w:val="fr-FR"/>
              </w:rPr>
              <w:t xml:space="preserve">, </w:t>
            </w:r>
            <w:r w:rsidRPr="008D77D5">
              <w:rPr>
                <w:sz w:val="18"/>
                <w:szCs w:val="18"/>
                <w:lang w:val="fr-FR"/>
              </w:rPr>
              <w:t>l’éventuell</w:t>
            </w:r>
            <w:r w:rsidR="00224233">
              <w:rPr>
                <w:sz w:val="18"/>
                <w:szCs w:val="18"/>
                <w:lang w:val="fr-FR"/>
              </w:rPr>
              <w:t>e</w:t>
            </w:r>
            <w:r w:rsidRPr="008D77D5">
              <w:rPr>
                <w:sz w:val="18"/>
                <w:szCs w:val="18"/>
                <w:lang w:val="fr-FR"/>
              </w:rPr>
              <w:t xml:space="preserve"> harmonisation des codes des produits contenant du mercure ajouté </w:t>
            </w:r>
            <w:r w:rsidR="008D77D5" w:rsidRPr="008D77D5">
              <w:rPr>
                <w:sz w:val="18"/>
                <w:szCs w:val="18"/>
                <w:lang w:val="fr-FR"/>
              </w:rPr>
              <w:t>figurant</w:t>
            </w:r>
            <w:r w:rsidRPr="008D77D5">
              <w:rPr>
                <w:sz w:val="18"/>
                <w:szCs w:val="18"/>
                <w:lang w:val="fr-FR"/>
              </w:rPr>
              <w:t xml:space="preserve"> dans l’</w:t>
            </w:r>
            <w:r w:rsidR="00950C3F" w:rsidRPr="008D77D5">
              <w:rPr>
                <w:sz w:val="18"/>
                <w:szCs w:val="18"/>
                <w:lang w:val="fr-FR"/>
              </w:rPr>
              <w:t>Annex</w:t>
            </w:r>
            <w:r w:rsidRPr="008D77D5">
              <w:rPr>
                <w:sz w:val="18"/>
                <w:szCs w:val="18"/>
                <w:lang w:val="fr-FR"/>
              </w:rPr>
              <w:t>e </w:t>
            </w:r>
            <w:r w:rsidR="00950C3F" w:rsidRPr="008D77D5">
              <w:rPr>
                <w:sz w:val="18"/>
                <w:szCs w:val="18"/>
                <w:lang w:val="fr-FR"/>
              </w:rPr>
              <w:t xml:space="preserve">A </w:t>
            </w:r>
            <w:r w:rsidRPr="008D77D5">
              <w:rPr>
                <w:sz w:val="18"/>
                <w:szCs w:val="18"/>
                <w:lang w:val="fr-FR"/>
              </w:rPr>
              <w:t>de la Convention</w:t>
            </w:r>
            <w:r w:rsidR="00950C3F" w:rsidRPr="008D77D5">
              <w:rPr>
                <w:sz w:val="18"/>
                <w:szCs w:val="18"/>
                <w:lang w:val="fr-FR"/>
              </w:rPr>
              <w:t xml:space="preserve">, </w:t>
            </w:r>
            <w:r w:rsidRPr="008D77D5">
              <w:rPr>
                <w:sz w:val="18"/>
                <w:szCs w:val="18"/>
                <w:lang w:val="fr-FR"/>
              </w:rPr>
              <w:t>notamment par le biais des organisations régionales ou des autorités nationales</w:t>
            </w:r>
          </w:p>
        </w:tc>
      </w:tr>
    </w:tbl>
    <w:p w14:paraId="53282E6A" w14:textId="1D84D06B" w:rsidR="00A32AA8" w:rsidRPr="008D77D5" w:rsidRDefault="008F728D" w:rsidP="008F728D">
      <w:pPr>
        <w:pStyle w:val="CH1"/>
        <w:rPr>
          <w:lang w:val="fr-FR"/>
        </w:rPr>
      </w:pPr>
      <w:r w:rsidRPr="008D77D5">
        <w:rPr>
          <w:lang w:val="fr-FR"/>
        </w:rPr>
        <w:tab/>
      </w:r>
      <w:r w:rsidR="00B97A2E" w:rsidRPr="008D77D5">
        <w:rPr>
          <w:lang w:val="fr-FR"/>
        </w:rPr>
        <w:t>I</w:t>
      </w:r>
      <w:r w:rsidRPr="008D77D5">
        <w:rPr>
          <w:lang w:val="fr-FR"/>
        </w:rPr>
        <w:t>V.</w:t>
      </w:r>
      <w:r w:rsidRPr="008D77D5">
        <w:rPr>
          <w:lang w:val="fr-FR"/>
        </w:rPr>
        <w:tab/>
      </w:r>
      <w:r w:rsidR="0048182E" w:rsidRPr="008D77D5">
        <w:rPr>
          <w:lang w:val="fr-FR"/>
        </w:rPr>
        <w:t>Produits figurant dans l’</w:t>
      </w:r>
      <w:r w:rsidR="006078B8" w:rsidRPr="008D77D5">
        <w:rPr>
          <w:lang w:val="fr-FR"/>
        </w:rPr>
        <w:t>Annex</w:t>
      </w:r>
      <w:r w:rsidR="0048182E" w:rsidRPr="008D77D5">
        <w:rPr>
          <w:lang w:val="fr-FR"/>
        </w:rPr>
        <w:t>e </w:t>
      </w:r>
      <w:r w:rsidR="006078B8" w:rsidRPr="008D77D5">
        <w:rPr>
          <w:lang w:val="fr-FR"/>
        </w:rPr>
        <w:t>A</w:t>
      </w:r>
    </w:p>
    <w:p w14:paraId="5F9C3B4E" w14:textId="303A4B76" w:rsidR="00D52C39" w:rsidRPr="008D77D5" w:rsidRDefault="00F01224" w:rsidP="002D0F77">
      <w:pPr>
        <w:pStyle w:val="Normalnumber"/>
        <w:rPr>
          <w:lang w:val="fr-FR"/>
        </w:rPr>
      </w:pPr>
      <w:r>
        <w:rPr>
          <w:lang w:val="fr-FR"/>
        </w:rPr>
        <w:t>L</w:t>
      </w:r>
      <w:r w:rsidR="0048182E" w:rsidRPr="008D77D5">
        <w:rPr>
          <w:lang w:val="fr-FR"/>
        </w:rPr>
        <w:t>’</w:t>
      </w:r>
      <w:r w:rsidR="009B0382" w:rsidRPr="008D77D5">
        <w:rPr>
          <w:lang w:val="fr-FR"/>
        </w:rPr>
        <w:t>a</w:t>
      </w:r>
      <w:r w:rsidR="00DB78B4" w:rsidRPr="008D77D5">
        <w:rPr>
          <w:lang w:val="fr-FR"/>
        </w:rPr>
        <w:t>rticle</w:t>
      </w:r>
      <w:r w:rsidR="0048182E" w:rsidRPr="008D77D5">
        <w:rPr>
          <w:lang w:val="fr-FR"/>
        </w:rPr>
        <w:t> </w:t>
      </w:r>
      <w:r w:rsidR="00D52C39" w:rsidRPr="008D77D5">
        <w:rPr>
          <w:lang w:val="fr-FR"/>
        </w:rPr>
        <w:t>4</w:t>
      </w:r>
      <w:r>
        <w:rPr>
          <w:lang w:val="fr-FR"/>
        </w:rPr>
        <w:t xml:space="preserve"> de</w:t>
      </w:r>
      <w:r w:rsidR="00D52C39" w:rsidRPr="008D77D5">
        <w:rPr>
          <w:lang w:val="fr-FR"/>
        </w:rPr>
        <w:t xml:space="preserve"> </w:t>
      </w:r>
      <w:r w:rsidR="0048182E" w:rsidRPr="008D77D5">
        <w:rPr>
          <w:lang w:val="fr-FR"/>
        </w:rPr>
        <w:t>la Convention interdit de manière générale la fabrication, l’importation et l’exportation des produits contenant du mercure ajouté figurant dans la première partie de l’</w:t>
      </w:r>
      <w:r w:rsidR="00DB78B4" w:rsidRPr="008D77D5">
        <w:rPr>
          <w:lang w:val="fr-FR"/>
        </w:rPr>
        <w:t>Annex</w:t>
      </w:r>
      <w:r w:rsidR="0048182E" w:rsidRPr="008D77D5">
        <w:rPr>
          <w:lang w:val="fr-FR"/>
        </w:rPr>
        <w:t>e </w:t>
      </w:r>
      <w:r w:rsidR="00D52C39" w:rsidRPr="008D77D5">
        <w:rPr>
          <w:lang w:val="fr-FR"/>
        </w:rPr>
        <w:t xml:space="preserve">A, </w:t>
      </w:r>
      <w:r w:rsidR="0048182E" w:rsidRPr="008D77D5">
        <w:rPr>
          <w:lang w:val="fr-FR"/>
        </w:rPr>
        <w:t xml:space="preserve">sauf si une dérogation a été spécifiquement enregistrée par une </w:t>
      </w:r>
      <w:r w:rsidR="00A13CD2">
        <w:rPr>
          <w:lang w:val="fr-FR"/>
        </w:rPr>
        <w:t>P</w:t>
      </w:r>
      <w:r w:rsidR="0048182E" w:rsidRPr="008D77D5">
        <w:rPr>
          <w:lang w:val="fr-FR"/>
        </w:rPr>
        <w:t>artie en vertu de l’article 6</w:t>
      </w:r>
      <w:r w:rsidR="00D52C39" w:rsidRPr="008D77D5">
        <w:rPr>
          <w:lang w:val="fr-FR"/>
        </w:rPr>
        <w:t xml:space="preserve">. </w:t>
      </w:r>
      <w:r w:rsidR="00D93D95">
        <w:rPr>
          <w:lang w:val="fr-FR"/>
        </w:rPr>
        <w:t>On </w:t>
      </w:r>
      <w:r w:rsidR="0000357B">
        <w:rPr>
          <w:lang w:val="fr-FR"/>
        </w:rPr>
        <w:t xml:space="preserve">recense </w:t>
      </w:r>
      <w:r w:rsidR="0048182E" w:rsidRPr="008D77D5">
        <w:rPr>
          <w:lang w:val="fr-FR"/>
        </w:rPr>
        <w:t>actuellement neuf catégories de produits dans la première partie de l’A</w:t>
      </w:r>
      <w:r w:rsidR="00DB78B4" w:rsidRPr="008D77D5">
        <w:rPr>
          <w:lang w:val="fr-FR"/>
        </w:rPr>
        <w:t>nnex</w:t>
      </w:r>
      <w:r w:rsidR="0048182E" w:rsidRPr="008D77D5">
        <w:rPr>
          <w:lang w:val="fr-FR"/>
        </w:rPr>
        <w:t>e </w:t>
      </w:r>
      <w:r w:rsidR="00D52C39" w:rsidRPr="008D77D5">
        <w:rPr>
          <w:lang w:val="fr-FR"/>
        </w:rPr>
        <w:t>A</w:t>
      </w:r>
      <w:r w:rsidR="0000357B">
        <w:rPr>
          <w:lang w:val="fr-FR"/>
        </w:rPr>
        <w:t> :</w:t>
      </w:r>
      <w:r w:rsidR="00D52C39" w:rsidRPr="008D77D5">
        <w:rPr>
          <w:lang w:val="fr-FR"/>
        </w:rPr>
        <w:t xml:space="preserve"> </w:t>
      </w:r>
      <w:r w:rsidR="0048182E" w:rsidRPr="008D77D5">
        <w:rPr>
          <w:lang w:val="fr-FR"/>
        </w:rPr>
        <w:t xml:space="preserve">piles, </w:t>
      </w:r>
      <w:r w:rsidR="0048182E" w:rsidRPr="008D77D5">
        <w:rPr>
          <w:lang w:val="fr-FR"/>
        </w:rPr>
        <w:lastRenderedPageBreak/>
        <w:t>commutateurs et relais</w:t>
      </w:r>
      <w:r w:rsidR="00026F55" w:rsidRPr="008D77D5">
        <w:rPr>
          <w:lang w:val="fr-FR"/>
        </w:rPr>
        <w:t>,</w:t>
      </w:r>
      <w:r w:rsidR="00D52C39" w:rsidRPr="008D77D5">
        <w:rPr>
          <w:lang w:val="fr-FR"/>
        </w:rPr>
        <w:t xml:space="preserve"> </w:t>
      </w:r>
      <w:r w:rsidR="0048182E" w:rsidRPr="008D77D5">
        <w:rPr>
          <w:lang w:val="fr-FR"/>
        </w:rPr>
        <w:t>éclairage</w:t>
      </w:r>
      <w:r w:rsidR="00026F55" w:rsidRPr="008D77D5">
        <w:rPr>
          <w:lang w:val="fr-FR"/>
        </w:rPr>
        <w:t>,</w:t>
      </w:r>
      <w:r w:rsidR="00D52C39" w:rsidRPr="008D77D5">
        <w:rPr>
          <w:lang w:val="fr-FR"/>
        </w:rPr>
        <w:t xml:space="preserve"> </w:t>
      </w:r>
      <w:r w:rsidR="0048182E" w:rsidRPr="008D77D5">
        <w:rPr>
          <w:lang w:val="fr-FR"/>
        </w:rPr>
        <w:t xml:space="preserve">cosmétiques, pesticides, biocides et antiseptiques, </w:t>
      </w:r>
      <w:r w:rsidR="0000357B">
        <w:rPr>
          <w:lang w:val="fr-FR"/>
        </w:rPr>
        <w:t xml:space="preserve">et </w:t>
      </w:r>
      <w:r w:rsidR="0048182E" w:rsidRPr="008D77D5">
        <w:rPr>
          <w:lang w:val="fr-FR"/>
        </w:rPr>
        <w:t>appareils de mesure</w:t>
      </w:r>
      <w:r w:rsidR="00D52C39" w:rsidRPr="008D77D5">
        <w:rPr>
          <w:lang w:val="fr-FR"/>
        </w:rPr>
        <w:t xml:space="preserve">. </w:t>
      </w:r>
      <w:r w:rsidR="0048182E" w:rsidRPr="008D77D5">
        <w:rPr>
          <w:lang w:val="fr-FR"/>
        </w:rPr>
        <w:t xml:space="preserve">La </w:t>
      </w:r>
      <w:r w:rsidR="007508FB" w:rsidRPr="008D77D5">
        <w:rPr>
          <w:lang w:val="fr-FR"/>
        </w:rPr>
        <w:t xml:space="preserve">Convention </w:t>
      </w:r>
      <w:r w:rsidR="0048182E" w:rsidRPr="008D77D5">
        <w:rPr>
          <w:lang w:val="fr-FR"/>
        </w:rPr>
        <w:t>e</w:t>
      </w:r>
      <w:r w:rsidR="00503D81">
        <w:rPr>
          <w:lang w:val="fr-FR"/>
        </w:rPr>
        <w:t xml:space="preserve">xige </w:t>
      </w:r>
      <w:r w:rsidR="0048182E" w:rsidRPr="008D77D5">
        <w:rPr>
          <w:lang w:val="fr-FR"/>
        </w:rPr>
        <w:t xml:space="preserve">également </w:t>
      </w:r>
      <w:r w:rsidR="00503D81">
        <w:rPr>
          <w:lang w:val="fr-FR"/>
        </w:rPr>
        <w:t xml:space="preserve">que </w:t>
      </w:r>
      <w:r w:rsidR="0048182E" w:rsidRPr="008D77D5">
        <w:rPr>
          <w:lang w:val="fr-FR"/>
        </w:rPr>
        <w:t xml:space="preserve">les </w:t>
      </w:r>
      <w:r w:rsidR="00A13CD2">
        <w:rPr>
          <w:lang w:val="fr-FR"/>
        </w:rPr>
        <w:t>P</w:t>
      </w:r>
      <w:r w:rsidR="0048182E" w:rsidRPr="008D77D5">
        <w:rPr>
          <w:lang w:val="fr-FR"/>
        </w:rPr>
        <w:t>arties pren</w:t>
      </w:r>
      <w:r w:rsidR="00503D81">
        <w:rPr>
          <w:lang w:val="fr-FR"/>
        </w:rPr>
        <w:t>nent</w:t>
      </w:r>
      <w:r w:rsidR="0048182E" w:rsidRPr="008D77D5">
        <w:rPr>
          <w:lang w:val="fr-FR"/>
        </w:rPr>
        <w:t xml:space="preserve"> des mesures à l’échelle nationale pour éliminer progressivement l’utilisation d’amalgames dentaires</w:t>
      </w:r>
      <w:r w:rsidR="004C45C0" w:rsidRPr="008D77D5">
        <w:rPr>
          <w:lang w:val="fr-FR"/>
        </w:rPr>
        <w:t>,</w:t>
      </w:r>
      <w:r w:rsidR="007508FB" w:rsidRPr="008D77D5">
        <w:rPr>
          <w:lang w:val="fr-FR"/>
        </w:rPr>
        <w:t xml:space="preserve"> </w:t>
      </w:r>
      <w:r w:rsidR="0048182E" w:rsidRPr="008D77D5">
        <w:rPr>
          <w:lang w:val="fr-FR"/>
        </w:rPr>
        <w:t>comme indiqué dans la deuxième partie de l’</w:t>
      </w:r>
      <w:r w:rsidR="00DB78B4" w:rsidRPr="008D77D5">
        <w:rPr>
          <w:lang w:val="fr-FR"/>
        </w:rPr>
        <w:t>Annex</w:t>
      </w:r>
      <w:r w:rsidR="0048182E" w:rsidRPr="008D77D5">
        <w:rPr>
          <w:lang w:val="fr-FR"/>
        </w:rPr>
        <w:t>e </w:t>
      </w:r>
      <w:r w:rsidR="007508FB" w:rsidRPr="008D77D5">
        <w:rPr>
          <w:lang w:val="fr-FR"/>
        </w:rPr>
        <w:t>A.</w:t>
      </w:r>
    </w:p>
    <w:p w14:paraId="09257D52" w14:textId="0534529E" w:rsidR="00D52C39" w:rsidRPr="008D77D5" w:rsidRDefault="005014A9" w:rsidP="002D0F77">
      <w:pPr>
        <w:pStyle w:val="Normalnumber"/>
        <w:rPr>
          <w:lang w:val="fr-FR"/>
        </w:rPr>
      </w:pPr>
      <w:r w:rsidRPr="008D77D5">
        <w:rPr>
          <w:lang w:val="fr-FR"/>
        </w:rPr>
        <w:t>L</w:t>
      </w:r>
      <w:r w:rsidR="00932895">
        <w:rPr>
          <w:lang w:val="fr-FR"/>
        </w:rPr>
        <w:t>es</w:t>
      </w:r>
      <w:r w:rsidRPr="008D77D5">
        <w:rPr>
          <w:lang w:val="fr-FR"/>
        </w:rPr>
        <w:t xml:space="preserve"> catégories générales de produits figurant dans l’</w:t>
      </w:r>
      <w:r w:rsidR="00DB78B4" w:rsidRPr="008D77D5">
        <w:rPr>
          <w:lang w:val="fr-FR"/>
        </w:rPr>
        <w:t>Annex</w:t>
      </w:r>
      <w:r w:rsidRPr="008D77D5">
        <w:rPr>
          <w:lang w:val="fr-FR"/>
        </w:rPr>
        <w:t>e</w:t>
      </w:r>
      <w:r w:rsidR="0000357B">
        <w:rPr>
          <w:lang w:val="fr-FR"/>
        </w:rPr>
        <w:t> </w:t>
      </w:r>
      <w:r w:rsidR="00D52C39" w:rsidRPr="008D77D5">
        <w:rPr>
          <w:lang w:val="fr-FR"/>
        </w:rPr>
        <w:t xml:space="preserve">A </w:t>
      </w:r>
      <w:r w:rsidRPr="008D77D5">
        <w:rPr>
          <w:lang w:val="fr-FR"/>
        </w:rPr>
        <w:t xml:space="preserve">sont déjà pour la plupart </w:t>
      </w:r>
      <w:r w:rsidR="00F01224">
        <w:rPr>
          <w:lang w:val="fr-FR"/>
        </w:rPr>
        <w:t>couvertes par</w:t>
      </w:r>
      <w:r w:rsidRPr="008D77D5">
        <w:rPr>
          <w:lang w:val="fr-FR"/>
        </w:rPr>
        <w:t xml:space="preserve"> les codes à six chiffres </w:t>
      </w:r>
      <w:r w:rsidR="0000357B">
        <w:rPr>
          <w:lang w:val="fr-FR"/>
        </w:rPr>
        <w:t xml:space="preserve">de </w:t>
      </w:r>
      <w:r w:rsidRPr="008D77D5">
        <w:rPr>
          <w:lang w:val="fr-FR"/>
        </w:rPr>
        <w:t>la nomenclature de l’OMD</w:t>
      </w:r>
      <w:r w:rsidR="00697749" w:rsidRPr="008D77D5">
        <w:rPr>
          <w:lang w:val="fr-FR"/>
        </w:rPr>
        <w:t>,</w:t>
      </w:r>
      <w:r w:rsidR="006A1B57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bien que le SH ne soit généralement pas suffisamment détaillé pour faire la distinction entre les produits </w:t>
      </w:r>
      <w:r w:rsidR="0000357B">
        <w:rPr>
          <w:lang w:val="fr-FR"/>
        </w:rPr>
        <w:t xml:space="preserve">avec et </w:t>
      </w:r>
      <w:r w:rsidRPr="008D77D5">
        <w:rPr>
          <w:lang w:val="fr-FR"/>
        </w:rPr>
        <w:t>sans mercure ajouté</w:t>
      </w:r>
      <w:r w:rsidR="00D52C39" w:rsidRPr="008D77D5">
        <w:rPr>
          <w:lang w:val="fr-FR"/>
        </w:rPr>
        <w:t xml:space="preserve">. </w:t>
      </w:r>
      <w:r w:rsidRPr="008D77D5">
        <w:rPr>
          <w:lang w:val="fr-FR"/>
        </w:rPr>
        <w:t>L</w:t>
      </w:r>
      <w:r w:rsidR="0000357B">
        <w:rPr>
          <w:lang w:val="fr-FR"/>
        </w:rPr>
        <w:t>e</w:t>
      </w:r>
      <w:r w:rsidRPr="008D77D5">
        <w:rPr>
          <w:lang w:val="fr-FR"/>
        </w:rPr>
        <w:t xml:space="preserve"> chapitre </w:t>
      </w:r>
      <w:r w:rsidR="00D52C39" w:rsidRPr="008D77D5">
        <w:rPr>
          <w:lang w:val="fr-FR"/>
        </w:rPr>
        <w:t xml:space="preserve">5 </w:t>
      </w:r>
      <w:r w:rsidRPr="008D77D5">
        <w:rPr>
          <w:lang w:val="fr-FR"/>
        </w:rPr>
        <w:t xml:space="preserve">du rapport intégral donne un </w:t>
      </w:r>
      <w:r w:rsidR="0000357B">
        <w:rPr>
          <w:lang w:val="fr-FR"/>
        </w:rPr>
        <w:t xml:space="preserve">aperçu </w:t>
      </w:r>
      <w:r w:rsidRPr="008D77D5">
        <w:rPr>
          <w:lang w:val="fr-FR"/>
        </w:rPr>
        <w:t>de la plupart de</w:t>
      </w:r>
      <w:r w:rsidR="0000357B">
        <w:rPr>
          <w:lang w:val="fr-FR"/>
        </w:rPr>
        <w:t>s</w:t>
      </w:r>
      <w:r w:rsidRPr="008D77D5">
        <w:rPr>
          <w:lang w:val="fr-FR"/>
        </w:rPr>
        <w:t xml:space="preserve"> codes à six</w:t>
      </w:r>
      <w:r w:rsidR="00A13CD2">
        <w:rPr>
          <w:lang w:val="fr-FR"/>
        </w:rPr>
        <w:t> </w:t>
      </w:r>
      <w:r w:rsidRPr="008D77D5">
        <w:rPr>
          <w:lang w:val="fr-FR"/>
        </w:rPr>
        <w:t>chiffres applicables</w:t>
      </w:r>
      <w:r w:rsidR="00D52C39" w:rsidRPr="008D77D5">
        <w:rPr>
          <w:lang w:val="fr-FR"/>
        </w:rPr>
        <w:t xml:space="preserve">, </w:t>
      </w:r>
      <w:r w:rsidRPr="008D77D5">
        <w:rPr>
          <w:lang w:val="fr-FR"/>
        </w:rPr>
        <w:t>qui sont présenté</w:t>
      </w:r>
      <w:r w:rsidR="0000357B">
        <w:rPr>
          <w:lang w:val="fr-FR"/>
        </w:rPr>
        <w:t>s</w:t>
      </w:r>
      <w:r w:rsidRPr="008D77D5">
        <w:rPr>
          <w:lang w:val="fr-FR"/>
        </w:rPr>
        <w:t xml:space="preserve"> de manière plus détaillée dans les annexes</w:t>
      </w:r>
      <w:r w:rsidR="0000357B">
        <w:rPr>
          <w:lang w:val="fr-FR"/>
        </w:rPr>
        <w:t> </w:t>
      </w:r>
      <w:r w:rsidR="00D52C39" w:rsidRPr="008D77D5">
        <w:rPr>
          <w:lang w:val="fr-FR"/>
        </w:rPr>
        <w:t xml:space="preserve">H </w:t>
      </w:r>
      <w:r w:rsidRPr="008D77D5">
        <w:rPr>
          <w:lang w:val="fr-FR"/>
        </w:rPr>
        <w:t xml:space="preserve">et </w:t>
      </w:r>
      <w:r w:rsidR="00D52C39" w:rsidRPr="008D77D5">
        <w:rPr>
          <w:lang w:val="fr-FR"/>
        </w:rPr>
        <w:t xml:space="preserve">I </w:t>
      </w:r>
      <w:r w:rsidR="0000357B">
        <w:rPr>
          <w:lang w:val="fr-FR"/>
        </w:rPr>
        <w:t>de ce rapport</w:t>
      </w:r>
      <w:r w:rsidR="00D52C39" w:rsidRPr="008D77D5">
        <w:rPr>
          <w:lang w:val="fr-FR"/>
        </w:rPr>
        <w:t>.</w:t>
      </w:r>
    </w:p>
    <w:p w14:paraId="60555922" w14:textId="1D7B64F4" w:rsidR="00D52C39" w:rsidRPr="008D77D5" w:rsidRDefault="008F728D" w:rsidP="008F728D">
      <w:pPr>
        <w:pStyle w:val="CH1"/>
        <w:rPr>
          <w:lang w:val="fr-FR"/>
        </w:rPr>
      </w:pPr>
      <w:r w:rsidRPr="008D77D5">
        <w:rPr>
          <w:lang w:val="fr-FR"/>
        </w:rPr>
        <w:tab/>
        <w:t>V.</w:t>
      </w:r>
      <w:r w:rsidRPr="008D77D5">
        <w:rPr>
          <w:lang w:val="fr-FR"/>
        </w:rPr>
        <w:tab/>
      </w:r>
      <w:r w:rsidR="005014A9" w:rsidRPr="008D77D5">
        <w:rPr>
          <w:lang w:val="fr-FR"/>
        </w:rPr>
        <w:t>Solutions proposées en réponse à la décision </w:t>
      </w:r>
      <w:r w:rsidR="002D6C8A" w:rsidRPr="008D77D5">
        <w:rPr>
          <w:lang w:val="fr-FR"/>
        </w:rPr>
        <w:t>MC</w:t>
      </w:r>
      <w:r w:rsidR="002D6C8A" w:rsidRPr="008D77D5">
        <w:rPr>
          <w:lang w:val="fr-FR"/>
        </w:rPr>
        <w:noBreakHyphen/>
        <w:t>2/9</w:t>
      </w:r>
    </w:p>
    <w:p w14:paraId="33616DDD" w14:textId="32F5FC2E" w:rsidR="00A9773E" w:rsidRPr="008D77D5" w:rsidRDefault="00F01224" w:rsidP="00C442F7">
      <w:pPr>
        <w:pStyle w:val="Normalnumber"/>
        <w:rPr>
          <w:lang w:val="fr-FR"/>
        </w:rPr>
      </w:pPr>
      <w:r>
        <w:rPr>
          <w:lang w:val="fr-FR"/>
        </w:rPr>
        <w:t>L</w:t>
      </w:r>
      <w:r w:rsidR="005014A9" w:rsidRPr="008D77D5">
        <w:rPr>
          <w:lang w:val="fr-FR"/>
        </w:rPr>
        <w:t>a décision </w:t>
      </w:r>
      <w:r w:rsidR="002D6C8A" w:rsidRPr="008D77D5">
        <w:rPr>
          <w:lang w:val="fr-FR"/>
        </w:rPr>
        <w:t>MC</w:t>
      </w:r>
      <w:r w:rsidR="002D6C8A" w:rsidRPr="008D77D5">
        <w:rPr>
          <w:lang w:val="fr-FR"/>
        </w:rPr>
        <w:noBreakHyphen/>
        <w:t>2/9</w:t>
      </w:r>
      <w:r>
        <w:rPr>
          <w:lang w:val="fr-FR"/>
        </w:rPr>
        <w:t xml:space="preserve"> prie</w:t>
      </w:r>
      <w:r w:rsidR="00A9773E" w:rsidRPr="008D77D5">
        <w:rPr>
          <w:lang w:val="fr-FR"/>
        </w:rPr>
        <w:t xml:space="preserve"> </w:t>
      </w:r>
      <w:r w:rsidR="005014A9" w:rsidRPr="008D77D5">
        <w:rPr>
          <w:lang w:val="fr-FR"/>
        </w:rPr>
        <w:t xml:space="preserve">le secrétariat de proposer des solutions pour </w:t>
      </w:r>
      <w:r w:rsidR="00A13CD2">
        <w:rPr>
          <w:lang w:val="fr-FR"/>
        </w:rPr>
        <w:t xml:space="preserve">définir </w:t>
      </w:r>
      <w:r w:rsidR="005014A9" w:rsidRPr="008D77D5">
        <w:rPr>
          <w:lang w:val="fr-FR"/>
        </w:rPr>
        <w:t>de</w:t>
      </w:r>
      <w:r w:rsidR="00A13CD2">
        <w:rPr>
          <w:lang w:val="fr-FR"/>
        </w:rPr>
        <w:t>s</w:t>
      </w:r>
      <w:r w:rsidR="005014A9" w:rsidRPr="008D77D5">
        <w:rPr>
          <w:lang w:val="fr-FR"/>
        </w:rPr>
        <w:t xml:space="preserve"> codes douaniers permettant d’identifier et de distinguer les produits sans mercure ajouté et ceux </w:t>
      </w:r>
      <w:r w:rsidR="00503D81">
        <w:rPr>
          <w:lang w:val="fr-FR"/>
        </w:rPr>
        <w:t xml:space="preserve">en </w:t>
      </w:r>
      <w:r w:rsidR="005014A9" w:rsidRPr="008D77D5">
        <w:rPr>
          <w:lang w:val="fr-FR"/>
        </w:rPr>
        <w:t xml:space="preserve">contenant </w:t>
      </w:r>
      <w:r w:rsidR="00503D81">
        <w:rPr>
          <w:lang w:val="fr-FR"/>
        </w:rPr>
        <w:t>qui</w:t>
      </w:r>
      <w:r w:rsidR="005014A9" w:rsidRPr="008D77D5">
        <w:rPr>
          <w:lang w:val="fr-FR"/>
        </w:rPr>
        <w:t xml:space="preserve"> </w:t>
      </w:r>
      <w:r w:rsidR="00D66028">
        <w:rPr>
          <w:lang w:val="fr-FR"/>
        </w:rPr>
        <w:t>figur</w:t>
      </w:r>
      <w:r w:rsidR="00503D81">
        <w:rPr>
          <w:lang w:val="fr-FR"/>
        </w:rPr>
        <w:t>e</w:t>
      </w:r>
      <w:r w:rsidR="00D66028">
        <w:rPr>
          <w:lang w:val="fr-FR"/>
        </w:rPr>
        <w:t xml:space="preserve">nt </w:t>
      </w:r>
      <w:r w:rsidR="005014A9" w:rsidRPr="008D77D5">
        <w:rPr>
          <w:lang w:val="fr-FR"/>
        </w:rPr>
        <w:t>dans l’Annexe</w:t>
      </w:r>
      <w:r w:rsidR="00D66028">
        <w:rPr>
          <w:lang w:val="fr-FR"/>
        </w:rPr>
        <w:t> </w:t>
      </w:r>
      <w:r w:rsidR="005014A9" w:rsidRPr="008D77D5">
        <w:rPr>
          <w:lang w:val="fr-FR"/>
        </w:rPr>
        <w:t xml:space="preserve">A de la Convention, </w:t>
      </w:r>
      <w:r w:rsidR="00D66028">
        <w:rPr>
          <w:lang w:val="fr-FR"/>
        </w:rPr>
        <w:t xml:space="preserve">et notamment </w:t>
      </w:r>
      <w:r w:rsidR="005014A9" w:rsidRPr="008D77D5">
        <w:rPr>
          <w:lang w:val="fr-FR"/>
        </w:rPr>
        <w:t>des moyens de les harmoniser éventuellement</w:t>
      </w:r>
      <w:r w:rsidR="00A9773E" w:rsidRPr="008D77D5">
        <w:rPr>
          <w:lang w:val="fr-FR"/>
        </w:rPr>
        <w:t>.</w:t>
      </w:r>
      <w:r w:rsidR="00D66028">
        <w:rPr>
          <w:lang w:val="fr-FR"/>
        </w:rPr>
        <w:t xml:space="preserve"> En réponse à cette demande</w:t>
      </w:r>
      <w:r w:rsidR="005014A9" w:rsidRPr="008D77D5">
        <w:rPr>
          <w:lang w:val="fr-FR"/>
        </w:rPr>
        <w:t>, quatre solutions de base pe</w:t>
      </w:r>
      <w:r w:rsidR="00F17A31">
        <w:rPr>
          <w:lang w:val="fr-FR"/>
        </w:rPr>
        <w:t>rmettant l’identification et la </w:t>
      </w:r>
      <w:r w:rsidR="005014A9" w:rsidRPr="008D77D5">
        <w:rPr>
          <w:lang w:val="fr-FR"/>
        </w:rPr>
        <w:t xml:space="preserve">distinction des produits </w:t>
      </w:r>
      <w:r w:rsidR="00D66028">
        <w:rPr>
          <w:lang w:val="fr-FR"/>
        </w:rPr>
        <w:t xml:space="preserve">avec et </w:t>
      </w:r>
      <w:r w:rsidR="005014A9" w:rsidRPr="008D77D5">
        <w:rPr>
          <w:lang w:val="fr-FR"/>
        </w:rPr>
        <w:t>sans mercure ajouté ont été identifiées </w:t>
      </w:r>
      <w:r w:rsidR="006B5D31" w:rsidRPr="008D77D5">
        <w:rPr>
          <w:lang w:val="fr-FR"/>
        </w:rPr>
        <w:t>:</w:t>
      </w:r>
    </w:p>
    <w:p w14:paraId="28B7306E" w14:textId="030E2D44" w:rsidR="00A9773E" w:rsidRPr="008D77D5" w:rsidRDefault="008F728D" w:rsidP="008F728D">
      <w:pPr>
        <w:pStyle w:val="CH2"/>
        <w:rPr>
          <w:lang w:val="fr-FR"/>
        </w:rPr>
      </w:pPr>
      <w:r w:rsidRPr="008D77D5">
        <w:rPr>
          <w:lang w:val="fr-FR"/>
        </w:rPr>
        <w:tab/>
        <w:t>A.</w:t>
      </w:r>
      <w:r w:rsidRPr="008D77D5">
        <w:rPr>
          <w:lang w:val="fr-FR"/>
        </w:rPr>
        <w:tab/>
      </w:r>
      <w:r w:rsidR="005014A9" w:rsidRPr="008D77D5">
        <w:rPr>
          <w:lang w:val="fr-FR"/>
        </w:rPr>
        <w:t>Élaborer des codes à six</w:t>
      </w:r>
      <w:r w:rsidR="00D66028">
        <w:rPr>
          <w:lang w:val="fr-FR"/>
        </w:rPr>
        <w:t> </w:t>
      </w:r>
      <w:r w:rsidR="005014A9" w:rsidRPr="008D77D5">
        <w:rPr>
          <w:lang w:val="fr-FR"/>
        </w:rPr>
        <w:t xml:space="preserve">chiffres harmonisés à l’échelle internationale </w:t>
      </w:r>
      <w:r w:rsidR="00503D81">
        <w:rPr>
          <w:lang w:val="fr-FR"/>
        </w:rPr>
        <w:t>selon</w:t>
      </w:r>
      <w:r w:rsidR="007346B2">
        <w:rPr>
          <w:lang w:val="fr-FR"/>
        </w:rPr>
        <w:t> la </w:t>
      </w:r>
      <w:r w:rsidR="005014A9" w:rsidRPr="008D77D5">
        <w:rPr>
          <w:lang w:val="fr-FR"/>
        </w:rPr>
        <w:t xml:space="preserve">procédure </w:t>
      </w:r>
      <w:r w:rsidR="00081B99">
        <w:rPr>
          <w:lang w:val="fr-FR"/>
        </w:rPr>
        <w:t>en vigueur</w:t>
      </w:r>
      <w:r w:rsidR="005014A9" w:rsidRPr="008D77D5">
        <w:rPr>
          <w:lang w:val="fr-FR"/>
        </w:rPr>
        <w:t xml:space="preserve"> </w:t>
      </w:r>
      <w:r w:rsidR="00503D81">
        <w:rPr>
          <w:lang w:val="fr-FR"/>
        </w:rPr>
        <w:t>à</w:t>
      </w:r>
      <w:r w:rsidR="005014A9" w:rsidRPr="008D77D5">
        <w:rPr>
          <w:lang w:val="fr-FR"/>
        </w:rPr>
        <w:t xml:space="preserve"> l’OMD</w:t>
      </w:r>
    </w:p>
    <w:p w14:paraId="6CECF986" w14:textId="28E50B59" w:rsidR="00CB366E" w:rsidRPr="008D77D5" w:rsidRDefault="005014A9" w:rsidP="002D0F77">
      <w:pPr>
        <w:pStyle w:val="Normalnumber"/>
        <w:rPr>
          <w:lang w:val="fr-FR"/>
        </w:rPr>
      </w:pPr>
      <w:r w:rsidRPr="008D77D5">
        <w:rPr>
          <w:lang w:val="fr-FR"/>
        </w:rPr>
        <w:t>L’utilisation de codes à six</w:t>
      </w:r>
      <w:r w:rsidR="00D66028">
        <w:rPr>
          <w:lang w:val="fr-FR"/>
        </w:rPr>
        <w:t> </w:t>
      </w:r>
      <w:r w:rsidRPr="008D77D5">
        <w:rPr>
          <w:lang w:val="fr-FR"/>
        </w:rPr>
        <w:t>chiffres du SH pour différen</w:t>
      </w:r>
      <w:r w:rsidR="00932895">
        <w:rPr>
          <w:lang w:val="fr-FR"/>
        </w:rPr>
        <w:t>c</w:t>
      </w:r>
      <w:r w:rsidRPr="008D77D5">
        <w:rPr>
          <w:lang w:val="fr-FR"/>
        </w:rPr>
        <w:t xml:space="preserve">ier les produits contenant du mercure ajouté de ceux </w:t>
      </w:r>
      <w:r w:rsidR="00503D81">
        <w:rPr>
          <w:lang w:val="fr-FR"/>
        </w:rPr>
        <w:t xml:space="preserve">qui </w:t>
      </w:r>
      <w:r w:rsidRPr="008D77D5">
        <w:rPr>
          <w:lang w:val="fr-FR"/>
        </w:rPr>
        <w:t>n’en cont</w:t>
      </w:r>
      <w:r w:rsidR="00503D81">
        <w:rPr>
          <w:lang w:val="fr-FR"/>
        </w:rPr>
        <w:t>ienne</w:t>
      </w:r>
      <w:r w:rsidRPr="008D77D5">
        <w:rPr>
          <w:lang w:val="fr-FR"/>
        </w:rPr>
        <w:t xml:space="preserve">nt pas, </w:t>
      </w:r>
      <w:r w:rsidR="00503D81">
        <w:rPr>
          <w:lang w:val="fr-FR"/>
        </w:rPr>
        <w:t>tels que décrits dans</w:t>
      </w:r>
      <w:r w:rsidRPr="008D77D5">
        <w:rPr>
          <w:lang w:val="fr-FR"/>
        </w:rPr>
        <w:t xml:space="preserve"> la section </w:t>
      </w:r>
      <w:r w:rsidR="00CB366E" w:rsidRPr="008D77D5">
        <w:rPr>
          <w:lang w:val="fr-FR"/>
        </w:rPr>
        <w:t>2.2</w:t>
      </w:r>
      <w:r w:rsidR="00F94980" w:rsidRPr="008D77D5">
        <w:rPr>
          <w:lang w:val="fr-FR"/>
        </w:rPr>
        <w:t xml:space="preserve"> </w:t>
      </w:r>
      <w:r w:rsidRPr="008D77D5">
        <w:rPr>
          <w:lang w:val="fr-FR"/>
        </w:rPr>
        <w:t>du rapport intégral, s’appuierait sur la structure et les procédures officielles établies de l’OMD</w:t>
      </w:r>
      <w:r w:rsidR="00CB366E" w:rsidRPr="008D77D5">
        <w:rPr>
          <w:lang w:val="fr-FR"/>
        </w:rPr>
        <w:t xml:space="preserve"> (</w:t>
      </w:r>
      <w:r w:rsidR="009B4CCC">
        <w:rPr>
          <w:lang w:val="fr-FR"/>
        </w:rPr>
        <w:t xml:space="preserve">comme </w:t>
      </w:r>
      <w:r w:rsidR="007346B2">
        <w:rPr>
          <w:lang w:val="fr-FR"/>
        </w:rPr>
        <w:t>celles régissant les </w:t>
      </w:r>
      <w:r w:rsidRPr="008D77D5">
        <w:rPr>
          <w:lang w:val="fr-FR"/>
        </w:rPr>
        <w:t>règles d’origine et la</w:t>
      </w:r>
      <w:r w:rsidR="00E64346" w:rsidRPr="008D77D5">
        <w:rPr>
          <w:lang w:val="fr-FR"/>
        </w:rPr>
        <w:t xml:space="preserve"> surveillance du commerce de certaines marchandises réglementées</w:t>
      </w:r>
      <w:r w:rsidR="00CB366E" w:rsidRPr="008D77D5">
        <w:rPr>
          <w:lang w:val="fr-FR"/>
        </w:rPr>
        <w:t xml:space="preserve">). </w:t>
      </w:r>
      <w:r w:rsidR="00E64346" w:rsidRPr="008D77D5">
        <w:rPr>
          <w:lang w:val="fr-FR"/>
        </w:rPr>
        <w:t xml:space="preserve">Conformément </w:t>
      </w:r>
      <w:r w:rsidR="00081B99">
        <w:rPr>
          <w:lang w:val="fr-FR"/>
        </w:rPr>
        <w:t>aux</w:t>
      </w:r>
      <w:r w:rsidR="009B4CCC">
        <w:rPr>
          <w:lang w:val="fr-FR"/>
        </w:rPr>
        <w:t xml:space="preserve"> usage</w:t>
      </w:r>
      <w:r w:rsidR="00081B99">
        <w:rPr>
          <w:lang w:val="fr-FR"/>
        </w:rPr>
        <w:t>s</w:t>
      </w:r>
      <w:r w:rsidR="009B4CCC">
        <w:rPr>
          <w:lang w:val="fr-FR"/>
        </w:rPr>
        <w:t xml:space="preserve"> </w:t>
      </w:r>
      <w:r w:rsidR="00E64346" w:rsidRPr="008D77D5">
        <w:rPr>
          <w:lang w:val="fr-FR"/>
        </w:rPr>
        <w:t>du SH</w:t>
      </w:r>
      <w:r w:rsidR="00CB366E" w:rsidRPr="008D77D5">
        <w:rPr>
          <w:lang w:val="fr-FR"/>
        </w:rPr>
        <w:t xml:space="preserve">, </w:t>
      </w:r>
      <w:r w:rsidR="00E64346" w:rsidRPr="008D77D5">
        <w:rPr>
          <w:lang w:val="fr-FR"/>
        </w:rPr>
        <w:t xml:space="preserve">cette solution </w:t>
      </w:r>
      <w:r w:rsidR="009B4CCC">
        <w:rPr>
          <w:lang w:val="fr-FR"/>
        </w:rPr>
        <w:t xml:space="preserve">impliquerait </w:t>
      </w:r>
      <w:r w:rsidR="00E64346" w:rsidRPr="008D77D5">
        <w:rPr>
          <w:lang w:val="fr-FR"/>
        </w:rPr>
        <w:t>une harmonisation internationale « automatique », puisque tous les pays utilisant le SH serai</w:t>
      </w:r>
      <w:r w:rsidR="009B4CCC">
        <w:rPr>
          <w:lang w:val="fr-FR"/>
        </w:rPr>
        <w:t>en</w:t>
      </w:r>
      <w:r w:rsidR="00E64346" w:rsidRPr="008D77D5">
        <w:rPr>
          <w:lang w:val="fr-FR"/>
        </w:rPr>
        <w:t>t obligés d’adopter les mêmes codes</w:t>
      </w:r>
      <w:r w:rsidR="00503D81">
        <w:rPr>
          <w:lang w:val="fr-FR"/>
        </w:rPr>
        <w:t>, selon</w:t>
      </w:r>
      <w:r w:rsidR="009B4CCC" w:rsidRPr="009B4CCC">
        <w:rPr>
          <w:lang w:val="fr-FR"/>
        </w:rPr>
        <w:t xml:space="preserve"> la procédure en vigueur </w:t>
      </w:r>
      <w:r w:rsidR="00503D81">
        <w:rPr>
          <w:lang w:val="fr-FR"/>
        </w:rPr>
        <w:t>à</w:t>
      </w:r>
      <w:r w:rsidR="009B4CCC" w:rsidRPr="009B4CCC">
        <w:rPr>
          <w:lang w:val="fr-FR"/>
        </w:rPr>
        <w:t xml:space="preserve"> l’OMD</w:t>
      </w:r>
      <w:r w:rsidR="00CB366E" w:rsidRPr="008D77D5">
        <w:rPr>
          <w:lang w:val="fr-FR"/>
        </w:rPr>
        <w:t>.</w:t>
      </w:r>
    </w:p>
    <w:p w14:paraId="05EFC186" w14:textId="39159E22" w:rsidR="00A9773E" w:rsidRPr="008D77D5" w:rsidRDefault="008F728D" w:rsidP="008F728D">
      <w:pPr>
        <w:pStyle w:val="CH2"/>
        <w:rPr>
          <w:lang w:val="fr-FR"/>
        </w:rPr>
      </w:pPr>
      <w:r w:rsidRPr="008D77D5">
        <w:rPr>
          <w:lang w:val="fr-FR"/>
        </w:rPr>
        <w:tab/>
        <w:t>B.</w:t>
      </w:r>
      <w:r w:rsidRPr="008D77D5">
        <w:rPr>
          <w:lang w:val="fr-FR"/>
        </w:rPr>
        <w:tab/>
      </w:r>
      <w:r w:rsidR="00E64346" w:rsidRPr="008D77D5">
        <w:rPr>
          <w:lang w:val="fr-FR"/>
        </w:rPr>
        <w:t>Élaborer des codes statistiques de plus de six chiffres</w:t>
      </w:r>
    </w:p>
    <w:p w14:paraId="368FADED" w14:textId="048C6BC3" w:rsidR="00BC45DC" w:rsidRPr="008D77D5" w:rsidRDefault="00E64346" w:rsidP="002D0F77">
      <w:pPr>
        <w:pStyle w:val="Normalnumber"/>
        <w:rPr>
          <w:lang w:val="fr-FR"/>
        </w:rPr>
      </w:pPr>
      <w:r w:rsidRPr="008D77D5">
        <w:rPr>
          <w:lang w:val="fr-FR"/>
        </w:rPr>
        <w:t>L’élaboration de codes statistiques de plus de six</w:t>
      </w:r>
      <w:r w:rsidR="0020306D" w:rsidRPr="008D77D5">
        <w:rPr>
          <w:lang w:val="fr-FR"/>
        </w:rPr>
        <w:t> </w:t>
      </w:r>
      <w:r w:rsidRPr="008D77D5">
        <w:rPr>
          <w:lang w:val="fr-FR"/>
        </w:rPr>
        <w:t xml:space="preserve">chiffres </w:t>
      </w:r>
      <w:r w:rsidR="00081B99">
        <w:rPr>
          <w:lang w:val="fr-FR"/>
        </w:rPr>
        <w:t xml:space="preserve">pour </w:t>
      </w:r>
      <w:r w:rsidRPr="008D77D5">
        <w:rPr>
          <w:lang w:val="fr-FR"/>
        </w:rPr>
        <w:t>identifier et différen</w:t>
      </w:r>
      <w:r w:rsidR="00932895">
        <w:rPr>
          <w:lang w:val="fr-FR"/>
        </w:rPr>
        <w:t>c</w:t>
      </w:r>
      <w:r w:rsidRPr="008D77D5">
        <w:rPr>
          <w:lang w:val="fr-FR"/>
        </w:rPr>
        <w:t xml:space="preserve">ier les produits </w:t>
      </w:r>
      <w:r w:rsidR="00081B99">
        <w:rPr>
          <w:lang w:val="fr-FR"/>
        </w:rPr>
        <w:t>avec et sans</w:t>
      </w:r>
      <w:r w:rsidRPr="008D77D5">
        <w:rPr>
          <w:lang w:val="fr-FR"/>
        </w:rPr>
        <w:t xml:space="preserve"> mercure ajouté</w:t>
      </w:r>
      <w:r w:rsidR="00945646" w:rsidRPr="008D77D5">
        <w:rPr>
          <w:lang w:val="fr-FR"/>
        </w:rPr>
        <w:t>,</w:t>
      </w:r>
      <w:r w:rsidR="00BC45DC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comme décrit </w:t>
      </w:r>
      <w:r w:rsidR="00503D81">
        <w:rPr>
          <w:lang w:val="fr-FR"/>
        </w:rPr>
        <w:t>dans</w:t>
      </w:r>
      <w:r w:rsidRPr="008D77D5">
        <w:rPr>
          <w:lang w:val="fr-FR"/>
        </w:rPr>
        <w:t xml:space="preserve"> la section </w:t>
      </w:r>
      <w:r w:rsidR="00BC45DC" w:rsidRPr="008D77D5">
        <w:rPr>
          <w:lang w:val="fr-FR"/>
        </w:rPr>
        <w:t>2.5</w:t>
      </w:r>
      <w:r w:rsidR="00F94980" w:rsidRPr="008D77D5">
        <w:rPr>
          <w:lang w:val="fr-FR"/>
        </w:rPr>
        <w:t xml:space="preserve"> </w:t>
      </w:r>
      <w:r w:rsidRPr="008D77D5">
        <w:rPr>
          <w:lang w:val="fr-FR"/>
        </w:rPr>
        <w:t>du rapport intégral</w:t>
      </w:r>
      <w:r w:rsidR="00945646" w:rsidRPr="008D77D5">
        <w:rPr>
          <w:lang w:val="fr-FR"/>
        </w:rPr>
        <w:t xml:space="preserve">, </w:t>
      </w:r>
      <w:r w:rsidR="00F17A31">
        <w:rPr>
          <w:lang w:val="fr-FR"/>
        </w:rPr>
        <w:t>permet aux </w:t>
      </w:r>
      <w:r w:rsidR="0020306D" w:rsidRPr="008D77D5">
        <w:rPr>
          <w:lang w:val="fr-FR"/>
        </w:rPr>
        <w:t>gouvernements nationaux et aux entités régionales d’ajouter de leur propre initiative deux chiffres ou plus à un code à six</w:t>
      </w:r>
      <w:r w:rsidR="00081B99">
        <w:rPr>
          <w:lang w:val="fr-FR"/>
        </w:rPr>
        <w:t> </w:t>
      </w:r>
      <w:r w:rsidR="0020306D" w:rsidRPr="008D77D5">
        <w:rPr>
          <w:lang w:val="fr-FR"/>
        </w:rPr>
        <w:t xml:space="preserve">chiffres existant du SH </w:t>
      </w:r>
      <w:r w:rsidR="00BC45DC" w:rsidRPr="008D77D5">
        <w:rPr>
          <w:lang w:val="fr-FR"/>
        </w:rPr>
        <w:t>(</w:t>
      </w:r>
      <w:r w:rsidR="0020306D" w:rsidRPr="008D77D5">
        <w:rPr>
          <w:lang w:val="fr-FR"/>
        </w:rPr>
        <w:t xml:space="preserve">généralement pour former un code de huit à </w:t>
      </w:r>
      <w:r w:rsidR="00F17A31">
        <w:rPr>
          <w:lang w:val="fr-FR"/>
        </w:rPr>
        <w:t>10</w:t>
      </w:r>
      <w:r w:rsidR="003E4E03">
        <w:rPr>
          <w:lang w:val="fr-FR"/>
        </w:rPr>
        <w:t> </w:t>
      </w:r>
      <w:r w:rsidR="0020306D" w:rsidRPr="008D77D5">
        <w:rPr>
          <w:lang w:val="fr-FR"/>
        </w:rPr>
        <w:t>chiffres</w:t>
      </w:r>
      <w:r w:rsidR="00BC45DC" w:rsidRPr="008D77D5">
        <w:rPr>
          <w:lang w:val="fr-FR"/>
        </w:rPr>
        <w:t xml:space="preserve">). </w:t>
      </w:r>
      <w:r w:rsidR="0020306D" w:rsidRPr="008D77D5">
        <w:rPr>
          <w:lang w:val="fr-FR"/>
        </w:rPr>
        <w:t xml:space="preserve">Ces codes statistiques pourraient être </w:t>
      </w:r>
      <w:r w:rsidR="00081B99">
        <w:rPr>
          <w:lang w:val="fr-FR"/>
        </w:rPr>
        <w:t xml:space="preserve">élaborés </w:t>
      </w:r>
      <w:r w:rsidR="0020306D" w:rsidRPr="008D77D5">
        <w:rPr>
          <w:lang w:val="fr-FR"/>
        </w:rPr>
        <w:t xml:space="preserve">de différentes manières, </w:t>
      </w:r>
      <w:r w:rsidR="00503D81">
        <w:rPr>
          <w:lang w:val="fr-FR"/>
        </w:rPr>
        <w:t>en fonction du</w:t>
      </w:r>
      <w:r w:rsidR="0020306D" w:rsidRPr="008D77D5">
        <w:rPr>
          <w:lang w:val="fr-FR"/>
        </w:rPr>
        <w:t xml:space="preserve"> degré d’harmonisation souhaité</w:t>
      </w:r>
      <w:r w:rsidR="00BC45DC" w:rsidRPr="008D77D5">
        <w:rPr>
          <w:lang w:val="fr-FR"/>
        </w:rPr>
        <w:t>.</w:t>
      </w:r>
    </w:p>
    <w:p w14:paraId="671A8243" w14:textId="67921BA8" w:rsidR="00A9773E" w:rsidRPr="008D77D5" w:rsidRDefault="008F728D" w:rsidP="008F728D">
      <w:pPr>
        <w:pStyle w:val="CH2"/>
        <w:rPr>
          <w:lang w:val="fr-FR"/>
        </w:rPr>
      </w:pPr>
      <w:r w:rsidRPr="008D77D5">
        <w:rPr>
          <w:lang w:val="fr-FR"/>
        </w:rPr>
        <w:tab/>
        <w:t>C.</w:t>
      </w:r>
      <w:r w:rsidRPr="008D77D5">
        <w:rPr>
          <w:lang w:val="fr-FR"/>
        </w:rPr>
        <w:tab/>
      </w:r>
      <w:r w:rsidR="0020306D" w:rsidRPr="008D77D5">
        <w:rPr>
          <w:lang w:val="fr-FR"/>
        </w:rPr>
        <w:t>Combiner dans une certaine mesure les deux solutions susmentionnées</w:t>
      </w:r>
    </w:p>
    <w:p w14:paraId="546C22E5" w14:textId="2EFBD401" w:rsidR="00BC45DC" w:rsidRPr="008D77D5" w:rsidRDefault="00081B99" w:rsidP="002D0F77">
      <w:pPr>
        <w:pStyle w:val="Normalnumber"/>
        <w:rPr>
          <w:lang w:val="fr-FR"/>
        </w:rPr>
      </w:pPr>
      <w:r>
        <w:rPr>
          <w:lang w:val="fr-FR"/>
        </w:rPr>
        <w:t xml:space="preserve">On pourrait également envisager de combiner </w:t>
      </w:r>
      <w:r w:rsidR="0020306D" w:rsidRPr="008D77D5">
        <w:rPr>
          <w:lang w:val="fr-FR"/>
        </w:rPr>
        <w:t>la solution plus formelle des</w:t>
      </w:r>
      <w:r w:rsidR="001E671B">
        <w:rPr>
          <w:lang w:val="fr-FR"/>
        </w:rPr>
        <w:t xml:space="preserve"> codes à</w:t>
      </w:r>
      <w:r w:rsidR="0020306D" w:rsidRPr="008D77D5">
        <w:rPr>
          <w:lang w:val="fr-FR"/>
        </w:rPr>
        <w:t xml:space="preserve"> six</w:t>
      </w:r>
      <w:r w:rsidR="008E462B">
        <w:rPr>
          <w:lang w:val="fr-FR"/>
        </w:rPr>
        <w:t> </w:t>
      </w:r>
      <w:r w:rsidR="0020306D" w:rsidRPr="008D77D5">
        <w:rPr>
          <w:lang w:val="fr-FR"/>
        </w:rPr>
        <w:t xml:space="preserve">chiffres </w:t>
      </w:r>
      <w:r w:rsidR="00BC45DC" w:rsidRPr="008D77D5">
        <w:rPr>
          <w:lang w:val="fr-FR"/>
        </w:rPr>
        <w:t>(</w:t>
      </w:r>
      <w:r w:rsidR="0020306D" w:rsidRPr="008D77D5">
        <w:rPr>
          <w:lang w:val="fr-FR"/>
        </w:rPr>
        <w:t>présentée dans la section </w:t>
      </w:r>
      <w:r w:rsidR="00BC45DC" w:rsidRPr="008D77D5">
        <w:rPr>
          <w:lang w:val="fr-FR"/>
        </w:rPr>
        <w:t xml:space="preserve">A </w:t>
      </w:r>
      <w:r w:rsidR="0020306D" w:rsidRPr="008D77D5">
        <w:rPr>
          <w:lang w:val="fr-FR"/>
        </w:rPr>
        <w:t>ci-dessus</w:t>
      </w:r>
      <w:r w:rsidR="00BC45DC" w:rsidRPr="008D77D5">
        <w:rPr>
          <w:lang w:val="fr-FR"/>
        </w:rPr>
        <w:t xml:space="preserve">) </w:t>
      </w:r>
      <w:r w:rsidR="0020306D" w:rsidRPr="008D77D5">
        <w:rPr>
          <w:lang w:val="fr-FR"/>
        </w:rPr>
        <w:t>et la solution plus dynamique d</w:t>
      </w:r>
      <w:r w:rsidR="001E671B">
        <w:rPr>
          <w:lang w:val="fr-FR"/>
        </w:rPr>
        <w:t>es</w:t>
      </w:r>
      <w:r w:rsidR="0020306D" w:rsidRPr="008D77D5">
        <w:rPr>
          <w:lang w:val="fr-FR"/>
        </w:rPr>
        <w:t xml:space="preserve"> code</w:t>
      </w:r>
      <w:r w:rsidR="003E4E03">
        <w:rPr>
          <w:lang w:val="fr-FR"/>
        </w:rPr>
        <w:t>s</w:t>
      </w:r>
      <w:r w:rsidR="00596B70">
        <w:rPr>
          <w:lang w:val="fr-FR"/>
        </w:rPr>
        <w:t xml:space="preserve"> de plus de six </w:t>
      </w:r>
      <w:r w:rsidR="0020306D" w:rsidRPr="008D77D5">
        <w:rPr>
          <w:lang w:val="fr-FR"/>
        </w:rPr>
        <w:t xml:space="preserve">chiffres </w:t>
      </w:r>
      <w:r w:rsidR="00BC45DC" w:rsidRPr="008D77D5">
        <w:rPr>
          <w:lang w:val="fr-FR"/>
        </w:rPr>
        <w:t>(</w:t>
      </w:r>
      <w:r w:rsidR="0020306D" w:rsidRPr="008D77D5">
        <w:rPr>
          <w:lang w:val="fr-FR"/>
        </w:rPr>
        <w:t xml:space="preserve">présentée dans la section B </w:t>
      </w:r>
      <w:r w:rsidR="00392111" w:rsidRPr="008D77D5">
        <w:rPr>
          <w:lang w:val="fr-FR"/>
        </w:rPr>
        <w:t>ci-dessus</w:t>
      </w:r>
      <w:r w:rsidR="00BC45DC" w:rsidRPr="008D77D5">
        <w:rPr>
          <w:lang w:val="fr-FR"/>
        </w:rPr>
        <w:t xml:space="preserve">). </w:t>
      </w:r>
      <w:r w:rsidR="00392111" w:rsidRPr="008D77D5">
        <w:rPr>
          <w:lang w:val="fr-FR"/>
        </w:rPr>
        <w:t xml:space="preserve">Dans la pratique, cela nécessiterait </w:t>
      </w:r>
      <w:r w:rsidR="001E671B">
        <w:rPr>
          <w:lang w:val="fr-FR"/>
        </w:rPr>
        <w:t xml:space="preserve">d’élaborer </w:t>
      </w:r>
      <w:r w:rsidR="003E4E03">
        <w:rPr>
          <w:lang w:val="fr-FR"/>
        </w:rPr>
        <w:t xml:space="preserve">rapidement </w:t>
      </w:r>
      <w:r w:rsidR="00392111" w:rsidRPr="008D77D5">
        <w:rPr>
          <w:lang w:val="fr-FR"/>
        </w:rPr>
        <w:t>de</w:t>
      </w:r>
      <w:r w:rsidR="001E671B">
        <w:rPr>
          <w:lang w:val="fr-FR"/>
        </w:rPr>
        <w:t>s</w:t>
      </w:r>
      <w:r w:rsidR="00392111" w:rsidRPr="008D77D5">
        <w:rPr>
          <w:lang w:val="fr-FR"/>
        </w:rPr>
        <w:t xml:space="preserve"> codes statistiques provisoires de plus de six chiffres, dont certains ou la totalité </w:t>
      </w:r>
      <w:r w:rsidR="001E671B">
        <w:rPr>
          <w:lang w:val="fr-FR"/>
        </w:rPr>
        <w:t xml:space="preserve">pourraient être remplacés à terme </w:t>
      </w:r>
      <w:r w:rsidR="00392111" w:rsidRPr="008D77D5">
        <w:rPr>
          <w:lang w:val="fr-FR"/>
        </w:rPr>
        <w:t xml:space="preserve">par </w:t>
      </w:r>
      <w:r w:rsidR="001E671B">
        <w:rPr>
          <w:lang w:val="fr-FR"/>
        </w:rPr>
        <w:t>d</w:t>
      </w:r>
      <w:r w:rsidR="00392111" w:rsidRPr="008D77D5">
        <w:rPr>
          <w:lang w:val="fr-FR"/>
        </w:rPr>
        <w:t>es codes à six</w:t>
      </w:r>
      <w:r w:rsidR="00A13CD2">
        <w:rPr>
          <w:lang w:val="fr-FR"/>
        </w:rPr>
        <w:t> </w:t>
      </w:r>
      <w:r w:rsidR="00392111" w:rsidRPr="008D77D5">
        <w:rPr>
          <w:lang w:val="fr-FR"/>
        </w:rPr>
        <w:t xml:space="preserve">chiffres du SH créés </w:t>
      </w:r>
      <w:r w:rsidR="00503D81">
        <w:rPr>
          <w:lang w:val="fr-FR"/>
        </w:rPr>
        <w:t>selon</w:t>
      </w:r>
      <w:r w:rsidR="00392111" w:rsidRPr="008D77D5">
        <w:rPr>
          <w:lang w:val="fr-FR"/>
        </w:rPr>
        <w:t xml:space="preserve"> la procédure </w:t>
      </w:r>
      <w:r w:rsidR="001E671B">
        <w:rPr>
          <w:lang w:val="fr-FR"/>
        </w:rPr>
        <w:t xml:space="preserve">officielle </w:t>
      </w:r>
      <w:r w:rsidR="00392111" w:rsidRPr="008D77D5">
        <w:rPr>
          <w:lang w:val="fr-FR"/>
        </w:rPr>
        <w:t>de l’OMD</w:t>
      </w:r>
      <w:r w:rsidR="00BC45DC" w:rsidRPr="008D77D5">
        <w:rPr>
          <w:lang w:val="fr-FR"/>
        </w:rPr>
        <w:t>.</w:t>
      </w:r>
    </w:p>
    <w:p w14:paraId="2CA5E507" w14:textId="4491CDDC" w:rsidR="00A9773E" w:rsidRPr="008D77D5" w:rsidRDefault="008F728D" w:rsidP="008F728D">
      <w:pPr>
        <w:pStyle w:val="CH2"/>
        <w:rPr>
          <w:lang w:val="fr-FR"/>
        </w:rPr>
      </w:pPr>
      <w:r w:rsidRPr="008D77D5">
        <w:rPr>
          <w:lang w:val="fr-FR"/>
        </w:rPr>
        <w:tab/>
        <w:t>D.</w:t>
      </w:r>
      <w:r w:rsidRPr="008D77D5">
        <w:rPr>
          <w:lang w:val="fr-FR"/>
        </w:rPr>
        <w:tab/>
      </w:r>
      <w:r w:rsidR="007733AB">
        <w:rPr>
          <w:lang w:val="fr-FR"/>
        </w:rPr>
        <w:t xml:space="preserve">Renoncer à la création de </w:t>
      </w:r>
      <w:r w:rsidR="00184ED1">
        <w:rPr>
          <w:lang w:val="fr-FR"/>
        </w:rPr>
        <w:t xml:space="preserve">nouveaux codes douaniers </w:t>
      </w:r>
      <w:r w:rsidR="007733AB">
        <w:rPr>
          <w:lang w:val="fr-FR"/>
        </w:rPr>
        <w:t>dans le cadre de</w:t>
      </w:r>
      <w:r w:rsidR="00184ED1">
        <w:rPr>
          <w:lang w:val="fr-FR"/>
        </w:rPr>
        <w:t xml:space="preserve"> la Convention</w:t>
      </w:r>
    </w:p>
    <w:p w14:paraId="20A9C431" w14:textId="7343B191" w:rsidR="00BC45DC" w:rsidRPr="008D77D5" w:rsidRDefault="00392111" w:rsidP="002D0F77">
      <w:pPr>
        <w:pStyle w:val="Normalnumber"/>
        <w:rPr>
          <w:lang w:val="fr-FR"/>
        </w:rPr>
      </w:pPr>
      <w:r w:rsidRPr="008D77D5">
        <w:rPr>
          <w:lang w:val="fr-FR"/>
        </w:rPr>
        <w:t xml:space="preserve">Cette solution vise </w:t>
      </w:r>
      <w:r w:rsidR="0092713B">
        <w:rPr>
          <w:lang w:val="fr-FR"/>
        </w:rPr>
        <w:t xml:space="preserve">fondamentalement </w:t>
      </w:r>
      <w:r w:rsidRPr="008D77D5">
        <w:rPr>
          <w:lang w:val="fr-FR"/>
        </w:rPr>
        <w:t xml:space="preserve">à encourager les </w:t>
      </w:r>
      <w:r w:rsidR="003F38FD">
        <w:rPr>
          <w:lang w:val="fr-FR"/>
        </w:rPr>
        <w:t>P</w:t>
      </w:r>
      <w:r w:rsidRPr="008D77D5">
        <w:rPr>
          <w:lang w:val="fr-FR"/>
        </w:rPr>
        <w:t xml:space="preserve">arties à utiliser les outils et ressources disponibles le plus efficacement possible afin de mettre en œuvre les dispositions de la Convention de </w:t>
      </w:r>
      <w:r w:rsidR="00BC45DC" w:rsidRPr="008D77D5">
        <w:rPr>
          <w:lang w:val="fr-FR"/>
        </w:rPr>
        <w:t xml:space="preserve">Minamata </w:t>
      </w:r>
      <w:r w:rsidRPr="008D77D5">
        <w:rPr>
          <w:lang w:val="fr-FR"/>
        </w:rPr>
        <w:t>relatives aux produits contenant du mercure ajouté figurant dans l’Annexe A</w:t>
      </w:r>
      <w:r w:rsidR="00BC45DC" w:rsidRPr="008D77D5">
        <w:rPr>
          <w:lang w:val="fr-FR"/>
        </w:rPr>
        <w:t xml:space="preserve">. </w:t>
      </w:r>
      <w:r w:rsidRPr="008D77D5">
        <w:rPr>
          <w:lang w:val="fr-FR"/>
        </w:rPr>
        <w:t xml:space="preserve">Dans ce </w:t>
      </w:r>
      <w:r w:rsidR="0092713B">
        <w:rPr>
          <w:lang w:val="fr-FR"/>
        </w:rPr>
        <w:t>contexte</w:t>
      </w:r>
      <w:r w:rsidR="00BC45DC" w:rsidRPr="008D77D5">
        <w:rPr>
          <w:lang w:val="fr-FR"/>
        </w:rPr>
        <w:t xml:space="preserve">, </w:t>
      </w:r>
      <w:r w:rsidRPr="008D77D5">
        <w:rPr>
          <w:lang w:val="fr-FR"/>
        </w:rPr>
        <w:t xml:space="preserve">les </w:t>
      </w:r>
      <w:r w:rsidR="003F38FD">
        <w:rPr>
          <w:lang w:val="fr-FR"/>
        </w:rPr>
        <w:t>P</w:t>
      </w:r>
      <w:r w:rsidR="00BC45DC" w:rsidRPr="008D77D5">
        <w:rPr>
          <w:lang w:val="fr-FR"/>
        </w:rPr>
        <w:t xml:space="preserve">arties </w:t>
      </w:r>
      <w:r w:rsidRPr="008D77D5">
        <w:rPr>
          <w:lang w:val="fr-FR"/>
        </w:rPr>
        <w:t>sont encouragées à travailler individuellement ou à collaborer selon ce qu’</w:t>
      </w:r>
      <w:r w:rsidR="000E5D86">
        <w:rPr>
          <w:lang w:val="fr-FR"/>
        </w:rPr>
        <w:t>elle</w:t>
      </w:r>
      <w:r w:rsidRPr="008D77D5">
        <w:rPr>
          <w:lang w:val="fr-FR"/>
        </w:rPr>
        <w:t>s jugent le plus efficace</w:t>
      </w:r>
      <w:r w:rsidR="005836E5">
        <w:rPr>
          <w:lang w:val="fr-FR"/>
        </w:rPr>
        <w:t xml:space="preserve"> en termes d</w:t>
      </w:r>
      <w:r w:rsidRPr="008D77D5">
        <w:rPr>
          <w:lang w:val="fr-FR"/>
        </w:rPr>
        <w:t xml:space="preserve">’élaboration et </w:t>
      </w:r>
      <w:r w:rsidR="005836E5">
        <w:rPr>
          <w:lang w:val="fr-FR"/>
        </w:rPr>
        <w:t>d</w:t>
      </w:r>
      <w:r w:rsidRPr="008D77D5">
        <w:rPr>
          <w:lang w:val="fr-FR"/>
        </w:rPr>
        <w:t>’utilisation des codes douaniers ainsi que d’autres outils comme les réglementations</w:t>
      </w:r>
      <w:r w:rsidR="00BC45DC" w:rsidRPr="008D77D5">
        <w:rPr>
          <w:lang w:val="fr-FR"/>
        </w:rPr>
        <w:t xml:space="preserve">, </w:t>
      </w:r>
      <w:r w:rsidRPr="008D77D5">
        <w:rPr>
          <w:lang w:val="fr-FR"/>
        </w:rPr>
        <w:t>les procédures de contrôle</w:t>
      </w:r>
      <w:r w:rsidR="00CD286F" w:rsidRPr="008D77D5">
        <w:rPr>
          <w:lang w:val="fr-FR"/>
        </w:rPr>
        <w:t>,</w:t>
      </w:r>
      <w:r w:rsidR="005A5964" w:rsidRPr="008D77D5">
        <w:rPr>
          <w:lang w:val="fr-FR"/>
        </w:rPr>
        <w:t xml:space="preserve"> </w:t>
      </w:r>
      <w:r w:rsidRPr="008D77D5">
        <w:rPr>
          <w:lang w:val="fr-FR"/>
        </w:rPr>
        <w:t>les dispositions en matière d’étiquetage</w:t>
      </w:r>
      <w:r w:rsidR="00CD286F" w:rsidRPr="008D77D5">
        <w:rPr>
          <w:lang w:val="fr-FR"/>
        </w:rPr>
        <w:t xml:space="preserve">, </w:t>
      </w:r>
      <w:r w:rsidRPr="008D77D5">
        <w:rPr>
          <w:lang w:val="fr-FR"/>
        </w:rPr>
        <w:t>ou l’ajout d’informations aux codes douaniers afin de garantir que les autorités douanières et de surveillance d</w:t>
      </w:r>
      <w:r w:rsidR="003F38FD">
        <w:rPr>
          <w:lang w:val="fr-FR"/>
        </w:rPr>
        <w:t>es</w:t>
      </w:r>
      <w:r w:rsidRPr="008D77D5">
        <w:rPr>
          <w:lang w:val="fr-FR"/>
        </w:rPr>
        <w:t xml:space="preserve"> marché</w:t>
      </w:r>
      <w:r w:rsidR="003F38FD">
        <w:rPr>
          <w:lang w:val="fr-FR"/>
        </w:rPr>
        <w:t>s</w:t>
      </w:r>
      <w:r w:rsidRPr="008D77D5">
        <w:rPr>
          <w:lang w:val="fr-FR"/>
        </w:rPr>
        <w:t xml:space="preserve"> sont parfaitement informée</w:t>
      </w:r>
      <w:r w:rsidR="005836E5">
        <w:rPr>
          <w:lang w:val="fr-FR"/>
        </w:rPr>
        <w:t>s</w:t>
      </w:r>
      <w:r w:rsidRPr="008D77D5">
        <w:rPr>
          <w:lang w:val="fr-FR"/>
        </w:rPr>
        <w:t xml:space="preserve"> des restrictions à l’importation et à l’exportation des produits contenant du mercure ajouté</w:t>
      </w:r>
      <w:r w:rsidR="00A30645" w:rsidRPr="008D77D5">
        <w:rPr>
          <w:lang w:val="fr-FR"/>
        </w:rPr>
        <w:t>.</w:t>
      </w:r>
    </w:p>
    <w:p w14:paraId="59EB7D81" w14:textId="04418D53" w:rsidR="00A9773E" w:rsidRPr="008D77D5" w:rsidRDefault="005836E5" w:rsidP="002D0F77">
      <w:pPr>
        <w:pStyle w:val="Normalnumber"/>
        <w:rPr>
          <w:lang w:val="fr-FR"/>
        </w:rPr>
      </w:pPr>
      <w:r>
        <w:rPr>
          <w:lang w:val="fr-FR"/>
        </w:rPr>
        <w:t xml:space="preserve">Le chapitre 6 du rapport </w:t>
      </w:r>
      <w:r w:rsidR="005428AE">
        <w:rPr>
          <w:lang w:val="fr-FR"/>
        </w:rPr>
        <w:t>contient</w:t>
      </w:r>
      <w:r>
        <w:rPr>
          <w:lang w:val="fr-FR"/>
        </w:rPr>
        <w:t xml:space="preserve"> des </w:t>
      </w:r>
      <w:r w:rsidR="00392111" w:rsidRPr="008D77D5">
        <w:rPr>
          <w:lang w:val="fr-FR"/>
        </w:rPr>
        <w:t xml:space="preserve">informations </w:t>
      </w:r>
      <w:r w:rsidR="00503D81">
        <w:rPr>
          <w:lang w:val="fr-FR"/>
        </w:rPr>
        <w:t>sup</w:t>
      </w:r>
      <w:r w:rsidR="00392111" w:rsidRPr="008D77D5">
        <w:rPr>
          <w:lang w:val="fr-FR"/>
        </w:rPr>
        <w:t xml:space="preserve">plémentaires </w:t>
      </w:r>
      <w:r w:rsidR="00661C43">
        <w:rPr>
          <w:lang w:val="fr-FR"/>
        </w:rPr>
        <w:t xml:space="preserve">sur </w:t>
      </w:r>
      <w:r>
        <w:rPr>
          <w:lang w:val="fr-FR"/>
        </w:rPr>
        <w:t xml:space="preserve">chacune </w:t>
      </w:r>
      <w:r w:rsidR="00392111" w:rsidRPr="008D77D5">
        <w:rPr>
          <w:lang w:val="fr-FR"/>
        </w:rPr>
        <w:t>de ces quatre solutions</w:t>
      </w:r>
      <w:r>
        <w:rPr>
          <w:lang w:val="fr-FR"/>
        </w:rPr>
        <w:t xml:space="preserve">. Il </w:t>
      </w:r>
      <w:r w:rsidR="00392111" w:rsidRPr="008D77D5">
        <w:rPr>
          <w:lang w:val="fr-FR"/>
        </w:rPr>
        <w:t xml:space="preserve">examine chacune d’entre elles à la lumière de plusieurs facteurs </w:t>
      </w:r>
      <w:r>
        <w:rPr>
          <w:lang w:val="fr-FR"/>
        </w:rPr>
        <w:t>compatibles</w:t>
      </w:r>
      <w:r w:rsidR="00392111" w:rsidRPr="008D77D5">
        <w:rPr>
          <w:lang w:val="fr-FR"/>
        </w:rPr>
        <w:t>, comme la faisabilité, la complexité et les délais de mise en œuvre.</w:t>
      </w:r>
    </w:p>
    <w:p w14:paraId="44278072" w14:textId="0974277F" w:rsidR="00A9773E" w:rsidRPr="008D77D5" w:rsidRDefault="00392111" w:rsidP="000C5371">
      <w:pPr>
        <w:pStyle w:val="Normalnumber"/>
        <w:keepNext/>
        <w:keepLines/>
        <w:rPr>
          <w:lang w:val="fr-FR"/>
        </w:rPr>
      </w:pPr>
      <w:r w:rsidRPr="008D77D5">
        <w:rPr>
          <w:lang w:val="fr-FR"/>
        </w:rPr>
        <w:lastRenderedPageBreak/>
        <w:t>La décision </w:t>
      </w:r>
      <w:r w:rsidR="002D6C8A" w:rsidRPr="008D77D5">
        <w:rPr>
          <w:lang w:val="fr-FR"/>
        </w:rPr>
        <w:t>MC</w:t>
      </w:r>
      <w:r w:rsidR="002D6C8A" w:rsidRPr="008D77D5">
        <w:rPr>
          <w:lang w:val="fr-FR"/>
        </w:rPr>
        <w:noBreakHyphen/>
        <w:t>2/9</w:t>
      </w:r>
      <w:r w:rsidR="005A5964" w:rsidRPr="008D77D5">
        <w:rPr>
          <w:lang w:val="fr-FR"/>
        </w:rPr>
        <w:t xml:space="preserve"> </w:t>
      </w:r>
      <w:r w:rsidRPr="008D77D5">
        <w:rPr>
          <w:lang w:val="fr-FR"/>
        </w:rPr>
        <w:t xml:space="preserve">de la deuxième Conférence des Parties </w:t>
      </w:r>
      <w:r w:rsidR="00340421" w:rsidRPr="008D77D5">
        <w:rPr>
          <w:lang w:val="fr-FR"/>
        </w:rPr>
        <w:t xml:space="preserve">demandait également </w:t>
      </w:r>
      <w:r w:rsidR="0016351C">
        <w:rPr>
          <w:lang w:val="fr-FR"/>
        </w:rPr>
        <w:t xml:space="preserve">de </w:t>
      </w:r>
      <w:r w:rsidR="00340421" w:rsidRPr="008D77D5">
        <w:rPr>
          <w:lang w:val="fr-FR"/>
        </w:rPr>
        <w:t>présente</w:t>
      </w:r>
      <w:r w:rsidR="0016351C">
        <w:rPr>
          <w:lang w:val="fr-FR"/>
        </w:rPr>
        <w:t>r</w:t>
      </w:r>
      <w:r w:rsidR="00340421" w:rsidRPr="008D77D5">
        <w:rPr>
          <w:lang w:val="fr-FR"/>
        </w:rPr>
        <w:t xml:space="preserve"> d’éventuelles solutions d’harmonisation des codes douaniers des produits figurant dans l’Annexe A</w:t>
      </w:r>
      <w:r w:rsidR="00F01224">
        <w:rPr>
          <w:lang w:val="fr-FR"/>
        </w:rPr>
        <w:t xml:space="preserve">, </w:t>
      </w:r>
      <w:r w:rsidR="00340421" w:rsidRPr="008D77D5">
        <w:rPr>
          <w:lang w:val="fr-FR"/>
        </w:rPr>
        <w:t>« </w:t>
      </w:r>
      <w:r w:rsidR="00C56263" w:rsidRPr="008D77D5">
        <w:rPr>
          <w:lang w:val="fr-FR"/>
        </w:rPr>
        <w:t>harmoni</w:t>
      </w:r>
      <w:r w:rsidR="005331AD" w:rsidRPr="008D77D5">
        <w:rPr>
          <w:lang w:val="fr-FR"/>
        </w:rPr>
        <w:t>s</w:t>
      </w:r>
      <w:r w:rsidR="00C56263" w:rsidRPr="008D77D5">
        <w:rPr>
          <w:lang w:val="fr-FR"/>
        </w:rPr>
        <w:t>ation</w:t>
      </w:r>
      <w:r w:rsidR="00340421" w:rsidRPr="008D77D5">
        <w:rPr>
          <w:lang w:val="fr-FR"/>
        </w:rPr>
        <w:t> »</w:t>
      </w:r>
      <w:r w:rsidR="00F01224">
        <w:rPr>
          <w:lang w:val="fr-FR"/>
        </w:rPr>
        <w:t xml:space="preserve"> signifiant l’utilisation par</w:t>
      </w:r>
      <w:r w:rsidR="00340421" w:rsidRPr="008D77D5">
        <w:rPr>
          <w:lang w:val="fr-FR"/>
        </w:rPr>
        <w:t xml:space="preserve"> toutes les </w:t>
      </w:r>
      <w:r w:rsidR="0016351C">
        <w:rPr>
          <w:lang w:val="fr-FR"/>
        </w:rPr>
        <w:t>P</w:t>
      </w:r>
      <w:r w:rsidR="00340421" w:rsidRPr="008D77D5">
        <w:rPr>
          <w:lang w:val="fr-FR"/>
        </w:rPr>
        <w:t xml:space="preserve">arties </w:t>
      </w:r>
      <w:r w:rsidR="00F01224">
        <w:rPr>
          <w:lang w:val="fr-FR"/>
        </w:rPr>
        <w:t>d</w:t>
      </w:r>
      <w:r w:rsidR="00340421" w:rsidRPr="008D77D5">
        <w:rPr>
          <w:lang w:val="fr-FR"/>
        </w:rPr>
        <w:t xml:space="preserve">es mêmes codes pour les </w:t>
      </w:r>
      <w:r w:rsidR="007144E3">
        <w:rPr>
          <w:lang w:val="fr-FR"/>
        </w:rPr>
        <w:t xml:space="preserve">mêmes </w:t>
      </w:r>
      <w:r w:rsidR="00340421" w:rsidRPr="008D77D5">
        <w:rPr>
          <w:lang w:val="fr-FR"/>
        </w:rPr>
        <w:t>produits contenant du mercure ajouté</w:t>
      </w:r>
      <w:r w:rsidR="0001792A" w:rsidRPr="008D77D5">
        <w:rPr>
          <w:lang w:val="fr-FR"/>
        </w:rPr>
        <w:t>.</w:t>
      </w:r>
      <w:r w:rsidR="00D80EEF" w:rsidRPr="008D77D5">
        <w:rPr>
          <w:lang w:val="fr-FR"/>
        </w:rPr>
        <w:t xml:space="preserve"> </w:t>
      </w:r>
      <w:r w:rsidR="00340421" w:rsidRPr="008D77D5">
        <w:rPr>
          <w:lang w:val="fr-FR"/>
        </w:rPr>
        <w:t>Toutefois, une harmonisation dans le cadre d’une des trois</w:t>
      </w:r>
      <w:r w:rsidR="00D84207">
        <w:rPr>
          <w:lang w:val="fr-FR"/>
        </w:rPr>
        <w:t> </w:t>
      </w:r>
      <w:r w:rsidR="00340421" w:rsidRPr="008D77D5">
        <w:rPr>
          <w:lang w:val="fr-FR"/>
        </w:rPr>
        <w:t xml:space="preserve">premières solutions susmentionnées </w:t>
      </w:r>
      <w:r w:rsidR="00701BDE">
        <w:rPr>
          <w:lang w:val="fr-FR"/>
        </w:rPr>
        <w:t xml:space="preserve">présente à la fois des avantages et des inconvénients </w:t>
      </w:r>
      <w:r w:rsidR="00340421" w:rsidRPr="008D77D5">
        <w:rPr>
          <w:lang w:val="fr-FR"/>
        </w:rPr>
        <w:t xml:space="preserve">et est inextricablement liée </w:t>
      </w:r>
      <w:r w:rsidR="007144E3">
        <w:rPr>
          <w:lang w:val="fr-FR"/>
        </w:rPr>
        <w:t xml:space="preserve">à la </w:t>
      </w:r>
      <w:r w:rsidR="00E5047D">
        <w:rPr>
          <w:lang w:val="fr-FR"/>
        </w:rPr>
        <w:t>question</w:t>
      </w:r>
      <w:r w:rsidR="00D84207">
        <w:rPr>
          <w:lang w:val="fr-FR"/>
        </w:rPr>
        <w:t xml:space="preserve"> </w:t>
      </w:r>
      <w:r w:rsidR="007144E3">
        <w:rPr>
          <w:lang w:val="fr-FR"/>
        </w:rPr>
        <w:t>du</w:t>
      </w:r>
      <w:r w:rsidR="00340421" w:rsidRPr="008D77D5">
        <w:rPr>
          <w:lang w:val="fr-FR"/>
        </w:rPr>
        <w:t xml:space="preserve"> choix </w:t>
      </w:r>
      <w:r w:rsidR="00701BDE">
        <w:rPr>
          <w:lang w:val="fr-FR"/>
        </w:rPr>
        <w:t xml:space="preserve">entre </w:t>
      </w:r>
      <w:r w:rsidR="00340421" w:rsidRPr="008D77D5">
        <w:rPr>
          <w:lang w:val="fr-FR"/>
        </w:rPr>
        <w:t>codes douaniers à six</w:t>
      </w:r>
      <w:r w:rsidR="007144E3">
        <w:rPr>
          <w:lang w:val="fr-FR"/>
        </w:rPr>
        <w:t> </w:t>
      </w:r>
      <w:r w:rsidR="00340421" w:rsidRPr="008D77D5">
        <w:rPr>
          <w:lang w:val="fr-FR"/>
        </w:rPr>
        <w:t xml:space="preserve">chiffres </w:t>
      </w:r>
      <w:r w:rsidR="00503D81">
        <w:rPr>
          <w:lang w:val="fr-FR"/>
        </w:rPr>
        <w:t>et codes</w:t>
      </w:r>
      <w:r w:rsidR="00340421" w:rsidRPr="008D77D5">
        <w:rPr>
          <w:lang w:val="fr-FR"/>
        </w:rPr>
        <w:t xml:space="preserve"> </w:t>
      </w:r>
      <w:r w:rsidR="00701BDE">
        <w:rPr>
          <w:lang w:val="fr-FR"/>
        </w:rPr>
        <w:t xml:space="preserve">de </w:t>
      </w:r>
      <w:r w:rsidR="00340421" w:rsidRPr="008D77D5">
        <w:rPr>
          <w:lang w:val="fr-FR"/>
        </w:rPr>
        <w:t>plus de six</w:t>
      </w:r>
      <w:r w:rsidR="007144E3">
        <w:rPr>
          <w:lang w:val="fr-FR"/>
        </w:rPr>
        <w:t> </w:t>
      </w:r>
      <w:r w:rsidR="00340421" w:rsidRPr="008D77D5">
        <w:rPr>
          <w:lang w:val="fr-FR"/>
        </w:rPr>
        <w:t>chiffres</w:t>
      </w:r>
      <w:r w:rsidR="0001792A" w:rsidRPr="008D77D5">
        <w:rPr>
          <w:lang w:val="fr-FR"/>
        </w:rPr>
        <w:t xml:space="preserve">. </w:t>
      </w:r>
      <w:r w:rsidR="00340421" w:rsidRPr="008D77D5">
        <w:rPr>
          <w:lang w:val="fr-FR"/>
        </w:rPr>
        <w:t>Si l’</w:t>
      </w:r>
      <w:r w:rsidR="00793DC9">
        <w:rPr>
          <w:lang w:val="fr-FR"/>
        </w:rPr>
        <w:t>on demande à l’</w:t>
      </w:r>
      <w:r w:rsidR="00340421" w:rsidRPr="008D77D5">
        <w:rPr>
          <w:lang w:val="fr-FR"/>
        </w:rPr>
        <w:t xml:space="preserve">OMD d’élaborer des codes </w:t>
      </w:r>
      <w:r w:rsidR="007144E3">
        <w:rPr>
          <w:lang w:val="fr-FR"/>
        </w:rPr>
        <w:t xml:space="preserve">dans le cadre </w:t>
      </w:r>
      <w:r w:rsidR="00340421" w:rsidRPr="008D77D5">
        <w:rPr>
          <w:lang w:val="fr-FR"/>
        </w:rPr>
        <w:t xml:space="preserve">du SH </w:t>
      </w:r>
      <w:r w:rsidR="0001792A" w:rsidRPr="008D77D5">
        <w:rPr>
          <w:lang w:val="fr-FR"/>
        </w:rPr>
        <w:t>(</w:t>
      </w:r>
      <w:r w:rsidR="00340421" w:rsidRPr="008D77D5">
        <w:rPr>
          <w:lang w:val="fr-FR"/>
        </w:rPr>
        <w:t>c’est-à-dire des codes à six chiffres</w:t>
      </w:r>
      <w:r w:rsidR="007144E3">
        <w:rPr>
          <w:lang w:val="fr-FR"/>
        </w:rPr>
        <w:t>)</w:t>
      </w:r>
      <w:r w:rsidR="00340421" w:rsidRPr="008D77D5">
        <w:rPr>
          <w:lang w:val="fr-FR"/>
        </w:rPr>
        <w:t xml:space="preserve">, toutes les </w:t>
      </w:r>
      <w:r w:rsidR="00C32890">
        <w:rPr>
          <w:lang w:val="fr-FR"/>
        </w:rPr>
        <w:t>Parties</w:t>
      </w:r>
      <w:r w:rsidR="00340421" w:rsidRPr="008D77D5">
        <w:rPr>
          <w:lang w:val="fr-FR"/>
        </w:rPr>
        <w:t xml:space="preserve"> sont obligées d’adopter ces codes </w:t>
      </w:r>
      <w:r w:rsidR="00087CBB">
        <w:rPr>
          <w:lang w:val="fr-FR"/>
        </w:rPr>
        <w:t>en vertu de</w:t>
      </w:r>
      <w:r w:rsidR="00340421" w:rsidRPr="008D77D5">
        <w:rPr>
          <w:lang w:val="fr-FR"/>
        </w:rPr>
        <w:t xml:space="preserve"> </w:t>
      </w:r>
      <w:r w:rsidR="00087CBB">
        <w:rPr>
          <w:lang w:val="fr-FR"/>
        </w:rPr>
        <w:t>ce système</w:t>
      </w:r>
      <w:r w:rsidR="0001792A" w:rsidRPr="008D77D5">
        <w:rPr>
          <w:lang w:val="fr-FR"/>
        </w:rPr>
        <w:t xml:space="preserve">. </w:t>
      </w:r>
      <w:r w:rsidR="007346B2">
        <w:rPr>
          <w:lang w:val="fr-FR"/>
        </w:rPr>
        <w:t>En </w:t>
      </w:r>
      <w:r w:rsidR="00C718F9">
        <w:rPr>
          <w:lang w:val="fr-FR"/>
        </w:rPr>
        <w:t>revanche</w:t>
      </w:r>
      <w:r w:rsidR="00340421" w:rsidRPr="008D77D5">
        <w:rPr>
          <w:lang w:val="fr-FR"/>
        </w:rPr>
        <w:t>, avec les codes statistiques facultatifs de plus de six chiffres, différents degrés d’harmonisation sont possibles, selon la solution choisie</w:t>
      </w:r>
      <w:r w:rsidR="0001792A" w:rsidRPr="008D77D5">
        <w:rPr>
          <w:lang w:val="fr-FR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2D0F77" w:rsidRPr="001A6AB7" w14:paraId="020727DF" w14:textId="77777777" w:rsidTr="002D0F77">
        <w:tc>
          <w:tcPr>
            <w:tcW w:w="1897" w:type="dxa"/>
          </w:tcPr>
          <w:p w14:paraId="17AA012D" w14:textId="77777777" w:rsidR="002D0F77" w:rsidRPr="008D77D5" w:rsidRDefault="002D0F77" w:rsidP="002D0F77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1897" w:type="dxa"/>
          </w:tcPr>
          <w:p w14:paraId="6FFBEC0B" w14:textId="77777777" w:rsidR="002D0F77" w:rsidRPr="008D77D5" w:rsidRDefault="002D0F77" w:rsidP="002D0F77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E9B53E3" w14:textId="77777777" w:rsidR="002D0F77" w:rsidRPr="008D77D5" w:rsidRDefault="002D0F77" w:rsidP="002D0F77">
            <w:pPr>
              <w:pStyle w:val="Normal-pool"/>
              <w:spacing w:before="520"/>
              <w:rPr>
                <w:lang w:val="fr-FR"/>
              </w:rPr>
            </w:pPr>
          </w:p>
        </w:tc>
        <w:tc>
          <w:tcPr>
            <w:tcW w:w="1897" w:type="dxa"/>
          </w:tcPr>
          <w:p w14:paraId="17EE08E7" w14:textId="77777777" w:rsidR="002D0F77" w:rsidRPr="008D77D5" w:rsidRDefault="002D0F77" w:rsidP="002D0F77">
            <w:pPr>
              <w:pStyle w:val="Normal-pool"/>
              <w:spacing w:before="520"/>
              <w:rPr>
                <w:lang w:val="fr-FR"/>
              </w:rPr>
            </w:pPr>
            <w:bookmarkStart w:id="5" w:name="_GoBack"/>
            <w:bookmarkEnd w:id="5"/>
          </w:p>
        </w:tc>
        <w:tc>
          <w:tcPr>
            <w:tcW w:w="1898" w:type="dxa"/>
          </w:tcPr>
          <w:p w14:paraId="21D84CCD" w14:textId="77777777" w:rsidR="002D0F77" w:rsidRPr="008D77D5" w:rsidRDefault="002D0F77" w:rsidP="002D0F77">
            <w:pPr>
              <w:pStyle w:val="Normal-pool"/>
              <w:spacing w:before="520"/>
              <w:rPr>
                <w:lang w:val="fr-FR"/>
              </w:rPr>
            </w:pPr>
          </w:p>
        </w:tc>
      </w:tr>
    </w:tbl>
    <w:p w14:paraId="3E9C81A1" w14:textId="77777777" w:rsidR="00A20821" w:rsidRPr="008D77D5" w:rsidRDefault="00A20821" w:rsidP="002D0F77">
      <w:pPr>
        <w:pStyle w:val="Normal-pool"/>
        <w:rPr>
          <w:lang w:val="fr-FR"/>
        </w:rPr>
      </w:pPr>
    </w:p>
    <w:sectPr w:rsidR="00A20821" w:rsidRPr="008D77D5" w:rsidSect="006B47CE">
      <w:headerReference w:type="even" r:id="rId20"/>
      <w:headerReference w:type="default" r:id="rId21"/>
      <w:headerReference w:type="first" r:id="rId22"/>
      <w:footerReference w:type="first" r:id="rId23"/>
      <w:pgSz w:w="11906" w:h="16838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1E17" w14:textId="77777777" w:rsidR="002E5F18" w:rsidRDefault="002E5F18">
      <w:r>
        <w:separator/>
      </w:r>
    </w:p>
  </w:endnote>
  <w:endnote w:type="continuationSeparator" w:id="0">
    <w:p w14:paraId="79E009D0" w14:textId="77777777" w:rsidR="002E5F18" w:rsidRDefault="002E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FA249" w14:textId="7C6E3525" w:rsidR="009C29CF" w:rsidRDefault="009C29CF" w:rsidP="000855ED">
    <w:pPr>
      <w:pStyle w:val="Normal-pool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1532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823B8" w14:textId="04D04451" w:rsidR="009C29CF" w:rsidRDefault="009C29CF" w:rsidP="000855ED">
    <w:pPr>
      <w:pStyle w:val="Normal-pool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64AA6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64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07BD74" w14:textId="448EA9CA" w:rsidR="003F7F81" w:rsidRDefault="003F7F81">
        <w:pPr>
          <w:pStyle w:val="Footer"/>
        </w:pPr>
        <w:r>
          <w:t>K1903760</w:t>
        </w:r>
        <w:r>
          <w:tab/>
        </w:r>
        <w:r w:rsidR="007346B2">
          <w:t>1</w:t>
        </w:r>
        <w:r w:rsidR="00201532">
          <w:t>8</w:t>
        </w:r>
        <w:r>
          <w:t>0919</w:t>
        </w:r>
      </w:p>
    </w:sdtContent>
  </w:sdt>
  <w:p w14:paraId="1593ADF2" w14:textId="49820507" w:rsidR="009C29CF" w:rsidRPr="000855ED" w:rsidRDefault="009C29CF" w:rsidP="006B47CE">
    <w:pPr>
      <w:pStyle w:val="Normal-poo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643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39694" w14:textId="33DA49CC" w:rsidR="009C29CF" w:rsidRPr="000855ED" w:rsidRDefault="009C29CF" w:rsidP="006B47CE">
        <w:pPr>
          <w:pStyle w:val="Footer-pool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83FC6" w14:textId="77777777" w:rsidR="002E5F18" w:rsidRPr="000855ED" w:rsidRDefault="002E5F18" w:rsidP="000855ED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spacing w:before="60" w:after="0"/>
        <w:ind w:left="624"/>
        <w:rPr>
          <w:sz w:val="18"/>
          <w:szCs w:val="18"/>
        </w:rPr>
      </w:pPr>
      <w:r w:rsidRPr="000855ED">
        <w:rPr>
          <w:sz w:val="18"/>
          <w:szCs w:val="18"/>
        </w:rPr>
        <w:separator/>
      </w:r>
    </w:p>
  </w:footnote>
  <w:footnote w:type="continuationSeparator" w:id="0">
    <w:p w14:paraId="3D81FB3C" w14:textId="77777777" w:rsidR="002E5F18" w:rsidRDefault="002E5F18">
      <w:r>
        <w:continuationSeparator/>
      </w:r>
    </w:p>
  </w:footnote>
  <w:footnote w:id="1">
    <w:p w14:paraId="373BC07E" w14:textId="53B7C1A4" w:rsidR="009C29CF" w:rsidRPr="00073122" w:rsidRDefault="009C29CF" w:rsidP="00073122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spacing w:before="20" w:after="40"/>
        <w:rPr>
          <w:sz w:val="18"/>
          <w:szCs w:val="18"/>
        </w:rPr>
      </w:pPr>
      <w:r w:rsidRPr="00073122">
        <w:rPr>
          <w:sz w:val="18"/>
          <w:szCs w:val="18"/>
        </w:rPr>
        <w:t>* UNEP/MC/COP.3/1.</w:t>
      </w:r>
    </w:p>
  </w:footnote>
  <w:footnote w:id="2">
    <w:p w14:paraId="13C309C3" w14:textId="62CEFAF4" w:rsidR="009C29CF" w:rsidRPr="00073122" w:rsidRDefault="009C29CF" w:rsidP="00073122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spacing w:before="20" w:after="40"/>
        <w:rPr>
          <w:sz w:val="18"/>
          <w:szCs w:val="18"/>
          <w:lang w:val="en-US"/>
        </w:rPr>
      </w:pPr>
      <w:r w:rsidRPr="00073122">
        <w:rPr>
          <w:rStyle w:val="FootnoteReference"/>
          <w:sz w:val="18"/>
          <w:lang w:val="en-US"/>
        </w:rPr>
        <w:footnoteRef/>
      </w:r>
      <w:r w:rsidRPr="00073122">
        <w:rPr>
          <w:sz w:val="18"/>
          <w:szCs w:val="18"/>
          <w:lang w:val="en-US"/>
        </w:rPr>
        <w:t xml:space="preserve"> </w:t>
      </w:r>
      <w:r w:rsidRPr="004139A4">
        <w:rPr>
          <w:sz w:val="18"/>
          <w:szCs w:val="18"/>
          <w:lang w:val="en-US"/>
        </w:rPr>
        <w:t>http://www.wcoomd.org/fr/topics/nomenclature/overview.aspx</w:t>
      </w:r>
      <w:r w:rsidRPr="00073122">
        <w:rPr>
          <w:sz w:val="18"/>
          <w:szCs w:val="18"/>
          <w:lang w:val="en-US"/>
        </w:rPr>
        <w:t>.</w:t>
      </w:r>
    </w:p>
  </w:footnote>
  <w:footnote w:id="3">
    <w:p w14:paraId="2A6A7F39" w14:textId="3A2D317A" w:rsidR="009C29CF" w:rsidRPr="00123D07" w:rsidRDefault="009C29CF" w:rsidP="00073122">
      <w:pPr>
        <w:pStyle w:val="NormalNo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  <w:tab w:val="left" w:pos="624"/>
        </w:tabs>
        <w:spacing w:before="20" w:after="40"/>
        <w:rPr>
          <w:lang w:val="en-US"/>
        </w:rPr>
      </w:pPr>
      <w:r w:rsidRPr="00073122">
        <w:rPr>
          <w:rStyle w:val="FootnoteReference"/>
          <w:sz w:val="18"/>
        </w:rPr>
        <w:footnoteRef/>
      </w:r>
      <w:r w:rsidRPr="00073122">
        <w:rPr>
          <w:sz w:val="18"/>
          <w:szCs w:val="18"/>
          <w:lang w:val="en-US"/>
        </w:rPr>
        <w:t xml:space="preserve"> unstats.un.org/unsd/tradekb/Knowledgebase/50018/Harmonized-Commodity-Description-and-Coding-Systems-HS.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62D0A" w14:textId="186E7CE2" w:rsidR="009C29CF" w:rsidRPr="00CA5CA9" w:rsidRDefault="009C29CF" w:rsidP="00434321">
    <w:pPr>
      <w:pStyle w:val="Header"/>
      <w:rPr>
        <w:szCs w:val="18"/>
      </w:rPr>
    </w:pPr>
    <w:r w:rsidRPr="00CA5CA9">
      <w:rPr>
        <w:bCs/>
        <w:szCs w:val="18"/>
      </w:rPr>
      <w:t>UNEP</w:t>
    </w:r>
    <w:r w:rsidRPr="00CA5CA9">
      <w:rPr>
        <w:szCs w:val="18"/>
      </w:rPr>
      <w:t>/</w:t>
    </w:r>
    <w:r>
      <w:rPr>
        <w:szCs w:val="18"/>
      </w:rPr>
      <w:t>MC</w:t>
    </w:r>
    <w:r w:rsidRPr="00CA5CA9">
      <w:rPr>
        <w:szCs w:val="18"/>
      </w:rPr>
      <w:t>/</w:t>
    </w:r>
    <w:r>
      <w:rPr>
        <w:szCs w:val="18"/>
      </w:rPr>
      <w:t>COP.3/5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331DC" w14:textId="61B99DE0" w:rsidR="009C29CF" w:rsidRPr="00CA5CA9" w:rsidRDefault="009C29CF" w:rsidP="00F7137B">
    <w:pPr>
      <w:pStyle w:val="Header"/>
      <w:jc w:val="right"/>
      <w:rPr>
        <w:szCs w:val="18"/>
      </w:rPr>
    </w:pPr>
    <w:r w:rsidRPr="00CA5CA9">
      <w:rPr>
        <w:bCs/>
        <w:szCs w:val="18"/>
      </w:rPr>
      <w:t>UNEP</w:t>
    </w:r>
    <w:r w:rsidRPr="00CA5CA9">
      <w:rPr>
        <w:szCs w:val="18"/>
      </w:rPr>
      <w:t>/</w:t>
    </w:r>
    <w:r>
      <w:rPr>
        <w:szCs w:val="18"/>
      </w:rPr>
      <w:t>MC</w:t>
    </w:r>
    <w:r w:rsidRPr="00CA5CA9">
      <w:rPr>
        <w:szCs w:val="18"/>
      </w:rPr>
      <w:t>/</w:t>
    </w:r>
    <w:r>
      <w:rPr>
        <w:szCs w:val="18"/>
      </w:rPr>
      <w:t>COP.3/5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CE33E" w14:textId="577E040E" w:rsidR="009C29CF" w:rsidRPr="006B47CE" w:rsidRDefault="009C29CF" w:rsidP="006B47CE">
    <w:pPr>
      <w:pStyle w:val="Header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AA55D" w14:textId="486D31A4" w:rsidR="009C29CF" w:rsidRDefault="002B5C37">
    <w:pPr>
      <w:pStyle w:val="Header"/>
    </w:pPr>
    <w:r w:rsidRPr="00CA5CA9">
      <w:rPr>
        <w:bCs/>
      </w:rPr>
      <w:t>UNEP</w:t>
    </w:r>
    <w:r w:rsidRPr="00CA5CA9">
      <w:t>/</w:t>
    </w:r>
    <w:r>
      <w:t>MC</w:t>
    </w:r>
    <w:r w:rsidRPr="00CA5CA9">
      <w:t>/</w:t>
    </w:r>
    <w:r>
      <w:t>COP.3/5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8653" w14:textId="2016304E" w:rsidR="009C29CF" w:rsidRDefault="002B5C37" w:rsidP="002B5C37">
    <w:pPr>
      <w:pStyle w:val="Header"/>
      <w:jc w:val="right"/>
    </w:pPr>
    <w:r w:rsidRPr="00CA5CA9">
      <w:rPr>
        <w:bCs/>
      </w:rPr>
      <w:t>UNEP</w:t>
    </w:r>
    <w:r w:rsidRPr="00CA5CA9">
      <w:t>/</w:t>
    </w:r>
    <w:r>
      <w:t>MC</w:t>
    </w:r>
    <w:r w:rsidRPr="00CA5CA9">
      <w:t>/</w:t>
    </w:r>
    <w:r>
      <w:t>COP.3/5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9336" w14:textId="28EA87EC" w:rsidR="009C29CF" w:rsidRDefault="009C29CF" w:rsidP="000855ED">
    <w:pPr>
      <w:pStyle w:val="Header-pool"/>
    </w:pPr>
    <w:r w:rsidRPr="00CA5CA9">
      <w:rPr>
        <w:bCs/>
      </w:rPr>
      <w:t>UNEP</w:t>
    </w:r>
    <w:r w:rsidRPr="00CA5CA9">
      <w:t>/</w:t>
    </w:r>
    <w:r>
      <w:t>MC</w:t>
    </w:r>
    <w:r w:rsidRPr="00CA5CA9">
      <w:t>/</w:t>
    </w:r>
    <w:r>
      <w:t>COP.3/5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608D"/>
    <w:multiLevelType w:val="hybridMultilevel"/>
    <w:tmpl w:val="E5E89B6C"/>
    <w:lvl w:ilvl="0" w:tplc="854C29B2">
      <w:numFmt w:val="bullet"/>
      <w:lvlText w:val="-"/>
      <w:lvlJc w:val="left"/>
      <w:pPr>
        <w:ind w:left="16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" w15:restartNumberingAfterBreak="0">
    <w:nsid w:val="08E85C6D"/>
    <w:multiLevelType w:val="hybridMultilevel"/>
    <w:tmpl w:val="0E28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469E3"/>
    <w:multiLevelType w:val="hybridMultilevel"/>
    <w:tmpl w:val="1B1C5F4E"/>
    <w:lvl w:ilvl="0" w:tplc="A072B35A">
      <w:start w:val="1"/>
      <w:numFmt w:val="lowerLetter"/>
      <w:lvlText w:val="(%1)"/>
      <w:lvlJc w:val="left"/>
      <w:pPr>
        <w:ind w:left="3716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1" w:hanging="360"/>
      </w:pPr>
    </w:lvl>
    <w:lvl w:ilvl="2" w:tplc="0409001B" w:tentative="1">
      <w:start w:val="1"/>
      <w:numFmt w:val="lowerRoman"/>
      <w:lvlText w:val="%3."/>
      <w:lvlJc w:val="right"/>
      <w:pPr>
        <w:ind w:left="3671" w:hanging="180"/>
      </w:pPr>
    </w:lvl>
    <w:lvl w:ilvl="3" w:tplc="0409000F" w:tentative="1">
      <w:start w:val="1"/>
      <w:numFmt w:val="decimal"/>
      <w:lvlText w:val="%4."/>
      <w:lvlJc w:val="left"/>
      <w:pPr>
        <w:ind w:left="4391" w:hanging="360"/>
      </w:pPr>
    </w:lvl>
    <w:lvl w:ilvl="4" w:tplc="04090019" w:tentative="1">
      <w:start w:val="1"/>
      <w:numFmt w:val="lowerLetter"/>
      <w:lvlText w:val="%5."/>
      <w:lvlJc w:val="left"/>
      <w:pPr>
        <w:ind w:left="5111" w:hanging="360"/>
      </w:pPr>
    </w:lvl>
    <w:lvl w:ilvl="5" w:tplc="0409001B" w:tentative="1">
      <w:start w:val="1"/>
      <w:numFmt w:val="lowerRoman"/>
      <w:lvlText w:val="%6."/>
      <w:lvlJc w:val="right"/>
      <w:pPr>
        <w:ind w:left="5831" w:hanging="180"/>
      </w:pPr>
    </w:lvl>
    <w:lvl w:ilvl="6" w:tplc="0409000F" w:tentative="1">
      <w:start w:val="1"/>
      <w:numFmt w:val="decimal"/>
      <w:lvlText w:val="%7."/>
      <w:lvlJc w:val="left"/>
      <w:pPr>
        <w:ind w:left="6551" w:hanging="360"/>
      </w:pPr>
    </w:lvl>
    <w:lvl w:ilvl="7" w:tplc="04090019" w:tentative="1">
      <w:start w:val="1"/>
      <w:numFmt w:val="lowerLetter"/>
      <w:lvlText w:val="%8."/>
      <w:lvlJc w:val="left"/>
      <w:pPr>
        <w:ind w:left="7271" w:hanging="360"/>
      </w:pPr>
    </w:lvl>
    <w:lvl w:ilvl="8" w:tplc="0409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1B571867"/>
    <w:multiLevelType w:val="singleLevel"/>
    <w:tmpl w:val="A2E252AA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01C7F90"/>
    <w:multiLevelType w:val="hybridMultilevel"/>
    <w:tmpl w:val="08FE62DE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809000F" w:tentative="1">
      <w:start w:val="1"/>
      <w:numFmt w:val="decimal"/>
      <w:lvlText w:val="%7."/>
      <w:lvlJc w:val="left"/>
      <w:pPr>
        <w:ind w:left="6911" w:hanging="360"/>
      </w:pPr>
    </w:lvl>
    <w:lvl w:ilvl="7" w:tplc="08090019" w:tentative="1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5" w15:restartNumberingAfterBreak="0">
    <w:nsid w:val="25B97142"/>
    <w:multiLevelType w:val="hybridMultilevel"/>
    <w:tmpl w:val="7DB8725A"/>
    <w:lvl w:ilvl="0" w:tplc="04090017">
      <w:start w:val="1"/>
      <w:numFmt w:val="lowerLetter"/>
      <w:lvlText w:val="%1)"/>
      <w:lvlJc w:val="left"/>
      <w:pPr>
        <w:ind w:left="1608" w:hanging="360"/>
      </w:p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6" w15:restartNumberingAfterBreak="0">
    <w:nsid w:val="328B390E"/>
    <w:multiLevelType w:val="hybridMultilevel"/>
    <w:tmpl w:val="163451F4"/>
    <w:lvl w:ilvl="0" w:tplc="1972A4D8">
      <w:start w:val="1"/>
      <w:numFmt w:val="lowerLetter"/>
      <w:lvlText w:val="(%1)"/>
      <w:lvlJc w:val="left"/>
      <w:pPr>
        <w:ind w:left="3716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1603"/>
    <w:multiLevelType w:val="singleLevel"/>
    <w:tmpl w:val="2868AC2A"/>
    <w:lvl w:ilvl="0">
      <w:start w:val="6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E3742E"/>
    <w:multiLevelType w:val="hybridMultilevel"/>
    <w:tmpl w:val="A8BE00E0"/>
    <w:lvl w:ilvl="0" w:tplc="5BB45EB4">
      <w:start w:val="1"/>
      <w:numFmt w:val="decimal"/>
      <w:lvlText w:val="%1)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9" w15:restartNumberingAfterBreak="0">
    <w:nsid w:val="432233DC"/>
    <w:multiLevelType w:val="hybridMultilevel"/>
    <w:tmpl w:val="9AE26106"/>
    <w:lvl w:ilvl="0" w:tplc="EAFE9C00">
      <w:start w:val="1"/>
      <w:numFmt w:val="lowerLetter"/>
      <w:lvlText w:val="(%1)"/>
      <w:lvlJc w:val="left"/>
      <w:pPr>
        <w:ind w:left="1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0" w15:restartNumberingAfterBreak="0">
    <w:nsid w:val="52A66A9D"/>
    <w:multiLevelType w:val="multilevel"/>
    <w:tmpl w:val="D07A6E4C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701"/>
        </w:tabs>
        <w:ind w:left="1814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814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3515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01"/>
        </w:tabs>
        <w:ind w:left="4082" w:hanging="567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701"/>
        </w:tabs>
        <w:ind w:left="464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402"/>
        </w:tabs>
        <w:ind w:left="84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122"/>
        </w:tabs>
        <w:ind w:left="91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842"/>
        </w:tabs>
        <w:ind w:left="98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562"/>
        </w:tabs>
        <w:ind w:left="10562" w:hanging="180"/>
      </w:pPr>
      <w:rPr>
        <w:rFonts w:hint="default"/>
      </w:rPr>
    </w:lvl>
  </w:abstractNum>
  <w:abstractNum w:abstractNumId="11" w15:restartNumberingAfterBreak="0">
    <w:nsid w:val="540A44D6"/>
    <w:multiLevelType w:val="hybridMultilevel"/>
    <w:tmpl w:val="F9F2490E"/>
    <w:lvl w:ilvl="0" w:tplc="04090011">
      <w:start w:val="1"/>
      <w:numFmt w:val="decimal"/>
      <w:lvlText w:val="%1)"/>
      <w:lvlJc w:val="left"/>
      <w:pPr>
        <w:ind w:left="1608" w:hanging="360"/>
      </w:p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2" w15:restartNumberingAfterBreak="0">
    <w:nsid w:val="64683995"/>
    <w:multiLevelType w:val="hybridMultilevel"/>
    <w:tmpl w:val="7CDEE404"/>
    <w:lvl w:ilvl="0" w:tplc="040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13" w15:restartNumberingAfterBreak="0">
    <w:nsid w:val="68E200E0"/>
    <w:multiLevelType w:val="hybridMultilevel"/>
    <w:tmpl w:val="727428A0"/>
    <w:lvl w:ilvl="0" w:tplc="EAFE9C00">
      <w:start w:val="1"/>
      <w:numFmt w:val="lowerLetter"/>
      <w:lvlText w:val="(%1)"/>
      <w:lvlJc w:val="left"/>
      <w:pPr>
        <w:ind w:left="19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7" w:hanging="360"/>
      </w:pPr>
    </w:lvl>
    <w:lvl w:ilvl="2" w:tplc="0409001B" w:tentative="1">
      <w:start w:val="1"/>
      <w:numFmt w:val="lowerRoman"/>
      <w:lvlText w:val="%3."/>
      <w:lvlJc w:val="right"/>
      <w:pPr>
        <w:ind w:left="3407" w:hanging="180"/>
      </w:pPr>
    </w:lvl>
    <w:lvl w:ilvl="3" w:tplc="0409000F" w:tentative="1">
      <w:start w:val="1"/>
      <w:numFmt w:val="decimal"/>
      <w:lvlText w:val="%4."/>
      <w:lvlJc w:val="left"/>
      <w:pPr>
        <w:ind w:left="4127" w:hanging="360"/>
      </w:pPr>
    </w:lvl>
    <w:lvl w:ilvl="4" w:tplc="04090019" w:tentative="1">
      <w:start w:val="1"/>
      <w:numFmt w:val="lowerLetter"/>
      <w:lvlText w:val="%5."/>
      <w:lvlJc w:val="left"/>
      <w:pPr>
        <w:ind w:left="4847" w:hanging="360"/>
      </w:pPr>
    </w:lvl>
    <w:lvl w:ilvl="5" w:tplc="0409001B" w:tentative="1">
      <w:start w:val="1"/>
      <w:numFmt w:val="lowerRoman"/>
      <w:lvlText w:val="%6."/>
      <w:lvlJc w:val="right"/>
      <w:pPr>
        <w:ind w:left="5567" w:hanging="180"/>
      </w:pPr>
    </w:lvl>
    <w:lvl w:ilvl="6" w:tplc="0409000F" w:tentative="1">
      <w:start w:val="1"/>
      <w:numFmt w:val="decimal"/>
      <w:lvlText w:val="%7."/>
      <w:lvlJc w:val="left"/>
      <w:pPr>
        <w:ind w:left="6287" w:hanging="360"/>
      </w:pPr>
    </w:lvl>
    <w:lvl w:ilvl="7" w:tplc="04090019" w:tentative="1">
      <w:start w:val="1"/>
      <w:numFmt w:val="lowerLetter"/>
      <w:lvlText w:val="%8."/>
      <w:lvlJc w:val="left"/>
      <w:pPr>
        <w:ind w:left="7007" w:hanging="360"/>
      </w:pPr>
    </w:lvl>
    <w:lvl w:ilvl="8" w:tplc="04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4" w15:restartNumberingAfterBreak="0">
    <w:nsid w:val="6FFE22A9"/>
    <w:multiLevelType w:val="hybridMultilevel"/>
    <w:tmpl w:val="4F942F02"/>
    <w:lvl w:ilvl="0" w:tplc="3DC0444A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5" w15:restartNumberingAfterBreak="0">
    <w:nsid w:val="798367F0"/>
    <w:multiLevelType w:val="hybridMultilevel"/>
    <w:tmpl w:val="83E6B2E0"/>
    <w:lvl w:ilvl="0" w:tplc="A072B35A">
      <w:start w:val="1"/>
      <w:numFmt w:val="lowerLetter"/>
      <w:lvlText w:val="(%1)"/>
      <w:lvlJc w:val="left"/>
      <w:pPr>
        <w:ind w:left="25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1" w:hanging="360"/>
      </w:pPr>
    </w:lvl>
    <w:lvl w:ilvl="2" w:tplc="0409001B" w:tentative="1">
      <w:start w:val="1"/>
      <w:numFmt w:val="lowerRoman"/>
      <w:lvlText w:val="%3."/>
      <w:lvlJc w:val="right"/>
      <w:pPr>
        <w:ind w:left="4031" w:hanging="180"/>
      </w:pPr>
    </w:lvl>
    <w:lvl w:ilvl="3" w:tplc="0409000F" w:tentative="1">
      <w:start w:val="1"/>
      <w:numFmt w:val="decimal"/>
      <w:lvlText w:val="%4."/>
      <w:lvlJc w:val="left"/>
      <w:pPr>
        <w:ind w:left="4751" w:hanging="360"/>
      </w:pPr>
    </w:lvl>
    <w:lvl w:ilvl="4" w:tplc="04090019" w:tentative="1">
      <w:start w:val="1"/>
      <w:numFmt w:val="lowerLetter"/>
      <w:lvlText w:val="%5."/>
      <w:lvlJc w:val="left"/>
      <w:pPr>
        <w:ind w:left="5471" w:hanging="360"/>
      </w:pPr>
    </w:lvl>
    <w:lvl w:ilvl="5" w:tplc="0409001B" w:tentative="1">
      <w:start w:val="1"/>
      <w:numFmt w:val="lowerRoman"/>
      <w:lvlText w:val="%6."/>
      <w:lvlJc w:val="right"/>
      <w:pPr>
        <w:ind w:left="6191" w:hanging="180"/>
      </w:pPr>
    </w:lvl>
    <w:lvl w:ilvl="6" w:tplc="0409000F" w:tentative="1">
      <w:start w:val="1"/>
      <w:numFmt w:val="decimal"/>
      <w:lvlText w:val="%7."/>
      <w:lvlJc w:val="left"/>
      <w:pPr>
        <w:ind w:left="6911" w:hanging="360"/>
      </w:pPr>
    </w:lvl>
    <w:lvl w:ilvl="7" w:tplc="04090019" w:tentative="1">
      <w:start w:val="1"/>
      <w:numFmt w:val="lowerLetter"/>
      <w:lvlText w:val="%8."/>
      <w:lvlJc w:val="left"/>
      <w:pPr>
        <w:ind w:left="7631" w:hanging="360"/>
      </w:pPr>
    </w:lvl>
    <w:lvl w:ilvl="8" w:tplc="04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16" w15:restartNumberingAfterBreak="0">
    <w:nsid w:val="7A253920"/>
    <w:multiLevelType w:val="hybridMultilevel"/>
    <w:tmpl w:val="CAB86F5A"/>
    <w:lvl w:ilvl="0" w:tplc="62B89938">
      <w:start w:val="1"/>
      <w:numFmt w:val="upperLetter"/>
      <w:lvlText w:val="%1."/>
      <w:lvlJc w:val="left"/>
      <w:pPr>
        <w:ind w:left="1608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6"/>
  </w:num>
  <w:num w:numId="8">
    <w:abstractNumId w:val="15"/>
  </w:num>
  <w:num w:numId="9">
    <w:abstractNumId w:val="13"/>
  </w:num>
  <w:num w:numId="10">
    <w:abstractNumId w:val="9"/>
  </w:num>
  <w:num w:numId="11">
    <w:abstractNumId w:val="0"/>
  </w:num>
  <w:num w:numId="12">
    <w:abstractNumId w:val="11"/>
  </w:num>
  <w:num w:numId="13">
    <w:abstractNumId w:val="5"/>
  </w:num>
  <w:num w:numId="14">
    <w:abstractNumId w:val="16"/>
  </w:num>
  <w:num w:numId="15">
    <w:abstractNumId w:val="14"/>
  </w:num>
  <w:num w:numId="16">
    <w:abstractNumId w:val="12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1"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624"/>
  <w:hyphenationZone w:val="425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D7F"/>
    <w:rsid w:val="00000E4A"/>
    <w:rsid w:val="0000133B"/>
    <w:rsid w:val="00001367"/>
    <w:rsid w:val="000017CC"/>
    <w:rsid w:val="000024A3"/>
    <w:rsid w:val="0000357B"/>
    <w:rsid w:val="000057BB"/>
    <w:rsid w:val="00007100"/>
    <w:rsid w:val="000077AD"/>
    <w:rsid w:val="00011A16"/>
    <w:rsid w:val="000149E6"/>
    <w:rsid w:val="000157D7"/>
    <w:rsid w:val="00016334"/>
    <w:rsid w:val="0001792A"/>
    <w:rsid w:val="00020884"/>
    <w:rsid w:val="00023DA9"/>
    <w:rsid w:val="000247B0"/>
    <w:rsid w:val="0002538D"/>
    <w:rsid w:val="00026997"/>
    <w:rsid w:val="00026A08"/>
    <w:rsid w:val="00026F55"/>
    <w:rsid w:val="00032E4E"/>
    <w:rsid w:val="00033733"/>
    <w:rsid w:val="00033E0B"/>
    <w:rsid w:val="000340A3"/>
    <w:rsid w:val="00035EDE"/>
    <w:rsid w:val="0004341B"/>
    <w:rsid w:val="000436D3"/>
    <w:rsid w:val="00043DDB"/>
    <w:rsid w:val="000468F2"/>
    <w:rsid w:val="000509B4"/>
    <w:rsid w:val="00051622"/>
    <w:rsid w:val="0006035B"/>
    <w:rsid w:val="0006096F"/>
    <w:rsid w:val="00060BBB"/>
    <w:rsid w:val="000649C5"/>
    <w:rsid w:val="00064D52"/>
    <w:rsid w:val="00071669"/>
    <w:rsid w:val="00071886"/>
    <w:rsid w:val="00073122"/>
    <w:rsid w:val="000742BC"/>
    <w:rsid w:val="00074A93"/>
    <w:rsid w:val="00075F0C"/>
    <w:rsid w:val="00076CC6"/>
    <w:rsid w:val="00080C5C"/>
    <w:rsid w:val="00081B99"/>
    <w:rsid w:val="00081FC8"/>
    <w:rsid w:val="00082A0C"/>
    <w:rsid w:val="00082B4A"/>
    <w:rsid w:val="00083504"/>
    <w:rsid w:val="000855ED"/>
    <w:rsid w:val="00086E7D"/>
    <w:rsid w:val="000878AF"/>
    <w:rsid w:val="00087A9F"/>
    <w:rsid w:val="00087B56"/>
    <w:rsid w:val="00087CBB"/>
    <w:rsid w:val="00093425"/>
    <w:rsid w:val="00095510"/>
    <w:rsid w:val="0009640C"/>
    <w:rsid w:val="0009780A"/>
    <w:rsid w:val="000A2B9C"/>
    <w:rsid w:val="000A3B42"/>
    <w:rsid w:val="000A581D"/>
    <w:rsid w:val="000B22A2"/>
    <w:rsid w:val="000B541B"/>
    <w:rsid w:val="000B73F9"/>
    <w:rsid w:val="000C2A52"/>
    <w:rsid w:val="000C2A88"/>
    <w:rsid w:val="000C5371"/>
    <w:rsid w:val="000C65B1"/>
    <w:rsid w:val="000C7F47"/>
    <w:rsid w:val="000D05FA"/>
    <w:rsid w:val="000D0832"/>
    <w:rsid w:val="000D1969"/>
    <w:rsid w:val="000D21F8"/>
    <w:rsid w:val="000D33C0"/>
    <w:rsid w:val="000D4CF6"/>
    <w:rsid w:val="000D6941"/>
    <w:rsid w:val="000D76B1"/>
    <w:rsid w:val="000E3644"/>
    <w:rsid w:val="000E5D86"/>
    <w:rsid w:val="000F3C3D"/>
    <w:rsid w:val="000F4829"/>
    <w:rsid w:val="000F6B21"/>
    <w:rsid w:val="000F6B39"/>
    <w:rsid w:val="00100821"/>
    <w:rsid w:val="00100843"/>
    <w:rsid w:val="00101BEF"/>
    <w:rsid w:val="00102D6D"/>
    <w:rsid w:val="00102EFB"/>
    <w:rsid w:val="00107CC0"/>
    <w:rsid w:val="00111081"/>
    <w:rsid w:val="00117F8A"/>
    <w:rsid w:val="001202E3"/>
    <w:rsid w:val="0012202F"/>
    <w:rsid w:val="00123699"/>
    <w:rsid w:val="00123D07"/>
    <w:rsid w:val="001241FB"/>
    <w:rsid w:val="0013059D"/>
    <w:rsid w:val="0013072C"/>
    <w:rsid w:val="0013246E"/>
    <w:rsid w:val="0013574F"/>
    <w:rsid w:val="00136187"/>
    <w:rsid w:val="00141A55"/>
    <w:rsid w:val="0014293F"/>
    <w:rsid w:val="0014397D"/>
    <w:rsid w:val="001446A3"/>
    <w:rsid w:val="0014662D"/>
    <w:rsid w:val="00146CD9"/>
    <w:rsid w:val="00151DA5"/>
    <w:rsid w:val="00152B6B"/>
    <w:rsid w:val="00155395"/>
    <w:rsid w:val="00155A2F"/>
    <w:rsid w:val="00156B6B"/>
    <w:rsid w:val="001577EC"/>
    <w:rsid w:val="00160AA5"/>
    <w:rsid w:val="00160D74"/>
    <w:rsid w:val="0016300A"/>
    <w:rsid w:val="0016351C"/>
    <w:rsid w:val="001646EA"/>
    <w:rsid w:val="00167D02"/>
    <w:rsid w:val="00173390"/>
    <w:rsid w:val="001759D8"/>
    <w:rsid w:val="00177D7F"/>
    <w:rsid w:val="00180C3F"/>
    <w:rsid w:val="00181A93"/>
    <w:rsid w:val="00181EC8"/>
    <w:rsid w:val="00184349"/>
    <w:rsid w:val="00184612"/>
    <w:rsid w:val="00184ED1"/>
    <w:rsid w:val="00190B60"/>
    <w:rsid w:val="00195F33"/>
    <w:rsid w:val="00197FB6"/>
    <w:rsid w:val="001A3788"/>
    <w:rsid w:val="001A47E5"/>
    <w:rsid w:val="001A5E57"/>
    <w:rsid w:val="001A6AB7"/>
    <w:rsid w:val="001B005F"/>
    <w:rsid w:val="001B1617"/>
    <w:rsid w:val="001B4718"/>
    <w:rsid w:val="001B504B"/>
    <w:rsid w:val="001B5652"/>
    <w:rsid w:val="001B6F98"/>
    <w:rsid w:val="001C00DE"/>
    <w:rsid w:val="001C191A"/>
    <w:rsid w:val="001C6354"/>
    <w:rsid w:val="001D3087"/>
    <w:rsid w:val="001D3874"/>
    <w:rsid w:val="001D47B1"/>
    <w:rsid w:val="001D743F"/>
    <w:rsid w:val="001D7935"/>
    <w:rsid w:val="001D7E75"/>
    <w:rsid w:val="001E0D73"/>
    <w:rsid w:val="001E45BD"/>
    <w:rsid w:val="001E56D2"/>
    <w:rsid w:val="001E671B"/>
    <w:rsid w:val="001E6F70"/>
    <w:rsid w:val="001E7A1D"/>
    <w:rsid w:val="001E7D56"/>
    <w:rsid w:val="001E7F10"/>
    <w:rsid w:val="001F0625"/>
    <w:rsid w:val="001F0934"/>
    <w:rsid w:val="001F5186"/>
    <w:rsid w:val="001F75DE"/>
    <w:rsid w:val="00200C4D"/>
    <w:rsid w:val="00200D58"/>
    <w:rsid w:val="002011C1"/>
    <w:rsid w:val="002013BE"/>
    <w:rsid w:val="00201532"/>
    <w:rsid w:val="00201D03"/>
    <w:rsid w:val="00201EDC"/>
    <w:rsid w:val="0020306D"/>
    <w:rsid w:val="00204E6B"/>
    <w:rsid w:val="002063A4"/>
    <w:rsid w:val="00207A9B"/>
    <w:rsid w:val="00207B14"/>
    <w:rsid w:val="0021145B"/>
    <w:rsid w:val="00215127"/>
    <w:rsid w:val="002162B3"/>
    <w:rsid w:val="0021702C"/>
    <w:rsid w:val="00220C23"/>
    <w:rsid w:val="00224233"/>
    <w:rsid w:val="002242D8"/>
    <w:rsid w:val="00224608"/>
    <w:rsid w:val="002247F6"/>
    <w:rsid w:val="0022584B"/>
    <w:rsid w:val="00225E21"/>
    <w:rsid w:val="00225E44"/>
    <w:rsid w:val="00230525"/>
    <w:rsid w:val="002322CD"/>
    <w:rsid w:val="00234E78"/>
    <w:rsid w:val="0023535D"/>
    <w:rsid w:val="00236FEF"/>
    <w:rsid w:val="0023797F"/>
    <w:rsid w:val="00243D36"/>
    <w:rsid w:val="00245A91"/>
    <w:rsid w:val="00246151"/>
    <w:rsid w:val="00247707"/>
    <w:rsid w:val="00252456"/>
    <w:rsid w:val="0026018E"/>
    <w:rsid w:val="00262F1C"/>
    <w:rsid w:val="002633BE"/>
    <w:rsid w:val="00271321"/>
    <w:rsid w:val="002729E6"/>
    <w:rsid w:val="00274F0E"/>
    <w:rsid w:val="002816A3"/>
    <w:rsid w:val="00286740"/>
    <w:rsid w:val="00291EAE"/>
    <w:rsid w:val="002929D8"/>
    <w:rsid w:val="00295765"/>
    <w:rsid w:val="00297AE6"/>
    <w:rsid w:val="002A237D"/>
    <w:rsid w:val="002A4790"/>
    <w:rsid w:val="002A47EE"/>
    <w:rsid w:val="002A4C53"/>
    <w:rsid w:val="002A5B0B"/>
    <w:rsid w:val="002B062B"/>
    <w:rsid w:val="002B0672"/>
    <w:rsid w:val="002B247F"/>
    <w:rsid w:val="002B50D4"/>
    <w:rsid w:val="002B58BF"/>
    <w:rsid w:val="002B5C37"/>
    <w:rsid w:val="002C145D"/>
    <w:rsid w:val="002C2C3E"/>
    <w:rsid w:val="002C48F3"/>
    <w:rsid w:val="002C533E"/>
    <w:rsid w:val="002D027F"/>
    <w:rsid w:val="002D0F77"/>
    <w:rsid w:val="002D10C6"/>
    <w:rsid w:val="002D3E15"/>
    <w:rsid w:val="002D6C8A"/>
    <w:rsid w:val="002D7A85"/>
    <w:rsid w:val="002D7B60"/>
    <w:rsid w:val="002E2861"/>
    <w:rsid w:val="002E5F18"/>
    <w:rsid w:val="002F4761"/>
    <w:rsid w:val="002F5554"/>
    <w:rsid w:val="002F5C79"/>
    <w:rsid w:val="002F68EE"/>
    <w:rsid w:val="003019E2"/>
    <w:rsid w:val="00303E0A"/>
    <w:rsid w:val="00310BEB"/>
    <w:rsid w:val="003110BE"/>
    <w:rsid w:val="0031413F"/>
    <w:rsid w:val="00314854"/>
    <w:rsid w:val="003148BB"/>
    <w:rsid w:val="00316F2F"/>
    <w:rsid w:val="00317976"/>
    <w:rsid w:val="00320F2F"/>
    <w:rsid w:val="00321EE3"/>
    <w:rsid w:val="0032457E"/>
    <w:rsid w:val="00325D38"/>
    <w:rsid w:val="00331DA3"/>
    <w:rsid w:val="00332550"/>
    <w:rsid w:val="00340421"/>
    <w:rsid w:val="00346E47"/>
    <w:rsid w:val="0035277E"/>
    <w:rsid w:val="00353F18"/>
    <w:rsid w:val="003544F5"/>
    <w:rsid w:val="00355EA9"/>
    <w:rsid w:val="003578DE"/>
    <w:rsid w:val="00361688"/>
    <w:rsid w:val="00361B6B"/>
    <w:rsid w:val="00361C3B"/>
    <w:rsid w:val="003624F1"/>
    <w:rsid w:val="003640BC"/>
    <w:rsid w:val="00364638"/>
    <w:rsid w:val="00366C54"/>
    <w:rsid w:val="00372059"/>
    <w:rsid w:val="00372EC0"/>
    <w:rsid w:val="00374E0A"/>
    <w:rsid w:val="003764B6"/>
    <w:rsid w:val="00380921"/>
    <w:rsid w:val="00381B28"/>
    <w:rsid w:val="003877D5"/>
    <w:rsid w:val="00392111"/>
    <w:rsid w:val="003929B8"/>
    <w:rsid w:val="00393432"/>
    <w:rsid w:val="00396257"/>
    <w:rsid w:val="00397EB8"/>
    <w:rsid w:val="003A11B3"/>
    <w:rsid w:val="003A4FD0"/>
    <w:rsid w:val="003A5DBA"/>
    <w:rsid w:val="003A69D1"/>
    <w:rsid w:val="003A7705"/>
    <w:rsid w:val="003A77F1"/>
    <w:rsid w:val="003B001D"/>
    <w:rsid w:val="003B1545"/>
    <w:rsid w:val="003C2425"/>
    <w:rsid w:val="003C3219"/>
    <w:rsid w:val="003C409D"/>
    <w:rsid w:val="003C4544"/>
    <w:rsid w:val="003C52D4"/>
    <w:rsid w:val="003C5583"/>
    <w:rsid w:val="003C5BA6"/>
    <w:rsid w:val="003C74CF"/>
    <w:rsid w:val="003C7773"/>
    <w:rsid w:val="003D14A2"/>
    <w:rsid w:val="003D3752"/>
    <w:rsid w:val="003D759B"/>
    <w:rsid w:val="003E2E57"/>
    <w:rsid w:val="003E35DA"/>
    <w:rsid w:val="003E40A0"/>
    <w:rsid w:val="003E455D"/>
    <w:rsid w:val="003E4E03"/>
    <w:rsid w:val="003E6BAB"/>
    <w:rsid w:val="003F0E85"/>
    <w:rsid w:val="003F38FD"/>
    <w:rsid w:val="003F4C81"/>
    <w:rsid w:val="003F7F81"/>
    <w:rsid w:val="00401630"/>
    <w:rsid w:val="00405B97"/>
    <w:rsid w:val="00410C55"/>
    <w:rsid w:val="004139A4"/>
    <w:rsid w:val="00416854"/>
    <w:rsid w:val="00417725"/>
    <w:rsid w:val="0042266F"/>
    <w:rsid w:val="004250FA"/>
    <w:rsid w:val="00434321"/>
    <w:rsid w:val="004349B9"/>
    <w:rsid w:val="00437F26"/>
    <w:rsid w:val="00441018"/>
    <w:rsid w:val="00444097"/>
    <w:rsid w:val="00445487"/>
    <w:rsid w:val="00447E0D"/>
    <w:rsid w:val="00453EA8"/>
    <w:rsid w:val="00454769"/>
    <w:rsid w:val="00455209"/>
    <w:rsid w:val="00462568"/>
    <w:rsid w:val="00466991"/>
    <w:rsid w:val="0047064C"/>
    <w:rsid w:val="00471A44"/>
    <w:rsid w:val="00477534"/>
    <w:rsid w:val="0048182E"/>
    <w:rsid w:val="004822B7"/>
    <w:rsid w:val="00484933"/>
    <w:rsid w:val="004871FD"/>
    <w:rsid w:val="0048787B"/>
    <w:rsid w:val="00487925"/>
    <w:rsid w:val="00487D6C"/>
    <w:rsid w:val="004929D9"/>
    <w:rsid w:val="00493726"/>
    <w:rsid w:val="0049469E"/>
    <w:rsid w:val="004952BA"/>
    <w:rsid w:val="004A1B68"/>
    <w:rsid w:val="004A2217"/>
    <w:rsid w:val="004A24F9"/>
    <w:rsid w:val="004A42E1"/>
    <w:rsid w:val="004A7A97"/>
    <w:rsid w:val="004A7E4F"/>
    <w:rsid w:val="004B0E3E"/>
    <w:rsid w:val="004B162C"/>
    <w:rsid w:val="004B2ABE"/>
    <w:rsid w:val="004C10C8"/>
    <w:rsid w:val="004C3DBE"/>
    <w:rsid w:val="004C45C0"/>
    <w:rsid w:val="004C5C96"/>
    <w:rsid w:val="004D06A4"/>
    <w:rsid w:val="004D4345"/>
    <w:rsid w:val="004E5126"/>
    <w:rsid w:val="004E517C"/>
    <w:rsid w:val="004E574D"/>
    <w:rsid w:val="004E6722"/>
    <w:rsid w:val="004F1A81"/>
    <w:rsid w:val="004F32CC"/>
    <w:rsid w:val="004F5D88"/>
    <w:rsid w:val="0050084A"/>
    <w:rsid w:val="00501354"/>
    <w:rsid w:val="005014A9"/>
    <w:rsid w:val="00503D81"/>
    <w:rsid w:val="00504DD1"/>
    <w:rsid w:val="005050D2"/>
    <w:rsid w:val="005112CA"/>
    <w:rsid w:val="005146C2"/>
    <w:rsid w:val="005218D9"/>
    <w:rsid w:val="005228DC"/>
    <w:rsid w:val="005245EB"/>
    <w:rsid w:val="00525448"/>
    <w:rsid w:val="005331AD"/>
    <w:rsid w:val="00536186"/>
    <w:rsid w:val="00536462"/>
    <w:rsid w:val="0053705A"/>
    <w:rsid w:val="005428AE"/>
    <w:rsid w:val="00543460"/>
    <w:rsid w:val="00544067"/>
    <w:rsid w:val="00544CBB"/>
    <w:rsid w:val="00551915"/>
    <w:rsid w:val="00551B65"/>
    <w:rsid w:val="00552A05"/>
    <w:rsid w:val="00553BED"/>
    <w:rsid w:val="00553F1F"/>
    <w:rsid w:val="00556704"/>
    <w:rsid w:val="005568B6"/>
    <w:rsid w:val="00564C5E"/>
    <w:rsid w:val="005651DF"/>
    <w:rsid w:val="005656D7"/>
    <w:rsid w:val="0057315F"/>
    <w:rsid w:val="00574578"/>
    <w:rsid w:val="00576104"/>
    <w:rsid w:val="00580015"/>
    <w:rsid w:val="0058124C"/>
    <w:rsid w:val="005836E5"/>
    <w:rsid w:val="005840CD"/>
    <w:rsid w:val="00584F08"/>
    <w:rsid w:val="00586418"/>
    <w:rsid w:val="0059140A"/>
    <w:rsid w:val="00592B21"/>
    <w:rsid w:val="00594027"/>
    <w:rsid w:val="00596B70"/>
    <w:rsid w:val="005A5964"/>
    <w:rsid w:val="005B2DF4"/>
    <w:rsid w:val="005B44BF"/>
    <w:rsid w:val="005C0770"/>
    <w:rsid w:val="005C4911"/>
    <w:rsid w:val="005C67C8"/>
    <w:rsid w:val="005C784A"/>
    <w:rsid w:val="005D0249"/>
    <w:rsid w:val="005D18FA"/>
    <w:rsid w:val="005D4FD4"/>
    <w:rsid w:val="005D5EB4"/>
    <w:rsid w:val="005D638F"/>
    <w:rsid w:val="005D6E8C"/>
    <w:rsid w:val="005E025D"/>
    <w:rsid w:val="005E1625"/>
    <w:rsid w:val="005E252F"/>
    <w:rsid w:val="005E3004"/>
    <w:rsid w:val="005E4780"/>
    <w:rsid w:val="005F100C"/>
    <w:rsid w:val="005F68DA"/>
    <w:rsid w:val="005F7419"/>
    <w:rsid w:val="006018AE"/>
    <w:rsid w:val="00601BC9"/>
    <w:rsid w:val="0060773B"/>
    <w:rsid w:val="006078B8"/>
    <w:rsid w:val="00613FD6"/>
    <w:rsid w:val="006157B5"/>
    <w:rsid w:val="00617224"/>
    <w:rsid w:val="006255D5"/>
    <w:rsid w:val="00626FC6"/>
    <w:rsid w:val="00627CBC"/>
    <w:rsid w:val="006303B4"/>
    <w:rsid w:val="006304C5"/>
    <w:rsid w:val="00630ADC"/>
    <w:rsid w:val="00630C64"/>
    <w:rsid w:val="006327DE"/>
    <w:rsid w:val="00633D3D"/>
    <w:rsid w:val="006358EB"/>
    <w:rsid w:val="00637133"/>
    <w:rsid w:val="00641295"/>
    <w:rsid w:val="00641703"/>
    <w:rsid w:val="006431A6"/>
    <w:rsid w:val="00643372"/>
    <w:rsid w:val="00643E3A"/>
    <w:rsid w:val="006459F6"/>
    <w:rsid w:val="006501AD"/>
    <w:rsid w:val="00651BFA"/>
    <w:rsid w:val="00653D2C"/>
    <w:rsid w:val="00654475"/>
    <w:rsid w:val="00656DF0"/>
    <w:rsid w:val="00661C43"/>
    <w:rsid w:val="00665885"/>
    <w:rsid w:val="00665A4B"/>
    <w:rsid w:val="00670FAE"/>
    <w:rsid w:val="00676314"/>
    <w:rsid w:val="0067786B"/>
    <w:rsid w:val="006801A4"/>
    <w:rsid w:val="00690268"/>
    <w:rsid w:val="00692980"/>
    <w:rsid w:val="00692C30"/>
    <w:rsid w:val="00692E2A"/>
    <w:rsid w:val="006937BE"/>
    <w:rsid w:val="0069496A"/>
    <w:rsid w:val="00696087"/>
    <w:rsid w:val="00696A93"/>
    <w:rsid w:val="00696C1C"/>
    <w:rsid w:val="00697749"/>
    <w:rsid w:val="006A1B57"/>
    <w:rsid w:val="006A2B7A"/>
    <w:rsid w:val="006A76F2"/>
    <w:rsid w:val="006B1049"/>
    <w:rsid w:val="006B1C39"/>
    <w:rsid w:val="006B47CE"/>
    <w:rsid w:val="006B5D31"/>
    <w:rsid w:val="006B6640"/>
    <w:rsid w:val="006B7D29"/>
    <w:rsid w:val="006C1555"/>
    <w:rsid w:val="006C3F5D"/>
    <w:rsid w:val="006C55BA"/>
    <w:rsid w:val="006C7106"/>
    <w:rsid w:val="006D19D4"/>
    <w:rsid w:val="006D3BF9"/>
    <w:rsid w:val="006D41BA"/>
    <w:rsid w:val="006D5644"/>
    <w:rsid w:val="006D5D2A"/>
    <w:rsid w:val="006D7EFB"/>
    <w:rsid w:val="006E0455"/>
    <w:rsid w:val="006E6672"/>
    <w:rsid w:val="006E6722"/>
    <w:rsid w:val="006E7C37"/>
    <w:rsid w:val="006F1412"/>
    <w:rsid w:val="006F46BD"/>
    <w:rsid w:val="006F4DE1"/>
    <w:rsid w:val="006F5265"/>
    <w:rsid w:val="006F718B"/>
    <w:rsid w:val="006F7AFF"/>
    <w:rsid w:val="00701BDE"/>
    <w:rsid w:val="007027B9"/>
    <w:rsid w:val="00703748"/>
    <w:rsid w:val="00704D01"/>
    <w:rsid w:val="007066B5"/>
    <w:rsid w:val="007144E3"/>
    <w:rsid w:val="007145DA"/>
    <w:rsid w:val="00715E88"/>
    <w:rsid w:val="00716D8B"/>
    <w:rsid w:val="0072040B"/>
    <w:rsid w:val="0072200B"/>
    <w:rsid w:val="007230AE"/>
    <w:rsid w:val="00731576"/>
    <w:rsid w:val="007346B2"/>
    <w:rsid w:val="00734CAA"/>
    <w:rsid w:val="007374B8"/>
    <w:rsid w:val="00740ADB"/>
    <w:rsid w:val="00740EE2"/>
    <w:rsid w:val="00742680"/>
    <w:rsid w:val="00747459"/>
    <w:rsid w:val="007508FB"/>
    <w:rsid w:val="0075533C"/>
    <w:rsid w:val="00755A18"/>
    <w:rsid w:val="00757581"/>
    <w:rsid w:val="007602F5"/>
    <w:rsid w:val="00760D36"/>
    <w:rsid w:val="007611A0"/>
    <w:rsid w:val="007618FF"/>
    <w:rsid w:val="007645F7"/>
    <w:rsid w:val="00764AA6"/>
    <w:rsid w:val="00766191"/>
    <w:rsid w:val="00772574"/>
    <w:rsid w:val="00772F55"/>
    <w:rsid w:val="007733AB"/>
    <w:rsid w:val="0077388C"/>
    <w:rsid w:val="00773E54"/>
    <w:rsid w:val="0077642E"/>
    <w:rsid w:val="00784A03"/>
    <w:rsid w:val="00787688"/>
    <w:rsid w:val="007913CE"/>
    <w:rsid w:val="007935E6"/>
    <w:rsid w:val="00793DC9"/>
    <w:rsid w:val="00796D3F"/>
    <w:rsid w:val="007A1683"/>
    <w:rsid w:val="007A3E56"/>
    <w:rsid w:val="007A4C50"/>
    <w:rsid w:val="007A5C12"/>
    <w:rsid w:val="007A7CB0"/>
    <w:rsid w:val="007B68A3"/>
    <w:rsid w:val="007C2541"/>
    <w:rsid w:val="007C6842"/>
    <w:rsid w:val="007D5080"/>
    <w:rsid w:val="007D66A8"/>
    <w:rsid w:val="007E003F"/>
    <w:rsid w:val="007E2691"/>
    <w:rsid w:val="007E3003"/>
    <w:rsid w:val="007E3151"/>
    <w:rsid w:val="007E4476"/>
    <w:rsid w:val="007E4526"/>
    <w:rsid w:val="007E5A15"/>
    <w:rsid w:val="007E5FA0"/>
    <w:rsid w:val="007E65A8"/>
    <w:rsid w:val="007E68C0"/>
    <w:rsid w:val="007F0CF8"/>
    <w:rsid w:val="007F41D2"/>
    <w:rsid w:val="007F5E1B"/>
    <w:rsid w:val="007F5E7D"/>
    <w:rsid w:val="007F62CB"/>
    <w:rsid w:val="007F74EA"/>
    <w:rsid w:val="008142EC"/>
    <w:rsid w:val="008164F2"/>
    <w:rsid w:val="008176B3"/>
    <w:rsid w:val="00821395"/>
    <w:rsid w:val="00825C5B"/>
    <w:rsid w:val="00830E26"/>
    <w:rsid w:val="00834368"/>
    <w:rsid w:val="0083441A"/>
    <w:rsid w:val="00834CEA"/>
    <w:rsid w:val="0084097F"/>
    <w:rsid w:val="00843576"/>
    <w:rsid w:val="00843B64"/>
    <w:rsid w:val="00844D0D"/>
    <w:rsid w:val="00845261"/>
    <w:rsid w:val="008478FC"/>
    <w:rsid w:val="008506DF"/>
    <w:rsid w:val="00851C51"/>
    <w:rsid w:val="008538F7"/>
    <w:rsid w:val="0085469D"/>
    <w:rsid w:val="00867BFF"/>
    <w:rsid w:val="00870345"/>
    <w:rsid w:val="008708B3"/>
    <w:rsid w:val="00871542"/>
    <w:rsid w:val="00872BF6"/>
    <w:rsid w:val="00872F8E"/>
    <w:rsid w:val="0088480A"/>
    <w:rsid w:val="00886660"/>
    <w:rsid w:val="0088757A"/>
    <w:rsid w:val="00891A8C"/>
    <w:rsid w:val="00891DF4"/>
    <w:rsid w:val="0089431B"/>
    <w:rsid w:val="00894FEB"/>
    <w:rsid w:val="00895668"/>
    <w:rsid w:val="008957DD"/>
    <w:rsid w:val="00897D98"/>
    <w:rsid w:val="008A4FE9"/>
    <w:rsid w:val="008A59AD"/>
    <w:rsid w:val="008A6DF2"/>
    <w:rsid w:val="008A7807"/>
    <w:rsid w:val="008B4CC9"/>
    <w:rsid w:val="008C0B15"/>
    <w:rsid w:val="008C3940"/>
    <w:rsid w:val="008C4869"/>
    <w:rsid w:val="008D75E4"/>
    <w:rsid w:val="008D77D5"/>
    <w:rsid w:val="008D7C99"/>
    <w:rsid w:val="008E0FCB"/>
    <w:rsid w:val="008E444D"/>
    <w:rsid w:val="008E462B"/>
    <w:rsid w:val="008E547D"/>
    <w:rsid w:val="008E645B"/>
    <w:rsid w:val="008F189A"/>
    <w:rsid w:val="008F26EF"/>
    <w:rsid w:val="008F6567"/>
    <w:rsid w:val="008F6DFE"/>
    <w:rsid w:val="008F728D"/>
    <w:rsid w:val="00900D8D"/>
    <w:rsid w:val="00904151"/>
    <w:rsid w:val="0090529F"/>
    <w:rsid w:val="00907E2F"/>
    <w:rsid w:val="00913954"/>
    <w:rsid w:val="00914082"/>
    <w:rsid w:val="00915613"/>
    <w:rsid w:val="00915D85"/>
    <w:rsid w:val="009176E4"/>
    <w:rsid w:val="0092178C"/>
    <w:rsid w:val="0092713B"/>
    <w:rsid w:val="00930B88"/>
    <w:rsid w:val="009319C5"/>
    <w:rsid w:val="00932895"/>
    <w:rsid w:val="00935376"/>
    <w:rsid w:val="00940DCC"/>
    <w:rsid w:val="0094179A"/>
    <w:rsid w:val="0094459E"/>
    <w:rsid w:val="00944DBC"/>
    <w:rsid w:val="00945646"/>
    <w:rsid w:val="00946C67"/>
    <w:rsid w:val="00950221"/>
    <w:rsid w:val="00950977"/>
    <w:rsid w:val="00950C3F"/>
    <w:rsid w:val="009511DE"/>
    <w:rsid w:val="00951A7B"/>
    <w:rsid w:val="00954DA1"/>
    <w:rsid w:val="00955512"/>
    <w:rsid w:val="009564A6"/>
    <w:rsid w:val="00957EF8"/>
    <w:rsid w:val="00962123"/>
    <w:rsid w:val="00966A53"/>
    <w:rsid w:val="00967621"/>
    <w:rsid w:val="00967E6A"/>
    <w:rsid w:val="0097109D"/>
    <w:rsid w:val="0097319D"/>
    <w:rsid w:val="00974F45"/>
    <w:rsid w:val="009813AA"/>
    <w:rsid w:val="00982887"/>
    <w:rsid w:val="009836EE"/>
    <w:rsid w:val="00985027"/>
    <w:rsid w:val="009907B9"/>
    <w:rsid w:val="00990918"/>
    <w:rsid w:val="00991176"/>
    <w:rsid w:val="00992522"/>
    <w:rsid w:val="009948B7"/>
    <w:rsid w:val="009A399C"/>
    <w:rsid w:val="009A3A83"/>
    <w:rsid w:val="009A3EAF"/>
    <w:rsid w:val="009B0382"/>
    <w:rsid w:val="009B4A0F"/>
    <w:rsid w:val="009B4AD7"/>
    <w:rsid w:val="009B4CCC"/>
    <w:rsid w:val="009C11D2"/>
    <w:rsid w:val="009C2157"/>
    <w:rsid w:val="009C29CF"/>
    <w:rsid w:val="009C6595"/>
    <w:rsid w:val="009C6C70"/>
    <w:rsid w:val="009C7B0A"/>
    <w:rsid w:val="009D0B63"/>
    <w:rsid w:val="009D5CB8"/>
    <w:rsid w:val="009D5EC9"/>
    <w:rsid w:val="009E1460"/>
    <w:rsid w:val="009E1996"/>
    <w:rsid w:val="009E307E"/>
    <w:rsid w:val="009E40F6"/>
    <w:rsid w:val="009E68C8"/>
    <w:rsid w:val="009E6C64"/>
    <w:rsid w:val="009E7DE9"/>
    <w:rsid w:val="009F206A"/>
    <w:rsid w:val="009F3E8A"/>
    <w:rsid w:val="009F5964"/>
    <w:rsid w:val="00A07870"/>
    <w:rsid w:val="00A07C54"/>
    <w:rsid w:val="00A07F19"/>
    <w:rsid w:val="00A109BC"/>
    <w:rsid w:val="00A10ABB"/>
    <w:rsid w:val="00A1348D"/>
    <w:rsid w:val="00A13C99"/>
    <w:rsid w:val="00A13CD2"/>
    <w:rsid w:val="00A201F7"/>
    <w:rsid w:val="00A20821"/>
    <w:rsid w:val="00A219F7"/>
    <w:rsid w:val="00A220E7"/>
    <w:rsid w:val="00A232EE"/>
    <w:rsid w:val="00A279A1"/>
    <w:rsid w:val="00A30645"/>
    <w:rsid w:val="00A32AA8"/>
    <w:rsid w:val="00A351C3"/>
    <w:rsid w:val="00A37C54"/>
    <w:rsid w:val="00A40A33"/>
    <w:rsid w:val="00A4175F"/>
    <w:rsid w:val="00A44411"/>
    <w:rsid w:val="00A464F0"/>
    <w:rsid w:val="00A46724"/>
    <w:rsid w:val="00A469FA"/>
    <w:rsid w:val="00A50C65"/>
    <w:rsid w:val="00A51A7B"/>
    <w:rsid w:val="00A53662"/>
    <w:rsid w:val="00A55B01"/>
    <w:rsid w:val="00A56B5B"/>
    <w:rsid w:val="00A6004A"/>
    <w:rsid w:val="00A603FF"/>
    <w:rsid w:val="00A60DC8"/>
    <w:rsid w:val="00A619B6"/>
    <w:rsid w:val="00A62D25"/>
    <w:rsid w:val="00A63B11"/>
    <w:rsid w:val="00A648CA"/>
    <w:rsid w:val="00A657DD"/>
    <w:rsid w:val="00A666A6"/>
    <w:rsid w:val="00A675FD"/>
    <w:rsid w:val="00A72437"/>
    <w:rsid w:val="00A8048B"/>
    <w:rsid w:val="00A80611"/>
    <w:rsid w:val="00A81DD4"/>
    <w:rsid w:val="00A8341E"/>
    <w:rsid w:val="00A84118"/>
    <w:rsid w:val="00A845B6"/>
    <w:rsid w:val="00A85732"/>
    <w:rsid w:val="00A9773E"/>
    <w:rsid w:val="00AA139A"/>
    <w:rsid w:val="00AA1691"/>
    <w:rsid w:val="00AA5BF4"/>
    <w:rsid w:val="00AB1AFF"/>
    <w:rsid w:val="00AB5340"/>
    <w:rsid w:val="00AB729D"/>
    <w:rsid w:val="00AC0A89"/>
    <w:rsid w:val="00AC37CE"/>
    <w:rsid w:val="00AC3D2A"/>
    <w:rsid w:val="00AC3EB4"/>
    <w:rsid w:val="00AC7C96"/>
    <w:rsid w:val="00AD3593"/>
    <w:rsid w:val="00AD592D"/>
    <w:rsid w:val="00AD730C"/>
    <w:rsid w:val="00AE0812"/>
    <w:rsid w:val="00AE237D"/>
    <w:rsid w:val="00AE502A"/>
    <w:rsid w:val="00AE7849"/>
    <w:rsid w:val="00AF0010"/>
    <w:rsid w:val="00AF1AA8"/>
    <w:rsid w:val="00AF2834"/>
    <w:rsid w:val="00AF2C1F"/>
    <w:rsid w:val="00AF7C07"/>
    <w:rsid w:val="00B045B8"/>
    <w:rsid w:val="00B06C64"/>
    <w:rsid w:val="00B076F2"/>
    <w:rsid w:val="00B07D8E"/>
    <w:rsid w:val="00B11CAC"/>
    <w:rsid w:val="00B153C1"/>
    <w:rsid w:val="00B15A29"/>
    <w:rsid w:val="00B15AD6"/>
    <w:rsid w:val="00B22C93"/>
    <w:rsid w:val="00B24D38"/>
    <w:rsid w:val="00B24F2A"/>
    <w:rsid w:val="00B259B2"/>
    <w:rsid w:val="00B27589"/>
    <w:rsid w:val="00B311D1"/>
    <w:rsid w:val="00B333BA"/>
    <w:rsid w:val="00B405B7"/>
    <w:rsid w:val="00B41D50"/>
    <w:rsid w:val="00B468C0"/>
    <w:rsid w:val="00B52222"/>
    <w:rsid w:val="00B531DA"/>
    <w:rsid w:val="00B54895"/>
    <w:rsid w:val="00B54FE7"/>
    <w:rsid w:val="00B5526D"/>
    <w:rsid w:val="00B56125"/>
    <w:rsid w:val="00B647C6"/>
    <w:rsid w:val="00B64DAD"/>
    <w:rsid w:val="00B655F9"/>
    <w:rsid w:val="00B66266"/>
    <w:rsid w:val="00B66647"/>
    <w:rsid w:val="00B66901"/>
    <w:rsid w:val="00B66F60"/>
    <w:rsid w:val="00B6796F"/>
    <w:rsid w:val="00B71E6D"/>
    <w:rsid w:val="00B72070"/>
    <w:rsid w:val="00B73405"/>
    <w:rsid w:val="00B779E1"/>
    <w:rsid w:val="00B80790"/>
    <w:rsid w:val="00B80976"/>
    <w:rsid w:val="00B81E3A"/>
    <w:rsid w:val="00B826A8"/>
    <w:rsid w:val="00B84F2C"/>
    <w:rsid w:val="00B85CFB"/>
    <w:rsid w:val="00B914E9"/>
    <w:rsid w:val="00B91DCA"/>
    <w:rsid w:val="00B91EE1"/>
    <w:rsid w:val="00B94602"/>
    <w:rsid w:val="00B94787"/>
    <w:rsid w:val="00B97A2E"/>
    <w:rsid w:val="00BA0090"/>
    <w:rsid w:val="00BA1A67"/>
    <w:rsid w:val="00BA6A80"/>
    <w:rsid w:val="00BA7D3A"/>
    <w:rsid w:val="00BB2FBC"/>
    <w:rsid w:val="00BB3F90"/>
    <w:rsid w:val="00BB4998"/>
    <w:rsid w:val="00BB4ABB"/>
    <w:rsid w:val="00BC45DC"/>
    <w:rsid w:val="00BC62BA"/>
    <w:rsid w:val="00BD091C"/>
    <w:rsid w:val="00BD156B"/>
    <w:rsid w:val="00BD5573"/>
    <w:rsid w:val="00BE2E9A"/>
    <w:rsid w:val="00BE2F41"/>
    <w:rsid w:val="00BE5B5F"/>
    <w:rsid w:val="00BE7993"/>
    <w:rsid w:val="00BF2760"/>
    <w:rsid w:val="00BF2DE6"/>
    <w:rsid w:val="00BF746B"/>
    <w:rsid w:val="00C0032B"/>
    <w:rsid w:val="00C0509E"/>
    <w:rsid w:val="00C055B1"/>
    <w:rsid w:val="00C06F86"/>
    <w:rsid w:val="00C11971"/>
    <w:rsid w:val="00C179DE"/>
    <w:rsid w:val="00C2189F"/>
    <w:rsid w:val="00C264CB"/>
    <w:rsid w:val="00C26F55"/>
    <w:rsid w:val="00C27140"/>
    <w:rsid w:val="00C27FF6"/>
    <w:rsid w:val="00C30C63"/>
    <w:rsid w:val="00C30FF3"/>
    <w:rsid w:val="00C312F9"/>
    <w:rsid w:val="00C31724"/>
    <w:rsid w:val="00C32890"/>
    <w:rsid w:val="00C32A29"/>
    <w:rsid w:val="00C34D5C"/>
    <w:rsid w:val="00C36B8B"/>
    <w:rsid w:val="00C40F05"/>
    <w:rsid w:val="00C415C1"/>
    <w:rsid w:val="00C442F7"/>
    <w:rsid w:val="00C476C6"/>
    <w:rsid w:val="00C47DBF"/>
    <w:rsid w:val="00C50F7F"/>
    <w:rsid w:val="00C52CAF"/>
    <w:rsid w:val="00C54468"/>
    <w:rsid w:val="00C54908"/>
    <w:rsid w:val="00C552FF"/>
    <w:rsid w:val="00C558DA"/>
    <w:rsid w:val="00C55AF3"/>
    <w:rsid w:val="00C55FA4"/>
    <w:rsid w:val="00C56263"/>
    <w:rsid w:val="00C606D5"/>
    <w:rsid w:val="00C61E46"/>
    <w:rsid w:val="00C70202"/>
    <w:rsid w:val="00C718F9"/>
    <w:rsid w:val="00C745B8"/>
    <w:rsid w:val="00C756E5"/>
    <w:rsid w:val="00C771A9"/>
    <w:rsid w:val="00C77439"/>
    <w:rsid w:val="00C82943"/>
    <w:rsid w:val="00C83A61"/>
    <w:rsid w:val="00C84329"/>
    <w:rsid w:val="00C84759"/>
    <w:rsid w:val="00C86F5A"/>
    <w:rsid w:val="00C9267D"/>
    <w:rsid w:val="00C93096"/>
    <w:rsid w:val="00C96761"/>
    <w:rsid w:val="00CA2BBE"/>
    <w:rsid w:val="00CA5CA9"/>
    <w:rsid w:val="00CA6C7F"/>
    <w:rsid w:val="00CA781C"/>
    <w:rsid w:val="00CB007D"/>
    <w:rsid w:val="00CB1A4C"/>
    <w:rsid w:val="00CB2D8F"/>
    <w:rsid w:val="00CB30C3"/>
    <w:rsid w:val="00CB366E"/>
    <w:rsid w:val="00CB44AC"/>
    <w:rsid w:val="00CB60CA"/>
    <w:rsid w:val="00CC0FC7"/>
    <w:rsid w:val="00CC10A6"/>
    <w:rsid w:val="00CD286F"/>
    <w:rsid w:val="00CD48B7"/>
    <w:rsid w:val="00CD5EB8"/>
    <w:rsid w:val="00CD7044"/>
    <w:rsid w:val="00CE08B9"/>
    <w:rsid w:val="00CE1BBA"/>
    <w:rsid w:val="00CE1BED"/>
    <w:rsid w:val="00CE3515"/>
    <w:rsid w:val="00CE4D8E"/>
    <w:rsid w:val="00CE4E08"/>
    <w:rsid w:val="00CE524C"/>
    <w:rsid w:val="00CF141F"/>
    <w:rsid w:val="00CF1C83"/>
    <w:rsid w:val="00CF26AC"/>
    <w:rsid w:val="00CF26C7"/>
    <w:rsid w:val="00CF4777"/>
    <w:rsid w:val="00CF65C8"/>
    <w:rsid w:val="00D013F5"/>
    <w:rsid w:val="00D05E3F"/>
    <w:rsid w:val="00D067BB"/>
    <w:rsid w:val="00D113E2"/>
    <w:rsid w:val="00D1352A"/>
    <w:rsid w:val="00D1638E"/>
    <w:rsid w:val="00D169AF"/>
    <w:rsid w:val="00D17A26"/>
    <w:rsid w:val="00D200EF"/>
    <w:rsid w:val="00D25175"/>
    <w:rsid w:val="00D25249"/>
    <w:rsid w:val="00D26854"/>
    <w:rsid w:val="00D26A6A"/>
    <w:rsid w:val="00D30601"/>
    <w:rsid w:val="00D319AD"/>
    <w:rsid w:val="00D324EE"/>
    <w:rsid w:val="00D32F37"/>
    <w:rsid w:val="00D37CDE"/>
    <w:rsid w:val="00D44172"/>
    <w:rsid w:val="00D47BE3"/>
    <w:rsid w:val="00D52C39"/>
    <w:rsid w:val="00D60DEA"/>
    <w:rsid w:val="00D63B8C"/>
    <w:rsid w:val="00D66028"/>
    <w:rsid w:val="00D66D59"/>
    <w:rsid w:val="00D70C63"/>
    <w:rsid w:val="00D739CC"/>
    <w:rsid w:val="00D7583F"/>
    <w:rsid w:val="00D75ED1"/>
    <w:rsid w:val="00D76205"/>
    <w:rsid w:val="00D778B5"/>
    <w:rsid w:val="00D77FE8"/>
    <w:rsid w:val="00D806F9"/>
    <w:rsid w:val="00D8093D"/>
    <w:rsid w:val="00D80EEF"/>
    <w:rsid w:val="00D8108C"/>
    <w:rsid w:val="00D82014"/>
    <w:rsid w:val="00D84207"/>
    <w:rsid w:val="00D842AE"/>
    <w:rsid w:val="00D8536F"/>
    <w:rsid w:val="00D86FCB"/>
    <w:rsid w:val="00D87691"/>
    <w:rsid w:val="00D9211C"/>
    <w:rsid w:val="00D92DE0"/>
    <w:rsid w:val="00D92FEF"/>
    <w:rsid w:val="00D931F9"/>
    <w:rsid w:val="00D93A0F"/>
    <w:rsid w:val="00D93D95"/>
    <w:rsid w:val="00D9494F"/>
    <w:rsid w:val="00D954FE"/>
    <w:rsid w:val="00DA18AF"/>
    <w:rsid w:val="00DA1BCA"/>
    <w:rsid w:val="00DA3663"/>
    <w:rsid w:val="00DA53AE"/>
    <w:rsid w:val="00DA57B2"/>
    <w:rsid w:val="00DB24F4"/>
    <w:rsid w:val="00DB264B"/>
    <w:rsid w:val="00DB295A"/>
    <w:rsid w:val="00DB56BA"/>
    <w:rsid w:val="00DB78B4"/>
    <w:rsid w:val="00DC274A"/>
    <w:rsid w:val="00DC46FF"/>
    <w:rsid w:val="00DC5254"/>
    <w:rsid w:val="00DC569D"/>
    <w:rsid w:val="00DC5FD5"/>
    <w:rsid w:val="00DD1A4F"/>
    <w:rsid w:val="00DD1BBF"/>
    <w:rsid w:val="00DD1CF9"/>
    <w:rsid w:val="00DD21F8"/>
    <w:rsid w:val="00DD2287"/>
    <w:rsid w:val="00DD3107"/>
    <w:rsid w:val="00DD4C70"/>
    <w:rsid w:val="00DD7C2C"/>
    <w:rsid w:val="00DE1A2D"/>
    <w:rsid w:val="00DE5BDA"/>
    <w:rsid w:val="00DE5C2A"/>
    <w:rsid w:val="00DF433C"/>
    <w:rsid w:val="00DF519F"/>
    <w:rsid w:val="00E0035A"/>
    <w:rsid w:val="00E023A9"/>
    <w:rsid w:val="00E02C5C"/>
    <w:rsid w:val="00E05B7B"/>
    <w:rsid w:val="00E06797"/>
    <w:rsid w:val="00E1265B"/>
    <w:rsid w:val="00E12E09"/>
    <w:rsid w:val="00E13B48"/>
    <w:rsid w:val="00E1404F"/>
    <w:rsid w:val="00E21C83"/>
    <w:rsid w:val="00E24ADA"/>
    <w:rsid w:val="00E256D7"/>
    <w:rsid w:val="00E32F59"/>
    <w:rsid w:val="00E33F86"/>
    <w:rsid w:val="00E406DE"/>
    <w:rsid w:val="00E41908"/>
    <w:rsid w:val="00E41E77"/>
    <w:rsid w:val="00E426E5"/>
    <w:rsid w:val="00E46D9A"/>
    <w:rsid w:val="00E5047D"/>
    <w:rsid w:val="00E54A8D"/>
    <w:rsid w:val="00E565FF"/>
    <w:rsid w:val="00E5693F"/>
    <w:rsid w:val="00E56D12"/>
    <w:rsid w:val="00E60DF9"/>
    <w:rsid w:val="00E64346"/>
    <w:rsid w:val="00E65388"/>
    <w:rsid w:val="00E70089"/>
    <w:rsid w:val="00E72CDB"/>
    <w:rsid w:val="00E770B8"/>
    <w:rsid w:val="00E7741D"/>
    <w:rsid w:val="00E808CD"/>
    <w:rsid w:val="00E8302A"/>
    <w:rsid w:val="00E83408"/>
    <w:rsid w:val="00E8348F"/>
    <w:rsid w:val="00E84700"/>
    <w:rsid w:val="00E85B7D"/>
    <w:rsid w:val="00E9121B"/>
    <w:rsid w:val="00E9302E"/>
    <w:rsid w:val="00E976AB"/>
    <w:rsid w:val="00EA0737"/>
    <w:rsid w:val="00EA0AE2"/>
    <w:rsid w:val="00EA1247"/>
    <w:rsid w:val="00EA39E5"/>
    <w:rsid w:val="00EA549D"/>
    <w:rsid w:val="00EA57A3"/>
    <w:rsid w:val="00EB4597"/>
    <w:rsid w:val="00EC2813"/>
    <w:rsid w:val="00EC5A46"/>
    <w:rsid w:val="00EC63E2"/>
    <w:rsid w:val="00EC693E"/>
    <w:rsid w:val="00EC6EB1"/>
    <w:rsid w:val="00ED0225"/>
    <w:rsid w:val="00ED0D3B"/>
    <w:rsid w:val="00ED325C"/>
    <w:rsid w:val="00ED366A"/>
    <w:rsid w:val="00ED6BB7"/>
    <w:rsid w:val="00EE0FBF"/>
    <w:rsid w:val="00EE2807"/>
    <w:rsid w:val="00EE3A9B"/>
    <w:rsid w:val="00EF22B3"/>
    <w:rsid w:val="00EF2806"/>
    <w:rsid w:val="00EF4140"/>
    <w:rsid w:val="00EF5108"/>
    <w:rsid w:val="00EF58E4"/>
    <w:rsid w:val="00EF74FB"/>
    <w:rsid w:val="00F01224"/>
    <w:rsid w:val="00F03B69"/>
    <w:rsid w:val="00F04D08"/>
    <w:rsid w:val="00F058FB"/>
    <w:rsid w:val="00F07A50"/>
    <w:rsid w:val="00F07CD9"/>
    <w:rsid w:val="00F103CF"/>
    <w:rsid w:val="00F113DA"/>
    <w:rsid w:val="00F12C7E"/>
    <w:rsid w:val="00F17011"/>
    <w:rsid w:val="00F17A31"/>
    <w:rsid w:val="00F24167"/>
    <w:rsid w:val="00F261D2"/>
    <w:rsid w:val="00F266FC"/>
    <w:rsid w:val="00F3037A"/>
    <w:rsid w:val="00F33009"/>
    <w:rsid w:val="00F3465A"/>
    <w:rsid w:val="00F35F13"/>
    <w:rsid w:val="00F36C6B"/>
    <w:rsid w:val="00F37DC8"/>
    <w:rsid w:val="00F439B3"/>
    <w:rsid w:val="00F47787"/>
    <w:rsid w:val="00F5283D"/>
    <w:rsid w:val="00F5529A"/>
    <w:rsid w:val="00F57169"/>
    <w:rsid w:val="00F6061C"/>
    <w:rsid w:val="00F61AB4"/>
    <w:rsid w:val="00F623C9"/>
    <w:rsid w:val="00F650C3"/>
    <w:rsid w:val="00F65D85"/>
    <w:rsid w:val="00F6700B"/>
    <w:rsid w:val="00F6760B"/>
    <w:rsid w:val="00F707A6"/>
    <w:rsid w:val="00F7137B"/>
    <w:rsid w:val="00F73346"/>
    <w:rsid w:val="00F8091E"/>
    <w:rsid w:val="00F811D5"/>
    <w:rsid w:val="00F8431A"/>
    <w:rsid w:val="00F84AFE"/>
    <w:rsid w:val="00F8615C"/>
    <w:rsid w:val="00F87347"/>
    <w:rsid w:val="00F93C0E"/>
    <w:rsid w:val="00F94980"/>
    <w:rsid w:val="00F95196"/>
    <w:rsid w:val="00F969E5"/>
    <w:rsid w:val="00FA344D"/>
    <w:rsid w:val="00FA4972"/>
    <w:rsid w:val="00FA6BB0"/>
    <w:rsid w:val="00FB2DBD"/>
    <w:rsid w:val="00FB6081"/>
    <w:rsid w:val="00FC65A0"/>
    <w:rsid w:val="00FD1CDA"/>
    <w:rsid w:val="00FD3B90"/>
    <w:rsid w:val="00FD48DF"/>
    <w:rsid w:val="00FD5860"/>
    <w:rsid w:val="00FD6376"/>
    <w:rsid w:val="00FE20B2"/>
    <w:rsid w:val="00FE352D"/>
    <w:rsid w:val="00FE40EB"/>
    <w:rsid w:val="00FE4D02"/>
    <w:rsid w:val="00FE5B86"/>
    <w:rsid w:val="00FE7D62"/>
    <w:rsid w:val="00FF0DA0"/>
    <w:rsid w:val="00FF211F"/>
    <w:rsid w:val="00FF3819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3BB233"/>
  <w15:docId w15:val="{5BE8B750-AD8E-44F9-BA85-1C504757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32E4E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lang w:eastAsia="en-US"/>
    </w:rPr>
  </w:style>
  <w:style w:type="paragraph" w:styleId="Heading1">
    <w:name w:val="heading 1"/>
    <w:basedOn w:val="Normal"/>
    <w:next w:val="Normalnumber"/>
    <w:qFormat/>
    <w:rsid w:val="000D6941"/>
    <w:pPr>
      <w:keepNext/>
      <w:spacing w:before="240" w:after="120"/>
      <w:ind w:left="1247" w:hanging="680"/>
      <w:outlineLvl w:val="0"/>
    </w:pPr>
    <w:rPr>
      <w:b/>
      <w:sz w:val="28"/>
    </w:rPr>
  </w:style>
  <w:style w:type="paragraph" w:styleId="Heading2">
    <w:name w:val="heading 2"/>
    <w:basedOn w:val="Normal"/>
    <w:next w:val="Normalnumber"/>
    <w:qFormat/>
    <w:rsid w:val="000D6941"/>
    <w:pPr>
      <w:keepNext/>
      <w:spacing w:before="240" w:after="120"/>
      <w:ind w:left="1247" w:hanging="68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number"/>
    <w:qFormat/>
    <w:rsid w:val="000D6941"/>
    <w:pPr>
      <w:spacing w:after="120"/>
      <w:ind w:left="1247" w:hanging="680"/>
      <w:outlineLvl w:val="2"/>
    </w:pPr>
    <w:rPr>
      <w:b/>
    </w:rPr>
  </w:style>
  <w:style w:type="paragraph" w:styleId="Heading4">
    <w:name w:val="heading 4"/>
    <w:basedOn w:val="Heading3"/>
    <w:next w:val="Normalnumber"/>
    <w:qFormat/>
    <w:rsid w:val="000D6941"/>
    <w:pPr>
      <w:keepNext/>
      <w:outlineLvl w:val="3"/>
    </w:pPr>
  </w:style>
  <w:style w:type="paragraph" w:styleId="Heading5">
    <w:name w:val="heading 5"/>
    <w:basedOn w:val="Normal"/>
    <w:next w:val="Normal"/>
    <w:qFormat/>
    <w:rsid w:val="000D6941"/>
    <w:pPr>
      <w:keepNext/>
      <w:outlineLvl w:val="4"/>
    </w:pPr>
    <w:rPr>
      <w:rFonts w:ascii="Univers" w:hAnsi="Univers"/>
      <w:b/>
      <w:sz w:val="24"/>
    </w:rPr>
  </w:style>
  <w:style w:type="paragraph" w:styleId="Heading6">
    <w:name w:val="heading 6"/>
    <w:basedOn w:val="Normal"/>
    <w:next w:val="Normal"/>
    <w:qFormat/>
    <w:rsid w:val="000D6941"/>
    <w:pPr>
      <w:keepNext/>
      <w:ind w:left="578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0D6941"/>
    <w:pPr>
      <w:keepNext/>
      <w:widowControl w:val="0"/>
      <w:jc w:val="center"/>
      <w:outlineLvl w:val="6"/>
    </w:pPr>
    <w:rPr>
      <w:snapToGrid w:val="0"/>
      <w:u w:val="single"/>
      <w:lang w:val="en-US"/>
    </w:rPr>
  </w:style>
  <w:style w:type="paragraph" w:styleId="Heading8">
    <w:name w:val="heading 8"/>
    <w:basedOn w:val="Normal"/>
    <w:next w:val="Normal"/>
    <w:qFormat/>
    <w:rsid w:val="000D6941"/>
    <w:pPr>
      <w:keepNext/>
      <w:widowControl w:val="0"/>
      <w:numPr>
        <w:numId w:val="2"/>
      </w:numPr>
      <w:tabs>
        <w:tab w:val="left" w:pos="-1440"/>
        <w:tab w:val="left" w:pos="-720"/>
      </w:tabs>
      <w:suppressAutoHyphens/>
      <w:jc w:val="center"/>
      <w:outlineLvl w:val="7"/>
    </w:pPr>
    <w:rPr>
      <w:snapToGrid w:val="0"/>
      <w:u w:val="single"/>
      <w:lang w:val="en-US"/>
    </w:rPr>
  </w:style>
  <w:style w:type="paragraph" w:styleId="Heading9">
    <w:name w:val="heading 9"/>
    <w:basedOn w:val="Normal"/>
    <w:next w:val="Normal"/>
    <w:qFormat/>
    <w:rsid w:val="000D6941"/>
    <w:pPr>
      <w:keepNext/>
      <w:widowControl w:val="0"/>
      <w:numPr>
        <w:numId w:val="3"/>
      </w:numPr>
      <w:suppressAutoHyphens/>
      <w:jc w:val="center"/>
      <w:outlineLvl w:val="8"/>
    </w:pPr>
    <w:rPr>
      <w:snapToGrid w:val="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0D6941"/>
    <w:rPr>
      <w:rFonts w:ascii="Times New Roman" w:hAnsi="Times New Roman"/>
      <w:b/>
      <w:sz w:val="18"/>
    </w:rPr>
  </w:style>
  <w:style w:type="table" w:customStyle="1" w:styleId="Tabledocright">
    <w:name w:val="Table_doc_right"/>
    <w:basedOn w:val="TableNormal"/>
    <w:rsid w:val="003A77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3A77F1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1814" w:hanging="567"/>
    </w:pPr>
  </w:style>
  <w:style w:type="paragraph" w:customStyle="1" w:styleId="CH1">
    <w:name w:val="CH1"/>
    <w:basedOn w:val="Normalpool"/>
    <w:next w:val="CH2"/>
    <w:rsid w:val="00160D74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  <w:lang w:val="en-GB"/>
    </w:rPr>
  </w:style>
  <w:style w:type="paragraph" w:customStyle="1" w:styleId="CH2">
    <w:name w:val="CH2"/>
    <w:basedOn w:val="Normalpool"/>
    <w:next w:val="Normalnumber"/>
    <w:link w:val="CH2Char"/>
    <w:rsid w:val="00160D74"/>
    <w:pPr>
      <w:keepNext/>
      <w:keepLines/>
      <w:tabs>
        <w:tab w:val="right" w:pos="851"/>
      </w:tabs>
      <w:suppressAutoHyphens/>
      <w:spacing w:before="80" w:after="120"/>
      <w:ind w:left="1247" w:right="284" w:hanging="1247"/>
    </w:pPr>
    <w:rPr>
      <w:b/>
      <w:sz w:val="24"/>
      <w:szCs w:val="24"/>
      <w:lang w:val="en-GB"/>
    </w:rPr>
  </w:style>
  <w:style w:type="paragraph" w:customStyle="1" w:styleId="CH3">
    <w:name w:val="CH3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CH4">
    <w:name w:val="CH4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table" w:customStyle="1" w:styleId="Footertable">
    <w:name w:val="Footer_table"/>
    <w:basedOn w:val="TableNormal"/>
    <w:semiHidden/>
    <w:rsid w:val="003A77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pool"/>
    <w:next w:val="Normalnumber"/>
    <w:rsid w:val="00160D74"/>
    <w:pPr>
      <w:keepNext/>
      <w:keepLines/>
      <w:tabs>
        <w:tab w:val="right" w:pos="851"/>
      </w:tabs>
      <w:suppressAutoHyphens/>
      <w:spacing w:after="120"/>
      <w:ind w:left="1247" w:right="284" w:hanging="1247"/>
    </w:pPr>
    <w:rPr>
      <w:b/>
      <w:lang w:val="en-GB"/>
    </w:rPr>
  </w:style>
  <w:style w:type="paragraph" w:customStyle="1" w:styleId="Footerpool">
    <w:name w:val="Footer_pool"/>
    <w:basedOn w:val="Normal"/>
    <w:next w:val="Normal"/>
    <w:semiHidden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pool">
    <w:name w:val="Header_pool"/>
    <w:basedOn w:val="Normal"/>
    <w:next w:val="Normal"/>
    <w:semiHidden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pool">
    <w:name w:val="Normal_pool"/>
    <w:semiHidden/>
    <w:rsid w:val="003A77F1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val="fr-FR" w:eastAsia="en-US"/>
    </w:rPr>
  </w:style>
  <w:style w:type="paragraph" w:customStyle="1" w:styleId="Footer-pool">
    <w:name w:val="Footer-pool"/>
    <w:basedOn w:val="Normal-pool"/>
    <w:next w:val="Normal-pool"/>
    <w:rsid w:val="003A77F1"/>
    <w:pPr>
      <w:tabs>
        <w:tab w:val="left" w:pos="4321"/>
        <w:tab w:val="right" w:pos="8641"/>
      </w:tabs>
      <w:spacing w:before="60"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3A77F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rsid w:val="00160D74"/>
    <w:pPr>
      <w:tabs>
        <w:tab w:val="left" w:pos="1247"/>
        <w:tab w:val="left" w:pos="1814"/>
        <w:tab w:val="left" w:pos="2381"/>
        <w:tab w:val="left" w:pos="2948"/>
        <w:tab w:val="left" w:pos="3515"/>
        <w:tab w:val="left" w:pos="4082"/>
      </w:tabs>
    </w:pPr>
    <w:rPr>
      <w:lang w:eastAsia="en-US"/>
    </w:rPr>
  </w:style>
  <w:style w:type="character" w:styleId="FootnoteReference">
    <w:name w:val="footnote reference"/>
    <w:aliases w:val="16 Point,Superscript 6 Point,ftref,(Ref. de nota al pie),number,SUPERS,Footnote Reference Superscript,Ref,de nota al pie,註腳內容,de nota al pie + (Asian) MS Mincho,11 pt,Ref. de nota de rodapé1,CEC Footnote Reference"/>
    <w:uiPriority w:val="99"/>
    <w:qFormat/>
    <w:rsid w:val="000D6941"/>
    <w:rPr>
      <w:rFonts w:ascii="Times New Roman" w:hAnsi="Times New Roman"/>
      <w:color w:val="auto"/>
      <w:sz w:val="20"/>
      <w:szCs w:val="18"/>
      <w:vertAlign w:val="superscript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93"/>
    <w:basedOn w:val="Normalpool"/>
    <w:link w:val="FootnoteTextChar"/>
    <w:uiPriority w:val="99"/>
    <w:rsid w:val="000D6941"/>
    <w:pPr>
      <w:spacing w:before="20" w:after="40"/>
      <w:ind w:left="1247"/>
    </w:pPr>
    <w:rPr>
      <w:sz w:val="18"/>
    </w:rPr>
  </w:style>
  <w:style w:type="character" w:styleId="CommentReference">
    <w:name w:val="annotation reference"/>
    <w:uiPriority w:val="99"/>
    <w:rsid w:val="00392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29B8"/>
  </w:style>
  <w:style w:type="character" w:customStyle="1" w:styleId="CommentTextChar">
    <w:name w:val="Comment Text Char"/>
    <w:link w:val="CommentText"/>
    <w:uiPriority w:val="99"/>
    <w:rsid w:val="00392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929B8"/>
    <w:rPr>
      <w:b/>
      <w:bCs/>
    </w:rPr>
  </w:style>
  <w:style w:type="character" w:customStyle="1" w:styleId="CommentSubjectChar">
    <w:name w:val="Comment Subject Char"/>
    <w:link w:val="CommentSubject"/>
    <w:rsid w:val="003929B8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929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29B8"/>
    <w:rPr>
      <w:rFonts w:ascii="Tahoma" w:hAnsi="Tahoma" w:cs="Tahoma"/>
      <w:sz w:val="16"/>
      <w:szCs w:val="16"/>
      <w:lang w:eastAsia="en-US"/>
    </w:rPr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link w:val="FootnoteText"/>
    <w:uiPriority w:val="99"/>
    <w:locked/>
    <w:rsid w:val="0014293F"/>
    <w:rPr>
      <w:sz w:val="18"/>
      <w:lang w:val="fr-FR" w:eastAsia="en-US"/>
    </w:rPr>
  </w:style>
  <w:style w:type="table" w:styleId="TableGrid">
    <w:name w:val="Table Grid"/>
    <w:basedOn w:val="TableNormal"/>
    <w:rsid w:val="00E97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24F9"/>
    <w:pPr>
      <w:ind w:left="720"/>
    </w:pPr>
  </w:style>
  <w:style w:type="table" w:customStyle="1" w:styleId="AATable">
    <w:name w:val="AA_Table"/>
    <w:basedOn w:val="TableNormal"/>
    <w:semiHidden/>
    <w:rsid w:val="003A77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pool"/>
    <w:rsid w:val="00160D74"/>
    <w:pPr>
      <w:keepNext/>
      <w:keepLines/>
      <w:suppressAutoHyphens/>
      <w:ind w:right="5103"/>
    </w:pPr>
    <w:rPr>
      <w:b/>
      <w:lang w:val="en-GB"/>
    </w:rPr>
  </w:style>
  <w:style w:type="paragraph" w:customStyle="1" w:styleId="AATitle2">
    <w:name w:val="AA_Title2"/>
    <w:basedOn w:val="AATitle"/>
    <w:rsid w:val="006B47CE"/>
    <w:pPr>
      <w:tabs>
        <w:tab w:val="clear" w:pos="1247"/>
        <w:tab w:val="clear" w:pos="1814"/>
        <w:tab w:val="clear" w:pos="2381"/>
        <w:tab w:val="clear" w:pos="2948"/>
        <w:tab w:val="clear" w:pos="3515"/>
        <w:tab w:val="clear" w:pos="4082"/>
        <w:tab w:val="left" w:pos="624"/>
      </w:tabs>
      <w:spacing w:before="60"/>
      <w:ind w:right="4536"/>
    </w:pPr>
  </w:style>
  <w:style w:type="paragraph" w:customStyle="1" w:styleId="BBTitle">
    <w:name w:val="BB_Title"/>
    <w:basedOn w:val="Normalpool"/>
    <w:link w:val="BBTitleChar"/>
    <w:rsid w:val="00160D74"/>
    <w:pPr>
      <w:keepNext/>
      <w:keepLines/>
      <w:suppressAutoHyphens/>
      <w:spacing w:before="320" w:after="240"/>
      <w:ind w:left="1247" w:right="567"/>
    </w:pPr>
    <w:rPr>
      <w:b/>
      <w:sz w:val="28"/>
      <w:szCs w:val="28"/>
      <w:lang w:val="en-GB"/>
    </w:rPr>
  </w:style>
  <w:style w:type="paragraph" w:styleId="Footer">
    <w:name w:val="footer"/>
    <w:basedOn w:val="Normal"/>
    <w:link w:val="FooterChar"/>
    <w:uiPriority w:val="99"/>
    <w:rsid w:val="00821395"/>
    <w:pPr>
      <w:tabs>
        <w:tab w:val="center" w:pos="4320"/>
        <w:tab w:val="right" w:pos="8640"/>
      </w:tabs>
      <w:spacing w:before="60" w:after="120"/>
    </w:pPr>
    <w:rPr>
      <w:sz w:val="18"/>
    </w:rPr>
  </w:style>
  <w:style w:type="paragraph" w:styleId="Header">
    <w:name w:val="header"/>
    <w:basedOn w:val="Normal"/>
    <w:link w:val="HeaderChar"/>
    <w:semiHidden/>
    <w:rsid w:val="000D6941"/>
    <w:pPr>
      <w:pBdr>
        <w:bottom w:val="single" w:sz="4" w:space="1" w:color="auto"/>
      </w:pBdr>
      <w:tabs>
        <w:tab w:val="clear" w:pos="1814"/>
        <w:tab w:val="clear" w:pos="2381"/>
        <w:tab w:val="clear" w:pos="2948"/>
        <w:tab w:val="clear" w:pos="3515"/>
        <w:tab w:val="center" w:pos="4536"/>
        <w:tab w:val="right" w:pos="9072"/>
      </w:tabs>
      <w:spacing w:after="120"/>
    </w:pPr>
    <w:rPr>
      <w:b/>
      <w:sz w:val="18"/>
    </w:rPr>
  </w:style>
  <w:style w:type="character" w:styleId="Hyperlink">
    <w:name w:val="Hyperlink"/>
    <w:semiHidden/>
    <w:rsid w:val="000D6941"/>
    <w:rPr>
      <w:rFonts w:ascii="Times New Roman" w:hAnsi="Times New Roman"/>
      <w:color w:val="auto"/>
      <w:sz w:val="20"/>
      <w:szCs w:val="20"/>
      <w:u w:val="none"/>
      <w:lang w:val="fr-FR"/>
    </w:rPr>
  </w:style>
  <w:style w:type="numbering" w:customStyle="1" w:styleId="Normallist">
    <w:name w:val="Normal_list"/>
    <w:basedOn w:val="NoList"/>
    <w:rsid w:val="003A77F1"/>
    <w:pPr>
      <w:numPr>
        <w:numId w:val="1"/>
      </w:numPr>
    </w:pPr>
  </w:style>
  <w:style w:type="paragraph" w:customStyle="1" w:styleId="NormalNonumber">
    <w:name w:val="Normal_No_number"/>
    <w:basedOn w:val="Normalpool"/>
    <w:rsid w:val="00160D74"/>
    <w:pPr>
      <w:spacing w:after="120"/>
      <w:ind w:left="1247"/>
    </w:pPr>
    <w:rPr>
      <w:lang w:val="en-GB"/>
    </w:rPr>
  </w:style>
  <w:style w:type="paragraph" w:customStyle="1" w:styleId="Normalnumber">
    <w:name w:val="Normal_number"/>
    <w:basedOn w:val="Normalpool"/>
    <w:link w:val="NormalnumberChar"/>
    <w:rsid w:val="0053705A"/>
    <w:pPr>
      <w:numPr>
        <w:numId w:val="4"/>
      </w:numPr>
      <w:tabs>
        <w:tab w:val="clear" w:pos="1247"/>
        <w:tab w:val="clear" w:pos="1701"/>
        <w:tab w:val="clear" w:pos="1814"/>
        <w:tab w:val="clear" w:pos="2381"/>
        <w:tab w:val="clear" w:pos="2948"/>
        <w:tab w:val="clear" w:pos="3515"/>
        <w:tab w:val="clear" w:pos="4082"/>
        <w:tab w:val="left" w:pos="624"/>
      </w:tabs>
      <w:spacing w:after="120"/>
      <w:ind w:left="1247"/>
    </w:pPr>
    <w:rPr>
      <w:lang w:val="en-GB"/>
    </w:rPr>
  </w:style>
  <w:style w:type="paragraph" w:customStyle="1" w:styleId="Titletable">
    <w:name w:val="Title_table"/>
    <w:basedOn w:val="Normalpool"/>
    <w:rsid w:val="00160D74"/>
    <w:pPr>
      <w:keepNext/>
      <w:keepLines/>
      <w:suppressAutoHyphens/>
      <w:spacing w:after="60"/>
      <w:ind w:left="1247"/>
    </w:pPr>
    <w:rPr>
      <w:b/>
      <w:bCs/>
      <w:lang w:val="en-GB"/>
    </w:rPr>
  </w:style>
  <w:style w:type="paragraph" w:styleId="TOC1">
    <w:name w:val="toc 1"/>
    <w:basedOn w:val="Normalpool"/>
    <w:next w:val="Normalpool"/>
    <w:rsid w:val="000D6941"/>
    <w:pPr>
      <w:tabs>
        <w:tab w:val="clear" w:pos="2381"/>
        <w:tab w:val="clear" w:pos="2948"/>
        <w:tab w:val="clear" w:pos="3515"/>
        <w:tab w:val="clear" w:pos="4082"/>
        <w:tab w:val="right" w:leader="dot" w:pos="9486"/>
      </w:tabs>
      <w:spacing w:before="240"/>
      <w:ind w:left="1814" w:hanging="567"/>
    </w:pPr>
    <w:rPr>
      <w:bCs/>
    </w:rPr>
  </w:style>
  <w:style w:type="paragraph" w:styleId="TOC2">
    <w:name w:val="toc 2"/>
    <w:basedOn w:val="Normalpool"/>
    <w:next w:val="Normalpool"/>
    <w:rsid w:val="000D6941"/>
    <w:pPr>
      <w:tabs>
        <w:tab w:val="clear" w:pos="1814"/>
        <w:tab w:val="clear" w:pos="2948"/>
        <w:tab w:val="clear" w:pos="3515"/>
        <w:tab w:val="clear" w:pos="4082"/>
        <w:tab w:val="right" w:leader="dot" w:pos="9486"/>
      </w:tabs>
      <w:ind w:left="2381" w:hanging="567"/>
    </w:pPr>
  </w:style>
  <w:style w:type="paragraph" w:styleId="TOC3">
    <w:name w:val="toc 3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right" w:leader="dot" w:pos="9486"/>
      </w:tabs>
      <w:ind w:left="2948" w:hanging="567"/>
    </w:pPr>
    <w:rPr>
      <w:iCs/>
    </w:rPr>
  </w:style>
  <w:style w:type="paragraph" w:styleId="TOC4">
    <w:name w:val="toc 4"/>
    <w:basedOn w:val="Normalpool"/>
    <w:next w:val="Normalpool"/>
    <w:rsid w:val="000D6941"/>
    <w:pPr>
      <w:tabs>
        <w:tab w:val="clear" w:pos="1814"/>
        <w:tab w:val="clear" w:pos="2381"/>
        <w:tab w:val="clear" w:pos="2948"/>
        <w:tab w:val="clear" w:pos="3515"/>
        <w:tab w:val="left" w:pos="1000"/>
        <w:tab w:val="right" w:leader="dot" w:pos="9486"/>
      </w:tabs>
      <w:ind w:left="3515" w:hanging="567"/>
    </w:pPr>
    <w:rPr>
      <w:szCs w:val="18"/>
    </w:rPr>
  </w:style>
  <w:style w:type="paragraph" w:styleId="TOC5">
    <w:name w:val="toc 5"/>
    <w:basedOn w:val="Normal"/>
    <w:next w:val="Normal"/>
    <w:autoRedefine/>
    <w:semiHidden/>
    <w:rsid w:val="000D6941"/>
    <w:pPr>
      <w:tabs>
        <w:tab w:val="clear" w:pos="1814"/>
        <w:tab w:val="clear" w:pos="2381"/>
        <w:tab w:val="clear" w:pos="2948"/>
        <w:tab w:val="clear" w:pos="3515"/>
      </w:tabs>
      <w:ind w:left="800"/>
    </w:pPr>
    <w:rPr>
      <w:sz w:val="18"/>
      <w:szCs w:val="18"/>
    </w:rPr>
  </w:style>
  <w:style w:type="paragraph" w:customStyle="1" w:styleId="ZZAnxheader">
    <w:name w:val="ZZ_Anx_header"/>
    <w:basedOn w:val="Normalpool"/>
    <w:rsid w:val="00160D74"/>
    <w:rPr>
      <w:b/>
      <w:bCs/>
      <w:sz w:val="28"/>
      <w:szCs w:val="22"/>
      <w:lang w:val="en-GB"/>
    </w:rPr>
  </w:style>
  <w:style w:type="paragraph" w:customStyle="1" w:styleId="ZZAnxtitle">
    <w:name w:val="ZZ_Anx_title"/>
    <w:basedOn w:val="Normalpool"/>
    <w:link w:val="ZZAnxtitleChar"/>
    <w:rsid w:val="00160D74"/>
    <w:pPr>
      <w:spacing w:before="360" w:after="120"/>
      <w:ind w:left="1247"/>
    </w:pPr>
    <w:rPr>
      <w:b/>
      <w:bCs/>
      <w:sz w:val="28"/>
      <w:szCs w:val="26"/>
      <w:lang w:val="en-GB"/>
    </w:rPr>
  </w:style>
  <w:style w:type="paragraph" w:styleId="Revision">
    <w:name w:val="Revision"/>
    <w:hidden/>
    <w:uiPriority w:val="99"/>
    <w:semiHidden/>
    <w:rsid w:val="00D806F9"/>
    <w:rPr>
      <w:lang w:eastAsia="en-US"/>
    </w:rPr>
  </w:style>
  <w:style w:type="character" w:styleId="Emphasis">
    <w:name w:val="Emphasis"/>
    <w:basedOn w:val="DefaultParagraphFont"/>
    <w:uiPriority w:val="20"/>
    <w:qFormat/>
    <w:rsid w:val="00155A2F"/>
    <w:rPr>
      <w:i/>
      <w:iCs/>
    </w:rPr>
  </w:style>
  <w:style w:type="character" w:customStyle="1" w:styleId="BBTitleChar">
    <w:name w:val="BB_Title Char"/>
    <w:link w:val="BBTitle"/>
    <w:rsid w:val="000C65B1"/>
    <w:rPr>
      <w:b/>
      <w:sz w:val="28"/>
      <w:szCs w:val="28"/>
      <w:lang w:eastAsia="en-US"/>
    </w:rPr>
  </w:style>
  <w:style w:type="character" w:customStyle="1" w:styleId="CH2Char">
    <w:name w:val="CH2 Char"/>
    <w:link w:val="CH2"/>
    <w:locked/>
    <w:rsid w:val="000C65B1"/>
    <w:rPr>
      <w:b/>
      <w:sz w:val="24"/>
      <w:szCs w:val="24"/>
      <w:lang w:eastAsia="en-US"/>
    </w:rPr>
  </w:style>
  <w:style w:type="character" w:customStyle="1" w:styleId="Normal-poolChar">
    <w:name w:val="Normal-pool Char"/>
    <w:link w:val="Normal-pool"/>
    <w:rsid w:val="000C65B1"/>
    <w:rPr>
      <w:lang w:eastAsia="en-US"/>
    </w:rPr>
  </w:style>
  <w:style w:type="character" w:customStyle="1" w:styleId="NormalnumberChar">
    <w:name w:val="Normal_number Char"/>
    <w:link w:val="Normalnumber"/>
    <w:locked/>
    <w:rsid w:val="0053705A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C65B1"/>
    <w:rPr>
      <w:sz w:val="18"/>
      <w:lang w:eastAsia="en-US"/>
    </w:rPr>
  </w:style>
  <w:style w:type="paragraph" w:styleId="Title">
    <w:name w:val="Title"/>
    <w:basedOn w:val="Normal"/>
    <w:link w:val="TitleChar"/>
    <w:autoRedefine/>
    <w:qFormat/>
    <w:rsid w:val="000C65B1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before="360" w:after="240"/>
      <w:ind w:left="1247" w:right="567"/>
      <w:outlineLvl w:val="0"/>
    </w:pPr>
    <w:rPr>
      <w:rFonts w:eastAsia="Yu Mincho"/>
      <w:b/>
      <w:bCs/>
      <w:kern w:val="28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0C65B1"/>
    <w:rPr>
      <w:rFonts w:eastAsia="Yu Mincho"/>
      <w:b/>
      <w:bCs/>
      <w:kern w:val="28"/>
      <w:sz w:val="28"/>
      <w:szCs w:val="28"/>
      <w:lang w:val="en-US" w:eastAsia="en-US"/>
    </w:rPr>
  </w:style>
  <w:style w:type="character" w:customStyle="1" w:styleId="HeaderChar">
    <w:name w:val="Header Char"/>
    <w:link w:val="Header"/>
    <w:semiHidden/>
    <w:rsid w:val="000C65B1"/>
    <w:rPr>
      <w:b/>
      <w:sz w:val="18"/>
      <w:lang w:eastAsia="en-US"/>
    </w:rPr>
  </w:style>
  <w:style w:type="character" w:customStyle="1" w:styleId="ZZAnxtitleChar">
    <w:name w:val="ZZ_Anx_title Char"/>
    <w:link w:val="ZZAnxtitle"/>
    <w:rsid w:val="009E40F6"/>
    <w:rPr>
      <w:b/>
      <w:bCs/>
      <w:sz w:val="28"/>
      <w:szCs w:val="26"/>
      <w:lang w:eastAsia="en-US"/>
    </w:rPr>
  </w:style>
  <w:style w:type="character" w:customStyle="1" w:styleId="st">
    <w:name w:val="st"/>
    <w:basedOn w:val="DefaultParagraphFont"/>
    <w:rsid w:val="00A60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454BBBC1CDE42AB175907F3F7B4C8" ma:contentTypeVersion="11" ma:contentTypeDescription="Create a new document." ma:contentTypeScope="" ma:versionID="0992cbdc4f5bbcb8e361be6395f03726">
  <xsd:schema xmlns:xsd="http://www.w3.org/2001/XMLSchema" xmlns:xs="http://www.w3.org/2001/XMLSchema" xmlns:p="http://schemas.microsoft.com/office/2006/metadata/properties" xmlns:ns3="d18b2cca-499f-4557-a4e9-65dcf311f482" xmlns:ns4="f500b1e4-de7e-4e77-a903-0925b28ae6a4" targetNamespace="http://schemas.microsoft.com/office/2006/metadata/properties" ma:root="true" ma:fieldsID="d6551fd0daded6097ec55b1000056b70" ns3:_="" ns4:_="">
    <xsd:import namespace="d18b2cca-499f-4557-a4e9-65dcf311f482"/>
    <xsd:import namespace="f500b1e4-de7e-4e77-a903-0925b28ae6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cca-499f-4557-a4e9-65dcf311f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b1e4-de7e-4e77-a903-0925b28ae6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1DE0-A345-4C62-92CC-1FA24361D54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18b2cca-499f-4557-a4e9-65dcf311f482"/>
    <ds:schemaRef ds:uri="f500b1e4-de7e-4e77-a903-0925b28ae6a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C5903A9-F43E-4D6F-9E1E-2F433C0A1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b2cca-499f-4557-a4e9-65dcf311f482"/>
    <ds:schemaRef ds:uri="f500b1e4-de7e-4e77-a903-0925b28ae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06B1F-C025-4DAE-B79E-B61610E81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80609B-CF68-4514-A840-57F289F12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2520</Words>
  <Characters>13864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NATIONS UNIES</vt:lpstr>
      <vt:lpstr>NATIONS UNIES</vt:lpstr>
    </vt:vector>
  </TitlesOfParts>
  <Company>unon</Company>
  <LinksUpToDate>false</LinksUpToDate>
  <CharactersWithSpaces>16352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NATIONS UNIES</dc:title>
  <dc:subject/>
  <dc:creator>Cynthia Mwanza</dc:creator>
  <cp:keywords/>
  <dc:description/>
  <cp:lastModifiedBy>Esther Nzigiye</cp:lastModifiedBy>
  <cp:revision>2</cp:revision>
  <cp:lastPrinted>2019-09-18T11:27:00Z</cp:lastPrinted>
  <dcterms:created xsi:type="dcterms:W3CDTF">2019-09-18T12:02:00Z</dcterms:created>
  <dcterms:modified xsi:type="dcterms:W3CDTF">2019-09-18T12:02:00Z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0x0101009B1454BBBC1CDE42AB175907F3F7B4C8</vt:lpwstr>
  </property>
</Properties>
</file>