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right"/>
        <w:tblLayout w:type="fixed"/>
        <w:tblLook w:val="0000" w:firstRow="0" w:lastRow="0" w:firstColumn="0" w:lastColumn="0" w:noHBand="0" w:noVBand="0"/>
      </w:tblPr>
      <w:tblGrid>
        <w:gridCol w:w="1613"/>
        <w:gridCol w:w="2073"/>
        <w:gridCol w:w="2734"/>
        <w:gridCol w:w="1660"/>
        <w:gridCol w:w="1416"/>
      </w:tblGrid>
      <w:tr w:rsidR="0015442E" w:rsidRPr="00EB5EDA" w14:paraId="46C0A5E1" w14:textId="77777777" w:rsidTr="0070496D">
        <w:trPr>
          <w:trHeight w:val="57"/>
          <w:jc w:val="right"/>
        </w:trPr>
        <w:tc>
          <w:tcPr>
            <w:tcW w:w="1613" w:type="dxa"/>
          </w:tcPr>
          <w:p w14:paraId="20F83A81" w14:textId="77777777" w:rsidR="0015442E" w:rsidRPr="00EB5EDA" w:rsidRDefault="0015442E" w:rsidP="00796B51">
            <w:pPr>
              <w:pStyle w:val="Normal-pool"/>
              <w:rPr>
                <w:rFonts w:ascii="Arial" w:hAnsi="Arial" w:cs="Arial"/>
                <w:b/>
                <w:sz w:val="27"/>
                <w:szCs w:val="27"/>
                <w:lang w:val="en-GB"/>
              </w:rPr>
            </w:pPr>
            <w:r w:rsidRPr="00EB5EDA">
              <w:rPr>
                <w:rFonts w:ascii="Arial" w:hAnsi="Arial" w:cs="Arial"/>
                <w:b/>
                <w:sz w:val="27"/>
                <w:szCs w:val="27"/>
                <w:lang w:val="en-GB"/>
              </w:rPr>
              <w:t xml:space="preserve">UNITED </w:t>
            </w:r>
            <w:r w:rsidRPr="00EB5EDA">
              <w:rPr>
                <w:rFonts w:ascii="Arial" w:hAnsi="Arial" w:cs="Arial"/>
                <w:b/>
                <w:sz w:val="27"/>
                <w:szCs w:val="27"/>
                <w:lang w:val="en-GB"/>
              </w:rPr>
              <w:br/>
              <w:t>NATIONS</w:t>
            </w:r>
          </w:p>
        </w:tc>
        <w:tc>
          <w:tcPr>
            <w:tcW w:w="6467" w:type="dxa"/>
            <w:gridSpan w:val="3"/>
          </w:tcPr>
          <w:p w14:paraId="6DE934A3" w14:textId="77777777" w:rsidR="0015442E" w:rsidRPr="00EB5EDA" w:rsidRDefault="0015442E" w:rsidP="00796B51">
            <w:pPr>
              <w:pStyle w:val="Normal-pool"/>
              <w:spacing w:before="20"/>
              <w:rPr>
                <w:lang w:val="en-GB"/>
              </w:rPr>
            </w:pPr>
            <w:r w:rsidRPr="00EB5EDA">
              <w:rPr>
                <w:noProof/>
                <w:lang w:val="en-GB"/>
              </w:rPr>
              <w:drawing>
                <wp:inline distT="0" distB="0" distL="0" distR="0" wp14:anchorId="6821653A" wp14:editId="6435431A">
                  <wp:extent cx="1267200" cy="54957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UNEP.png"/>
                          <pic:cNvPicPr/>
                        </pic:nvPicPr>
                        <pic:blipFill>
                          <a:blip r:embed="rId11"/>
                          <a:stretch>
                            <a:fillRect/>
                          </a:stretch>
                        </pic:blipFill>
                        <pic:spPr>
                          <a:xfrm>
                            <a:off x="0" y="0"/>
                            <a:ext cx="1267200" cy="549573"/>
                          </a:xfrm>
                          <a:prstGeom prst="rect">
                            <a:avLst/>
                          </a:prstGeom>
                        </pic:spPr>
                      </pic:pic>
                    </a:graphicData>
                  </a:graphic>
                </wp:inline>
              </w:drawing>
            </w:r>
          </w:p>
        </w:tc>
        <w:tc>
          <w:tcPr>
            <w:tcW w:w="1416" w:type="dxa"/>
          </w:tcPr>
          <w:p w14:paraId="26953FE3" w14:textId="77777777" w:rsidR="0015442E" w:rsidRPr="00EB5EDA" w:rsidRDefault="00E3329D" w:rsidP="00796B51">
            <w:pPr>
              <w:pStyle w:val="Normal-pool"/>
              <w:jc w:val="right"/>
              <w:rPr>
                <w:rFonts w:ascii="Arial" w:hAnsi="Arial" w:cs="Arial"/>
                <w:b/>
                <w:sz w:val="64"/>
                <w:szCs w:val="64"/>
                <w:lang w:val="en-GB"/>
              </w:rPr>
            </w:pPr>
            <w:r w:rsidRPr="00EB5EDA">
              <w:rPr>
                <w:rFonts w:ascii="Arial" w:hAnsi="Arial" w:cs="Arial"/>
                <w:b/>
                <w:sz w:val="64"/>
                <w:szCs w:val="64"/>
                <w:lang w:val="en-GB"/>
              </w:rPr>
              <w:t>M</w:t>
            </w:r>
            <w:r w:rsidR="0015442E" w:rsidRPr="00EB5EDA">
              <w:rPr>
                <w:rFonts w:ascii="Arial" w:hAnsi="Arial" w:cs="Arial"/>
                <w:b/>
                <w:sz w:val="64"/>
                <w:szCs w:val="64"/>
                <w:lang w:val="en-GB"/>
              </w:rPr>
              <w:t>C</w:t>
            </w:r>
          </w:p>
        </w:tc>
      </w:tr>
      <w:tr w:rsidR="0015442E" w:rsidRPr="00EB5EDA" w14:paraId="18449854" w14:textId="77777777" w:rsidTr="00762098">
        <w:trPr>
          <w:trHeight w:val="57"/>
          <w:jc w:val="right"/>
        </w:trPr>
        <w:tc>
          <w:tcPr>
            <w:tcW w:w="1613" w:type="dxa"/>
            <w:tcBorders>
              <w:bottom w:val="single" w:sz="4" w:space="0" w:color="auto"/>
            </w:tcBorders>
          </w:tcPr>
          <w:p w14:paraId="67A88E57" w14:textId="77777777" w:rsidR="0015442E" w:rsidRPr="00EB5EDA" w:rsidRDefault="0015442E" w:rsidP="00796B51">
            <w:pPr>
              <w:pStyle w:val="Normal-pool"/>
              <w:rPr>
                <w:lang w:val="en-GB"/>
              </w:rPr>
            </w:pPr>
          </w:p>
        </w:tc>
        <w:tc>
          <w:tcPr>
            <w:tcW w:w="4807" w:type="dxa"/>
            <w:gridSpan w:val="2"/>
            <w:tcBorders>
              <w:bottom w:val="single" w:sz="4" w:space="0" w:color="auto"/>
            </w:tcBorders>
          </w:tcPr>
          <w:p w14:paraId="48698522" w14:textId="77777777" w:rsidR="0015442E" w:rsidRPr="00EB5EDA" w:rsidRDefault="0015442E" w:rsidP="00796B51">
            <w:pPr>
              <w:pStyle w:val="Normal-pool"/>
              <w:rPr>
                <w:lang w:val="en-GB"/>
              </w:rPr>
            </w:pPr>
          </w:p>
        </w:tc>
        <w:tc>
          <w:tcPr>
            <w:tcW w:w="3076" w:type="dxa"/>
            <w:gridSpan w:val="2"/>
            <w:tcBorders>
              <w:bottom w:val="single" w:sz="4" w:space="0" w:color="auto"/>
            </w:tcBorders>
          </w:tcPr>
          <w:p w14:paraId="132547EA" w14:textId="77777777" w:rsidR="0015442E" w:rsidRPr="00EB5EDA" w:rsidRDefault="0015442E" w:rsidP="00796B51">
            <w:pPr>
              <w:pStyle w:val="Normal-pool"/>
              <w:rPr>
                <w:lang w:val="en-GB"/>
              </w:rPr>
            </w:pPr>
            <w:r w:rsidRPr="00EB5EDA">
              <w:rPr>
                <w:b/>
                <w:bCs/>
                <w:sz w:val="28"/>
                <w:szCs w:val="28"/>
                <w:lang w:val="en-GB"/>
              </w:rPr>
              <w:t>UNEP</w:t>
            </w:r>
            <w:r w:rsidRPr="00EB5EDA">
              <w:rPr>
                <w:lang w:val="en-GB"/>
              </w:rPr>
              <w:t>/</w:t>
            </w:r>
            <w:r w:rsidR="00962471" w:rsidRPr="00EB5EDA">
              <w:rPr>
                <w:lang w:val="en-GB"/>
              </w:rPr>
              <w:t>MC</w:t>
            </w:r>
            <w:r w:rsidR="00EA2CF9" w:rsidRPr="00EB5EDA">
              <w:rPr>
                <w:lang w:val="en-GB"/>
              </w:rPr>
              <w:t>/</w:t>
            </w:r>
            <w:r w:rsidR="00962471" w:rsidRPr="00EB5EDA">
              <w:rPr>
                <w:lang w:val="en-GB"/>
              </w:rPr>
              <w:t>COP.</w:t>
            </w:r>
            <w:r w:rsidR="0070496D" w:rsidRPr="00EB5EDA">
              <w:rPr>
                <w:lang w:val="en-GB"/>
              </w:rPr>
              <w:t>4</w:t>
            </w:r>
            <w:r w:rsidRPr="00EB5EDA">
              <w:rPr>
                <w:lang w:val="en-GB"/>
              </w:rPr>
              <w:t>/</w:t>
            </w:r>
            <w:r w:rsidR="0070496D" w:rsidRPr="00EB5EDA">
              <w:rPr>
                <w:lang w:val="en-GB"/>
              </w:rPr>
              <w:t>27</w:t>
            </w:r>
          </w:p>
        </w:tc>
      </w:tr>
      <w:tr w:rsidR="0015442E" w:rsidRPr="00EB5EDA" w14:paraId="0F9EB1D7" w14:textId="77777777" w:rsidTr="00F530E7">
        <w:trPr>
          <w:trHeight w:val="1985"/>
          <w:jc w:val="right"/>
        </w:trPr>
        <w:tc>
          <w:tcPr>
            <w:tcW w:w="3686" w:type="dxa"/>
            <w:gridSpan w:val="2"/>
            <w:tcBorders>
              <w:top w:val="single" w:sz="4" w:space="0" w:color="auto"/>
              <w:bottom w:val="single" w:sz="24" w:space="0" w:color="auto"/>
            </w:tcBorders>
          </w:tcPr>
          <w:p w14:paraId="1A948A76" w14:textId="77777777" w:rsidR="0015442E" w:rsidRPr="00EB5EDA" w:rsidRDefault="009D7B82" w:rsidP="00796B51">
            <w:pPr>
              <w:pStyle w:val="Normal-pool"/>
              <w:spacing w:before="120" w:after="240"/>
              <w:ind w:left="-85"/>
              <w:rPr>
                <w:lang w:val="en-GB"/>
              </w:rPr>
            </w:pPr>
            <w:r w:rsidRPr="00EB5EDA">
              <w:rPr>
                <w:noProof/>
                <w:lang w:val="en-GB"/>
              </w:rPr>
              <w:drawing>
                <wp:inline distT="0" distB="0" distL="0" distR="0" wp14:anchorId="6A5C1EE6" wp14:editId="6B1A5151">
                  <wp:extent cx="2204961" cy="10296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AMATA-BW_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04961" cy="1029600"/>
                          </a:xfrm>
                          <a:prstGeom prst="rect">
                            <a:avLst/>
                          </a:prstGeom>
                        </pic:spPr>
                      </pic:pic>
                    </a:graphicData>
                  </a:graphic>
                </wp:inline>
              </w:drawing>
            </w:r>
          </w:p>
        </w:tc>
        <w:tc>
          <w:tcPr>
            <w:tcW w:w="2734" w:type="dxa"/>
            <w:tcBorders>
              <w:top w:val="single" w:sz="4" w:space="0" w:color="auto"/>
              <w:bottom w:val="single" w:sz="24" w:space="0" w:color="auto"/>
            </w:tcBorders>
          </w:tcPr>
          <w:p w14:paraId="4F909055" w14:textId="77777777" w:rsidR="0015442E" w:rsidRPr="00EB5EDA" w:rsidRDefault="0015442E" w:rsidP="00796B51">
            <w:pPr>
              <w:pStyle w:val="Normal-pool"/>
              <w:rPr>
                <w:lang w:val="en-GB"/>
              </w:rPr>
            </w:pPr>
          </w:p>
        </w:tc>
        <w:tc>
          <w:tcPr>
            <w:tcW w:w="3076" w:type="dxa"/>
            <w:gridSpan w:val="2"/>
            <w:tcBorders>
              <w:top w:val="single" w:sz="4" w:space="0" w:color="auto"/>
              <w:bottom w:val="single" w:sz="24" w:space="0" w:color="auto"/>
            </w:tcBorders>
          </w:tcPr>
          <w:p w14:paraId="77FDE0F2" w14:textId="168D1A1D" w:rsidR="0070496D" w:rsidRPr="00EB5EDA" w:rsidRDefault="0070496D" w:rsidP="0070496D">
            <w:pPr>
              <w:pStyle w:val="Normal-pool"/>
              <w:spacing w:before="120"/>
              <w:rPr>
                <w:lang w:val="en-GB"/>
              </w:rPr>
            </w:pPr>
            <w:r w:rsidRPr="00EB5EDA">
              <w:rPr>
                <w:lang w:val="en-GB"/>
              </w:rPr>
              <w:t xml:space="preserve">Distr.: General </w:t>
            </w:r>
            <w:r w:rsidRPr="00EB5EDA">
              <w:rPr>
                <w:lang w:val="en-GB"/>
              </w:rPr>
              <w:br/>
              <w:t xml:space="preserve">9 </w:t>
            </w:r>
            <w:r w:rsidR="00394993" w:rsidRPr="00EB5EDA">
              <w:rPr>
                <w:lang w:val="en-GB"/>
              </w:rPr>
              <w:t>August</w:t>
            </w:r>
            <w:r w:rsidRPr="00EB5EDA">
              <w:rPr>
                <w:lang w:val="en-GB"/>
              </w:rPr>
              <w:t xml:space="preserve"> 2021</w:t>
            </w:r>
          </w:p>
          <w:p w14:paraId="61AB9C79" w14:textId="77777777" w:rsidR="0015442E" w:rsidRPr="00EB5EDA" w:rsidRDefault="0070496D" w:rsidP="0070496D">
            <w:pPr>
              <w:pStyle w:val="Normal-pool"/>
              <w:spacing w:before="120"/>
              <w:rPr>
                <w:sz w:val="22"/>
                <w:lang w:val="en-GB"/>
              </w:rPr>
            </w:pPr>
            <w:r w:rsidRPr="00EB5EDA">
              <w:rPr>
                <w:lang w:val="en-GB"/>
              </w:rPr>
              <w:t>Original: English</w:t>
            </w:r>
          </w:p>
        </w:tc>
      </w:tr>
    </w:tbl>
    <w:p w14:paraId="56193D73" w14:textId="77777777" w:rsidR="00962471" w:rsidRPr="00EB5EDA" w:rsidRDefault="00962471" w:rsidP="00796B51">
      <w:pPr>
        <w:pStyle w:val="AATitle"/>
        <w:rPr>
          <w:lang w:val="en-GB"/>
        </w:rPr>
      </w:pPr>
      <w:r w:rsidRPr="00EB5EDA">
        <w:rPr>
          <w:lang w:val="en-GB"/>
        </w:rPr>
        <w:t xml:space="preserve">Conference of the Parties to the </w:t>
      </w:r>
      <w:r w:rsidRPr="00EB5EDA">
        <w:rPr>
          <w:lang w:val="en-GB"/>
        </w:rPr>
        <w:br/>
        <w:t>Minamata Convention on Mercury</w:t>
      </w:r>
    </w:p>
    <w:p w14:paraId="21575566" w14:textId="77777777" w:rsidR="0070496D" w:rsidRPr="00EB5EDA" w:rsidRDefault="0070496D" w:rsidP="0070496D">
      <w:pPr>
        <w:keepNext/>
        <w:keepLines/>
        <w:tabs>
          <w:tab w:val="left" w:pos="1247"/>
          <w:tab w:val="left" w:pos="1814"/>
          <w:tab w:val="left" w:pos="2381"/>
          <w:tab w:val="left" w:pos="2948"/>
          <w:tab w:val="left" w:pos="3515"/>
          <w:tab w:val="left" w:pos="4082"/>
        </w:tabs>
        <w:suppressAutoHyphens/>
        <w:ind w:right="5103"/>
        <w:rPr>
          <w:b/>
          <w:lang w:val="en-GB" w:eastAsia="en-US"/>
        </w:rPr>
      </w:pPr>
      <w:r w:rsidRPr="00EB5EDA">
        <w:rPr>
          <w:b/>
          <w:lang w:val="en-GB" w:eastAsia="en-US"/>
        </w:rPr>
        <w:t>Fourth meeting</w:t>
      </w:r>
    </w:p>
    <w:p w14:paraId="2E73DDC2" w14:textId="3E2F8342" w:rsidR="0070496D" w:rsidRPr="00EB5EDA" w:rsidRDefault="0070496D" w:rsidP="0070496D">
      <w:pPr>
        <w:pStyle w:val="AATitle"/>
        <w:rPr>
          <w:b w:val="0"/>
          <w:bCs/>
          <w:lang w:val="en-GB"/>
        </w:rPr>
      </w:pPr>
      <w:r w:rsidRPr="00EB5EDA">
        <w:rPr>
          <w:b w:val="0"/>
          <w:bCs/>
          <w:lang w:val="en-GB"/>
        </w:rPr>
        <w:t>Online, 1</w:t>
      </w:r>
      <w:r w:rsidR="00635CF7" w:rsidRPr="00EB5EDA">
        <w:rPr>
          <w:b w:val="0"/>
          <w:bCs/>
          <w:lang w:val="en-GB"/>
        </w:rPr>
        <w:t>‒</w:t>
      </w:r>
      <w:r w:rsidRPr="00EB5EDA">
        <w:rPr>
          <w:b w:val="0"/>
          <w:bCs/>
          <w:lang w:val="en-GB"/>
        </w:rPr>
        <w:t>5 November 2021</w:t>
      </w:r>
      <w:r w:rsidRPr="00EB5EDA">
        <w:rPr>
          <w:b w:val="0"/>
          <w:bCs/>
          <w:szCs w:val="18"/>
          <w:lang w:val="en-GB"/>
        </w:rPr>
        <w:footnoteReference w:customMarkFollows="1" w:id="1"/>
        <w:t>*</w:t>
      </w:r>
    </w:p>
    <w:p w14:paraId="2E0F1BB1" w14:textId="77777777" w:rsidR="0070496D" w:rsidRPr="00EB5EDA" w:rsidRDefault="0070496D" w:rsidP="0070496D">
      <w:pPr>
        <w:pStyle w:val="AATitle"/>
        <w:rPr>
          <w:b w:val="0"/>
          <w:bCs/>
          <w:lang w:val="en-GB"/>
        </w:rPr>
      </w:pPr>
      <w:r w:rsidRPr="00EB5EDA">
        <w:rPr>
          <w:b w:val="0"/>
          <w:bCs/>
          <w:lang w:val="en-GB"/>
        </w:rPr>
        <w:t>Item 4 (a) (iii) of the provisional agenda</w:t>
      </w:r>
      <w:r w:rsidRPr="00EB5EDA">
        <w:rPr>
          <w:b w:val="0"/>
          <w:bCs/>
          <w:lang w:val="en-GB"/>
        </w:rPr>
        <w:footnoteReference w:customMarkFollows="1" w:id="2"/>
        <w:t>**</w:t>
      </w:r>
    </w:p>
    <w:p w14:paraId="14A62254" w14:textId="5C546D10" w:rsidR="0070496D" w:rsidRPr="00EB5EDA" w:rsidRDefault="0070496D" w:rsidP="0070496D">
      <w:pPr>
        <w:pStyle w:val="AATitle2"/>
        <w:rPr>
          <w:lang w:val="en-GB"/>
        </w:rPr>
      </w:pPr>
      <w:r w:rsidRPr="00EB5EDA">
        <w:rPr>
          <w:lang w:val="en-GB"/>
        </w:rPr>
        <w:t xml:space="preserve">Matters for consideration or action by the Conference of the Parties: </w:t>
      </w:r>
      <w:r w:rsidR="00635CF7" w:rsidRPr="00EB5EDA">
        <w:rPr>
          <w:lang w:val="en-GB"/>
        </w:rPr>
        <w:t>m</w:t>
      </w:r>
      <w:r w:rsidRPr="00EB5EDA">
        <w:rPr>
          <w:lang w:val="en-GB"/>
        </w:rPr>
        <w:t xml:space="preserve">ercury-added products and manufacturing processes in which mercury or mercury compounds are used: </w:t>
      </w:r>
      <w:r w:rsidR="00635CF7" w:rsidRPr="00EB5EDA">
        <w:rPr>
          <w:lang w:val="en-GB"/>
        </w:rPr>
        <w:t>c</w:t>
      </w:r>
      <w:r w:rsidRPr="00EB5EDA">
        <w:rPr>
          <w:lang w:val="en-GB"/>
        </w:rPr>
        <w:t>ustoms codes</w:t>
      </w:r>
    </w:p>
    <w:p w14:paraId="447FBFDD" w14:textId="77777777" w:rsidR="0070496D" w:rsidRPr="00EB5EDA" w:rsidRDefault="0070496D" w:rsidP="0070496D">
      <w:pPr>
        <w:pStyle w:val="BBTitle"/>
        <w:rPr>
          <w:lang w:val="en-GB"/>
        </w:rPr>
      </w:pPr>
      <w:r w:rsidRPr="00EB5EDA">
        <w:rPr>
          <w:lang w:val="en-GB"/>
        </w:rPr>
        <w:t>Customs codes</w:t>
      </w:r>
    </w:p>
    <w:p w14:paraId="73F068D5" w14:textId="77777777" w:rsidR="0070496D" w:rsidRPr="00EB5EDA" w:rsidRDefault="0070496D" w:rsidP="0070496D">
      <w:pPr>
        <w:pStyle w:val="CH2"/>
        <w:rPr>
          <w:lang w:val="en-GB"/>
        </w:rPr>
      </w:pPr>
      <w:r w:rsidRPr="00EB5EDA">
        <w:rPr>
          <w:lang w:val="en-GB"/>
        </w:rPr>
        <w:tab/>
      </w:r>
      <w:r w:rsidRPr="00EB5EDA">
        <w:rPr>
          <w:lang w:val="en-GB"/>
        </w:rPr>
        <w:tab/>
        <w:t>Note by the secretariat</w:t>
      </w:r>
    </w:p>
    <w:p w14:paraId="68F2B4A1" w14:textId="77777777" w:rsidR="0070496D" w:rsidRPr="00EB5EDA" w:rsidRDefault="0070496D" w:rsidP="0070496D">
      <w:pPr>
        <w:pStyle w:val="CH1"/>
        <w:rPr>
          <w:lang w:val="en-GB"/>
        </w:rPr>
      </w:pPr>
      <w:r w:rsidRPr="00EB5EDA">
        <w:rPr>
          <w:lang w:val="en-GB"/>
        </w:rPr>
        <w:tab/>
        <w:t>I.</w:t>
      </w:r>
      <w:r w:rsidRPr="00EB5EDA">
        <w:rPr>
          <w:lang w:val="en-GB"/>
        </w:rPr>
        <w:tab/>
        <w:t xml:space="preserve">Introduction </w:t>
      </w:r>
    </w:p>
    <w:p w14:paraId="42086B11" w14:textId="59A106C5" w:rsidR="0070496D" w:rsidRPr="00EB5EDA" w:rsidRDefault="0070496D" w:rsidP="00841159">
      <w:pPr>
        <w:pStyle w:val="Normalnumber"/>
      </w:pPr>
      <w:r w:rsidRPr="00EB5EDA">
        <w:t>The Conference of the Parties</w:t>
      </w:r>
      <w:r w:rsidR="00102C80" w:rsidRPr="00EB5EDA">
        <w:t xml:space="preserve"> to the Minamata Convention on Mercury</w:t>
      </w:r>
      <w:r w:rsidRPr="00EB5EDA">
        <w:t xml:space="preserve">, at its second meeting, considered a proposal from a number of parties to develop draft customs codes for the mercury-added products covered in annex A </w:t>
      </w:r>
      <w:r w:rsidR="00102C80" w:rsidRPr="00EB5EDA">
        <w:t xml:space="preserve">pursuant </w:t>
      </w:r>
      <w:r w:rsidRPr="00EB5EDA">
        <w:t>to article 4 of the Convention, in order to facilitate the implementation of article 4, improve national reporting under article 21 and foster better communication among trading partners. The Conference</w:t>
      </w:r>
      <w:r w:rsidR="00102C80" w:rsidRPr="00EB5EDA">
        <w:t xml:space="preserve"> of the Parties</w:t>
      </w:r>
      <w:r w:rsidRPr="00EB5EDA">
        <w:t xml:space="preserve"> adopted decision MC-2/9 in which it requested the secretariat, in collaboration with the Global Mercury Partnership and in consultation with relevant organizations, to suggest approaches for customs codes to identify and distinguish non mercury-added products and mercury-added products listed in </w:t>
      </w:r>
      <w:r w:rsidR="00FD1A2C" w:rsidRPr="00EB5EDA">
        <w:t>a</w:t>
      </w:r>
      <w:r w:rsidRPr="00EB5EDA">
        <w:t>nnex A to the Convention, including approaches for their possible harmonization.</w:t>
      </w:r>
    </w:p>
    <w:p w14:paraId="58003833" w14:textId="0E5D4BDC" w:rsidR="0070496D" w:rsidRPr="00EB5EDA" w:rsidRDefault="0070496D" w:rsidP="00841159">
      <w:pPr>
        <w:pStyle w:val="Normalnumber"/>
        <w:tabs>
          <w:tab w:val="clear" w:pos="567"/>
        </w:tabs>
      </w:pPr>
      <w:r w:rsidRPr="00EB5EDA">
        <w:t>The Conference</w:t>
      </w:r>
      <w:r w:rsidR="00102C80" w:rsidRPr="00EB5EDA">
        <w:t xml:space="preserve"> of the Parties</w:t>
      </w:r>
      <w:r w:rsidRPr="00EB5EDA">
        <w:t xml:space="preserve"> considered a report</w:t>
      </w:r>
      <w:r w:rsidRPr="00EB5EDA">
        <w:rPr>
          <w:vertAlign w:val="superscript"/>
        </w:rPr>
        <w:footnoteReference w:id="3"/>
      </w:r>
      <w:r w:rsidRPr="00EB5EDA">
        <w:t xml:space="preserve"> </w:t>
      </w:r>
      <w:r w:rsidR="00AB66C6" w:rsidRPr="00EB5EDA">
        <w:t xml:space="preserve">by </w:t>
      </w:r>
      <w:r w:rsidRPr="00EB5EDA">
        <w:t>the secretariat</w:t>
      </w:r>
      <w:r w:rsidR="008D789E" w:rsidRPr="00EB5EDA">
        <w:t xml:space="preserve"> on the matter</w:t>
      </w:r>
      <w:r w:rsidRPr="00EB5EDA">
        <w:t xml:space="preserve"> at its third meeting and</w:t>
      </w:r>
      <w:r w:rsidR="008D789E" w:rsidRPr="00EB5EDA">
        <w:t>,</w:t>
      </w:r>
      <w:r w:rsidRPr="00EB5EDA">
        <w:t xml:space="preserve"> in decision MC-3/3</w:t>
      </w:r>
      <w:r w:rsidR="008D789E" w:rsidRPr="00EB5EDA">
        <w:t>,</w:t>
      </w:r>
      <w:r w:rsidRPr="00EB5EDA">
        <w:t xml:space="preserve"> requested the </w:t>
      </w:r>
      <w:r w:rsidR="00910597" w:rsidRPr="00EB5EDA">
        <w:t>s</w:t>
      </w:r>
      <w:r w:rsidRPr="00EB5EDA">
        <w:t>ecretariat to continue its work</w:t>
      </w:r>
      <w:r w:rsidR="00102C80" w:rsidRPr="00EB5EDA">
        <w:t>,</w:t>
      </w:r>
      <w:r w:rsidRPr="00EB5EDA">
        <w:t xml:space="preserve"> in collaboration with the Global Mercury Partnership and involving relevant experts</w:t>
      </w:r>
      <w:r w:rsidR="00102C80" w:rsidRPr="00EB5EDA">
        <w:t>,</w:t>
      </w:r>
      <w:r w:rsidRPr="00EB5EDA">
        <w:t xml:space="preserve"> to</w:t>
      </w:r>
      <w:r w:rsidR="00102C80" w:rsidRPr="00EB5EDA">
        <w:t>:</w:t>
      </w:r>
    </w:p>
    <w:p w14:paraId="1B78F23E" w14:textId="2C33E24F" w:rsidR="0070496D" w:rsidRPr="00EB5EDA" w:rsidRDefault="0070496D" w:rsidP="004A46DD">
      <w:pPr>
        <w:pStyle w:val="Normalnumber"/>
        <w:numPr>
          <w:ilvl w:val="1"/>
          <w:numId w:val="2"/>
        </w:numPr>
        <w:tabs>
          <w:tab w:val="clear" w:pos="567"/>
        </w:tabs>
        <w:ind w:firstLine="624"/>
      </w:pPr>
      <w:r w:rsidRPr="00EB5EDA">
        <w:t>Draft a guidance document that include</w:t>
      </w:r>
      <w:r w:rsidR="008D789E" w:rsidRPr="00EB5EDA">
        <w:t>d</w:t>
      </w:r>
      <w:r w:rsidRPr="00EB5EDA">
        <w:t>:</w:t>
      </w:r>
    </w:p>
    <w:p w14:paraId="09F1F5B7" w14:textId="390A38C5" w:rsidR="0070496D" w:rsidRPr="00EB5EDA" w:rsidRDefault="0070496D" w:rsidP="004A46DD">
      <w:pPr>
        <w:pStyle w:val="Normalnumber"/>
        <w:numPr>
          <w:ilvl w:val="2"/>
          <w:numId w:val="2"/>
        </w:numPr>
        <w:tabs>
          <w:tab w:val="clear" w:pos="567"/>
        </w:tabs>
        <w:ind w:left="3119" w:hanging="624"/>
      </w:pPr>
      <w:r w:rsidRPr="00EB5EDA">
        <w:t xml:space="preserve">For the mercury-added products listed in </w:t>
      </w:r>
      <w:r w:rsidR="00A72D22" w:rsidRPr="00EB5EDA">
        <w:t>a</w:t>
      </w:r>
      <w:r w:rsidRPr="00EB5EDA">
        <w:t xml:space="preserve">nnex A to the Convention, a list of possible customs nomenclature codes of more than six digits that could be used by </w:t>
      </w:r>
      <w:r w:rsidR="00A72D22" w:rsidRPr="00EB5EDA">
        <w:t>p</w:t>
      </w:r>
      <w:r w:rsidRPr="00EB5EDA">
        <w:t>arties;</w:t>
      </w:r>
    </w:p>
    <w:p w14:paraId="226C2202" w14:textId="15BEA38B" w:rsidR="0070496D" w:rsidRPr="00EB5EDA" w:rsidRDefault="0070496D" w:rsidP="004A46DD">
      <w:pPr>
        <w:pStyle w:val="Normalnumber"/>
        <w:numPr>
          <w:ilvl w:val="2"/>
          <w:numId w:val="2"/>
        </w:numPr>
        <w:tabs>
          <w:tab w:val="clear" w:pos="567"/>
        </w:tabs>
        <w:ind w:left="3119" w:hanging="624"/>
      </w:pPr>
      <w:r w:rsidRPr="00EB5EDA">
        <w:t xml:space="preserve">For mercury-added products not listed in </w:t>
      </w:r>
      <w:r w:rsidR="00A72D22" w:rsidRPr="00EB5EDA">
        <w:t>a</w:t>
      </w:r>
      <w:r w:rsidRPr="00EB5EDA">
        <w:t xml:space="preserve">nnex A to the Convention, a compilation of examples provided by national experts of customs nomenclature codes of more than six digits currently in use by </w:t>
      </w:r>
      <w:r w:rsidR="00A72D22" w:rsidRPr="00EB5EDA">
        <w:t>p</w:t>
      </w:r>
      <w:r w:rsidRPr="00EB5EDA">
        <w:t xml:space="preserve">arties; </w:t>
      </w:r>
    </w:p>
    <w:p w14:paraId="296166DE" w14:textId="5257132C" w:rsidR="0070496D" w:rsidRPr="00EB5EDA" w:rsidRDefault="0070496D" w:rsidP="004A46DD">
      <w:pPr>
        <w:pStyle w:val="Normalnumber"/>
        <w:numPr>
          <w:ilvl w:val="2"/>
          <w:numId w:val="2"/>
        </w:numPr>
        <w:tabs>
          <w:tab w:val="clear" w:pos="567"/>
        </w:tabs>
        <w:ind w:left="3119" w:hanging="624"/>
      </w:pPr>
      <w:r w:rsidRPr="00EB5EDA">
        <w:t>Examples of good practice where the use of customs nomenclature codes at the national level ha</w:t>
      </w:r>
      <w:r w:rsidR="008D789E" w:rsidRPr="00EB5EDA">
        <w:t>d</w:t>
      </w:r>
      <w:r w:rsidRPr="00EB5EDA">
        <w:t xml:space="preserve"> been supplemented by the use of other control tools for the purpose of implementing trade provisions, such as those found in </w:t>
      </w:r>
      <w:r w:rsidR="00A72D22" w:rsidRPr="00EB5EDA">
        <w:t>a</w:t>
      </w:r>
      <w:r w:rsidRPr="00EB5EDA">
        <w:t xml:space="preserve">rticle 4 </w:t>
      </w:r>
      <w:r w:rsidR="00102C80" w:rsidRPr="00EB5EDA">
        <w:t xml:space="preserve">of </w:t>
      </w:r>
      <w:r w:rsidRPr="00EB5EDA">
        <w:t>the Convention</w:t>
      </w:r>
      <w:r w:rsidR="003D2BDF" w:rsidRPr="00EB5EDA">
        <w:t>;</w:t>
      </w:r>
    </w:p>
    <w:p w14:paraId="18B418B6" w14:textId="5253B402" w:rsidR="0070496D" w:rsidRPr="00EB5EDA" w:rsidRDefault="0070496D" w:rsidP="004A46DD">
      <w:pPr>
        <w:pStyle w:val="Normalnumber"/>
        <w:numPr>
          <w:ilvl w:val="1"/>
          <w:numId w:val="2"/>
        </w:numPr>
        <w:tabs>
          <w:tab w:val="clear" w:pos="567"/>
        </w:tabs>
        <w:ind w:firstLine="624"/>
      </w:pPr>
      <w:r w:rsidRPr="00EB5EDA">
        <w:lastRenderedPageBreak/>
        <w:t xml:space="preserve">Provide an assessment of whether the subsequent development of six-digit harmonized codes would be a useful complement to the outcome of the work undertaken under (a) (i) above for the mercury-added products listed in </w:t>
      </w:r>
      <w:r w:rsidR="00FD1A2C" w:rsidRPr="00EB5EDA">
        <w:t>a</w:t>
      </w:r>
      <w:r w:rsidRPr="00EB5EDA">
        <w:t xml:space="preserve">nnex A or under (a) (ii) above for mercury-added products not listed in </w:t>
      </w:r>
      <w:r w:rsidR="00FD1A2C" w:rsidRPr="00EB5EDA">
        <w:t>a</w:t>
      </w:r>
      <w:r w:rsidRPr="00EB5EDA">
        <w:t xml:space="preserve">nnex A. </w:t>
      </w:r>
    </w:p>
    <w:p w14:paraId="5024AB39" w14:textId="77777777" w:rsidR="0070496D" w:rsidRPr="00EB5EDA" w:rsidRDefault="0070496D" w:rsidP="0070496D">
      <w:pPr>
        <w:pStyle w:val="CH1"/>
        <w:rPr>
          <w:lang w:val="en-GB"/>
        </w:rPr>
      </w:pPr>
      <w:r w:rsidRPr="00EB5EDA">
        <w:rPr>
          <w:lang w:val="en-GB"/>
        </w:rPr>
        <w:tab/>
        <w:t>II.</w:t>
      </w:r>
      <w:r w:rsidRPr="00EB5EDA">
        <w:rPr>
          <w:lang w:val="en-GB"/>
        </w:rPr>
        <w:tab/>
        <w:t>Work undertaken by the secretariat</w:t>
      </w:r>
    </w:p>
    <w:p w14:paraId="29C990E3" w14:textId="70F9938B" w:rsidR="0070496D" w:rsidRPr="00EB5EDA" w:rsidRDefault="0070496D" w:rsidP="00841159">
      <w:pPr>
        <w:pStyle w:val="Normalnumber"/>
        <w:tabs>
          <w:tab w:val="clear" w:pos="567"/>
        </w:tabs>
      </w:pPr>
      <w:r w:rsidRPr="00EB5EDA">
        <w:t>As requested by the Conference of the Parties in decision MC-3/3, the secretariat invited</w:t>
      </w:r>
      <w:r w:rsidR="00E3066B" w:rsidRPr="00EB5EDA">
        <w:t xml:space="preserve"> </w:t>
      </w:r>
      <w:r w:rsidRPr="00EB5EDA">
        <w:t>parties, non-parties and other stakeholders</w:t>
      </w:r>
      <w:r w:rsidR="00102C80" w:rsidRPr="00EB5EDA">
        <w:t>,</w:t>
      </w:r>
      <w:r w:rsidRPr="00EB5EDA">
        <w:t xml:space="preserve"> including relevant organi</w:t>
      </w:r>
      <w:r w:rsidR="00102C80" w:rsidRPr="00EB5EDA">
        <w:t>z</w:t>
      </w:r>
      <w:r w:rsidRPr="00EB5EDA">
        <w:t>ations</w:t>
      </w:r>
      <w:r w:rsidR="00102C80" w:rsidRPr="00EB5EDA">
        <w:t>,</w:t>
      </w:r>
      <w:r w:rsidRPr="00EB5EDA">
        <w:t xml:space="preserve"> to identify experts familiar with the use of national customs codes to participate in the open-ended process. One party identified an expert, who submitted information as described in </w:t>
      </w:r>
      <w:r w:rsidR="00AB66C6" w:rsidRPr="00EB5EDA">
        <w:t xml:space="preserve">paragraph 2 </w:t>
      </w:r>
      <w:r w:rsidRPr="00EB5EDA">
        <w:t>(a) (i)</w:t>
      </w:r>
      <w:r w:rsidR="00FD1A2C" w:rsidRPr="00EB5EDA">
        <w:t>‒</w:t>
      </w:r>
      <w:r w:rsidRPr="00EB5EDA">
        <w:t>(iii) of the present note.</w:t>
      </w:r>
    </w:p>
    <w:p w14:paraId="34C80C83" w14:textId="51C4BD00" w:rsidR="0070496D" w:rsidRPr="00EB5EDA" w:rsidRDefault="0070496D" w:rsidP="00841159">
      <w:pPr>
        <w:pStyle w:val="Normalnumber"/>
        <w:tabs>
          <w:tab w:val="clear" w:pos="567"/>
        </w:tabs>
      </w:pPr>
      <w:r w:rsidRPr="00EB5EDA">
        <w:t xml:space="preserve">The secretariat developed a draft guidance document, which was posted on the Convention website on 18 June 2021 for comment by 19 July 2021. Comments were received from Canada, the European Union, Japan, Mauritius, Montenegro, New Zealand and the Natural Resources Defense Council. The secretariat further developed the document </w:t>
      </w:r>
      <w:r w:rsidR="00D066E9" w:rsidRPr="00EB5EDA">
        <w:t xml:space="preserve">on the </w:t>
      </w:r>
      <w:r w:rsidRPr="00EB5EDA">
        <w:t>bas</w:t>
      </w:r>
      <w:r w:rsidR="00D066E9" w:rsidRPr="00EB5EDA">
        <w:t>is of</w:t>
      </w:r>
      <w:r w:rsidRPr="00EB5EDA">
        <w:t xml:space="preserve"> the comments, in cooperation with the Global Mercury Partnership. Some parties also submitted information on customs codes for mercury, mercury compounds or </w:t>
      </w:r>
      <w:r w:rsidR="003E450C" w:rsidRPr="00EB5EDA">
        <w:t xml:space="preserve">mercury </w:t>
      </w:r>
      <w:r w:rsidRPr="00EB5EDA">
        <w:t xml:space="preserve">waste, which </w:t>
      </w:r>
      <w:r w:rsidR="003956A2" w:rsidRPr="00EB5EDA">
        <w:t xml:space="preserve">was </w:t>
      </w:r>
      <w:r w:rsidRPr="00EB5EDA">
        <w:t>not incorporated in</w:t>
      </w:r>
      <w:r w:rsidR="003956A2" w:rsidRPr="00EB5EDA">
        <w:t>to</w:t>
      </w:r>
      <w:r w:rsidRPr="00EB5EDA">
        <w:t xml:space="preserve"> the guidance document.</w:t>
      </w:r>
    </w:p>
    <w:p w14:paraId="7994D255" w14:textId="1A6B9FFD" w:rsidR="0070496D" w:rsidRPr="00EB5EDA" w:rsidRDefault="0070496D" w:rsidP="00841159">
      <w:pPr>
        <w:pStyle w:val="Normalnumber"/>
        <w:tabs>
          <w:tab w:val="clear" w:pos="567"/>
        </w:tabs>
      </w:pPr>
      <w:r w:rsidRPr="00EB5EDA">
        <w:t xml:space="preserve">The draft guidance document is set out in the annex to the present note. The document includes proposed statistical codes </w:t>
      </w:r>
      <w:r w:rsidR="003E450C" w:rsidRPr="00EB5EDA">
        <w:t xml:space="preserve">of </w:t>
      </w:r>
      <w:r w:rsidRPr="00EB5EDA">
        <w:t>more than six digits for mercury-added products listed in annex</w:t>
      </w:r>
      <w:r w:rsidR="003E450C" w:rsidRPr="00EB5EDA">
        <w:t> </w:t>
      </w:r>
      <w:r w:rsidRPr="00EB5EDA">
        <w:t xml:space="preserve">A to the Convention, an overview of customs codes </w:t>
      </w:r>
      <w:r w:rsidR="003E450C" w:rsidRPr="00EB5EDA">
        <w:t>for</w:t>
      </w:r>
      <w:r w:rsidRPr="00EB5EDA">
        <w:t xml:space="preserve"> mercury-added products not listed in annex</w:t>
      </w:r>
      <w:r w:rsidR="003E450C" w:rsidRPr="00EB5EDA">
        <w:t> </w:t>
      </w:r>
      <w:r w:rsidRPr="00EB5EDA">
        <w:t xml:space="preserve">A to the Convention, an overview of </w:t>
      </w:r>
      <w:r w:rsidR="003E450C" w:rsidRPr="00EB5EDA">
        <w:t xml:space="preserve">other </w:t>
      </w:r>
      <w:r w:rsidRPr="00EB5EDA">
        <w:t xml:space="preserve">measures </w:t>
      </w:r>
      <w:r w:rsidR="003E450C" w:rsidRPr="00EB5EDA">
        <w:t>in</w:t>
      </w:r>
      <w:r w:rsidRPr="00EB5EDA">
        <w:t xml:space="preserve"> support </w:t>
      </w:r>
      <w:r w:rsidR="003E450C" w:rsidRPr="00EB5EDA">
        <w:t xml:space="preserve">of </w:t>
      </w:r>
      <w:r w:rsidRPr="00EB5EDA">
        <w:t>the trade provisions of the Convention and an assessment of six-digit harmonized customs codes following up on the analysis</w:t>
      </w:r>
      <w:r w:rsidRPr="00EB5EDA">
        <w:rPr>
          <w:szCs w:val="18"/>
          <w:vertAlign w:val="superscript"/>
        </w:rPr>
        <w:footnoteReference w:id="4"/>
      </w:r>
      <w:r w:rsidRPr="00EB5EDA">
        <w:t xml:space="preserve"> presented to the Conference of the Parties at its third meeting. Examples of customs codes used by parties are presented in </w:t>
      </w:r>
      <w:r w:rsidR="003E450C" w:rsidRPr="00EB5EDA">
        <w:t xml:space="preserve">document </w:t>
      </w:r>
      <w:r w:rsidRPr="00EB5EDA">
        <w:t>UNEP/MC/COP.4/INF/5.</w:t>
      </w:r>
    </w:p>
    <w:p w14:paraId="5D55F16D" w14:textId="77777777" w:rsidR="0070496D" w:rsidRPr="00EB5EDA" w:rsidRDefault="0070496D" w:rsidP="0070496D">
      <w:pPr>
        <w:pStyle w:val="CH1"/>
        <w:rPr>
          <w:lang w:val="en-GB"/>
        </w:rPr>
      </w:pPr>
      <w:r w:rsidRPr="00EB5EDA">
        <w:rPr>
          <w:lang w:val="en-GB"/>
        </w:rPr>
        <w:tab/>
        <w:t>III.</w:t>
      </w:r>
      <w:r w:rsidRPr="00EB5EDA">
        <w:rPr>
          <w:lang w:val="en-GB"/>
        </w:rPr>
        <w:tab/>
        <w:t>Suggested action by the Conference of the Parties</w:t>
      </w:r>
    </w:p>
    <w:p w14:paraId="6369D551" w14:textId="77777777" w:rsidR="007F7F2D" w:rsidRPr="00EB5EDA" w:rsidRDefault="0070496D" w:rsidP="00841159">
      <w:pPr>
        <w:pStyle w:val="Normalnumber"/>
        <w:tabs>
          <w:tab w:val="clear" w:pos="567"/>
        </w:tabs>
        <w:rPr>
          <w:bCs/>
        </w:rPr>
        <w:sectPr w:rsidR="007F7F2D" w:rsidRPr="00EB5EDA" w:rsidSect="00841159">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907" w:right="992" w:bottom="1418" w:left="1418" w:header="539" w:footer="975" w:gutter="0"/>
          <w:cols w:space="539"/>
          <w:titlePg/>
          <w:docGrid w:linePitch="360"/>
        </w:sectPr>
      </w:pPr>
      <w:r w:rsidRPr="00EB5EDA">
        <w:rPr>
          <w:bCs/>
        </w:rPr>
        <w:t xml:space="preserve">The Conference of the Parties may wish to note the work undertaken by the secretariat, invite parties to </w:t>
      </w:r>
      <w:r w:rsidRPr="00EB5EDA">
        <w:t>use</w:t>
      </w:r>
      <w:r w:rsidRPr="00EB5EDA">
        <w:rPr>
          <w:bCs/>
        </w:rPr>
        <w:t xml:space="preserve"> the guidance in implementing the trade provisions of the Convention and request the secretariat to keep the guidance under review and provide support to parties in using the guidance</w:t>
      </w:r>
      <w:r w:rsidR="003E450C" w:rsidRPr="00EB5EDA">
        <w:rPr>
          <w:bCs/>
        </w:rPr>
        <w:t>,</w:t>
      </w:r>
      <w:r w:rsidRPr="00EB5EDA">
        <w:rPr>
          <w:bCs/>
        </w:rPr>
        <w:t xml:space="preserve"> in cooperation with the Global Mercury Partnership.</w:t>
      </w:r>
    </w:p>
    <w:p w14:paraId="6A4A1638" w14:textId="77777777" w:rsidR="0070496D" w:rsidRPr="00EB5EDA" w:rsidRDefault="0070496D" w:rsidP="0070496D">
      <w:pPr>
        <w:pStyle w:val="ZZAnxheader"/>
        <w:rPr>
          <w:lang w:val="en-GB"/>
        </w:rPr>
      </w:pPr>
      <w:r w:rsidRPr="00EB5EDA">
        <w:rPr>
          <w:lang w:val="en-GB"/>
        </w:rPr>
        <w:lastRenderedPageBreak/>
        <w:t>Annex</w:t>
      </w:r>
    </w:p>
    <w:p w14:paraId="37436279" w14:textId="77777777" w:rsidR="0070496D" w:rsidRPr="00EB5EDA" w:rsidRDefault="0070496D" w:rsidP="0070496D">
      <w:pPr>
        <w:pStyle w:val="ZZAnxtitle"/>
        <w:rPr>
          <w:lang w:val="en-GB"/>
        </w:rPr>
      </w:pPr>
      <w:r w:rsidRPr="00EB5EDA">
        <w:rPr>
          <w:lang w:val="en-GB"/>
        </w:rPr>
        <w:t>Draft guidance document on the use of customs codes under the Minamata Convention</w:t>
      </w:r>
    </w:p>
    <w:p w14:paraId="2F2586A9" w14:textId="77777777" w:rsidR="0070496D" w:rsidRPr="00EB5EDA" w:rsidRDefault="0070496D" w:rsidP="00FA50E4">
      <w:pPr>
        <w:pStyle w:val="CH1"/>
        <w:rPr>
          <w:lang w:val="en-GB"/>
        </w:rPr>
      </w:pPr>
      <w:r w:rsidRPr="00EB5EDA">
        <w:rPr>
          <w:lang w:val="en-GB"/>
        </w:rPr>
        <w:tab/>
        <w:t>I.</w:t>
      </w:r>
      <w:bookmarkStart w:id="0" w:name="_Toc74820264"/>
      <w:bookmarkStart w:id="1" w:name="_Toc74755285"/>
      <w:r w:rsidR="00FA50E4" w:rsidRPr="00EB5EDA">
        <w:rPr>
          <w:lang w:val="en-GB"/>
        </w:rPr>
        <w:tab/>
      </w:r>
      <w:r w:rsidRPr="00EB5EDA">
        <w:rPr>
          <w:lang w:val="en-GB"/>
        </w:rPr>
        <w:t>Document overview</w:t>
      </w:r>
      <w:bookmarkEnd w:id="0"/>
      <w:bookmarkEnd w:id="1"/>
    </w:p>
    <w:p w14:paraId="4DABDEE8" w14:textId="1AD26545" w:rsidR="0070496D" w:rsidRPr="00EB5EDA" w:rsidRDefault="0070496D" w:rsidP="006244C6">
      <w:pPr>
        <w:pStyle w:val="Normalnumber"/>
        <w:numPr>
          <w:ilvl w:val="0"/>
          <w:numId w:val="6"/>
        </w:numPr>
        <w:tabs>
          <w:tab w:val="clear" w:pos="567"/>
          <w:tab w:val="num" w:pos="624"/>
        </w:tabs>
      </w:pPr>
      <w:r w:rsidRPr="00EB5EDA">
        <w:rPr>
          <w:bCs/>
        </w:rPr>
        <w:t xml:space="preserve">This </w:t>
      </w:r>
      <w:r w:rsidRPr="00EB5EDA">
        <w:t>guidance document was developed at the request of the Conference of the Parties to the Minamata Convention</w:t>
      </w:r>
      <w:r w:rsidR="00571B3C" w:rsidRPr="00EB5EDA">
        <w:t xml:space="preserve"> on Mercury</w:t>
      </w:r>
      <w:r w:rsidRPr="00EB5EDA">
        <w:t xml:space="preserve">, building on a previous document submitted to </w:t>
      </w:r>
      <w:r w:rsidR="003E450C" w:rsidRPr="00EB5EDA">
        <w:t>the Conference of the Parties</w:t>
      </w:r>
      <w:r w:rsidR="00571B3C" w:rsidRPr="00EB5EDA">
        <w:t xml:space="preserve"> at its third meeting.</w:t>
      </w:r>
      <w:r w:rsidR="001D5A1F" w:rsidRPr="00EB5EDA">
        <w:rPr>
          <w:rStyle w:val="FootnoteReference"/>
        </w:rPr>
        <w:footnoteReference w:id="5"/>
      </w:r>
      <w:r w:rsidRPr="00EB5EDA">
        <w:t xml:space="preserve"> It is intended to provide support to </w:t>
      </w:r>
      <w:r w:rsidR="00571B3C" w:rsidRPr="00EB5EDA">
        <w:t>p</w:t>
      </w:r>
      <w:r w:rsidRPr="00EB5EDA">
        <w:t xml:space="preserve">arties wishing to use customs codes for monitoring and controlling the import and export of </w:t>
      </w:r>
      <w:r w:rsidRPr="00EB5EDA">
        <w:rPr>
          <w:rStyle w:val="NormalnumberChar"/>
        </w:rPr>
        <w:t>mercury</w:t>
      </w:r>
      <w:r w:rsidRPr="00EB5EDA">
        <w:t xml:space="preserve">-added products pursuant to </w:t>
      </w:r>
      <w:r w:rsidR="00571B3C" w:rsidRPr="00EB5EDA">
        <w:t>a</w:t>
      </w:r>
      <w:r w:rsidRPr="00EB5EDA">
        <w:t>rticle 4</w:t>
      </w:r>
      <w:r w:rsidR="00571B3C" w:rsidRPr="00EB5EDA">
        <w:t xml:space="preserve"> of the Convention</w:t>
      </w:r>
      <w:r w:rsidRPr="00EB5EDA">
        <w:t>. Th</w:t>
      </w:r>
      <w:r w:rsidR="00D066E9" w:rsidRPr="00EB5EDA">
        <w:t>e</w:t>
      </w:r>
      <w:r w:rsidRPr="00EB5EDA">
        <w:t xml:space="preserve"> document was developed based on the submissions of national experts and stakeholders with relevant knowledge of customs codes.</w:t>
      </w:r>
    </w:p>
    <w:p w14:paraId="55933821" w14:textId="4E82D289" w:rsidR="0070496D" w:rsidRPr="00EB5EDA" w:rsidRDefault="0070496D" w:rsidP="00B6576E">
      <w:pPr>
        <w:pStyle w:val="Normalnumber"/>
        <w:numPr>
          <w:ilvl w:val="0"/>
          <w:numId w:val="6"/>
        </w:numPr>
        <w:tabs>
          <w:tab w:val="clear" w:pos="567"/>
          <w:tab w:val="num" w:pos="624"/>
        </w:tabs>
      </w:pPr>
      <w:r w:rsidRPr="00EB5EDA">
        <w:t xml:space="preserve">The Minamata Convention is a global legally binding instrument with the objective to protect human health and the environment from anthropogenic emissions and releases of mercury and mercury compounds. The </w:t>
      </w:r>
      <w:r w:rsidRPr="00EB5EDA">
        <w:rPr>
          <w:bCs/>
        </w:rPr>
        <w:t>Convention</w:t>
      </w:r>
      <w:r w:rsidRPr="00EB5EDA">
        <w:t xml:space="preserve"> addresses the life cycle of mercury, including supply, trade, mercury-added products, industrial processes using mercury, artisanal and small-scale gold mining, emissions to air, releases to land and water, interim storage, waste and contaminated sites. Article 4 of the Convention addresses mercury-added products by controlling the manufacture, import and export of products listed in part I of annex A to the Convention and specifying measures to be taken for products listed in part II of the same annex.</w:t>
      </w:r>
    </w:p>
    <w:p w14:paraId="0BDD3FA1" w14:textId="0BD3A505" w:rsidR="0070496D" w:rsidRPr="00EB5EDA" w:rsidRDefault="00571B3C" w:rsidP="00B6576E">
      <w:pPr>
        <w:pStyle w:val="Normalnumber"/>
        <w:numPr>
          <w:ilvl w:val="0"/>
          <w:numId w:val="6"/>
        </w:numPr>
        <w:tabs>
          <w:tab w:val="clear" w:pos="567"/>
          <w:tab w:val="num" w:pos="624"/>
        </w:tabs>
      </w:pPr>
      <w:r w:rsidRPr="00EB5EDA">
        <w:t>At its third meeting, the Conference of the Parties</w:t>
      </w:r>
      <w:r w:rsidR="0070496D" w:rsidRPr="00EB5EDA">
        <w:t xml:space="preserve"> considered the </w:t>
      </w:r>
      <w:r w:rsidR="0070496D" w:rsidRPr="00EB5EDA">
        <w:rPr>
          <w:bCs/>
        </w:rPr>
        <w:t>use</w:t>
      </w:r>
      <w:r w:rsidR="0070496D" w:rsidRPr="00EB5EDA">
        <w:t xml:space="preserve"> of customs codes for identifying mercury-added products, referring to the following four potential approaches:</w:t>
      </w:r>
    </w:p>
    <w:p w14:paraId="41DEBDB5" w14:textId="0C652497" w:rsidR="0070496D" w:rsidRPr="00EB5EDA" w:rsidRDefault="003E5DA8" w:rsidP="006244C6">
      <w:pPr>
        <w:pStyle w:val="Normalnumber"/>
        <w:numPr>
          <w:ilvl w:val="1"/>
          <w:numId w:val="2"/>
        </w:numPr>
        <w:tabs>
          <w:tab w:val="clear" w:pos="567"/>
          <w:tab w:val="num" w:pos="624"/>
        </w:tabs>
        <w:ind w:firstLine="624"/>
      </w:pPr>
      <w:r w:rsidRPr="00EB5EDA">
        <w:t>Develop</w:t>
      </w:r>
      <w:r w:rsidR="0070496D" w:rsidRPr="00EB5EDA">
        <w:t xml:space="preserve"> internationally harmonized six-digit codes pursuant to the </w:t>
      </w:r>
      <w:r w:rsidR="00A01ACB" w:rsidRPr="00EB5EDA">
        <w:t xml:space="preserve">established </w:t>
      </w:r>
      <w:r w:rsidR="0070496D" w:rsidRPr="00EB5EDA">
        <w:t xml:space="preserve">World Customs Organization (WCO) </w:t>
      </w:r>
      <w:r w:rsidR="00A01ACB" w:rsidRPr="00EB5EDA">
        <w:t>process</w:t>
      </w:r>
      <w:r w:rsidR="0070496D" w:rsidRPr="00EB5EDA">
        <w:t xml:space="preserve">; </w:t>
      </w:r>
    </w:p>
    <w:p w14:paraId="1920A7C4" w14:textId="1F3964A9" w:rsidR="0070496D" w:rsidRPr="00EB5EDA" w:rsidRDefault="003E5DA8" w:rsidP="006244C6">
      <w:pPr>
        <w:pStyle w:val="Normalnumber"/>
        <w:numPr>
          <w:ilvl w:val="1"/>
          <w:numId w:val="2"/>
        </w:numPr>
        <w:tabs>
          <w:tab w:val="clear" w:pos="567"/>
          <w:tab w:val="num" w:pos="624"/>
        </w:tabs>
        <w:ind w:firstLine="624"/>
      </w:pPr>
      <w:r w:rsidRPr="00EB5EDA">
        <w:t>Develop</w:t>
      </w:r>
      <w:r w:rsidR="0070496D" w:rsidRPr="00EB5EDA">
        <w:t xml:space="preserve"> statistical codes of more than six digits; </w:t>
      </w:r>
    </w:p>
    <w:p w14:paraId="14D0C9F8" w14:textId="20DEF3F9" w:rsidR="0070496D" w:rsidRPr="00EB5EDA" w:rsidRDefault="003E5DA8" w:rsidP="006244C6">
      <w:pPr>
        <w:pStyle w:val="Normalnumber"/>
        <w:numPr>
          <w:ilvl w:val="1"/>
          <w:numId w:val="2"/>
        </w:numPr>
        <w:tabs>
          <w:tab w:val="clear" w:pos="567"/>
          <w:tab w:val="num" w:pos="624"/>
        </w:tabs>
        <w:ind w:firstLine="624"/>
      </w:pPr>
      <w:r w:rsidRPr="00EB5EDA">
        <w:t>Deliver a</w:t>
      </w:r>
      <w:r w:rsidR="0070496D" w:rsidRPr="00EB5EDA">
        <w:t xml:space="preserve"> combination of those two approaches, essentially comprising interim statistical codes of more than six digits in the near term, some or all of which could ultimately be superseded by six-digit Harmonized </w:t>
      </w:r>
      <w:r w:rsidR="00290F14" w:rsidRPr="00EB5EDA">
        <w:t xml:space="preserve">Commodity Description and Coding </w:t>
      </w:r>
      <w:r w:rsidR="0070496D" w:rsidRPr="00EB5EDA">
        <w:t>System</w:t>
      </w:r>
      <w:r w:rsidR="00A72D22" w:rsidRPr="00EB5EDA">
        <w:t xml:space="preserve"> (HS)</w:t>
      </w:r>
      <w:r w:rsidR="0070496D" w:rsidRPr="00EB5EDA">
        <w:t xml:space="preserve"> codes; </w:t>
      </w:r>
    </w:p>
    <w:p w14:paraId="28E0F8AD" w14:textId="1F837604" w:rsidR="0070496D" w:rsidRPr="00EB5EDA" w:rsidRDefault="003E5DA8" w:rsidP="006244C6">
      <w:pPr>
        <w:pStyle w:val="Normalnumber"/>
        <w:numPr>
          <w:ilvl w:val="1"/>
          <w:numId w:val="2"/>
        </w:numPr>
        <w:tabs>
          <w:tab w:val="clear" w:pos="567"/>
          <w:tab w:val="num" w:pos="624"/>
        </w:tabs>
        <w:ind w:firstLine="624"/>
      </w:pPr>
      <w:r w:rsidRPr="00EB5EDA">
        <w:t>Do n</w:t>
      </w:r>
      <w:r w:rsidR="0070496D" w:rsidRPr="00EB5EDA">
        <w:t>ot explore new customs codes under the Convention.</w:t>
      </w:r>
    </w:p>
    <w:p w14:paraId="59B0C68F" w14:textId="67F21DC9" w:rsidR="0070496D" w:rsidRPr="00EB5EDA" w:rsidRDefault="0070496D" w:rsidP="00B6576E">
      <w:pPr>
        <w:pStyle w:val="Normalnumber"/>
        <w:numPr>
          <w:ilvl w:val="0"/>
          <w:numId w:val="6"/>
        </w:numPr>
        <w:tabs>
          <w:tab w:val="clear" w:pos="567"/>
          <w:tab w:val="num" w:pos="624"/>
        </w:tabs>
      </w:pPr>
      <w:r w:rsidRPr="00EB5EDA">
        <w:t xml:space="preserve">In </w:t>
      </w:r>
      <w:r w:rsidR="00571B3C" w:rsidRPr="00EB5EDA">
        <w:t>d</w:t>
      </w:r>
      <w:r w:rsidRPr="00EB5EDA">
        <w:t xml:space="preserve">ecision MC-3/3, the </w:t>
      </w:r>
      <w:r w:rsidR="00571B3C" w:rsidRPr="00EB5EDA">
        <w:t>Conference of the Parties</w:t>
      </w:r>
      <w:r w:rsidRPr="00EB5EDA">
        <w:t xml:space="preserve"> requested the </w:t>
      </w:r>
      <w:r w:rsidR="00290F14" w:rsidRPr="00EB5EDA">
        <w:t>s</w:t>
      </w:r>
      <w:r w:rsidRPr="00EB5EDA">
        <w:t xml:space="preserve">ecretariat, in collaboration with the Global Mercury </w:t>
      </w:r>
      <w:r w:rsidRPr="00EB5EDA">
        <w:rPr>
          <w:bCs/>
        </w:rPr>
        <w:t>Partnership</w:t>
      </w:r>
      <w:r w:rsidRPr="00EB5EDA">
        <w:t xml:space="preserve"> and involving relevant experts, to draft a guidance document on the use of customs codes for monitoring the import and export of mercury-added products, including:</w:t>
      </w:r>
    </w:p>
    <w:p w14:paraId="6DBE4140" w14:textId="5DDBBB66" w:rsidR="0070496D" w:rsidRPr="00EB5EDA" w:rsidRDefault="0070496D" w:rsidP="006244C6">
      <w:pPr>
        <w:pStyle w:val="Normalnumber"/>
        <w:numPr>
          <w:ilvl w:val="1"/>
          <w:numId w:val="2"/>
        </w:numPr>
        <w:tabs>
          <w:tab w:val="clear" w:pos="567"/>
          <w:tab w:val="num" w:pos="624"/>
        </w:tabs>
        <w:ind w:firstLine="624"/>
      </w:pPr>
      <w:r w:rsidRPr="00EB5EDA">
        <w:t xml:space="preserve">For the mercury-added products listed in </w:t>
      </w:r>
      <w:r w:rsidR="00571B3C" w:rsidRPr="00EB5EDA">
        <w:t>a</w:t>
      </w:r>
      <w:r w:rsidRPr="00EB5EDA">
        <w:t xml:space="preserve">nnex A to the Convention, possible customs nomenclature codes of more than six digits that could be used by </w:t>
      </w:r>
      <w:r w:rsidR="00A72D22" w:rsidRPr="00EB5EDA">
        <w:t>p</w:t>
      </w:r>
      <w:r w:rsidRPr="00EB5EDA">
        <w:t>arties;</w:t>
      </w:r>
    </w:p>
    <w:p w14:paraId="36DA2445" w14:textId="2653D48E" w:rsidR="0070496D" w:rsidRPr="00EB5EDA" w:rsidRDefault="0070496D" w:rsidP="006244C6">
      <w:pPr>
        <w:pStyle w:val="Normalnumber"/>
        <w:numPr>
          <w:ilvl w:val="1"/>
          <w:numId w:val="2"/>
        </w:numPr>
        <w:tabs>
          <w:tab w:val="clear" w:pos="567"/>
          <w:tab w:val="num" w:pos="624"/>
        </w:tabs>
        <w:ind w:firstLine="624"/>
      </w:pPr>
      <w:r w:rsidRPr="00EB5EDA">
        <w:t xml:space="preserve">For mercury-added products not listed in </w:t>
      </w:r>
      <w:r w:rsidR="00571B3C" w:rsidRPr="00EB5EDA">
        <w:t>a</w:t>
      </w:r>
      <w:r w:rsidRPr="00EB5EDA">
        <w:t xml:space="preserve">nnex A to the Convention, a compilation of examples provided by national experts of customs nomenclature codes of more than six digits currently in use by </w:t>
      </w:r>
      <w:r w:rsidR="00A72D22" w:rsidRPr="00EB5EDA">
        <w:t>p</w:t>
      </w:r>
      <w:r w:rsidRPr="00EB5EDA">
        <w:t xml:space="preserve">arties; </w:t>
      </w:r>
    </w:p>
    <w:p w14:paraId="69AE33D2" w14:textId="2A662A52" w:rsidR="0070496D" w:rsidRPr="00EB5EDA" w:rsidRDefault="0070496D" w:rsidP="006244C6">
      <w:pPr>
        <w:pStyle w:val="Normalnumber"/>
        <w:numPr>
          <w:ilvl w:val="1"/>
          <w:numId w:val="2"/>
        </w:numPr>
        <w:tabs>
          <w:tab w:val="clear" w:pos="567"/>
          <w:tab w:val="num" w:pos="624"/>
        </w:tabs>
        <w:ind w:firstLine="624"/>
      </w:pPr>
      <w:r w:rsidRPr="00EB5EDA">
        <w:t xml:space="preserve">Examples of good practice where the use of customs nomenclature codes at the national level has been supplemented by the use of other control tools for the purpose of implementing trade provisions, such as those found in </w:t>
      </w:r>
      <w:r w:rsidR="00A72D22" w:rsidRPr="00EB5EDA">
        <w:t>a</w:t>
      </w:r>
      <w:r w:rsidRPr="00EB5EDA">
        <w:t xml:space="preserve">rticle 4 </w:t>
      </w:r>
      <w:r w:rsidR="00290F14" w:rsidRPr="00EB5EDA">
        <w:t xml:space="preserve">of </w:t>
      </w:r>
      <w:r w:rsidRPr="00EB5EDA">
        <w:t>the Convention.</w:t>
      </w:r>
    </w:p>
    <w:p w14:paraId="5B06E770" w14:textId="20D9BC04" w:rsidR="0070496D" w:rsidRPr="00EB5EDA" w:rsidRDefault="0070496D" w:rsidP="00B6576E">
      <w:pPr>
        <w:pStyle w:val="Normalnumber"/>
        <w:numPr>
          <w:ilvl w:val="0"/>
          <w:numId w:val="6"/>
        </w:numPr>
        <w:tabs>
          <w:tab w:val="clear" w:pos="567"/>
          <w:tab w:val="num" w:pos="624"/>
        </w:tabs>
        <w:rPr>
          <w:bCs/>
        </w:rPr>
      </w:pPr>
      <w:r w:rsidRPr="00EB5EDA">
        <w:t xml:space="preserve">The </w:t>
      </w:r>
      <w:r w:rsidR="00290F14" w:rsidRPr="00EB5EDA">
        <w:t>s</w:t>
      </w:r>
      <w:r w:rsidRPr="00EB5EDA">
        <w:t xml:space="preserve">ecretariat was further requested to provide an assessment of whether the subsequent </w:t>
      </w:r>
      <w:r w:rsidRPr="00EB5EDA">
        <w:rPr>
          <w:bCs/>
        </w:rPr>
        <w:t xml:space="preserve">development of six-digit harmonized codes would be a useful complement to the outcome of the work undertaken under </w:t>
      </w:r>
      <w:r w:rsidR="001B5E4A" w:rsidRPr="00EB5EDA">
        <w:rPr>
          <w:bCs/>
        </w:rPr>
        <w:t xml:space="preserve">paragraph 4 </w:t>
      </w:r>
      <w:r w:rsidRPr="00EB5EDA">
        <w:rPr>
          <w:bCs/>
        </w:rPr>
        <w:t>(</w:t>
      </w:r>
      <w:r w:rsidR="001B5E4A" w:rsidRPr="00EB5EDA">
        <w:rPr>
          <w:bCs/>
        </w:rPr>
        <w:t>a</w:t>
      </w:r>
      <w:r w:rsidRPr="00EB5EDA">
        <w:rPr>
          <w:bCs/>
        </w:rPr>
        <w:t>) and (</w:t>
      </w:r>
      <w:r w:rsidR="001B5E4A" w:rsidRPr="00EB5EDA">
        <w:rPr>
          <w:bCs/>
        </w:rPr>
        <w:t>b</w:t>
      </w:r>
      <w:r w:rsidRPr="00EB5EDA">
        <w:rPr>
          <w:bCs/>
        </w:rPr>
        <w:t>) above.</w:t>
      </w:r>
    </w:p>
    <w:p w14:paraId="32E99FF6" w14:textId="220FEF2B" w:rsidR="0070496D" w:rsidRPr="00EB5EDA" w:rsidRDefault="0070496D" w:rsidP="00B6576E">
      <w:pPr>
        <w:pStyle w:val="Normalnumber"/>
        <w:numPr>
          <w:ilvl w:val="0"/>
          <w:numId w:val="6"/>
        </w:numPr>
        <w:tabs>
          <w:tab w:val="clear" w:pos="567"/>
          <w:tab w:val="num" w:pos="624"/>
        </w:tabs>
        <w:rPr>
          <w:bCs/>
        </w:rPr>
      </w:pPr>
      <w:r w:rsidRPr="00EB5EDA">
        <w:rPr>
          <w:bCs/>
        </w:rPr>
        <w:t xml:space="preserve">This guidance document was drafted </w:t>
      </w:r>
      <w:r w:rsidR="00E65B48" w:rsidRPr="00EB5EDA">
        <w:rPr>
          <w:bCs/>
        </w:rPr>
        <w:t xml:space="preserve">in the light of </w:t>
      </w:r>
      <w:r w:rsidRPr="00EB5EDA">
        <w:rPr>
          <w:bCs/>
        </w:rPr>
        <w:t xml:space="preserve">the discussion and relevant documents </w:t>
      </w:r>
      <w:r w:rsidR="00571B3C" w:rsidRPr="00EB5EDA">
        <w:rPr>
          <w:bCs/>
        </w:rPr>
        <w:t>considered at the third meeting of the Conference of the Parties</w:t>
      </w:r>
      <w:r w:rsidRPr="00EB5EDA">
        <w:rPr>
          <w:bCs/>
        </w:rPr>
        <w:t xml:space="preserve"> regarding the consideration of possible approaches to customs codes to distinguish non-mercury</w:t>
      </w:r>
      <w:r w:rsidRPr="00EB5EDA">
        <w:rPr>
          <w:bCs/>
        </w:rPr>
        <w:noBreakHyphen/>
        <w:t>added and</w:t>
      </w:r>
      <w:r w:rsidRPr="00EB5EDA">
        <w:t xml:space="preserve"> mercury</w:t>
      </w:r>
      <w:r w:rsidRPr="00EB5EDA">
        <w:noBreakHyphen/>
        <w:t xml:space="preserve">added products listed in </w:t>
      </w:r>
      <w:r w:rsidR="00571B3C" w:rsidRPr="00EB5EDA">
        <w:t>a</w:t>
      </w:r>
      <w:r w:rsidRPr="00EB5EDA">
        <w:t xml:space="preserve">nnex A, based on a collaborative process between the Global Mercury Partnership’s Mercury in Products partnership area and in consultation with relevant organizations and other stakeholders. The </w:t>
      </w:r>
      <w:r w:rsidR="00A72D22" w:rsidRPr="00EB5EDA">
        <w:t>s</w:t>
      </w:r>
      <w:r w:rsidRPr="00EB5EDA">
        <w:t xml:space="preserve">ecretariat has organized the inputs as submitted by the </w:t>
      </w:r>
      <w:r w:rsidR="00A72D22" w:rsidRPr="00EB5EDA">
        <w:t>p</w:t>
      </w:r>
      <w:r w:rsidRPr="00EB5EDA">
        <w:t xml:space="preserve">arties, as well as proposed statistical codes for a range of </w:t>
      </w:r>
      <w:r w:rsidR="00A72D22" w:rsidRPr="00EB5EDA">
        <w:t>a</w:t>
      </w:r>
      <w:r w:rsidRPr="00EB5EDA">
        <w:t xml:space="preserve">nnex A products in cases where none </w:t>
      </w:r>
      <w:r w:rsidR="00D90598" w:rsidRPr="00EB5EDA">
        <w:t>were</w:t>
      </w:r>
      <w:r w:rsidRPr="00EB5EDA">
        <w:t xml:space="preserve"> presented by </w:t>
      </w:r>
      <w:r w:rsidR="00A72D22" w:rsidRPr="00EB5EDA">
        <w:t>p</w:t>
      </w:r>
      <w:r w:rsidRPr="00EB5EDA">
        <w:t xml:space="preserve">arties. Keeping in mind that different countries have different preferences and approaches when dealing with customs codes and </w:t>
      </w:r>
      <w:r w:rsidRPr="00EB5EDA">
        <w:lastRenderedPageBreak/>
        <w:t>statistics, national experts and stakeholders were invit</w:t>
      </w:r>
      <w:bookmarkStart w:id="2" w:name="_GoBack"/>
      <w:bookmarkEnd w:id="2"/>
      <w:r w:rsidRPr="00EB5EDA">
        <w:t>ed to consider an early draft of this guidance and provide examples focusing on identifying readily implementable commodity codes and supporting measures (i.e.</w:t>
      </w:r>
      <w:r w:rsidR="00AB66C6" w:rsidRPr="00EB5EDA">
        <w:t>,</w:t>
      </w:r>
      <w:r w:rsidRPr="00EB5EDA">
        <w:t xml:space="preserve"> examples of </w:t>
      </w:r>
      <w:r w:rsidRPr="00EB5EDA">
        <w:rPr>
          <w:bCs/>
        </w:rPr>
        <w:t>codes</w:t>
      </w:r>
      <w:r w:rsidRPr="00EB5EDA">
        <w:t xml:space="preserve"> and strategies already in place, examples of good practice, etc.). The information received was incorporated in</w:t>
      </w:r>
      <w:r w:rsidR="00E65B48" w:rsidRPr="00EB5EDA">
        <w:t>to</w:t>
      </w:r>
      <w:r w:rsidRPr="00EB5EDA">
        <w:t xml:space="preserve"> this revised draft.</w:t>
      </w:r>
    </w:p>
    <w:p w14:paraId="47AA65E7" w14:textId="58571744" w:rsidR="0070496D" w:rsidRPr="00EB5EDA" w:rsidRDefault="00B6576E" w:rsidP="00B6576E">
      <w:pPr>
        <w:pStyle w:val="CH1"/>
        <w:rPr>
          <w:lang w:val="en-GB"/>
        </w:rPr>
      </w:pPr>
      <w:bookmarkStart w:id="3" w:name="_Toc74820266"/>
      <w:bookmarkStart w:id="4" w:name="_Toc74755288"/>
      <w:r w:rsidRPr="00EB5EDA">
        <w:rPr>
          <w:lang w:val="en-GB"/>
        </w:rPr>
        <w:tab/>
      </w:r>
      <w:r w:rsidR="0070496D" w:rsidRPr="00EB5EDA">
        <w:rPr>
          <w:lang w:val="en-GB"/>
        </w:rPr>
        <w:t>II.</w:t>
      </w:r>
      <w:r w:rsidRPr="00EB5EDA">
        <w:rPr>
          <w:lang w:val="en-GB"/>
        </w:rPr>
        <w:tab/>
      </w:r>
      <w:r w:rsidR="0070496D" w:rsidRPr="00EB5EDA">
        <w:rPr>
          <w:lang w:val="en-GB"/>
        </w:rPr>
        <w:t xml:space="preserve">Codes of more than six digits for products listed in </w:t>
      </w:r>
      <w:r w:rsidR="00290F14" w:rsidRPr="00EB5EDA">
        <w:rPr>
          <w:lang w:val="en-GB"/>
        </w:rPr>
        <w:t>a</w:t>
      </w:r>
      <w:r w:rsidR="0070496D" w:rsidRPr="00EB5EDA">
        <w:rPr>
          <w:lang w:val="en-GB"/>
        </w:rPr>
        <w:t>nnex A</w:t>
      </w:r>
      <w:bookmarkEnd w:id="3"/>
      <w:bookmarkEnd w:id="4"/>
    </w:p>
    <w:p w14:paraId="6F1417F8" w14:textId="522489E8" w:rsidR="0070496D" w:rsidRPr="00EB5EDA" w:rsidRDefault="0070496D" w:rsidP="00B6576E">
      <w:pPr>
        <w:pStyle w:val="Normalnumber"/>
        <w:numPr>
          <w:ilvl w:val="0"/>
          <w:numId w:val="6"/>
        </w:numPr>
        <w:tabs>
          <w:tab w:val="clear" w:pos="567"/>
          <w:tab w:val="num" w:pos="624"/>
        </w:tabs>
        <w:rPr>
          <w:bCs/>
        </w:rPr>
      </w:pPr>
      <w:r w:rsidRPr="00EB5EDA">
        <w:t xml:space="preserve">Up to the six-digit level, contracting parties to the International Convention on the Harmonized Commodity </w:t>
      </w:r>
      <w:r w:rsidRPr="00EB5EDA">
        <w:rPr>
          <w:bCs/>
        </w:rPr>
        <w:t>Description and Coding System have agreed to use the Harmonized System nomenclature for chapter</w:t>
      </w:r>
      <w:r w:rsidR="00E65B48" w:rsidRPr="00EB5EDA">
        <w:rPr>
          <w:bCs/>
        </w:rPr>
        <w:t>s</w:t>
      </w:r>
      <w:r w:rsidRPr="00EB5EDA">
        <w:rPr>
          <w:bCs/>
        </w:rPr>
        <w:t>, heading</w:t>
      </w:r>
      <w:r w:rsidR="00E65B48" w:rsidRPr="00EB5EDA">
        <w:rPr>
          <w:bCs/>
        </w:rPr>
        <w:t>s</w:t>
      </w:r>
      <w:r w:rsidRPr="00EB5EDA">
        <w:rPr>
          <w:bCs/>
        </w:rPr>
        <w:t xml:space="preserve"> and subheading</w:t>
      </w:r>
      <w:r w:rsidR="00E65B48" w:rsidRPr="00EB5EDA">
        <w:rPr>
          <w:bCs/>
        </w:rPr>
        <w:t>s</w:t>
      </w:r>
      <w:r w:rsidRPr="00EB5EDA">
        <w:rPr>
          <w:bCs/>
        </w:rPr>
        <w:t>, including relevant legal notes. Management of HS codes at this level is the responsibility of WCO, and changes are implemented every five or six years in accordance with the WCO submission and approval process. Therefore, with very few exceptions, all countries use the same six-digit nomenclature.</w:t>
      </w:r>
    </w:p>
    <w:p w14:paraId="70E8891D" w14:textId="3D867856" w:rsidR="0070496D" w:rsidRPr="00EB5EDA" w:rsidRDefault="0070496D" w:rsidP="00B6576E">
      <w:pPr>
        <w:pStyle w:val="Normalnumber"/>
        <w:numPr>
          <w:ilvl w:val="0"/>
          <w:numId w:val="6"/>
        </w:numPr>
        <w:tabs>
          <w:tab w:val="clear" w:pos="567"/>
          <w:tab w:val="num" w:pos="624"/>
        </w:tabs>
        <w:rPr>
          <w:bCs/>
        </w:rPr>
      </w:pPr>
      <w:r w:rsidRPr="00EB5EDA">
        <w:rPr>
          <w:bCs/>
        </w:rPr>
        <w:t>Customs codes with more than six digits may be revised or created unilaterally (i.e.</w:t>
      </w:r>
      <w:r w:rsidR="00AB66C6" w:rsidRPr="00EB5EDA">
        <w:rPr>
          <w:bCs/>
        </w:rPr>
        <w:t>,</w:t>
      </w:r>
      <w:r w:rsidRPr="00EB5EDA">
        <w:rPr>
          <w:bCs/>
        </w:rPr>
        <w:t xml:space="preserve"> without consulting WCO) by any country according to its own procedures. Eight-digit codes are typically used for tariff purposes and ten digits (and above) are typically used for statistical purposes.</w:t>
      </w:r>
    </w:p>
    <w:p w14:paraId="23E11FD6" w14:textId="77777777" w:rsidR="0070496D" w:rsidRPr="00EB5EDA" w:rsidRDefault="0070496D" w:rsidP="00B6576E">
      <w:pPr>
        <w:pStyle w:val="Normalnumber"/>
        <w:numPr>
          <w:ilvl w:val="0"/>
          <w:numId w:val="6"/>
        </w:numPr>
        <w:tabs>
          <w:tab w:val="clear" w:pos="567"/>
          <w:tab w:val="num" w:pos="624"/>
        </w:tabs>
        <w:rPr>
          <w:bCs/>
        </w:rPr>
      </w:pPr>
      <w:r w:rsidRPr="00EB5EDA">
        <w:rPr>
          <w:bCs/>
        </w:rPr>
        <w:t>To arrive at codes of eight digits and more, governments generally build on existing six-digit</w:t>
      </w:r>
      <w:r w:rsidRPr="00EB5EDA" w:rsidDel="00784405">
        <w:rPr>
          <w:bCs/>
        </w:rPr>
        <w:t xml:space="preserve"> </w:t>
      </w:r>
      <w:r w:rsidRPr="00EB5EDA">
        <w:rPr>
          <w:bCs/>
        </w:rPr>
        <w:t>HS codes. Most countries using the Harmonized System have established procedures for generating and implementing customs codes of more than six digits.</w:t>
      </w:r>
    </w:p>
    <w:p w14:paraId="0E8F29CA" w14:textId="42F72B28" w:rsidR="0070496D" w:rsidRPr="00EB5EDA" w:rsidRDefault="0070496D" w:rsidP="00B6576E">
      <w:pPr>
        <w:pStyle w:val="Normalnumber"/>
        <w:numPr>
          <w:ilvl w:val="0"/>
          <w:numId w:val="6"/>
        </w:numPr>
        <w:tabs>
          <w:tab w:val="clear" w:pos="567"/>
          <w:tab w:val="num" w:pos="624"/>
        </w:tabs>
      </w:pPr>
      <w:r w:rsidRPr="00EB5EDA">
        <w:rPr>
          <w:bCs/>
        </w:rPr>
        <w:t xml:space="preserve">All customs code submissions from </w:t>
      </w:r>
      <w:r w:rsidR="00A72D22" w:rsidRPr="00EB5EDA">
        <w:rPr>
          <w:bCs/>
        </w:rPr>
        <w:t>p</w:t>
      </w:r>
      <w:r w:rsidRPr="00EB5EDA">
        <w:rPr>
          <w:bCs/>
        </w:rPr>
        <w:t xml:space="preserve">arties prior to </w:t>
      </w:r>
      <w:r w:rsidR="00A72D22" w:rsidRPr="00EB5EDA">
        <w:rPr>
          <w:bCs/>
        </w:rPr>
        <w:t xml:space="preserve">the third meeting of the Conference of the Parties </w:t>
      </w:r>
      <w:r w:rsidRPr="00EB5EDA">
        <w:rPr>
          <w:bCs/>
        </w:rPr>
        <w:t xml:space="preserve">are presented in </w:t>
      </w:r>
      <w:r w:rsidR="00A72D22" w:rsidRPr="00EB5EDA">
        <w:rPr>
          <w:bCs/>
        </w:rPr>
        <w:t>a</w:t>
      </w:r>
      <w:r w:rsidRPr="00EB5EDA">
        <w:rPr>
          <w:bCs/>
        </w:rPr>
        <w:t>ppendix 1</w:t>
      </w:r>
      <w:r w:rsidR="00A72D22" w:rsidRPr="00EB5EDA">
        <w:rPr>
          <w:bCs/>
        </w:rPr>
        <w:t>.</w:t>
      </w:r>
      <w:r w:rsidRPr="00EB5EDA">
        <w:rPr>
          <w:bCs/>
          <w:vertAlign w:val="superscript"/>
        </w:rPr>
        <w:footnoteReference w:id="6"/>
      </w:r>
      <w:r w:rsidRPr="00EB5EDA">
        <w:rPr>
          <w:bCs/>
        </w:rPr>
        <w:t xml:space="preserve"> Those identifying </w:t>
      </w:r>
      <w:r w:rsidR="00A72D22" w:rsidRPr="00EB5EDA">
        <w:rPr>
          <w:bCs/>
        </w:rPr>
        <w:t>a</w:t>
      </w:r>
      <w:r w:rsidRPr="00EB5EDA">
        <w:rPr>
          <w:bCs/>
        </w:rPr>
        <w:t>nnex</w:t>
      </w:r>
      <w:r w:rsidRPr="00EB5EDA">
        <w:t xml:space="preserve"> A mercury-added products have been extracted from th</w:t>
      </w:r>
      <w:r w:rsidR="00E347F6" w:rsidRPr="00EB5EDA">
        <w:t>e</w:t>
      </w:r>
      <w:r w:rsidRPr="00EB5EDA">
        <w:t xml:space="preserve"> list</w:t>
      </w:r>
      <w:r w:rsidR="00E347F6" w:rsidRPr="00EB5EDA">
        <w:t xml:space="preserve"> in appendix 1</w:t>
      </w:r>
      <w:r w:rsidRPr="00EB5EDA">
        <w:t xml:space="preserve"> and organized in the table </w:t>
      </w:r>
      <w:r w:rsidR="00261D70" w:rsidRPr="00EB5EDA">
        <w:t>on page 5</w:t>
      </w:r>
      <w:r w:rsidRPr="00EB5EDA">
        <w:t xml:space="preserve"> under the following categories:</w:t>
      </w:r>
    </w:p>
    <w:p w14:paraId="2542E414" w14:textId="77777777" w:rsidR="0070496D" w:rsidRPr="00EB5EDA" w:rsidRDefault="0070496D" w:rsidP="003B2AD6">
      <w:pPr>
        <w:pStyle w:val="Normalnumber"/>
        <w:numPr>
          <w:ilvl w:val="1"/>
          <w:numId w:val="6"/>
        </w:numPr>
        <w:tabs>
          <w:tab w:val="clear" w:pos="567"/>
          <w:tab w:val="num" w:pos="624"/>
        </w:tabs>
        <w:ind w:firstLine="624"/>
        <w:rPr>
          <w:bCs/>
        </w:rPr>
      </w:pPr>
      <w:r w:rsidRPr="00EB5EDA">
        <w:rPr>
          <w:bCs/>
        </w:rPr>
        <w:t>Batteries</w:t>
      </w:r>
    </w:p>
    <w:p w14:paraId="1234A7DD" w14:textId="77777777" w:rsidR="0070496D" w:rsidRPr="00EB5EDA" w:rsidRDefault="0070496D" w:rsidP="003B2AD6">
      <w:pPr>
        <w:pStyle w:val="Normalnumber"/>
        <w:numPr>
          <w:ilvl w:val="1"/>
          <w:numId w:val="6"/>
        </w:numPr>
        <w:tabs>
          <w:tab w:val="clear" w:pos="567"/>
          <w:tab w:val="num" w:pos="624"/>
        </w:tabs>
        <w:ind w:firstLine="624"/>
        <w:rPr>
          <w:bCs/>
        </w:rPr>
      </w:pPr>
      <w:r w:rsidRPr="00EB5EDA">
        <w:rPr>
          <w:bCs/>
        </w:rPr>
        <w:t>Switches and relays</w:t>
      </w:r>
    </w:p>
    <w:p w14:paraId="09187F89" w14:textId="77777777" w:rsidR="0070496D" w:rsidRPr="00EB5EDA" w:rsidRDefault="0070496D" w:rsidP="003B2AD6">
      <w:pPr>
        <w:pStyle w:val="Normalnumber"/>
        <w:numPr>
          <w:ilvl w:val="1"/>
          <w:numId w:val="6"/>
        </w:numPr>
        <w:tabs>
          <w:tab w:val="clear" w:pos="567"/>
          <w:tab w:val="num" w:pos="624"/>
        </w:tabs>
        <w:ind w:firstLine="624"/>
        <w:rPr>
          <w:bCs/>
        </w:rPr>
      </w:pPr>
      <w:r w:rsidRPr="00EB5EDA">
        <w:rPr>
          <w:bCs/>
        </w:rPr>
        <w:t>Compact fluorescent lamps</w:t>
      </w:r>
    </w:p>
    <w:p w14:paraId="0BE171BB" w14:textId="77777777" w:rsidR="0070496D" w:rsidRPr="00EB5EDA" w:rsidRDefault="0070496D" w:rsidP="003B2AD6">
      <w:pPr>
        <w:pStyle w:val="Normalnumber"/>
        <w:numPr>
          <w:ilvl w:val="1"/>
          <w:numId w:val="6"/>
        </w:numPr>
        <w:tabs>
          <w:tab w:val="clear" w:pos="567"/>
          <w:tab w:val="num" w:pos="624"/>
        </w:tabs>
        <w:ind w:firstLine="624"/>
        <w:rPr>
          <w:bCs/>
        </w:rPr>
      </w:pPr>
      <w:r w:rsidRPr="00EB5EDA">
        <w:rPr>
          <w:bCs/>
        </w:rPr>
        <w:t>Linear fluorescent lamps</w:t>
      </w:r>
    </w:p>
    <w:p w14:paraId="62D4C6EF" w14:textId="1F3F8635" w:rsidR="0070496D" w:rsidRPr="00EB5EDA" w:rsidRDefault="0070496D" w:rsidP="003B2AD6">
      <w:pPr>
        <w:pStyle w:val="Normalnumber"/>
        <w:numPr>
          <w:ilvl w:val="1"/>
          <w:numId w:val="6"/>
        </w:numPr>
        <w:tabs>
          <w:tab w:val="clear" w:pos="567"/>
          <w:tab w:val="num" w:pos="624"/>
        </w:tabs>
        <w:ind w:firstLine="624"/>
        <w:rPr>
          <w:bCs/>
        </w:rPr>
      </w:pPr>
      <w:r w:rsidRPr="00EB5EDA">
        <w:rPr>
          <w:bCs/>
        </w:rPr>
        <w:t>High</w:t>
      </w:r>
      <w:r w:rsidR="00F35E0E" w:rsidRPr="00EB5EDA">
        <w:rPr>
          <w:bCs/>
        </w:rPr>
        <w:t>-</w:t>
      </w:r>
      <w:r w:rsidRPr="00EB5EDA">
        <w:rPr>
          <w:bCs/>
        </w:rPr>
        <w:t>pressure mercury vapo</w:t>
      </w:r>
      <w:r w:rsidR="00E347F6" w:rsidRPr="00EB5EDA">
        <w:rPr>
          <w:bCs/>
        </w:rPr>
        <w:t>u</w:t>
      </w:r>
      <w:r w:rsidRPr="00EB5EDA">
        <w:rPr>
          <w:bCs/>
        </w:rPr>
        <w:t>r lamps</w:t>
      </w:r>
    </w:p>
    <w:p w14:paraId="17E09AEA" w14:textId="77777777" w:rsidR="0070496D" w:rsidRPr="00EB5EDA" w:rsidRDefault="0070496D" w:rsidP="003B2AD6">
      <w:pPr>
        <w:pStyle w:val="Normalnumber"/>
        <w:numPr>
          <w:ilvl w:val="1"/>
          <w:numId w:val="6"/>
        </w:numPr>
        <w:tabs>
          <w:tab w:val="clear" w:pos="567"/>
          <w:tab w:val="num" w:pos="624"/>
        </w:tabs>
        <w:ind w:firstLine="624"/>
        <w:rPr>
          <w:bCs/>
        </w:rPr>
      </w:pPr>
      <w:r w:rsidRPr="00EB5EDA">
        <w:rPr>
          <w:bCs/>
        </w:rPr>
        <w:t>Cold cathode fluorescent lamps</w:t>
      </w:r>
    </w:p>
    <w:p w14:paraId="1EA3BF8D" w14:textId="77777777" w:rsidR="0070496D" w:rsidRPr="00EB5EDA" w:rsidRDefault="0070496D" w:rsidP="003B2AD6">
      <w:pPr>
        <w:pStyle w:val="Normalnumber"/>
        <w:numPr>
          <w:ilvl w:val="1"/>
          <w:numId w:val="6"/>
        </w:numPr>
        <w:tabs>
          <w:tab w:val="clear" w:pos="567"/>
          <w:tab w:val="num" w:pos="624"/>
        </w:tabs>
        <w:ind w:firstLine="624"/>
        <w:rPr>
          <w:bCs/>
        </w:rPr>
      </w:pPr>
      <w:r w:rsidRPr="00EB5EDA">
        <w:rPr>
          <w:bCs/>
        </w:rPr>
        <w:t>External electrode fluorescent lamps</w:t>
      </w:r>
    </w:p>
    <w:p w14:paraId="0AF85513" w14:textId="77777777" w:rsidR="0070496D" w:rsidRPr="00EB5EDA" w:rsidRDefault="0070496D" w:rsidP="003B2AD6">
      <w:pPr>
        <w:pStyle w:val="Normalnumber"/>
        <w:numPr>
          <w:ilvl w:val="1"/>
          <w:numId w:val="6"/>
        </w:numPr>
        <w:tabs>
          <w:tab w:val="clear" w:pos="567"/>
          <w:tab w:val="num" w:pos="624"/>
        </w:tabs>
        <w:ind w:firstLine="624"/>
        <w:rPr>
          <w:bCs/>
        </w:rPr>
      </w:pPr>
      <w:r w:rsidRPr="00EB5EDA">
        <w:rPr>
          <w:bCs/>
        </w:rPr>
        <w:t>Cosmetics</w:t>
      </w:r>
    </w:p>
    <w:p w14:paraId="73E46D00" w14:textId="77777777" w:rsidR="0070496D" w:rsidRPr="00EB5EDA" w:rsidRDefault="0070496D" w:rsidP="003B2AD6">
      <w:pPr>
        <w:pStyle w:val="Normalnumber"/>
        <w:numPr>
          <w:ilvl w:val="1"/>
          <w:numId w:val="6"/>
        </w:numPr>
        <w:tabs>
          <w:tab w:val="clear" w:pos="567"/>
          <w:tab w:val="num" w:pos="624"/>
        </w:tabs>
        <w:ind w:firstLine="624"/>
        <w:rPr>
          <w:bCs/>
        </w:rPr>
      </w:pPr>
      <w:r w:rsidRPr="00EB5EDA">
        <w:rPr>
          <w:bCs/>
        </w:rPr>
        <w:t>Pesticides, biocides and topical antiseptics</w:t>
      </w:r>
    </w:p>
    <w:p w14:paraId="1D36948F" w14:textId="77777777" w:rsidR="0070496D" w:rsidRPr="00EB5EDA" w:rsidRDefault="0070496D" w:rsidP="003B2AD6">
      <w:pPr>
        <w:pStyle w:val="Normalnumber"/>
        <w:numPr>
          <w:ilvl w:val="1"/>
          <w:numId w:val="6"/>
        </w:numPr>
        <w:tabs>
          <w:tab w:val="clear" w:pos="567"/>
          <w:tab w:val="num" w:pos="624"/>
        </w:tabs>
        <w:ind w:firstLine="624"/>
        <w:rPr>
          <w:bCs/>
        </w:rPr>
      </w:pPr>
      <w:r w:rsidRPr="00EB5EDA">
        <w:rPr>
          <w:bCs/>
        </w:rPr>
        <w:t>Measuring devices</w:t>
      </w:r>
    </w:p>
    <w:p w14:paraId="51EDF9A8" w14:textId="77777777" w:rsidR="0070496D" w:rsidRPr="00EB5EDA" w:rsidRDefault="0070496D" w:rsidP="003B2AD6">
      <w:pPr>
        <w:pStyle w:val="Normalnumber"/>
        <w:numPr>
          <w:ilvl w:val="1"/>
          <w:numId w:val="6"/>
        </w:numPr>
        <w:tabs>
          <w:tab w:val="clear" w:pos="567"/>
          <w:tab w:val="num" w:pos="624"/>
        </w:tabs>
        <w:ind w:firstLine="624"/>
      </w:pPr>
      <w:r w:rsidRPr="00EB5EDA">
        <w:rPr>
          <w:bCs/>
        </w:rPr>
        <w:t>Dental</w:t>
      </w:r>
      <w:r w:rsidRPr="00EB5EDA">
        <w:t xml:space="preserve"> amalgam</w:t>
      </w:r>
    </w:p>
    <w:p w14:paraId="318F755A" w14:textId="697A1244" w:rsidR="0070496D" w:rsidRPr="00EB5EDA" w:rsidRDefault="0070496D" w:rsidP="00B6576E">
      <w:pPr>
        <w:pStyle w:val="Normalnumber"/>
        <w:numPr>
          <w:ilvl w:val="0"/>
          <w:numId w:val="6"/>
        </w:numPr>
        <w:tabs>
          <w:tab w:val="clear" w:pos="567"/>
          <w:tab w:val="num" w:pos="624"/>
        </w:tabs>
        <w:rPr>
          <w:bCs/>
        </w:rPr>
      </w:pPr>
      <w:r w:rsidRPr="00EB5EDA">
        <w:t xml:space="preserve">Although the manufacture of most of the products in </w:t>
      </w:r>
      <w:r w:rsidR="00A72D22" w:rsidRPr="00EB5EDA">
        <w:t>a</w:t>
      </w:r>
      <w:r w:rsidRPr="00EB5EDA">
        <w:t xml:space="preserve">nnex A has been or is being phased out as a general matter, it would be beneficial to have codes for such products to assist </w:t>
      </w:r>
      <w:r w:rsidR="00A72D22" w:rsidRPr="00EB5EDA">
        <w:t>p</w:t>
      </w:r>
      <w:r w:rsidRPr="00EB5EDA">
        <w:t xml:space="preserve">arties that may have </w:t>
      </w:r>
      <w:r w:rsidRPr="00EB5EDA">
        <w:rPr>
          <w:bCs/>
        </w:rPr>
        <w:t>registered exemptions</w:t>
      </w:r>
      <w:r w:rsidR="00E347F6" w:rsidRPr="00EB5EDA">
        <w:rPr>
          <w:bCs/>
        </w:rPr>
        <w:t xml:space="preserve"> and</w:t>
      </w:r>
      <w:r w:rsidRPr="00EB5EDA">
        <w:rPr>
          <w:bCs/>
        </w:rPr>
        <w:t xml:space="preserve"> </w:t>
      </w:r>
      <w:r w:rsidR="00A72D22" w:rsidRPr="00EB5EDA">
        <w:rPr>
          <w:bCs/>
        </w:rPr>
        <w:t>p</w:t>
      </w:r>
      <w:r w:rsidRPr="00EB5EDA">
        <w:rPr>
          <w:bCs/>
        </w:rPr>
        <w:t xml:space="preserve">arties that are implementing their obligations under </w:t>
      </w:r>
      <w:r w:rsidR="00A72D22" w:rsidRPr="00EB5EDA">
        <w:rPr>
          <w:bCs/>
        </w:rPr>
        <w:t>p</w:t>
      </w:r>
      <w:r w:rsidRPr="00EB5EDA">
        <w:rPr>
          <w:bCs/>
        </w:rPr>
        <w:t xml:space="preserve">aragraph 2 of </w:t>
      </w:r>
      <w:r w:rsidR="00A72D22" w:rsidRPr="00EB5EDA">
        <w:rPr>
          <w:bCs/>
        </w:rPr>
        <w:t>a</w:t>
      </w:r>
      <w:r w:rsidRPr="00EB5EDA">
        <w:rPr>
          <w:bCs/>
        </w:rPr>
        <w:t>rticle 4, as well as non-</w:t>
      </w:r>
      <w:r w:rsidR="00A72D22" w:rsidRPr="00EB5EDA">
        <w:rPr>
          <w:bCs/>
        </w:rPr>
        <w:t>p</w:t>
      </w:r>
      <w:r w:rsidRPr="00EB5EDA">
        <w:rPr>
          <w:bCs/>
        </w:rPr>
        <w:t xml:space="preserve">arties to the Convention that may be interested. </w:t>
      </w:r>
    </w:p>
    <w:p w14:paraId="6795D6EF" w14:textId="0D7730CD" w:rsidR="0070496D" w:rsidRPr="00EB5EDA" w:rsidRDefault="0070496D" w:rsidP="00B6576E">
      <w:pPr>
        <w:pStyle w:val="Normalnumber"/>
        <w:numPr>
          <w:ilvl w:val="0"/>
          <w:numId w:val="6"/>
        </w:numPr>
        <w:tabs>
          <w:tab w:val="clear" w:pos="567"/>
          <w:tab w:val="num" w:pos="624"/>
        </w:tabs>
        <w:rPr>
          <w:bCs/>
        </w:rPr>
      </w:pPr>
      <w:r w:rsidRPr="00EB5EDA">
        <w:rPr>
          <w:bCs/>
        </w:rPr>
        <w:t xml:space="preserve">In the submissions from various </w:t>
      </w:r>
      <w:r w:rsidR="00A72D22" w:rsidRPr="00EB5EDA">
        <w:rPr>
          <w:bCs/>
        </w:rPr>
        <w:t>p</w:t>
      </w:r>
      <w:r w:rsidRPr="00EB5EDA">
        <w:rPr>
          <w:bCs/>
        </w:rPr>
        <w:t xml:space="preserve">arties, eight-digit tariff codes were provided in most cases; there were very few ten-digit statistical codes proposed or already in use for these products. Considering relevant product descriptions, the following table proposes ten-digit customs nomenclature codes for </w:t>
      </w:r>
      <w:r w:rsidR="00A72D22" w:rsidRPr="00EB5EDA">
        <w:rPr>
          <w:bCs/>
        </w:rPr>
        <w:t>a</w:t>
      </w:r>
      <w:r w:rsidRPr="00EB5EDA">
        <w:rPr>
          <w:bCs/>
        </w:rPr>
        <w:t xml:space="preserve">nnex A products in cases where none </w:t>
      </w:r>
      <w:r w:rsidR="00E347F6" w:rsidRPr="00EB5EDA">
        <w:rPr>
          <w:bCs/>
        </w:rPr>
        <w:t>were</w:t>
      </w:r>
      <w:r w:rsidRPr="00EB5EDA">
        <w:rPr>
          <w:bCs/>
        </w:rPr>
        <w:t xml:space="preserve"> indicated by </w:t>
      </w:r>
      <w:r w:rsidR="00A72D22" w:rsidRPr="00EB5EDA">
        <w:rPr>
          <w:bCs/>
        </w:rPr>
        <w:t>p</w:t>
      </w:r>
      <w:r w:rsidRPr="00EB5EDA">
        <w:rPr>
          <w:bCs/>
        </w:rPr>
        <w:t xml:space="preserve">arties. The ten-digit codes were proposed both for consistency and to minimize the need for </w:t>
      </w:r>
      <w:r w:rsidR="00A72D22" w:rsidRPr="00EB5EDA">
        <w:rPr>
          <w:bCs/>
        </w:rPr>
        <w:t>p</w:t>
      </w:r>
      <w:r w:rsidRPr="00EB5EDA">
        <w:rPr>
          <w:bCs/>
        </w:rPr>
        <w:t xml:space="preserve">arties to reconsider their current eight-digit codes. A number of </w:t>
      </w:r>
      <w:r w:rsidR="00A72D22" w:rsidRPr="00EB5EDA">
        <w:rPr>
          <w:bCs/>
        </w:rPr>
        <w:t>p</w:t>
      </w:r>
      <w:r w:rsidRPr="00EB5EDA">
        <w:rPr>
          <w:bCs/>
        </w:rPr>
        <w:t xml:space="preserve">arties provided comments on this table during the final comment period. Some </w:t>
      </w:r>
      <w:r w:rsidR="00E347F6" w:rsidRPr="00EB5EDA">
        <w:rPr>
          <w:bCs/>
        </w:rPr>
        <w:t>indicated</w:t>
      </w:r>
      <w:r w:rsidRPr="00EB5EDA">
        <w:rPr>
          <w:bCs/>
        </w:rPr>
        <w:t xml:space="preserve"> </w:t>
      </w:r>
      <w:r w:rsidR="00E347F6" w:rsidRPr="00EB5EDA">
        <w:rPr>
          <w:bCs/>
        </w:rPr>
        <w:t xml:space="preserve">that </w:t>
      </w:r>
      <w:r w:rsidRPr="00EB5EDA">
        <w:rPr>
          <w:bCs/>
        </w:rPr>
        <w:t xml:space="preserve">their national system (beyond the six-digit HS </w:t>
      </w:r>
      <w:r w:rsidR="00E347F6" w:rsidRPr="00EB5EDA">
        <w:rPr>
          <w:bCs/>
        </w:rPr>
        <w:t>c</w:t>
      </w:r>
      <w:r w:rsidRPr="00EB5EDA">
        <w:rPr>
          <w:bCs/>
        </w:rPr>
        <w:t>ode in the eight to ten digit spaces) already had products listed under th</w:t>
      </w:r>
      <w:r w:rsidR="00E347F6" w:rsidRPr="00EB5EDA">
        <w:rPr>
          <w:bCs/>
        </w:rPr>
        <w:t>e proposed</w:t>
      </w:r>
      <w:r w:rsidRPr="00EB5EDA">
        <w:rPr>
          <w:bCs/>
        </w:rPr>
        <w:t xml:space="preserve"> codes that were different than those proposed in this document. Other</w:t>
      </w:r>
      <w:r w:rsidR="00E347F6" w:rsidRPr="00EB5EDA">
        <w:rPr>
          <w:bCs/>
        </w:rPr>
        <w:t>s</w:t>
      </w:r>
      <w:r w:rsidRPr="00EB5EDA">
        <w:rPr>
          <w:bCs/>
        </w:rPr>
        <w:t xml:space="preserve"> noted that consideration may not have been given to </w:t>
      </w:r>
      <w:r w:rsidR="00A72D22" w:rsidRPr="00EB5EDA">
        <w:rPr>
          <w:bCs/>
        </w:rPr>
        <w:t>p</w:t>
      </w:r>
      <w:r w:rsidRPr="00EB5EDA">
        <w:rPr>
          <w:bCs/>
        </w:rPr>
        <w:t xml:space="preserve">arties that use a nine-digit statistical system at the national level. These details need to be further considered by the </w:t>
      </w:r>
      <w:r w:rsidR="00A72D22" w:rsidRPr="00EB5EDA">
        <w:rPr>
          <w:bCs/>
        </w:rPr>
        <w:t>s</w:t>
      </w:r>
      <w:r w:rsidRPr="00EB5EDA">
        <w:rPr>
          <w:bCs/>
        </w:rPr>
        <w:t xml:space="preserve">ecretariat and the </w:t>
      </w:r>
      <w:r w:rsidR="003E5DA8" w:rsidRPr="00EB5EDA">
        <w:rPr>
          <w:bCs/>
        </w:rPr>
        <w:t xml:space="preserve">Global Mercury Partnership’s Mercury in </w:t>
      </w:r>
      <w:r w:rsidRPr="00EB5EDA">
        <w:rPr>
          <w:bCs/>
        </w:rPr>
        <w:t xml:space="preserve">Products </w:t>
      </w:r>
      <w:r w:rsidR="003E5DA8" w:rsidRPr="00EB5EDA">
        <w:rPr>
          <w:bCs/>
        </w:rPr>
        <w:t>p</w:t>
      </w:r>
      <w:r w:rsidRPr="00EB5EDA">
        <w:rPr>
          <w:bCs/>
        </w:rPr>
        <w:t>artnership</w:t>
      </w:r>
      <w:r w:rsidR="003E5DA8" w:rsidRPr="00EB5EDA">
        <w:rPr>
          <w:bCs/>
        </w:rPr>
        <w:t xml:space="preserve"> area</w:t>
      </w:r>
      <w:r w:rsidRPr="00EB5EDA">
        <w:rPr>
          <w:bCs/>
        </w:rPr>
        <w:t>. For now, the table remains mostly unchanged pending further consideration of these issues.</w:t>
      </w:r>
    </w:p>
    <w:p w14:paraId="140A7008" w14:textId="4A59930B" w:rsidR="001611AC" w:rsidRPr="00EB5EDA" w:rsidRDefault="0070496D" w:rsidP="00E3066B">
      <w:pPr>
        <w:pStyle w:val="Normalnumber"/>
        <w:numPr>
          <w:ilvl w:val="0"/>
          <w:numId w:val="6"/>
        </w:numPr>
        <w:tabs>
          <w:tab w:val="clear" w:pos="567"/>
          <w:tab w:val="num" w:pos="624"/>
        </w:tabs>
      </w:pPr>
      <w:r w:rsidRPr="00EB5EDA">
        <w:rPr>
          <w:bCs/>
        </w:rPr>
        <w:lastRenderedPageBreak/>
        <w:t xml:space="preserve">Noting these challenges, the </w:t>
      </w:r>
      <w:r w:rsidR="00A72D22" w:rsidRPr="00EB5EDA">
        <w:rPr>
          <w:bCs/>
        </w:rPr>
        <w:t xml:space="preserve">Conference of the Parties </w:t>
      </w:r>
      <w:r w:rsidRPr="00EB5EDA">
        <w:rPr>
          <w:bCs/>
        </w:rPr>
        <w:t>may generally agree that nomenclature codes such as these can be implemented by</w:t>
      </w:r>
      <w:r w:rsidRPr="00EB5EDA">
        <w:t xml:space="preserve"> </w:t>
      </w:r>
      <w:r w:rsidR="00A72D22" w:rsidRPr="00EB5EDA">
        <w:t>p</w:t>
      </w:r>
      <w:r w:rsidRPr="00EB5EDA">
        <w:t>arties that wish to use them.</w:t>
      </w:r>
    </w:p>
    <w:p w14:paraId="6405F7BA" w14:textId="4E213920" w:rsidR="0070496D" w:rsidRPr="00EB5EDA" w:rsidRDefault="003B2AD6" w:rsidP="003B2AD6">
      <w:pPr>
        <w:pStyle w:val="CH2"/>
        <w:rPr>
          <w:lang w:val="en-GB"/>
        </w:rPr>
      </w:pPr>
      <w:r w:rsidRPr="00EB5EDA">
        <w:rPr>
          <w:lang w:val="en-GB"/>
        </w:rPr>
        <w:tab/>
      </w:r>
      <w:r w:rsidRPr="00EB5EDA">
        <w:rPr>
          <w:lang w:val="en-GB"/>
        </w:rPr>
        <w:tab/>
      </w:r>
      <w:r w:rsidR="0070496D" w:rsidRPr="00EB5EDA">
        <w:rPr>
          <w:lang w:val="en-GB"/>
        </w:rPr>
        <w:t xml:space="preserve">Proposed statistical codes of more than </w:t>
      </w:r>
      <w:r w:rsidR="00FD1A2C" w:rsidRPr="00EB5EDA">
        <w:rPr>
          <w:lang w:val="en-GB"/>
        </w:rPr>
        <w:t>six</w:t>
      </w:r>
      <w:r w:rsidR="0070496D" w:rsidRPr="00EB5EDA">
        <w:rPr>
          <w:lang w:val="en-GB"/>
        </w:rPr>
        <w:t xml:space="preserve"> digits for </w:t>
      </w:r>
      <w:r w:rsidR="00FD1A2C" w:rsidRPr="00EB5EDA">
        <w:rPr>
          <w:lang w:val="en-GB"/>
        </w:rPr>
        <w:t>a</w:t>
      </w:r>
      <w:r w:rsidR="0070496D" w:rsidRPr="00EB5EDA">
        <w:rPr>
          <w:lang w:val="en-GB"/>
        </w:rPr>
        <w:t>nnex A mercury-added products</w:t>
      </w:r>
      <w:r w:rsidR="00B6576E" w:rsidRPr="00EB5EDA">
        <w:rPr>
          <w:lang w:val="en-GB"/>
        </w:rPr>
        <w:t xml:space="preserve"> </w:t>
      </w:r>
      <w:r w:rsidR="0070496D" w:rsidRPr="00EB5EDA">
        <w:rPr>
          <w:lang w:val="en-GB"/>
        </w:rPr>
        <w:t>(</w:t>
      </w:r>
      <w:r w:rsidR="00FD1A2C" w:rsidRPr="00EB5EDA">
        <w:rPr>
          <w:lang w:val="en-GB"/>
        </w:rPr>
        <w:t>c</w:t>
      </w:r>
      <w:r w:rsidR="0070496D" w:rsidRPr="00EB5EDA">
        <w:rPr>
          <w:lang w:val="en-GB"/>
        </w:rPr>
        <w:t>odes based on the Harmonized System)</w:t>
      </w:r>
    </w:p>
    <w:p w14:paraId="53FD8977" w14:textId="74292DBC" w:rsidR="0070496D" w:rsidRPr="00EB5EDA" w:rsidRDefault="0070496D" w:rsidP="00B6576E">
      <w:pPr>
        <w:pStyle w:val="Normal-pool"/>
        <w:tabs>
          <w:tab w:val="clear" w:pos="1247"/>
          <w:tab w:val="clear" w:pos="1814"/>
          <w:tab w:val="clear" w:pos="2381"/>
          <w:tab w:val="clear" w:pos="2948"/>
          <w:tab w:val="clear" w:pos="3515"/>
          <w:tab w:val="clear" w:pos="4082"/>
          <w:tab w:val="left" w:pos="624"/>
        </w:tabs>
        <w:spacing w:after="120"/>
        <w:ind w:left="1247"/>
        <w:rPr>
          <w:i/>
          <w:iCs/>
          <w:lang w:val="en-GB"/>
        </w:rPr>
      </w:pPr>
      <w:r w:rsidRPr="00EB5EDA">
        <w:rPr>
          <w:i/>
          <w:iCs/>
          <w:lang w:val="en-GB"/>
        </w:rPr>
        <w:t xml:space="preserve">In the following table, the first column shows existing codes used </w:t>
      </w:r>
      <w:r w:rsidR="00D90598" w:rsidRPr="00EB5EDA">
        <w:rPr>
          <w:i/>
          <w:iCs/>
          <w:lang w:val="en-GB"/>
        </w:rPr>
        <w:t xml:space="preserve">by </w:t>
      </w:r>
      <w:r w:rsidRPr="00EB5EDA">
        <w:rPr>
          <w:i/>
          <w:iCs/>
          <w:lang w:val="en-GB"/>
        </w:rPr>
        <w:t>some parties and the second column provides proposed codes to distinguish mercury-added products from other</w:t>
      </w:r>
      <w:r w:rsidR="00B11FF1" w:rsidRPr="00EB5EDA">
        <w:rPr>
          <w:i/>
          <w:iCs/>
          <w:lang w:val="en-GB"/>
        </w:rPr>
        <w:t xml:space="preserve"> product</w:t>
      </w:r>
      <w:r w:rsidRPr="00EB5EDA">
        <w:rPr>
          <w:i/>
          <w:iCs/>
          <w:lang w:val="en-GB"/>
        </w:rPr>
        <w:t>s. The proposed codes and descriptions are shown in shaded cells.</w:t>
      </w:r>
    </w:p>
    <w:p w14:paraId="408F6D7A" w14:textId="77777777" w:rsidR="0070496D" w:rsidRPr="00EB5EDA" w:rsidRDefault="0070496D" w:rsidP="003B2AD6">
      <w:pPr>
        <w:pStyle w:val="Titletable"/>
        <w:spacing w:before="240"/>
        <w:rPr>
          <w:lang w:val="en-GB"/>
        </w:rPr>
      </w:pPr>
      <w:r w:rsidRPr="00EB5EDA">
        <w:rPr>
          <w:lang w:val="en-GB"/>
        </w:rPr>
        <w:t>Batteries</w:t>
      </w:r>
    </w:p>
    <w:tbl>
      <w:tblPr>
        <w:tblW w:w="8307" w:type="dxa"/>
        <w:jc w:val="right"/>
        <w:tblLook w:val="04A0" w:firstRow="1" w:lastRow="0" w:firstColumn="1" w:lastColumn="0" w:noHBand="0" w:noVBand="1"/>
      </w:tblPr>
      <w:tblGrid>
        <w:gridCol w:w="1460"/>
        <w:gridCol w:w="2226"/>
        <w:gridCol w:w="4621"/>
      </w:tblGrid>
      <w:tr w:rsidR="0070496D" w:rsidRPr="00EB5EDA" w14:paraId="011B46ED" w14:textId="77777777" w:rsidTr="002A72A8">
        <w:trPr>
          <w:cantSplit/>
          <w:trHeight w:val="57"/>
          <w:jc w:val="right"/>
        </w:trPr>
        <w:tc>
          <w:tcPr>
            <w:tcW w:w="1460" w:type="dxa"/>
            <w:tcBorders>
              <w:top w:val="single" w:sz="4" w:space="0" w:color="auto"/>
              <w:left w:val="nil"/>
              <w:bottom w:val="single" w:sz="12" w:space="0" w:color="auto"/>
              <w:right w:val="nil"/>
            </w:tcBorders>
            <w:shd w:val="clear" w:color="auto" w:fill="auto"/>
            <w:vAlign w:val="bottom"/>
            <w:hideMark/>
          </w:tcPr>
          <w:p w14:paraId="5967B397" w14:textId="6ACC82A6" w:rsidR="0070496D" w:rsidRPr="00EB5EDA" w:rsidRDefault="0070496D" w:rsidP="00571121">
            <w:pPr>
              <w:pStyle w:val="Normal-pool"/>
              <w:spacing w:before="40" w:after="40"/>
              <w:jc w:val="right"/>
              <w:rPr>
                <w:i/>
                <w:iCs/>
                <w:sz w:val="18"/>
                <w:szCs w:val="18"/>
                <w:lang w:val="en-GB"/>
              </w:rPr>
            </w:pPr>
            <w:r w:rsidRPr="00EB5EDA">
              <w:rPr>
                <w:i/>
                <w:iCs/>
                <w:sz w:val="18"/>
                <w:szCs w:val="18"/>
                <w:lang w:val="en-GB"/>
              </w:rPr>
              <w:t>Existing code</w:t>
            </w:r>
          </w:p>
        </w:tc>
        <w:tc>
          <w:tcPr>
            <w:tcW w:w="2226" w:type="dxa"/>
            <w:tcBorders>
              <w:top w:val="single" w:sz="4" w:space="0" w:color="auto"/>
              <w:left w:val="nil"/>
              <w:bottom w:val="single" w:sz="12" w:space="0" w:color="auto"/>
              <w:right w:val="nil"/>
            </w:tcBorders>
            <w:shd w:val="clear" w:color="auto" w:fill="auto"/>
            <w:vAlign w:val="bottom"/>
            <w:hideMark/>
          </w:tcPr>
          <w:p w14:paraId="7A6192A0" w14:textId="77777777" w:rsidR="0070496D" w:rsidRPr="00EB5EDA" w:rsidRDefault="0070496D" w:rsidP="00571121">
            <w:pPr>
              <w:pStyle w:val="Normal-pool"/>
              <w:spacing w:before="40" w:after="40"/>
              <w:jc w:val="right"/>
              <w:rPr>
                <w:i/>
                <w:iCs/>
                <w:sz w:val="18"/>
                <w:szCs w:val="18"/>
                <w:lang w:val="en-GB"/>
              </w:rPr>
            </w:pPr>
            <w:r w:rsidRPr="00EB5EDA">
              <w:rPr>
                <w:i/>
                <w:iCs/>
                <w:sz w:val="18"/>
                <w:szCs w:val="18"/>
                <w:lang w:val="en-GB"/>
              </w:rPr>
              <w:t>Proposed statistical codes</w:t>
            </w:r>
          </w:p>
        </w:tc>
        <w:tc>
          <w:tcPr>
            <w:tcW w:w="4621" w:type="dxa"/>
            <w:tcBorders>
              <w:top w:val="single" w:sz="4" w:space="0" w:color="auto"/>
              <w:left w:val="nil"/>
              <w:bottom w:val="single" w:sz="12" w:space="0" w:color="auto"/>
              <w:right w:val="nil"/>
            </w:tcBorders>
            <w:shd w:val="clear" w:color="auto" w:fill="auto"/>
            <w:vAlign w:val="bottom"/>
            <w:hideMark/>
          </w:tcPr>
          <w:p w14:paraId="0C42FE1D" w14:textId="77777777" w:rsidR="0070496D" w:rsidRPr="00EB5EDA" w:rsidRDefault="0070496D" w:rsidP="00B6576E">
            <w:pPr>
              <w:pStyle w:val="Normal-pool"/>
              <w:spacing w:before="40" w:after="40"/>
              <w:rPr>
                <w:i/>
                <w:iCs/>
                <w:sz w:val="18"/>
                <w:szCs w:val="18"/>
                <w:lang w:val="en-GB"/>
              </w:rPr>
            </w:pPr>
            <w:r w:rsidRPr="00EB5EDA">
              <w:rPr>
                <w:i/>
                <w:iCs/>
                <w:sz w:val="18"/>
                <w:szCs w:val="18"/>
                <w:lang w:val="en-GB"/>
              </w:rPr>
              <w:t>Description</w:t>
            </w:r>
          </w:p>
        </w:tc>
      </w:tr>
      <w:tr w:rsidR="0070496D" w:rsidRPr="00EB5EDA" w14:paraId="3C3E31A6" w14:textId="77777777" w:rsidTr="002A72A8">
        <w:trPr>
          <w:cantSplit/>
          <w:trHeight w:val="57"/>
          <w:jc w:val="right"/>
        </w:trPr>
        <w:tc>
          <w:tcPr>
            <w:tcW w:w="1460" w:type="dxa"/>
            <w:tcBorders>
              <w:top w:val="single" w:sz="12" w:space="0" w:color="auto"/>
              <w:left w:val="nil"/>
              <w:bottom w:val="nil"/>
              <w:right w:val="nil"/>
            </w:tcBorders>
            <w:shd w:val="clear" w:color="auto" w:fill="auto"/>
            <w:noWrap/>
            <w:hideMark/>
          </w:tcPr>
          <w:p w14:paraId="0E7CA1E8" w14:textId="77777777" w:rsidR="0070496D" w:rsidRPr="00EB5EDA" w:rsidRDefault="0070496D" w:rsidP="00571121">
            <w:pPr>
              <w:pStyle w:val="Normal-pool"/>
              <w:spacing w:before="40" w:after="40"/>
              <w:jc w:val="right"/>
              <w:rPr>
                <w:sz w:val="18"/>
                <w:szCs w:val="18"/>
                <w:lang w:val="en-GB"/>
              </w:rPr>
            </w:pPr>
            <w:r w:rsidRPr="00EB5EDA">
              <w:rPr>
                <w:sz w:val="18"/>
                <w:szCs w:val="18"/>
                <w:lang w:val="en-GB"/>
              </w:rPr>
              <w:t>8506.10.10</w:t>
            </w:r>
          </w:p>
        </w:tc>
        <w:tc>
          <w:tcPr>
            <w:tcW w:w="2226" w:type="dxa"/>
            <w:tcBorders>
              <w:top w:val="single" w:sz="12" w:space="0" w:color="auto"/>
              <w:left w:val="nil"/>
              <w:bottom w:val="nil"/>
              <w:right w:val="nil"/>
            </w:tcBorders>
            <w:shd w:val="clear" w:color="auto" w:fill="auto"/>
            <w:noWrap/>
            <w:hideMark/>
          </w:tcPr>
          <w:p w14:paraId="5E5BF069" w14:textId="77777777" w:rsidR="0070496D" w:rsidRPr="00EB5EDA" w:rsidRDefault="0070496D" w:rsidP="00571121">
            <w:pPr>
              <w:pStyle w:val="Normal-pool"/>
              <w:spacing w:before="40" w:after="40"/>
              <w:jc w:val="right"/>
              <w:rPr>
                <w:sz w:val="18"/>
                <w:szCs w:val="18"/>
                <w:lang w:val="en-GB"/>
              </w:rPr>
            </w:pPr>
          </w:p>
        </w:tc>
        <w:tc>
          <w:tcPr>
            <w:tcW w:w="4621" w:type="dxa"/>
            <w:tcBorders>
              <w:top w:val="single" w:sz="12" w:space="0" w:color="auto"/>
              <w:left w:val="nil"/>
              <w:bottom w:val="nil"/>
              <w:right w:val="nil"/>
            </w:tcBorders>
            <w:shd w:val="clear" w:color="auto" w:fill="auto"/>
            <w:hideMark/>
          </w:tcPr>
          <w:p w14:paraId="0822DB28" w14:textId="77777777" w:rsidR="0070496D" w:rsidRPr="00EB5EDA" w:rsidRDefault="0070496D" w:rsidP="00B6576E">
            <w:pPr>
              <w:pStyle w:val="Normal-pool"/>
              <w:spacing w:before="40" w:after="40"/>
              <w:rPr>
                <w:sz w:val="18"/>
                <w:szCs w:val="18"/>
                <w:lang w:val="en-GB"/>
              </w:rPr>
            </w:pPr>
            <w:r w:rsidRPr="00EB5EDA">
              <w:rPr>
                <w:sz w:val="18"/>
                <w:szCs w:val="18"/>
                <w:lang w:val="en-GB"/>
              </w:rPr>
              <w:t>Alkaline manganese dioxide primary cells</w:t>
            </w:r>
          </w:p>
        </w:tc>
      </w:tr>
      <w:tr w:rsidR="0070496D" w:rsidRPr="00EB5EDA" w14:paraId="5DC2B8AF" w14:textId="77777777" w:rsidTr="00A81F6C">
        <w:trPr>
          <w:cantSplit/>
          <w:trHeight w:val="57"/>
          <w:jc w:val="right"/>
        </w:trPr>
        <w:tc>
          <w:tcPr>
            <w:tcW w:w="1460" w:type="dxa"/>
            <w:tcBorders>
              <w:top w:val="nil"/>
              <w:left w:val="nil"/>
              <w:bottom w:val="nil"/>
              <w:right w:val="nil"/>
            </w:tcBorders>
            <w:shd w:val="clear" w:color="auto" w:fill="auto"/>
            <w:noWrap/>
            <w:hideMark/>
          </w:tcPr>
          <w:p w14:paraId="390375E9" w14:textId="77777777" w:rsidR="0070496D" w:rsidRPr="00EB5EDA" w:rsidRDefault="0070496D" w:rsidP="00571121">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54CF45DB" w14:textId="77777777" w:rsidR="0070496D" w:rsidRPr="00EB5EDA" w:rsidRDefault="0070496D" w:rsidP="00571121">
            <w:pPr>
              <w:pStyle w:val="Normal-pool"/>
              <w:spacing w:before="40" w:after="40"/>
              <w:jc w:val="right"/>
              <w:rPr>
                <w:sz w:val="18"/>
                <w:szCs w:val="18"/>
                <w:lang w:val="en-GB"/>
              </w:rPr>
            </w:pPr>
            <w:r w:rsidRPr="00EB5EDA">
              <w:rPr>
                <w:sz w:val="18"/>
                <w:szCs w:val="18"/>
                <w:lang w:val="en-GB"/>
              </w:rPr>
              <w:t>8506.10.10.10</w:t>
            </w:r>
          </w:p>
        </w:tc>
        <w:tc>
          <w:tcPr>
            <w:tcW w:w="4621" w:type="dxa"/>
            <w:tcBorders>
              <w:top w:val="nil"/>
              <w:left w:val="nil"/>
              <w:bottom w:val="nil"/>
              <w:right w:val="nil"/>
            </w:tcBorders>
            <w:shd w:val="clear" w:color="auto" w:fill="E7E6E6" w:themeFill="background2"/>
            <w:hideMark/>
          </w:tcPr>
          <w:p w14:paraId="2EB7D713" w14:textId="77777777" w:rsidR="0070496D" w:rsidRPr="00EB5EDA" w:rsidRDefault="0070496D" w:rsidP="00B6576E">
            <w:pPr>
              <w:pStyle w:val="Normal-pool"/>
              <w:spacing w:before="40" w:after="40"/>
              <w:rPr>
                <w:sz w:val="18"/>
                <w:szCs w:val="18"/>
                <w:lang w:val="en-GB"/>
              </w:rPr>
            </w:pPr>
            <w:r w:rsidRPr="00EB5EDA">
              <w:rPr>
                <w:sz w:val="18"/>
                <w:szCs w:val="18"/>
                <w:lang w:val="en-GB"/>
              </w:rPr>
              <w:t>With added mercury</w:t>
            </w:r>
          </w:p>
        </w:tc>
      </w:tr>
      <w:tr w:rsidR="0070496D" w:rsidRPr="00EB5EDA" w14:paraId="2D595234" w14:textId="77777777" w:rsidTr="00A81F6C">
        <w:trPr>
          <w:cantSplit/>
          <w:trHeight w:val="57"/>
          <w:jc w:val="right"/>
        </w:trPr>
        <w:tc>
          <w:tcPr>
            <w:tcW w:w="1460" w:type="dxa"/>
            <w:tcBorders>
              <w:top w:val="nil"/>
              <w:left w:val="nil"/>
              <w:bottom w:val="nil"/>
              <w:right w:val="nil"/>
            </w:tcBorders>
            <w:shd w:val="clear" w:color="auto" w:fill="auto"/>
            <w:noWrap/>
            <w:hideMark/>
          </w:tcPr>
          <w:p w14:paraId="1234080A" w14:textId="77777777" w:rsidR="0070496D" w:rsidRPr="00EB5EDA" w:rsidRDefault="0070496D" w:rsidP="00571121">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712521C6" w14:textId="77777777" w:rsidR="0070496D" w:rsidRPr="00EB5EDA" w:rsidRDefault="0070496D" w:rsidP="00571121">
            <w:pPr>
              <w:pStyle w:val="Normal-pool"/>
              <w:spacing w:before="40" w:after="40"/>
              <w:jc w:val="right"/>
              <w:rPr>
                <w:sz w:val="18"/>
                <w:szCs w:val="18"/>
                <w:lang w:val="en-GB"/>
              </w:rPr>
            </w:pPr>
            <w:r w:rsidRPr="00EB5EDA">
              <w:rPr>
                <w:sz w:val="18"/>
                <w:szCs w:val="18"/>
                <w:lang w:val="en-GB"/>
              </w:rPr>
              <w:t>8506.10.10.90</w:t>
            </w:r>
          </w:p>
        </w:tc>
        <w:tc>
          <w:tcPr>
            <w:tcW w:w="4621" w:type="dxa"/>
            <w:tcBorders>
              <w:top w:val="nil"/>
              <w:left w:val="nil"/>
              <w:bottom w:val="nil"/>
              <w:right w:val="nil"/>
            </w:tcBorders>
            <w:shd w:val="clear" w:color="auto" w:fill="E7E6E6" w:themeFill="background2"/>
            <w:hideMark/>
          </w:tcPr>
          <w:p w14:paraId="388DA756" w14:textId="77777777" w:rsidR="0070496D" w:rsidRPr="00EB5EDA" w:rsidRDefault="0070496D" w:rsidP="00B6576E">
            <w:pPr>
              <w:pStyle w:val="Normal-pool"/>
              <w:spacing w:before="40" w:after="40"/>
              <w:rPr>
                <w:sz w:val="18"/>
                <w:szCs w:val="18"/>
                <w:lang w:val="en-GB"/>
              </w:rPr>
            </w:pPr>
            <w:r w:rsidRPr="00EB5EDA">
              <w:rPr>
                <w:sz w:val="18"/>
                <w:szCs w:val="18"/>
                <w:lang w:val="en-GB"/>
              </w:rPr>
              <w:t>Others</w:t>
            </w:r>
          </w:p>
        </w:tc>
      </w:tr>
      <w:tr w:rsidR="0070496D" w:rsidRPr="00EB5EDA" w14:paraId="14DD1319" w14:textId="77777777" w:rsidTr="00A81F6C">
        <w:trPr>
          <w:cantSplit/>
          <w:trHeight w:val="57"/>
          <w:jc w:val="right"/>
        </w:trPr>
        <w:tc>
          <w:tcPr>
            <w:tcW w:w="1460" w:type="dxa"/>
            <w:tcBorders>
              <w:top w:val="nil"/>
              <w:left w:val="nil"/>
              <w:bottom w:val="nil"/>
              <w:right w:val="nil"/>
            </w:tcBorders>
            <w:shd w:val="clear" w:color="auto" w:fill="auto"/>
            <w:noWrap/>
            <w:hideMark/>
          </w:tcPr>
          <w:p w14:paraId="56B36510" w14:textId="77777777" w:rsidR="0070496D" w:rsidRPr="00EB5EDA" w:rsidRDefault="0070496D" w:rsidP="00571121">
            <w:pPr>
              <w:pStyle w:val="Normal-pool"/>
              <w:spacing w:before="40" w:after="40"/>
              <w:jc w:val="right"/>
              <w:rPr>
                <w:sz w:val="18"/>
                <w:szCs w:val="18"/>
                <w:lang w:val="en-GB"/>
              </w:rPr>
            </w:pPr>
            <w:r w:rsidRPr="00EB5EDA">
              <w:rPr>
                <w:sz w:val="18"/>
                <w:szCs w:val="18"/>
                <w:lang w:val="en-GB"/>
              </w:rPr>
              <w:t>8506.10.20</w:t>
            </w:r>
          </w:p>
        </w:tc>
        <w:tc>
          <w:tcPr>
            <w:tcW w:w="2226" w:type="dxa"/>
            <w:tcBorders>
              <w:top w:val="nil"/>
              <w:left w:val="nil"/>
              <w:bottom w:val="nil"/>
              <w:right w:val="nil"/>
            </w:tcBorders>
            <w:shd w:val="clear" w:color="auto" w:fill="auto"/>
            <w:noWrap/>
            <w:hideMark/>
          </w:tcPr>
          <w:p w14:paraId="3B38FE4A" w14:textId="77777777" w:rsidR="0070496D" w:rsidRPr="00EB5EDA" w:rsidRDefault="0070496D" w:rsidP="00571121">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148030CE" w14:textId="77777777" w:rsidR="0070496D" w:rsidRPr="00EB5EDA" w:rsidRDefault="0070496D" w:rsidP="00B6576E">
            <w:pPr>
              <w:pStyle w:val="Normal-pool"/>
              <w:spacing w:before="40" w:after="40"/>
              <w:rPr>
                <w:sz w:val="18"/>
                <w:szCs w:val="18"/>
                <w:lang w:val="en-GB"/>
              </w:rPr>
            </w:pPr>
            <w:r w:rsidRPr="00EB5EDA">
              <w:rPr>
                <w:sz w:val="18"/>
                <w:szCs w:val="18"/>
                <w:lang w:val="en-GB"/>
              </w:rPr>
              <w:t>(Other) manganese dioxide primary cells</w:t>
            </w:r>
          </w:p>
        </w:tc>
      </w:tr>
      <w:tr w:rsidR="0070496D" w:rsidRPr="00EB5EDA" w14:paraId="536DE30D" w14:textId="77777777" w:rsidTr="00A81F6C">
        <w:trPr>
          <w:cantSplit/>
          <w:trHeight w:val="57"/>
          <w:jc w:val="right"/>
        </w:trPr>
        <w:tc>
          <w:tcPr>
            <w:tcW w:w="1460" w:type="dxa"/>
            <w:tcBorders>
              <w:top w:val="nil"/>
              <w:left w:val="nil"/>
              <w:bottom w:val="nil"/>
              <w:right w:val="nil"/>
            </w:tcBorders>
            <w:shd w:val="clear" w:color="auto" w:fill="auto"/>
            <w:noWrap/>
            <w:hideMark/>
          </w:tcPr>
          <w:p w14:paraId="00326BC5" w14:textId="77777777" w:rsidR="0070496D" w:rsidRPr="00EB5EDA" w:rsidRDefault="0070496D" w:rsidP="00571121">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295D1532" w14:textId="77777777" w:rsidR="0070496D" w:rsidRPr="00EB5EDA" w:rsidRDefault="0070496D" w:rsidP="00571121">
            <w:pPr>
              <w:pStyle w:val="Normal-pool"/>
              <w:spacing w:before="40" w:after="40"/>
              <w:jc w:val="right"/>
              <w:rPr>
                <w:sz w:val="18"/>
                <w:szCs w:val="18"/>
                <w:lang w:val="en-GB"/>
              </w:rPr>
            </w:pPr>
            <w:r w:rsidRPr="00EB5EDA">
              <w:rPr>
                <w:sz w:val="18"/>
                <w:szCs w:val="18"/>
                <w:lang w:val="en-GB"/>
              </w:rPr>
              <w:t>8506.10.20.10</w:t>
            </w:r>
          </w:p>
        </w:tc>
        <w:tc>
          <w:tcPr>
            <w:tcW w:w="4621" w:type="dxa"/>
            <w:tcBorders>
              <w:top w:val="nil"/>
              <w:left w:val="nil"/>
              <w:bottom w:val="nil"/>
              <w:right w:val="nil"/>
            </w:tcBorders>
            <w:shd w:val="clear" w:color="auto" w:fill="E7E6E6" w:themeFill="background2"/>
            <w:hideMark/>
          </w:tcPr>
          <w:p w14:paraId="7302F495" w14:textId="77777777" w:rsidR="0070496D" w:rsidRPr="00EB5EDA" w:rsidRDefault="0070496D" w:rsidP="00B6576E">
            <w:pPr>
              <w:pStyle w:val="Normal-pool"/>
              <w:spacing w:before="40" w:after="40"/>
              <w:rPr>
                <w:sz w:val="18"/>
                <w:szCs w:val="18"/>
                <w:lang w:val="en-GB"/>
              </w:rPr>
            </w:pPr>
            <w:r w:rsidRPr="00EB5EDA">
              <w:rPr>
                <w:sz w:val="18"/>
                <w:szCs w:val="18"/>
                <w:lang w:val="en-GB"/>
              </w:rPr>
              <w:t>With added mercury</w:t>
            </w:r>
          </w:p>
        </w:tc>
      </w:tr>
      <w:tr w:rsidR="0070496D" w:rsidRPr="00EB5EDA" w14:paraId="5203A280" w14:textId="77777777" w:rsidTr="00A81F6C">
        <w:trPr>
          <w:cantSplit/>
          <w:trHeight w:val="57"/>
          <w:jc w:val="right"/>
        </w:trPr>
        <w:tc>
          <w:tcPr>
            <w:tcW w:w="1460" w:type="dxa"/>
            <w:tcBorders>
              <w:top w:val="nil"/>
              <w:left w:val="nil"/>
              <w:bottom w:val="nil"/>
              <w:right w:val="nil"/>
            </w:tcBorders>
            <w:shd w:val="clear" w:color="auto" w:fill="auto"/>
            <w:noWrap/>
            <w:hideMark/>
          </w:tcPr>
          <w:p w14:paraId="39AC4B5B" w14:textId="77777777" w:rsidR="0070496D" w:rsidRPr="00EB5EDA" w:rsidRDefault="0070496D" w:rsidP="00571121">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21D3AF89" w14:textId="77777777" w:rsidR="0070496D" w:rsidRPr="00EB5EDA" w:rsidRDefault="0070496D" w:rsidP="00571121">
            <w:pPr>
              <w:pStyle w:val="Normal-pool"/>
              <w:spacing w:before="40" w:after="40"/>
              <w:jc w:val="right"/>
              <w:rPr>
                <w:sz w:val="18"/>
                <w:szCs w:val="18"/>
                <w:lang w:val="en-GB"/>
              </w:rPr>
            </w:pPr>
            <w:r w:rsidRPr="00EB5EDA">
              <w:rPr>
                <w:sz w:val="18"/>
                <w:szCs w:val="18"/>
                <w:lang w:val="en-GB"/>
              </w:rPr>
              <w:t>8506.10.20.90</w:t>
            </w:r>
          </w:p>
        </w:tc>
        <w:tc>
          <w:tcPr>
            <w:tcW w:w="4621" w:type="dxa"/>
            <w:tcBorders>
              <w:top w:val="nil"/>
              <w:left w:val="nil"/>
              <w:bottom w:val="nil"/>
              <w:right w:val="nil"/>
            </w:tcBorders>
            <w:shd w:val="clear" w:color="auto" w:fill="E7E6E6" w:themeFill="background2"/>
            <w:hideMark/>
          </w:tcPr>
          <w:p w14:paraId="5101ED91" w14:textId="77777777" w:rsidR="0070496D" w:rsidRPr="00EB5EDA" w:rsidRDefault="0070496D" w:rsidP="00B6576E">
            <w:pPr>
              <w:pStyle w:val="Normal-pool"/>
              <w:spacing w:before="40" w:after="40"/>
              <w:rPr>
                <w:sz w:val="18"/>
                <w:szCs w:val="18"/>
                <w:lang w:val="en-GB"/>
              </w:rPr>
            </w:pPr>
            <w:r w:rsidRPr="00EB5EDA">
              <w:rPr>
                <w:sz w:val="18"/>
                <w:szCs w:val="18"/>
                <w:lang w:val="en-GB"/>
              </w:rPr>
              <w:t>Others</w:t>
            </w:r>
          </w:p>
        </w:tc>
      </w:tr>
      <w:tr w:rsidR="0070496D" w:rsidRPr="00EB5EDA" w14:paraId="144F27F7" w14:textId="77777777" w:rsidTr="00A81F6C">
        <w:trPr>
          <w:cantSplit/>
          <w:trHeight w:val="57"/>
          <w:jc w:val="right"/>
        </w:trPr>
        <w:tc>
          <w:tcPr>
            <w:tcW w:w="1460" w:type="dxa"/>
            <w:tcBorders>
              <w:top w:val="nil"/>
              <w:left w:val="nil"/>
              <w:bottom w:val="nil"/>
              <w:right w:val="nil"/>
            </w:tcBorders>
            <w:shd w:val="clear" w:color="auto" w:fill="auto"/>
            <w:noWrap/>
            <w:hideMark/>
          </w:tcPr>
          <w:p w14:paraId="707DE5A2" w14:textId="77777777" w:rsidR="0070496D" w:rsidRPr="00EB5EDA" w:rsidRDefault="0070496D" w:rsidP="00571121">
            <w:pPr>
              <w:pStyle w:val="Normal-pool"/>
              <w:spacing w:before="40" w:after="40"/>
              <w:jc w:val="right"/>
              <w:rPr>
                <w:sz w:val="18"/>
                <w:szCs w:val="18"/>
                <w:lang w:val="en-GB"/>
              </w:rPr>
            </w:pPr>
            <w:r w:rsidRPr="00EB5EDA">
              <w:rPr>
                <w:sz w:val="18"/>
                <w:szCs w:val="18"/>
                <w:lang w:val="en-GB"/>
              </w:rPr>
              <w:t>8506.10.30</w:t>
            </w:r>
          </w:p>
        </w:tc>
        <w:tc>
          <w:tcPr>
            <w:tcW w:w="2226" w:type="dxa"/>
            <w:tcBorders>
              <w:top w:val="nil"/>
              <w:left w:val="nil"/>
              <w:bottom w:val="nil"/>
              <w:right w:val="nil"/>
            </w:tcBorders>
            <w:shd w:val="clear" w:color="auto" w:fill="auto"/>
            <w:noWrap/>
            <w:hideMark/>
          </w:tcPr>
          <w:p w14:paraId="28DF6F97" w14:textId="77777777" w:rsidR="0070496D" w:rsidRPr="00EB5EDA" w:rsidRDefault="0070496D" w:rsidP="00571121">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1EC8B186" w14:textId="77777777" w:rsidR="0070496D" w:rsidRPr="00EB5EDA" w:rsidRDefault="0070496D" w:rsidP="00B6576E">
            <w:pPr>
              <w:pStyle w:val="Normal-pool"/>
              <w:spacing w:before="40" w:after="40"/>
              <w:rPr>
                <w:sz w:val="18"/>
                <w:szCs w:val="18"/>
                <w:lang w:val="en-GB"/>
              </w:rPr>
            </w:pPr>
            <w:r w:rsidRPr="00EB5EDA">
              <w:rPr>
                <w:sz w:val="18"/>
                <w:szCs w:val="18"/>
                <w:lang w:val="en-GB"/>
              </w:rPr>
              <w:t>Manganese dioxide batteries</w:t>
            </w:r>
          </w:p>
        </w:tc>
      </w:tr>
      <w:tr w:rsidR="0070496D" w:rsidRPr="00EB5EDA" w14:paraId="7F1AD5F8" w14:textId="77777777" w:rsidTr="00A81F6C">
        <w:trPr>
          <w:cantSplit/>
          <w:trHeight w:val="57"/>
          <w:jc w:val="right"/>
        </w:trPr>
        <w:tc>
          <w:tcPr>
            <w:tcW w:w="1460" w:type="dxa"/>
            <w:tcBorders>
              <w:top w:val="nil"/>
              <w:left w:val="nil"/>
              <w:bottom w:val="nil"/>
              <w:right w:val="nil"/>
            </w:tcBorders>
            <w:shd w:val="clear" w:color="auto" w:fill="auto"/>
            <w:noWrap/>
            <w:hideMark/>
          </w:tcPr>
          <w:p w14:paraId="3BBCF0BE" w14:textId="77777777" w:rsidR="0070496D" w:rsidRPr="00EB5EDA" w:rsidRDefault="0070496D" w:rsidP="00571121">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5A6C83D6" w14:textId="77777777" w:rsidR="0070496D" w:rsidRPr="00EB5EDA" w:rsidRDefault="0070496D" w:rsidP="00571121">
            <w:pPr>
              <w:pStyle w:val="Normal-pool"/>
              <w:spacing w:before="40" w:after="40"/>
              <w:jc w:val="right"/>
              <w:rPr>
                <w:sz w:val="18"/>
                <w:szCs w:val="18"/>
                <w:lang w:val="en-GB"/>
              </w:rPr>
            </w:pPr>
            <w:r w:rsidRPr="00EB5EDA">
              <w:rPr>
                <w:sz w:val="18"/>
                <w:szCs w:val="18"/>
                <w:lang w:val="en-GB"/>
              </w:rPr>
              <w:t>8506.10.30.10</w:t>
            </w:r>
          </w:p>
        </w:tc>
        <w:tc>
          <w:tcPr>
            <w:tcW w:w="4621" w:type="dxa"/>
            <w:tcBorders>
              <w:top w:val="nil"/>
              <w:left w:val="nil"/>
              <w:bottom w:val="nil"/>
              <w:right w:val="nil"/>
            </w:tcBorders>
            <w:shd w:val="clear" w:color="auto" w:fill="E7E6E6" w:themeFill="background2"/>
            <w:hideMark/>
          </w:tcPr>
          <w:p w14:paraId="100A8847" w14:textId="77777777" w:rsidR="0070496D" w:rsidRPr="00EB5EDA" w:rsidRDefault="0070496D" w:rsidP="00B6576E">
            <w:pPr>
              <w:pStyle w:val="Normal-pool"/>
              <w:spacing w:before="40" w:after="40"/>
              <w:rPr>
                <w:sz w:val="18"/>
                <w:szCs w:val="18"/>
                <w:lang w:val="en-GB"/>
              </w:rPr>
            </w:pPr>
            <w:r w:rsidRPr="00EB5EDA">
              <w:rPr>
                <w:sz w:val="18"/>
                <w:szCs w:val="18"/>
                <w:lang w:val="en-GB"/>
              </w:rPr>
              <w:t>With added mercury</w:t>
            </w:r>
          </w:p>
        </w:tc>
      </w:tr>
      <w:tr w:rsidR="0070496D" w:rsidRPr="00EB5EDA" w14:paraId="71E48BB9" w14:textId="77777777" w:rsidTr="00A81F6C">
        <w:trPr>
          <w:cantSplit/>
          <w:trHeight w:val="57"/>
          <w:jc w:val="right"/>
        </w:trPr>
        <w:tc>
          <w:tcPr>
            <w:tcW w:w="1460" w:type="dxa"/>
            <w:tcBorders>
              <w:top w:val="nil"/>
              <w:left w:val="nil"/>
              <w:bottom w:val="nil"/>
              <w:right w:val="nil"/>
            </w:tcBorders>
            <w:shd w:val="clear" w:color="auto" w:fill="auto"/>
            <w:noWrap/>
            <w:hideMark/>
          </w:tcPr>
          <w:p w14:paraId="438F848D" w14:textId="77777777" w:rsidR="0070496D" w:rsidRPr="00EB5EDA" w:rsidRDefault="0070496D" w:rsidP="00571121">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73DCFFFE" w14:textId="77777777" w:rsidR="0070496D" w:rsidRPr="00EB5EDA" w:rsidRDefault="0070496D" w:rsidP="00571121">
            <w:pPr>
              <w:pStyle w:val="Normal-pool"/>
              <w:spacing w:before="40" w:after="40"/>
              <w:jc w:val="right"/>
              <w:rPr>
                <w:sz w:val="18"/>
                <w:szCs w:val="18"/>
                <w:lang w:val="en-GB"/>
              </w:rPr>
            </w:pPr>
            <w:r w:rsidRPr="00EB5EDA">
              <w:rPr>
                <w:sz w:val="18"/>
                <w:szCs w:val="18"/>
                <w:lang w:val="en-GB"/>
              </w:rPr>
              <w:t>8506.10.30.90</w:t>
            </w:r>
          </w:p>
        </w:tc>
        <w:tc>
          <w:tcPr>
            <w:tcW w:w="4621" w:type="dxa"/>
            <w:tcBorders>
              <w:top w:val="nil"/>
              <w:left w:val="nil"/>
              <w:bottom w:val="nil"/>
              <w:right w:val="nil"/>
            </w:tcBorders>
            <w:shd w:val="clear" w:color="auto" w:fill="E7E6E6" w:themeFill="background2"/>
            <w:hideMark/>
          </w:tcPr>
          <w:p w14:paraId="0055AD43" w14:textId="77777777" w:rsidR="0070496D" w:rsidRPr="00EB5EDA" w:rsidRDefault="0070496D" w:rsidP="00B6576E">
            <w:pPr>
              <w:pStyle w:val="Normal-pool"/>
              <w:spacing w:before="40" w:after="40"/>
              <w:rPr>
                <w:sz w:val="18"/>
                <w:szCs w:val="18"/>
                <w:lang w:val="en-GB"/>
              </w:rPr>
            </w:pPr>
            <w:r w:rsidRPr="00EB5EDA">
              <w:rPr>
                <w:sz w:val="18"/>
                <w:szCs w:val="18"/>
                <w:lang w:val="en-GB"/>
              </w:rPr>
              <w:t>Others</w:t>
            </w:r>
          </w:p>
        </w:tc>
      </w:tr>
      <w:tr w:rsidR="0070496D" w:rsidRPr="00EB5EDA" w14:paraId="4F146EB9" w14:textId="77777777" w:rsidTr="00A81F6C">
        <w:trPr>
          <w:cantSplit/>
          <w:trHeight w:val="57"/>
          <w:jc w:val="right"/>
        </w:trPr>
        <w:tc>
          <w:tcPr>
            <w:tcW w:w="1460" w:type="dxa"/>
            <w:tcBorders>
              <w:top w:val="nil"/>
              <w:left w:val="nil"/>
              <w:bottom w:val="nil"/>
              <w:right w:val="nil"/>
            </w:tcBorders>
            <w:shd w:val="clear" w:color="auto" w:fill="auto"/>
            <w:noWrap/>
            <w:hideMark/>
          </w:tcPr>
          <w:p w14:paraId="67D134BD" w14:textId="77777777" w:rsidR="0070496D" w:rsidRPr="00EB5EDA" w:rsidRDefault="0070496D" w:rsidP="00571121">
            <w:pPr>
              <w:pStyle w:val="Normal-pool"/>
              <w:spacing w:before="40" w:after="40"/>
              <w:jc w:val="right"/>
              <w:rPr>
                <w:sz w:val="18"/>
                <w:szCs w:val="18"/>
                <w:lang w:val="en-GB"/>
              </w:rPr>
            </w:pPr>
            <w:r w:rsidRPr="00EB5EDA">
              <w:rPr>
                <w:sz w:val="18"/>
                <w:szCs w:val="18"/>
                <w:lang w:val="en-GB"/>
              </w:rPr>
              <w:t>8506.30.00</w:t>
            </w:r>
          </w:p>
        </w:tc>
        <w:tc>
          <w:tcPr>
            <w:tcW w:w="2226" w:type="dxa"/>
            <w:tcBorders>
              <w:top w:val="nil"/>
              <w:left w:val="nil"/>
              <w:bottom w:val="nil"/>
              <w:right w:val="nil"/>
            </w:tcBorders>
            <w:shd w:val="clear" w:color="auto" w:fill="auto"/>
            <w:noWrap/>
            <w:hideMark/>
          </w:tcPr>
          <w:p w14:paraId="5FE11A8A" w14:textId="77777777" w:rsidR="0070496D" w:rsidRPr="00EB5EDA" w:rsidRDefault="0070496D" w:rsidP="00571121">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59C3FED7" w14:textId="77777777" w:rsidR="0070496D" w:rsidRPr="00EB5EDA" w:rsidRDefault="0070496D" w:rsidP="00B6576E">
            <w:pPr>
              <w:pStyle w:val="Normal-pool"/>
              <w:spacing w:before="40" w:after="40"/>
              <w:rPr>
                <w:sz w:val="18"/>
                <w:szCs w:val="18"/>
                <w:lang w:val="en-GB"/>
              </w:rPr>
            </w:pPr>
            <w:r w:rsidRPr="00EB5EDA">
              <w:rPr>
                <w:sz w:val="18"/>
                <w:szCs w:val="18"/>
                <w:lang w:val="en-GB"/>
              </w:rPr>
              <w:t>Mercuric oxide batteries</w:t>
            </w:r>
          </w:p>
        </w:tc>
      </w:tr>
      <w:tr w:rsidR="0070496D" w:rsidRPr="00EB5EDA" w14:paraId="65923971" w14:textId="77777777" w:rsidTr="00A81F6C">
        <w:trPr>
          <w:cantSplit/>
          <w:trHeight w:val="57"/>
          <w:jc w:val="right"/>
        </w:trPr>
        <w:tc>
          <w:tcPr>
            <w:tcW w:w="1460" w:type="dxa"/>
            <w:tcBorders>
              <w:top w:val="nil"/>
              <w:left w:val="nil"/>
              <w:bottom w:val="nil"/>
              <w:right w:val="nil"/>
            </w:tcBorders>
            <w:shd w:val="clear" w:color="auto" w:fill="auto"/>
            <w:noWrap/>
            <w:hideMark/>
          </w:tcPr>
          <w:p w14:paraId="5DE88945" w14:textId="77777777" w:rsidR="0070496D" w:rsidRPr="00EB5EDA" w:rsidRDefault="0070496D" w:rsidP="00571121">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3CE702A5" w14:textId="77777777" w:rsidR="0070496D" w:rsidRPr="00EB5EDA" w:rsidRDefault="0070496D" w:rsidP="00571121">
            <w:pPr>
              <w:pStyle w:val="Normal-pool"/>
              <w:spacing w:before="40" w:after="40"/>
              <w:jc w:val="right"/>
              <w:rPr>
                <w:sz w:val="18"/>
                <w:szCs w:val="18"/>
                <w:lang w:val="en-GB"/>
              </w:rPr>
            </w:pPr>
            <w:r w:rsidRPr="00EB5EDA">
              <w:rPr>
                <w:sz w:val="18"/>
                <w:szCs w:val="18"/>
                <w:lang w:val="en-GB"/>
              </w:rPr>
              <w:t>8506.30.00.00</w:t>
            </w:r>
          </w:p>
        </w:tc>
        <w:tc>
          <w:tcPr>
            <w:tcW w:w="4621" w:type="dxa"/>
            <w:tcBorders>
              <w:top w:val="nil"/>
              <w:left w:val="nil"/>
              <w:bottom w:val="nil"/>
              <w:right w:val="nil"/>
            </w:tcBorders>
            <w:shd w:val="clear" w:color="auto" w:fill="E7E6E6" w:themeFill="background2"/>
            <w:hideMark/>
          </w:tcPr>
          <w:p w14:paraId="055D40F9" w14:textId="42BD1629" w:rsidR="0070496D" w:rsidRPr="00EB5EDA" w:rsidRDefault="0070496D" w:rsidP="00B6576E">
            <w:pPr>
              <w:pStyle w:val="Normal-pool"/>
              <w:spacing w:before="40" w:after="40"/>
              <w:rPr>
                <w:sz w:val="18"/>
                <w:szCs w:val="18"/>
                <w:lang w:val="en-GB"/>
              </w:rPr>
            </w:pPr>
            <w:r w:rsidRPr="00EB5EDA">
              <w:rPr>
                <w:sz w:val="18"/>
                <w:szCs w:val="18"/>
                <w:lang w:val="en-GB"/>
              </w:rPr>
              <w:t>Mercuric oxide primary cells and batteries (excl</w:t>
            </w:r>
            <w:r w:rsidR="00B11FF1" w:rsidRPr="00EB5EDA">
              <w:rPr>
                <w:sz w:val="18"/>
                <w:szCs w:val="18"/>
                <w:lang w:val="en-GB"/>
              </w:rPr>
              <w:t>uding</w:t>
            </w:r>
            <w:r w:rsidRPr="00EB5EDA">
              <w:rPr>
                <w:sz w:val="18"/>
                <w:szCs w:val="18"/>
                <w:lang w:val="en-GB"/>
              </w:rPr>
              <w:t xml:space="preserve"> spent)</w:t>
            </w:r>
          </w:p>
        </w:tc>
      </w:tr>
      <w:tr w:rsidR="0070496D" w:rsidRPr="00EB5EDA" w14:paraId="237D2629" w14:textId="77777777" w:rsidTr="00A81F6C">
        <w:trPr>
          <w:cantSplit/>
          <w:trHeight w:val="57"/>
          <w:jc w:val="right"/>
        </w:trPr>
        <w:tc>
          <w:tcPr>
            <w:tcW w:w="1460" w:type="dxa"/>
            <w:tcBorders>
              <w:top w:val="nil"/>
              <w:left w:val="nil"/>
              <w:bottom w:val="nil"/>
              <w:right w:val="nil"/>
            </w:tcBorders>
            <w:shd w:val="clear" w:color="auto" w:fill="auto"/>
            <w:noWrap/>
            <w:hideMark/>
          </w:tcPr>
          <w:p w14:paraId="35B28B9A" w14:textId="77777777" w:rsidR="0070496D" w:rsidRPr="00EB5EDA" w:rsidRDefault="0070496D" w:rsidP="00571121">
            <w:pPr>
              <w:pStyle w:val="Normal-pool"/>
              <w:spacing w:before="40" w:after="40"/>
              <w:jc w:val="right"/>
              <w:rPr>
                <w:sz w:val="18"/>
                <w:szCs w:val="18"/>
                <w:lang w:val="en-GB"/>
              </w:rPr>
            </w:pPr>
            <w:r w:rsidRPr="00EB5EDA">
              <w:rPr>
                <w:sz w:val="18"/>
                <w:szCs w:val="18"/>
                <w:lang w:val="en-GB"/>
              </w:rPr>
              <w:t>8506.40.10</w:t>
            </w:r>
          </w:p>
        </w:tc>
        <w:tc>
          <w:tcPr>
            <w:tcW w:w="2226" w:type="dxa"/>
            <w:tcBorders>
              <w:top w:val="nil"/>
              <w:left w:val="nil"/>
              <w:bottom w:val="nil"/>
              <w:right w:val="nil"/>
            </w:tcBorders>
            <w:shd w:val="clear" w:color="auto" w:fill="auto"/>
            <w:noWrap/>
            <w:hideMark/>
          </w:tcPr>
          <w:p w14:paraId="1DA26DD6" w14:textId="77777777" w:rsidR="0070496D" w:rsidRPr="00EB5EDA" w:rsidRDefault="0070496D" w:rsidP="00571121">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7B5C6AE1" w14:textId="77777777" w:rsidR="0070496D" w:rsidRPr="00EB5EDA" w:rsidRDefault="0070496D" w:rsidP="00B6576E">
            <w:pPr>
              <w:pStyle w:val="Normal-pool"/>
              <w:spacing w:before="40" w:after="40"/>
              <w:rPr>
                <w:sz w:val="18"/>
                <w:szCs w:val="18"/>
                <w:lang w:val="en-GB"/>
              </w:rPr>
            </w:pPr>
            <w:r w:rsidRPr="00EB5EDA">
              <w:rPr>
                <w:sz w:val="18"/>
                <w:szCs w:val="18"/>
                <w:lang w:val="en-GB"/>
              </w:rPr>
              <w:t>Silver oxide primary cells with external volume less than or equal to 300 cm</w:t>
            </w:r>
            <w:r w:rsidRPr="00EB5EDA">
              <w:rPr>
                <w:sz w:val="18"/>
                <w:szCs w:val="18"/>
                <w:vertAlign w:val="superscript"/>
                <w:lang w:val="en-GB"/>
              </w:rPr>
              <w:t>3</w:t>
            </w:r>
          </w:p>
        </w:tc>
      </w:tr>
      <w:tr w:rsidR="0070496D" w:rsidRPr="00EB5EDA" w14:paraId="77EECA3D" w14:textId="77777777" w:rsidTr="00A81F6C">
        <w:trPr>
          <w:cantSplit/>
          <w:trHeight w:val="57"/>
          <w:jc w:val="right"/>
        </w:trPr>
        <w:tc>
          <w:tcPr>
            <w:tcW w:w="1460" w:type="dxa"/>
            <w:tcBorders>
              <w:top w:val="nil"/>
              <w:left w:val="nil"/>
              <w:bottom w:val="nil"/>
              <w:right w:val="nil"/>
            </w:tcBorders>
            <w:shd w:val="clear" w:color="auto" w:fill="auto"/>
            <w:noWrap/>
            <w:hideMark/>
          </w:tcPr>
          <w:p w14:paraId="132DC671" w14:textId="77777777" w:rsidR="0070496D" w:rsidRPr="00EB5EDA" w:rsidRDefault="0070496D" w:rsidP="00571121">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5E22A4D5" w14:textId="77777777" w:rsidR="0070496D" w:rsidRPr="00EB5EDA" w:rsidRDefault="0070496D" w:rsidP="00571121">
            <w:pPr>
              <w:pStyle w:val="Normal-pool"/>
              <w:spacing w:before="40" w:after="40"/>
              <w:jc w:val="right"/>
              <w:rPr>
                <w:sz w:val="18"/>
                <w:szCs w:val="18"/>
                <w:lang w:val="en-GB"/>
              </w:rPr>
            </w:pPr>
            <w:r w:rsidRPr="00EB5EDA">
              <w:rPr>
                <w:sz w:val="18"/>
                <w:szCs w:val="18"/>
                <w:lang w:val="en-GB"/>
              </w:rPr>
              <w:t>8506.40.10.10</w:t>
            </w:r>
          </w:p>
        </w:tc>
        <w:tc>
          <w:tcPr>
            <w:tcW w:w="4621" w:type="dxa"/>
            <w:tcBorders>
              <w:top w:val="nil"/>
              <w:left w:val="nil"/>
              <w:bottom w:val="nil"/>
              <w:right w:val="nil"/>
            </w:tcBorders>
            <w:shd w:val="clear" w:color="auto" w:fill="E7E6E6" w:themeFill="background2"/>
            <w:hideMark/>
          </w:tcPr>
          <w:p w14:paraId="721A59AA" w14:textId="77777777" w:rsidR="0070496D" w:rsidRPr="00EB5EDA" w:rsidRDefault="0070496D" w:rsidP="00B6576E">
            <w:pPr>
              <w:pStyle w:val="Normal-pool"/>
              <w:spacing w:before="40" w:after="40"/>
              <w:rPr>
                <w:sz w:val="18"/>
                <w:szCs w:val="18"/>
                <w:lang w:val="en-GB"/>
              </w:rPr>
            </w:pPr>
            <w:r w:rsidRPr="00EB5EDA">
              <w:rPr>
                <w:sz w:val="18"/>
                <w:szCs w:val="18"/>
                <w:lang w:val="en-GB"/>
              </w:rPr>
              <w:t>With added mercury</w:t>
            </w:r>
          </w:p>
        </w:tc>
      </w:tr>
      <w:tr w:rsidR="0070496D" w:rsidRPr="00EB5EDA" w14:paraId="5601A92D" w14:textId="77777777" w:rsidTr="00A81F6C">
        <w:trPr>
          <w:cantSplit/>
          <w:trHeight w:val="57"/>
          <w:jc w:val="right"/>
        </w:trPr>
        <w:tc>
          <w:tcPr>
            <w:tcW w:w="1460" w:type="dxa"/>
            <w:tcBorders>
              <w:top w:val="nil"/>
              <w:left w:val="nil"/>
              <w:bottom w:val="nil"/>
              <w:right w:val="nil"/>
            </w:tcBorders>
            <w:shd w:val="clear" w:color="auto" w:fill="auto"/>
            <w:noWrap/>
            <w:hideMark/>
          </w:tcPr>
          <w:p w14:paraId="1ED16D30" w14:textId="77777777" w:rsidR="0070496D" w:rsidRPr="00EB5EDA" w:rsidRDefault="0070496D" w:rsidP="00571121">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63569AFC" w14:textId="77777777" w:rsidR="0070496D" w:rsidRPr="00EB5EDA" w:rsidRDefault="0070496D" w:rsidP="00571121">
            <w:pPr>
              <w:pStyle w:val="Normal-pool"/>
              <w:spacing w:before="40" w:after="40"/>
              <w:jc w:val="right"/>
              <w:rPr>
                <w:sz w:val="18"/>
                <w:szCs w:val="18"/>
                <w:lang w:val="en-GB"/>
              </w:rPr>
            </w:pPr>
            <w:r w:rsidRPr="00EB5EDA">
              <w:rPr>
                <w:sz w:val="18"/>
                <w:szCs w:val="18"/>
                <w:lang w:val="en-GB"/>
              </w:rPr>
              <w:t>8506.40.10.11</w:t>
            </w:r>
          </w:p>
        </w:tc>
        <w:tc>
          <w:tcPr>
            <w:tcW w:w="4621" w:type="dxa"/>
            <w:tcBorders>
              <w:top w:val="nil"/>
              <w:left w:val="nil"/>
              <w:bottom w:val="nil"/>
              <w:right w:val="nil"/>
            </w:tcBorders>
            <w:shd w:val="clear" w:color="auto" w:fill="E7E6E6" w:themeFill="background2"/>
            <w:hideMark/>
          </w:tcPr>
          <w:p w14:paraId="0C849981" w14:textId="24293D05" w:rsidR="0070496D" w:rsidRPr="00EB5EDA" w:rsidRDefault="0070496D" w:rsidP="00B6576E">
            <w:pPr>
              <w:pStyle w:val="Normal-pool"/>
              <w:spacing w:before="40" w:after="40"/>
              <w:rPr>
                <w:sz w:val="18"/>
                <w:szCs w:val="18"/>
                <w:lang w:val="en-GB"/>
              </w:rPr>
            </w:pPr>
            <w:r w:rsidRPr="00EB5EDA">
              <w:rPr>
                <w:sz w:val="18"/>
                <w:szCs w:val="18"/>
                <w:lang w:val="en-GB"/>
              </w:rPr>
              <w:t>Button batteries with mercury content less than 2% by weight</w:t>
            </w:r>
          </w:p>
        </w:tc>
      </w:tr>
      <w:tr w:rsidR="0070496D" w:rsidRPr="00EB5EDA" w14:paraId="1398B008" w14:textId="77777777" w:rsidTr="00A81F6C">
        <w:trPr>
          <w:cantSplit/>
          <w:trHeight w:val="57"/>
          <w:jc w:val="right"/>
        </w:trPr>
        <w:tc>
          <w:tcPr>
            <w:tcW w:w="1460" w:type="dxa"/>
            <w:tcBorders>
              <w:top w:val="nil"/>
              <w:left w:val="nil"/>
              <w:bottom w:val="nil"/>
              <w:right w:val="nil"/>
            </w:tcBorders>
            <w:shd w:val="clear" w:color="auto" w:fill="auto"/>
            <w:noWrap/>
            <w:hideMark/>
          </w:tcPr>
          <w:p w14:paraId="18C40FD9" w14:textId="77777777" w:rsidR="0070496D" w:rsidRPr="00EB5EDA" w:rsidRDefault="0070496D" w:rsidP="00571121">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34A0ABE9" w14:textId="77777777" w:rsidR="0070496D" w:rsidRPr="00EB5EDA" w:rsidRDefault="0070496D" w:rsidP="00571121">
            <w:pPr>
              <w:pStyle w:val="Normal-pool"/>
              <w:spacing w:before="40" w:after="40"/>
              <w:jc w:val="right"/>
              <w:rPr>
                <w:sz w:val="18"/>
                <w:szCs w:val="18"/>
                <w:lang w:val="en-GB"/>
              </w:rPr>
            </w:pPr>
            <w:r w:rsidRPr="00EB5EDA">
              <w:rPr>
                <w:sz w:val="18"/>
                <w:szCs w:val="18"/>
                <w:lang w:val="en-GB"/>
              </w:rPr>
              <w:t>8506.40.10.90</w:t>
            </w:r>
          </w:p>
        </w:tc>
        <w:tc>
          <w:tcPr>
            <w:tcW w:w="4621" w:type="dxa"/>
            <w:tcBorders>
              <w:top w:val="nil"/>
              <w:left w:val="nil"/>
              <w:bottom w:val="nil"/>
              <w:right w:val="nil"/>
            </w:tcBorders>
            <w:shd w:val="clear" w:color="auto" w:fill="E7E6E6" w:themeFill="background2"/>
            <w:hideMark/>
          </w:tcPr>
          <w:p w14:paraId="12EFC657" w14:textId="77777777" w:rsidR="0070496D" w:rsidRPr="00EB5EDA" w:rsidRDefault="0070496D" w:rsidP="00B6576E">
            <w:pPr>
              <w:pStyle w:val="Normal-pool"/>
              <w:spacing w:before="40" w:after="40"/>
              <w:rPr>
                <w:sz w:val="18"/>
                <w:szCs w:val="18"/>
                <w:lang w:val="en-GB"/>
              </w:rPr>
            </w:pPr>
            <w:r w:rsidRPr="00EB5EDA">
              <w:rPr>
                <w:sz w:val="18"/>
                <w:szCs w:val="18"/>
                <w:lang w:val="en-GB"/>
              </w:rPr>
              <w:t>Others</w:t>
            </w:r>
          </w:p>
        </w:tc>
      </w:tr>
      <w:tr w:rsidR="0070496D" w:rsidRPr="00EB5EDA" w14:paraId="2764F459" w14:textId="77777777" w:rsidTr="00A81F6C">
        <w:trPr>
          <w:cantSplit/>
          <w:trHeight w:val="57"/>
          <w:jc w:val="right"/>
        </w:trPr>
        <w:tc>
          <w:tcPr>
            <w:tcW w:w="1460" w:type="dxa"/>
            <w:tcBorders>
              <w:top w:val="nil"/>
              <w:left w:val="nil"/>
              <w:bottom w:val="nil"/>
              <w:right w:val="nil"/>
            </w:tcBorders>
            <w:shd w:val="clear" w:color="auto" w:fill="auto"/>
            <w:noWrap/>
            <w:hideMark/>
          </w:tcPr>
          <w:p w14:paraId="63A5CDC3" w14:textId="77777777" w:rsidR="0070496D" w:rsidRPr="00EB5EDA" w:rsidRDefault="0070496D" w:rsidP="00571121">
            <w:pPr>
              <w:pStyle w:val="Normal-pool"/>
              <w:spacing w:before="40" w:after="40"/>
              <w:jc w:val="right"/>
              <w:rPr>
                <w:sz w:val="18"/>
                <w:szCs w:val="18"/>
                <w:lang w:val="en-GB"/>
              </w:rPr>
            </w:pPr>
            <w:r w:rsidRPr="00EB5EDA">
              <w:rPr>
                <w:sz w:val="18"/>
                <w:szCs w:val="18"/>
                <w:lang w:val="en-GB"/>
              </w:rPr>
              <w:t>8506.40.90</w:t>
            </w:r>
          </w:p>
        </w:tc>
        <w:tc>
          <w:tcPr>
            <w:tcW w:w="2226" w:type="dxa"/>
            <w:tcBorders>
              <w:top w:val="nil"/>
              <w:left w:val="nil"/>
              <w:bottom w:val="nil"/>
              <w:right w:val="nil"/>
            </w:tcBorders>
            <w:shd w:val="clear" w:color="auto" w:fill="auto"/>
            <w:noWrap/>
            <w:hideMark/>
          </w:tcPr>
          <w:p w14:paraId="6AD3AE25" w14:textId="77777777" w:rsidR="0070496D" w:rsidRPr="00EB5EDA" w:rsidRDefault="0070496D" w:rsidP="00571121">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55CCA864" w14:textId="77777777" w:rsidR="0070496D" w:rsidRPr="00EB5EDA" w:rsidRDefault="0070496D" w:rsidP="00B6576E">
            <w:pPr>
              <w:pStyle w:val="Normal-pool"/>
              <w:spacing w:before="40" w:after="40"/>
              <w:rPr>
                <w:sz w:val="18"/>
                <w:szCs w:val="18"/>
                <w:lang w:val="en-GB"/>
              </w:rPr>
            </w:pPr>
            <w:r w:rsidRPr="00EB5EDA">
              <w:rPr>
                <w:sz w:val="18"/>
                <w:szCs w:val="18"/>
                <w:lang w:val="en-GB"/>
              </w:rPr>
              <w:t>(Other) silver oxide primary cells</w:t>
            </w:r>
          </w:p>
        </w:tc>
      </w:tr>
      <w:tr w:rsidR="0070496D" w:rsidRPr="00EB5EDA" w14:paraId="6BEA0206" w14:textId="77777777" w:rsidTr="00A81F6C">
        <w:trPr>
          <w:cantSplit/>
          <w:trHeight w:val="57"/>
          <w:jc w:val="right"/>
        </w:trPr>
        <w:tc>
          <w:tcPr>
            <w:tcW w:w="1460" w:type="dxa"/>
            <w:tcBorders>
              <w:top w:val="nil"/>
              <w:left w:val="nil"/>
              <w:bottom w:val="nil"/>
              <w:right w:val="nil"/>
            </w:tcBorders>
            <w:shd w:val="clear" w:color="auto" w:fill="auto"/>
            <w:noWrap/>
            <w:hideMark/>
          </w:tcPr>
          <w:p w14:paraId="66FEC303" w14:textId="77777777" w:rsidR="0070496D" w:rsidRPr="00EB5EDA" w:rsidRDefault="0070496D" w:rsidP="00571121">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568C2B45" w14:textId="77777777" w:rsidR="0070496D" w:rsidRPr="00EB5EDA" w:rsidRDefault="0070496D" w:rsidP="00571121">
            <w:pPr>
              <w:pStyle w:val="Normal-pool"/>
              <w:spacing w:before="40" w:after="40"/>
              <w:jc w:val="right"/>
              <w:rPr>
                <w:sz w:val="18"/>
                <w:szCs w:val="18"/>
                <w:lang w:val="en-GB"/>
              </w:rPr>
            </w:pPr>
            <w:r w:rsidRPr="00EB5EDA">
              <w:rPr>
                <w:sz w:val="18"/>
                <w:szCs w:val="18"/>
                <w:lang w:val="en-GB"/>
              </w:rPr>
              <w:t>8506.40.90.10</w:t>
            </w:r>
          </w:p>
        </w:tc>
        <w:tc>
          <w:tcPr>
            <w:tcW w:w="4621" w:type="dxa"/>
            <w:tcBorders>
              <w:top w:val="nil"/>
              <w:left w:val="nil"/>
              <w:bottom w:val="nil"/>
              <w:right w:val="nil"/>
            </w:tcBorders>
            <w:shd w:val="clear" w:color="auto" w:fill="E7E6E6" w:themeFill="background2"/>
            <w:hideMark/>
          </w:tcPr>
          <w:p w14:paraId="5A64E675" w14:textId="77777777" w:rsidR="0070496D" w:rsidRPr="00EB5EDA" w:rsidRDefault="0070496D" w:rsidP="00B6576E">
            <w:pPr>
              <w:pStyle w:val="Normal-pool"/>
              <w:spacing w:before="40" w:after="40"/>
              <w:rPr>
                <w:sz w:val="18"/>
                <w:szCs w:val="18"/>
                <w:lang w:val="en-GB"/>
              </w:rPr>
            </w:pPr>
            <w:r w:rsidRPr="00EB5EDA">
              <w:rPr>
                <w:sz w:val="18"/>
                <w:szCs w:val="18"/>
                <w:lang w:val="en-GB"/>
              </w:rPr>
              <w:t>With added mercury</w:t>
            </w:r>
          </w:p>
        </w:tc>
      </w:tr>
      <w:tr w:rsidR="0070496D" w:rsidRPr="00EB5EDA" w14:paraId="49D84D8E" w14:textId="77777777" w:rsidTr="00A81F6C">
        <w:trPr>
          <w:cantSplit/>
          <w:trHeight w:val="57"/>
          <w:jc w:val="right"/>
        </w:trPr>
        <w:tc>
          <w:tcPr>
            <w:tcW w:w="1460" w:type="dxa"/>
            <w:tcBorders>
              <w:top w:val="nil"/>
              <w:left w:val="nil"/>
              <w:bottom w:val="nil"/>
              <w:right w:val="nil"/>
            </w:tcBorders>
            <w:shd w:val="clear" w:color="auto" w:fill="auto"/>
            <w:noWrap/>
            <w:hideMark/>
          </w:tcPr>
          <w:p w14:paraId="0B5C9320" w14:textId="77777777" w:rsidR="0070496D" w:rsidRPr="00EB5EDA" w:rsidRDefault="0070496D" w:rsidP="00571121">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7984D850" w14:textId="77777777" w:rsidR="0070496D" w:rsidRPr="00EB5EDA" w:rsidRDefault="0070496D" w:rsidP="00571121">
            <w:pPr>
              <w:pStyle w:val="Normal-pool"/>
              <w:spacing w:before="40" w:after="40"/>
              <w:jc w:val="right"/>
              <w:rPr>
                <w:sz w:val="18"/>
                <w:szCs w:val="18"/>
                <w:lang w:val="en-GB"/>
              </w:rPr>
            </w:pPr>
            <w:r w:rsidRPr="00EB5EDA">
              <w:rPr>
                <w:sz w:val="18"/>
                <w:szCs w:val="18"/>
                <w:lang w:val="en-GB"/>
              </w:rPr>
              <w:t>8506.40.90.90</w:t>
            </w:r>
          </w:p>
        </w:tc>
        <w:tc>
          <w:tcPr>
            <w:tcW w:w="4621" w:type="dxa"/>
            <w:tcBorders>
              <w:top w:val="nil"/>
              <w:left w:val="nil"/>
              <w:bottom w:val="nil"/>
              <w:right w:val="nil"/>
            </w:tcBorders>
            <w:shd w:val="clear" w:color="auto" w:fill="E7E6E6" w:themeFill="background2"/>
            <w:hideMark/>
          </w:tcPr>
          <w:p w14:paraId="786B5CE9" w14:textId="77777777" w:rsidR="0070496D" w:rsidRPr="00EB5EDA" w:rsidRDefault="0070496D" w:rsidP="00B6576E">
            <w:pPr>
              <w:pStyle w:val="Normal-pool"/>
              <w:spacing w:before="40" w:after="40"/>
              <w:rPr>
                <w:sz w:val="18"/>
                <w:szCs w:val="18"/>
                <w:lang w:val="en-GB"/>
              </w:rPr>
            </w:pPr>
            <w:r w:rsidRPr="00EB5EDA">
              <w:rPr>
                <w:sz w:val="18"/>
                <w:szCs w:val="18"/>
                <w:lang w:val="en-GB"/>
              </w:rPr>
              <w:t>Others</w:t>
            </w:r>
          </w:p>
        </w:tc>
      </w:tr>
      <w:tr w:rsidR="0070496D" w:rsidRPr="00EB5EDA" w14:paraId="61E8834E" w14:textId="77777777" w:rsidTr="00A81F6C">
        <w:trPr>
          <w:cantSplit/>
          <w:trHeight w:val="57"/>
          <w:jc w:val="right"/>
        </w:trPr>
        <w:tc>
          <w:tcPr>
            <w:tcW w:w="1460" w:type="dxa"/>
            <w:tcBorders>
              <w:top w:val="nil"/>
              <w:left w:val="nil"/>
              <w:bottom w:val="nil"/>
              <w:right w:val="nil"/>
            </w:tcBorders>
            <w:shd w:val="clear" w:color="auto" w:fill="auto"/>
            <w:noWrap/>
            <w:hideMark/>
          </w:tcPr>
          <w:p w14:paraId="0A24249E" w14:textId="77777777" w:rsidR="0070496D" w:rsidRPr="00EB5EDA" w:rsidRDefault="0070496D" w:rsidP="00571121">
            <w:pPr>
              <w:pStyle w:val="Normal-pool"/>
              <w:spacing w:before="40" w:after="40"/>
              <w:jc w:val="right"/>
              <w:rPr>
                <w:sz w:val="18"/>
                <w:szCs w:val="18"/>
                <w:lang w:val="en-GB"/>
              </w:rPr>
            </w:pPr>
            <w:r w:rsidRPr="00EB5EDA">
              <w:rPr>
                <w:sz w:val="18"/>
                <w:szCs w:val="18"/>
                <w:lang w:val="en-GB"/>
              </w:rPr>
              <w:t>8506.60.10</w:t>
            </w:r>
          </w:p>
        </w:tc>
        <w:tc>
          <w:tcPr>
            <w:tcW w:w="2226" w:type="dxa"/>
            <w:tcBorders>
              <w:top w:val="nil"/>
              <w:left w:val="nil"/>
              <w:bottom w:val="nil"/>
              <w:right w:val="nil"/>
            </w:tcBorders>
            <w:shd w:val="clear" w:color="auto" w:fill="auto"/>
            <w:noWrap/>
            <w:hideMark/>
          </w:tcPr>
          <w:p w14:paraId="279D87AF" w14:textId="77777777" w:rsidR="0070496D" w:rsidRPr="00EB5EDA" w:rsidRDefault="0070496D" w:rsidP="00571121">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616B0696" w14:textId="77777777" w:rsidR="0070496D" w:rsidRPr="00EB5EDA" w:rsidRDefault="0070496D" w:rsidP="00B6576E">
            <w:pPr>
              <w:pStyle w:val="Normal-pool"/>
              <w:spacing w:before="40" w:after="40"/>
              <w:rPr>
                <w:sz w:val="18"/>
                <w:szCs w:val="18"/>
                <w:lang w:val="en-GB"/>
              </w:rPr>
            </w:pPr>
            <w:r w:rsidRPr="00EB5EDA">
              <w:rPr>
                <w:sz w:val="18"/>
                <w:szCs w:val="18"/>
                <w:lang w:val="en-GB"/>
              </w:rPr>
              <w:t>Air-zinc primary cells (with external volume less than or equal to 300 cm</w:t>
            </w:r>
            <w:r w:rsidRPr="00EB5EDA">
              <w:rPr>
                <w:sz w:val="18"/>
                <w:szCs w:val="18"/>
                <w:vertAlign w:val="superscript"/>
                <w:lang w:val="en-GB"/>
              </w:rPr>
              <w:t>3</w:t>
            </w:r>
            <w:r w:rsidRPr="00EB5EDA">
              <w:rPr>
                <w:sz w:val="18"/>
                <w:szCs w:val="18"/>
                <w:lang w:val="en-GB"/>
              </w:rPr>
              <w:t>)</w:t>
            </w:r>
          </w:p>
        </w:tc>
      </w:tr>
      <w:tr w:rsidR="0070496D" w:rsidRPr="00EB5EDA" w14:paraId="5EE1D8E3" w14:textId="77777777" w:rsidTr="00A81F6C">
        <w:trPr>
          <w:cantSplit/>
          <w:trHeight w:val="57"/>
          <w:jc w:val="right"/>
        </w:trPr>
        <w:tc>
          <w:tcPr>
            <w:tcW w:w="1460" w:type="dxa"/>
            <w:tcBorders>
              <w:top w:val="nil"/>
              <w:left w:val="nil"/>
              <w:bottom w:val="nil"/>
              <w:right w:val="nil"/>
            </w:tcBorders>
            <w:shd w:val="clear" w:color="auto" w:fill="auto"/>
            <w:noWrap/>
            <w:hideMark/>
          </w:tcPr>
          <w:p w14:paraId="300226DF" w14:textId="77777777" w:rsidR="0070496D" w:rsidRPr="00EB5EDA" w:rsidRDefault="0070496D" w:rsidP="00571121">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5D9A0330" w14:textId="77777777" w:rsidR="0070496D" w:rsidRPr="00EB5EDA" w:rsidRDefault="0070496D" w:rsidP="00571121">
            <w:pPr>
              <w:pStyle w:val="Normal-pool"/>
              <w:spacing w:before="40" w:after="40"/>
              <w:jc w:val="right"/>
              <w:rPr>
                <w:sz w:val="18"/>
                <w:szCs w:val="18"/>
                <w:lang w:val="en-GB"/>
              </w:rPr>
            </w:pPr>
            <w:r w:rsidRPr="00EB5EDA">
              <w:rPr>
                <w:sz w:val="18"/>
                <w:szCs w:val="18"/>
                <w:lang w:val="en-GB"/>
              </w:rPr>
              <w:t>8506.60.10.10</w:t>
            </w:r>
          </w:p>
        </w:tc>
        <w:tc>
          <w:tcPr>
            <w:tcW w:w="4621" w:type="dxa"/>
            <w:tcBorders>
              <w:top w:val="nil"/>
              <w:left w:val="nil"/>
              <w:bottom w:val="nil"/>
              <w:right w:val="nil"/>
            </w:tcBorders>
            <w:shd w:val="clear" w:color="auto" w:fill="E7E6E6" w:themeFill="background2"/>
            <w:hideMark/>
          </w:tcPr>
          <w:p w14:paraId="787941E5" w14:textId="77777777" w:rsidR="0070496D" w:rsidRPr="00EB5EDA" w:rsidRDefault="0070496D" w:rsidP="00B6576E">
            <w:pPr>
              <w:pStyle w:val="Normal-pool"/>
              <w:spacing w:before="40" w:after="40"/>
              <w:rPr>
                <w:sz w:val="18"/>
                <w:szCs w:val="18"/>
                <w:lang w:val="en-GB"/>
              </w:rPr>
            </w:pPr>
            <w:r w:rsidRPr="00EB5EDA">
              <w:rPr>
                <w:sz w:val="18"/>
                <w:szCs w:val="18"/>
                <w:lang w:val="en-GB"/>
              </w:rPr>
              <w:t>With added mercury</w:t>
            </w:r>
          </w:p>
        </w:tc>
      </w:tr>
      <w:tr w:rsidR="0070496D" w:rsidRPr="00EB5EDA" w14:paraId="06811F42" w14:textId="77777777" w:rsidTr="00A81F6C">
        <w:trPr>
          <w:cantSplit/>
          <w:trHeight w:val="57"/>
          <w:jc w:val="right"/>
        </w:trPr>
        <w:tc>
          <w:tcPr>
            <w:tcW w:w="1460" w:type="dxa"/>
            <w:tcBorders>
              <w:top w:val="nil"/>
              <w:left w:val="nil"/>
              <w:bottom w:val="nil"/>
              <w:right w:val="nil"/>
            </w:tcBorders>
            <w:shd w:val="clear" w:color="auto" w:fill="auto"/>
            <w:noWrap/>
            <w:hideMark/>
          </w:tcPr>
          <w:p w14:paraId="194A6F7C" w14:textId="77777777" w:rsidR="0070496D" w:rsidRPr="00EB5EDA" w:rsidRDefault="0070496D" w:rsidP="00571121">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57A3948E" w14:textId="77777777" w:rsidR="0070496D" w:rsidRPr="00EB5EDA" w:rsidRDefault="0070496D" w:rsidP="00571121">
            <w:pPr>
              <w:pStyle w:val="Normal-pool"/>
              <w:spacing w:before="40" w:after="40"/>
              <w:jc w:val="right"/>
              <w:rPr>
                <w:sz w:val="18"/>
                <w:szCs w:val="18"/>
                <w:lang w:val="en-GB"/>
              </w:rPr>
            </w:pPr>
            <w:r w:rsidRPr="00EB5EDA">
              <w:rPr>
                <w:sz w:val="18"/>
                <w:szCs w:val="18"/>
                <w:lang w:val="en-GB"/>
              </w:rPr>
              <w:t>8506.60.10.11</w:t>
            </w:r>
          </w:p>
        </w:tc>
        <w:tc>
          <w:tcPr>
            <w:tcW w:w="4621" w:type="dxa"/>
            <w:tcBorders>
              <w:top w:val="nil"/>
              <w:left w:val="nil"/>
              <w:bottom w:val="nil"/>
              <w:right w:val="nil"/>
            </w:tcBorders>
            <w:shd w:val="clear" w:color="auto" w:fill="E7E6E6" w:themeFill="background2"/>
            <w:hideMark/>
          </w:tcPr>
          <w:p w14:paraId="3986E161" w14:textId="277D1B45" w:rsidR="0070496D" w:rsidRPr="00EB5EDA" w:rsidRDefault="0070496D" w:rsidP="00B6576E">
            <w:pPr>
              <w:pStyle w:val="Normal-pool"/>
              <w:spacing w:before="40" w:after="40"/>
              <w:rPr>
                <w:sz w:val="18"/>
                <w:szCs w:val="18"/>
                <w:lang w:val="en-GB"/>
              </w:rPr>
            </w:pPr>
            <w:r w:rsidRPr="00EB5EDA">
              <w:rPr>
                <w:sz w:val="18"/>
                <w:szCs w:val="18"/>
                <w:lang w:val="en-GB"/>
              </w:rPr>
              <w:t>Button batteries with mercury content less than 2% by weight</w:t>
            </w:r>
          </w:p>
        </w:tc>
      </w:tr>
      <w:tr w:rsidR="0070496D" w:rsidRPr="00EB5EDA" w14:paraId="073E49F9" w14:textId="77777777" w:rsidTr="00A81F6C">
        <w:trPr>
          <w:cantSplit/>
          <w:trHeight w:val="57"/>
          <w:jc w:val="right"/>
        </w:trPr>
        <w:tc>
          <w:tcPr>
            <w:tcW w:w="1460" w:type="dxa"/>
            <w:tcBorders>
              <w:top w:val="nil"/>
              <w:left w:val="nil"/>
              <w:bottom w:val="nil"/>
              <w:right w:val="nil"/>
            </w:tcBorders>
            <w:shd w:val="clear" w:color="auto" w:fill="auto"/>
            <w:noWrap/>
            <w:hideMark/>
          </w:tcPr>
          <w:p w14:paraId="2298D25D" w14:textId="77777777" w:rsidR="0070496D" w:rsidRPr="00EB5EDA" w:rsidRDefault="0070496D" w:rsidP="00571121">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5BCAF3C7" w14:textId="77777777" w:rsidR="0070496D" w:rsidRPr="00EB5EDA" w:rsidRDefault="0070496D" w:rsidP="00571121">
            <w:pPr>
              <w:pStyle w:val="Normal-pool"/>
              <w:spacing w:before="40" w:after="40"/>
              <w:jc w:val="right"/>
              <w:rPr>
                <w:sz w:val="18"/>
                <w:szCs w:val="18"/>
                <w:lang w:val="en-GB"/>
              </w:rPr>
            </w:pPr>
            <w:r w:rsidRPr="00EB5EDA">
              <w:rPr>
                <w:sz w:val="18"/>
                <w:szCs w:val="18"/>
                <w:lang w:val="en-GB"/>
              </w:rPr>
              <w:t>8506.60.10.90</w:t>
            </w:r>
          </w:p>
        </w:tc>
        <w:tc>
          <w:tcPr>
            <w:tcW w:w="4621" w:type="dxa"/>
            <w:tcBorders>
              <w:top w:val="nil"/>
              <w:left w:val="nil"/>
              <w:bottom w:val="nil"/>
              <w:right w:val="nil"/>
            </w:tcBorders>
            <w:shd w:val="clear" w:color="auto" w:fill="E7E6E6" w:themeFill="background2"/>
            <w:hideMark/>
          </w:tcPr>
          <w:p w14:paraId="13F709C3" w14:textId="77777777" w:rsidR="0070496D" w:rsidRPr="00EB5EDA" w:rsidRDefault="0070496D" w:rsidP="00B6576E">
            <w:pPr>
              <w:pStyle w:val="Normal-pool"/>
              <w:spacing w:before="40" w:after="40"/>
              <w:rPr>
                <w:sz w:val="18"/>
                <w:szCs w:val="18"/>
                <w:lang w:val="en-GB"/>
              </w:rPr>
            </w:pPr>
            <w:r w:rsidRPr="00EB5EDA">
              <w:rPr>
                <w:sz w:val="18"/>
                <w:szCs w:val="18"/>
                <w:lang w:val="en-GB"/>
              </w:rPr>
              <w:t>Others</w:t>
            </w:r>
          </w:p>
        </w:tc>
      </w:tr>
      <w:tr w:rsidR="0070496D" w:rsidRPr="00EB5EDA" w14:paraId="7F4CB0F7" w14:textId="77777777" w:rsidTr="00A81F6C">
        <w:trPr>
          <w:cantSplit/>
          <w:trHeight w:val="57"/>
          <w:jc w:val="right"/>
        </w:trPr>
        <w:tc>
          <w:tcPr>
            <w:tcW w:w="1460" w:type="dxa"/>
            <w:tcBorders>
              <w:top w:val="nil"/>
              <w:left w:val="nil"/>
              <w:bottom w:val="nil"/>
              <w:right w:val="nil"/>
            </w:tcBorders>
            <w:shd w:val="clear" w:color="auto" w:fill="auto"/>
            <w:noWrap/>
            <w:hideMark/>
          </w:tcPr>
          <w:p w14:paraId="7BA8778C" w14:textId="77777777" w:rsidR="0070496D" w:rsidRPr="00EB5EDA" w:rsidRDefault="0070496D" w:rsidP="00571121">
            <w:pPr>
              <w:pStyle w:val="Normal-pool"/>
              <w:spacing w:before="40" w:after="40"/>
              <w:jc w:val="right"/>
              <w:rPr>
                <w:sz w:val="18"/>
                <w:szCs w:val="18"/>
                <w:lang w:val="en-GB"/>
              </w:rPr>
            </w:pPr>
            <w:r w:rsidRPr="00EB5EDA">
              <w:rPr>
                <w:sz w:val="18"/>
                <w:szCs w:val="18"/>
                <w:lang w:val="en-GB"/>
              </w:rPr>
              <w:t>8506.60.90</w:t>
            </w:r>
          </w:p>
        </w:tc>
        <w:tc>
          <w:tcPr>
            <w:tcW w:w="2226" w:type="dxa"/>
            <w:tcBorders>
              <w:top w:val="nil"/>
              <w:left w:val="nil"/>
              <w:bottom w:val="nil"/>
              <w:right w:val="nil"/>
            </w:tcBorders>
            <w:shd w:val="clear" w:color="auto" w:fill="auto"/>
            <w:noWrap/>
            <w:hideMark/>
          </w:tcPr>
          <w:p w14:paraId="08FF2881" w14:textId="77777777" w:rsidR="0070496D" w:rsidRPr="00EB5EDA" w:rsidRDefault="0070496D" w:rsidP="00571121">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3FC18D0B" w14:textId="77777777" w:rsidR="0070496D" w:rsidRPr="00EB5EDA" w:rsidRDefault="0070496D" w:rsidP="00B6576E">
            <w:pPr>
              <w:pStyle w:val="Normal-pool"/>
              <w:spacing w:before="40" w:after="40"/>
              <w:rPr>
                <w:sz w:val="18"/>
                <w:szCs w:val="18"/>
                <w:lang w:val="en-GB"/>
              </w:rPr>
            </w:pPr>
            <w:r w:rsidRPr="00EB5EDA">
              <w:rPr>
                <w:sz w:val="18"/>
                <w:szCs w:val="18"/>
                <w:lang w:val="en-GB"/>
              </w:rPr>
              <w:t>(Other) air-zinc batteries</w:t>
            </w:r>
          </w:p>
        </w:tc>
      </w:tr>
      <w:tr w:rsidR="0070496D" w:rsidRPr="00EB5EDA" w14:paraId="3863638E" w14:textId="77777777" w:rsidTr="00A81F6C">
        <w:trPr>
          <w:cantSplit/>
          <w:trHeight w:val="57"/>
          <w:jc w:val="right"/>
        </w:trPr>
        <w:tc>
          <w:tcPr>
            <w:tcW w:w="1460" w:type="dxa"/>
            <w:tcBorders>
              <w:top w:val="nil"/>
              <w:left w:val="nil"/>
              <w:bottom w:val="nil"/>
              <w:right w:val="nil"/>
            </w:tcBorders>
            <w:shd w:val="clear" w:color="auto" w:fill="auto"/>
            <w:noWrap/>
            <w:hideMark/>
          </w:tcPr>
          <w:p w14:paraId="3C2DE8FE" w14:textId="77777777" w:rsidR="0070496D" w:rsidRPr="00EB5EDA" w:rsidRDefault="0070496D" w:rsidP="00571121">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48503C74" w14:textId="77777777" w:rsidR="0070496D" w:rsidRPr="00EB5EDA" w:rsidRDefault="0070496D" w:rsidP="00571121">
            <w:pPr>
              <w:pStyle w:val="Normal-pool"/>
              <w:spacing w:before="40" w:after="40"/>
              <w:jc w:val="right"/>
              <w:rPr>
                <w:sz w:val="18"/>
                <w:szCs w:val="18"/>
                <w:lang w:val="en-GB"/>
              </w:rPr>
            </w:pPr>
            <w:r w:rsidRPr="00EB5EDA">
              <w:rPr>
                <w:sz w:val="18"/>
                <w:szCs w:val="18"/>
                <w:lang w:val="en-GB"/>
              </w:rPr>
              <w:t>8506.60.90.10</w:t>
            </w:r>
          </w:p>
        </w:tc>
        <w:tc>
          <w:tcPr>
            <w:tcW w:w="4621" w:type="dxa"/>
            <w:tcBorders>
              <w:top w:val="nil"/>
              <w:left w:val="nil"/>
              <w:bottom w:val="nil"/>
              <w:right w:val="nil"/>
            </w:tcBorders>
            <w:shd w:val="clear" w:color="auto" w:fill="E7E6E6" w:themeFill="background2"/>
            <w:hideMark/>
          </w:tcPr>
          <w:p w14:paraId="492C025C" w14:textId="77777777" w:rsidR="0070496D" w:rsidRPr="00EB5EDA" w:rsidRDefault="0070496D" w:rsidP="00B6576E">
            <w:pPr>
              <w:pStyle w:val="Normal-pool"/>
              <w:spacing w:before="40" w:after="40"/>
              <w:rPr>
                <w:sz w:val="18"/>
                <w:szCs w:val="18"/>
                <w:lang w:val="en-GB"/>
              </w:rPr>
            </w:pPr>
            <w:r w:rsidRPr="00EB5EDA">
              <w:rPr>
                <w:sz w:val="18"/>
                <w:szCs w:val="18"/>
                <w:lang w:val="en-GB"/>
              </w:rPr>
              <w:t>With added mercury</w:t>
            </w:r>
          </w:p>
        </w:tc>
      </w:tr>
      <w:tr w:rsidR="0070496D" w:rsidRPr="00EB5EDA" w14:paraId="62A01264" w14:textId="77777777" w:rsidTr="00A81F6C">
        <w:trPr>
          <w:cantSplit/>
          <w:trHeight w:val="57"/>
          <w:jc w:val="right"/>
        </w:trPr>
        <w:tc>
          <w:tcPr>
            <w:tcW w:w="1460" w:type="dxa"/>
            <w:tcBorders>
              <w:top w:val="nil"/>
              <w:left w:val="nil"/>
              <w:bottom w:val="nil"/>
              <w:right w:val="nil"/>
            </w:tcBorders>
            <w:shd w:val="clear" w:color="auto" w:fill="auto"/>
            <w:noWrap/>
            <w:hideMark/>
          </w:tcPr>
          <w:p w14:paraId="57EF1A26" w14:textId="77777777" w:rsidR="0070496D" w:rsidRPr="00EB5EDA" w:rsidRDefault="0070496D" w:rsidP="00571121">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0ACAFC4C" w14:textId="77777777" w:rsidR="0070496D" w:rsidRPr="00EB5EDA" w:rsidRDefault="0070496D" w:rsidP="00571121">
            <w:pPr>
              <w:pStyle w:val="Normal-pool"/>
              <w:spacing w:before="40" w:after="40"/>
              <w:jc w:val="right"/>
              <w:rPr>
                <w:sz w:val="18"/>
                <w:szCs w:val="18"/>
                <w:lang w:val="en-GB"/>
              </w:rPr>
            </w:pPr>
            <w:r w:rsidRPr="00EB5EDA">
              <w:rPr>
                <w:sz w:val="18"/>
                <w:szCs w:val="18"/>
                <w:lang w:val="en-GB"/>
              </w:rPr>
              <w:t>8506.60.90.90</w:t>
            </w:r>
          </w:p>
        </w:tc>
        <w:tc>
          <w:tcPr>
            <w:tcW w:w="4621" w:type="dxa"/>
            <w:tcBorders>
              <w:top w:val="nil"/>
              <w:left w:val="nil"/>
              <w:bottom w:val="nil"/>
              <w:right w:val="nil"/>
            </w:tcBorders>
            <w:shd w:val="clear" w:color="auto" w:fill="E7E6E6" w:themeFill="background2"/>
            <w:hideMark/>
          </w:tcPr>
          <w:p w14:paraId="283DB6F1" w14:textId="77777777" w:rsidR="0070496D" w:rsidRPr="00EB5EDA" w:rsidRDefault="0070496D" w:rsidP="00B6576E">
            <w:pPr>
              <w:pStyle w:val="Normal-pool"/>
              <w:spacing w:before="40" w:after="40"/>
              <w:rPr>
                <w:sz w:val="18"/>
                <w:szCs w:val="18"/>
                <w:lang w:val="en-GB"/>
              </w:rPr>
            </w:pPr>
            <w:r w:rsidRPr="00EB5EDA">
              <w:rPr>
                <w:sz w:val="18"/>
                <w:szCs w:val="18"/>
                <w:lang w:val="en-GB"/>
              </w:rPr>
              <w:t>Others</w:t>
            </w:r>
          </w:p>
        </w:tc>
      </w:tr>
      <w:tr w:rsidR="0070496D" w:rsidRPr="00EB5EDA" w14:paraId="42FF5A94" w14:textId="77777777" w:rsidTr="00A81F6C">
        <w:trPr>
          <w:cantSplit/>
          <w:trHeight w:val="57"/>
          <w:jc w:val="right"/>
        </w:trPr>
        <w:tc>
          <w:tcPr>
            <w:tcW w:w="1460" w:type="dxa"/>
            <w:tcBorders>
              <w:top w:val="nil"/>
              <w:left w:val="nil"/>
              <w:bottom w:val="nil"/>
              <w:right w:val="nil"/>
            </w:tcBorders>
            <w:shd w:val="clear" w:color="auto" w:fill="auto"/>
            <w:noWrap/>
            <w:hideMark/>
          </w:tcPr>
          <w:p w14:paraId="31EE742D" w14:textId="77777777" w:rsidR="0070496D" w:rsidRPr="00EB5EDA" w:rsidRDefault="0070496D" w:rsidP="00571121">
            <w:pPr>
              <w:pStyle w:val="Normal-pool"/>
              <w:spacing w:before="40" w:after="40"/>
              <w:jc w:val="right"/>
              <w:rPr>
                <w:sz w:val="18"/>
                <w:szCs w:val="18"/>
                <w:lang w:val="en-GB"/>
              </w:rPr>
            </w:pPr>
            <w:r w:rsidRPr="00EB5EDA">
              <w:rPr>
                <w:sz w:val="18"/>
                <w:szCs w:val="18"/>
                <w:lang w:val="en-GB"/>
              </w:rPr>
              <w:t>8506.80.01</w:t>
            </w:r>
          </w:p>
        </w:tc>
        <w:tc>
          <w:tcPr>
            <w:tcW w:w="2226" w:type="dxa"/>
            <w:tcBorders>
              <w:top w:val="nil"/>
              <w:left w:val="nil"/>
              <w:bottom w:val="nil"/>
              <w:right w:val="nil"/>
            </w:tcBorders>
            <w:shd w:val="clear" w:color="auto" w:fill="auto"/>
            <w:noWrap/>
            <w:hideMark/>
          </w:tcPr>
          <w:p w14:paraId="23EBA0C4" w14:textId="77777777" w:rsidR="0070496D" w:rsidRPr="00EB5EDA" w:rsidRDefault="0070496D" w:rsidP="00571121">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21833E72" w14:textId="77777777" w:rsidR="0070496D" w:rsidRPr="00EB5EDA" w:rsidRDefault="0070496D" w:rsidP="00B6576E">
            <w:pPr>
              <w:pStyle w:val="Normal-pool"/>
              <w:spacing w:before="40" w:after="40"/>
              <w:rPr>
                <w:sz w:val="18"/>
                <w:szCs w:val="18"/>
                <w:lang w:val="en-GB"/>
              </w:rPr>
            </w:pPr>
            <w:r w:rsidRPr="00EB5EDA">
              <w:rPr>
                <w:sz w:val="18"/>
                <w:szCs w:val="18"/>
                <w:lang w:val="en-GB"/>
              </w:rPr>
              <w:t>Other primary cells and batteries</w:t>
            </w:r>
          </w:p>
        </w:tc>
      </w:tr>
      <w:tr w:rsidR="0070496D" w:rsidRPr="00EB5EDA" w14:paraId="4404B067" w14:textId="77777777" w:rsidTr="002A72A8">
        <w:trPr>
          <w:cantSplit/>
          <w:trHeight w:val="57"/>
          <w:jc w:val="right"/>
        </w:trPr>
        <w:tc>
          <w:tcPr>
            <w:tcW w:w="1460" w:type="dxa"/>
            <w:tcBorders>
              <w:top w:val="nil"/>
              <w:left w:val="nil"/>
              <w:right w:val="nil"/>
            </w:tcBorders>
            <w:shd w:val="clear" w:color="auto" w:fill="auto"/>
            <w:noWrap/>
            <w:hideMark/>
          </w:tcPr>
          <w:p w14:paraId="5942BE53" w14:textId="77777777" w:rsidR="0070496D" w:rsidRPr="00EB5EDA" w:rsidRDefault="0070496D" w:rsidP="00571121">
            <w:pPr>
              <w:pStyle w:val="Normal-pool"/>
              <w:spacing w:before="40" w:after="40"/>
              <w:jc w:val="right"/>
              <w:rPr>
                <w:sz w:val="18"/>
                <w:szCs w:val="18"/>
                <w:lang w:val="en-GB"/>
              </w:rPr>
            </w:pPr>
          </w:p>
        </w:tc>
        <w:tc>
          <w:tcPr>
            <w:tcW w:w="2226" w:type="dxa"/>
            <w:tcBorders>
              <w:top w:val="nil"/>
              <w:left w:val="nil"/>
              <w:right w:val="nil"/>
            </w:tcBorders>
            <w:shd w:val="clear" w:color="auto" w:fill="E7E6E6" w:themeFill="background2"/>
            <w:noWrap/>
            <w:hideMark/>
          </w:tcPr>
          <w:p w14:paraId="708C58D5" w14:textId="77777777" w:rsidR="0070496D" w:rsidRPr="00EB5EDA" w:rsidRDefault="0070496D" w:rsidP="00571121">
            <w:pPr>
              <w:pStyle w:val="Normal-pool"/>
              <w:spacing w:before="40" w:after="40"/>
              <w:jc w:val="right"/>
              <w:rPr>
                <w:sz w:val="18"/>
                <w:szCs w:val="18"/>
                <w:lang w:val="en-GB"/>
              </w:rPr>
            </w:pPr>
            <w:r w:rsidRPr="00EB5EDA">
              <w:rPr>
                <w:sz w:val="18"/>
                <w:szCs w:val="18"/>
                <w:lang w:val="en-GB"/>
              </w:rPr>
              <w:t>8506.80.10.10</w:t>
            </w:r>
          </w:p>
        </w:tc>
        <w:tc>
          <w:tcPr>
            <w:tcW w:w="4621" w:type="dxa"/>
            <w:tcBorders>
              <w:top w:val="nil"/>
              <w:left w:val="nil"/>
              <w:right w:val="nil"/>
            </w:tcBorders>
            <w:shd w:val="clear" w:color="auto" w:fill="E7E6E6" w:themeFill="background2"/>
            <w:hideMark/>
          </w:tcPr>
          <w:p w14:paraId="5338C5AF" w14:textId="77777777" w:rsidR="0070496D" w:rsidRPr="00EB5EDA" w:rsidRDefault="0070496D" w:rsidP="00B6576E">
            <w:pPr>
              <w:pStyle w:val="Normal-pool"/>
              <w:spacing w:before="40" w:after="40"/>
              <w:rPr>
                <w:sz w:val="18"/>
                <w:szCs w:val="18"/>
                <w:lang w:val="en-GB"/>
              </w:rPr>
            </w:pPr>
            <w:r w:rsidRPr="00EB5EDA">
              <w:rPr>
                <w:sz w:val="18"/>
                <w:szCs w:val="18"/>
                <w:lang w:val="en-GB"/>
              </w:rPr>
              <w:t>With added mercury</w:t>
            </w:r>
          </w:p>
        </w:tc>
      </w:tr>
      <w:tr w:rsidR="0070496D" w:rsidRPr="00EB5EDA" w14:paraId="5D0BE147" w14:textId="77777777" w:rsidTr="002A72A8">
        <w:trPr>
          <w:cantSplit/>
          <w:trHeight w:val="57"/>
          <w:jc w:val="right"/>
        </w:trPr>
        <w:tc>
          <w:tcPr>
            <w:tcW w:w="1460" w:type="dxa"/>
            <w:tcBorders>
              <w:top w:val="nil"/>
              <w:left w:val="nil"/>
              <w:bottom w:val="single" w:sz="12" w:space="0" w:color="auto"/>
              <w:right w:val="nil"/>
            </w:tcBorders>
            <w:shd w:val="clear" w:color="auto" w:fill="auto"/>
            <w:noWrap/>
            <w:hideMark/>
          </w:tcPr>
          <w:p w14:paraId="02F0337E" w14:textId="77777777" w:rsidR="0070496D" w:rsidRPr="00EB5EDA" w:rsidRDefault="0070496D" w:rsidP="00B6576E">
            <w:pPr>
              <w:pStyle w:val="Normal-pool"/>
              <w:spacing w:before="40" w:after="40"/>
              <w:rPr>
                <w:sz w:val="18"/>
                <w:szCs w:val="18"/>
                <w:lang w:val="en-GB"/>
              </w:rPr>
            </w:pPr>
          </w:p>
        </w:tc>
        <w:tc>
          <w:tcPr>
            <w:tcW w:w="2226" w:type="dxa"/>
            <w:tcBorders>
              <w:top w:val="nil"/>
              <w:left w:val="nil"/>
              <w:bottom w:val="single" w:sz="12" w:space="0" w:color="auto"/>
              <w:right w:val="nil"/>
            </w:tcBorders>
            <w:shd w:val="clear" w:color="auto" w:fill="E7E6E6" w:themeFill="background2"/>
            <w:noWrap/>
            <w:hideMark/>
          </w:tcPr>
          <w:p w14:paraId="53F4149B" w14:textId="77777777" w:rsidR="0070496D" w:rsidRPr="00EB5EDA" w:rsidRDefault="0070496D" w:rsidP="00571121">
            <w:pPr>
              <w:pStyle w:val="Normal-pool"/>
              <w:spacing w:before="40" w:after="40"/>
              <w:jc w:val="right"/>
              <w:rPr>
                <w:sz w:val="18"/>
                <w:szCs w:val="18"/>
                <w:lang w:val="en-GB"/>
              </w:rPr>
            </w:pPr>
            <w:r w:rsidRPr="00EB5EDA">
              <w:rPr>
                <w:sz w:val="18"/>
                <w:szCs w:val="18"/>
                <w:lang w:val="en-GB"/>
              </w:rPr>
              <w:t>8506.80.10.90</w:t>
            </w:r>
          </w:p>
        </w:tc>
        <w:tc>
          <w:tcPr>
            <w:tcW w:w="4621" w:type="dxa"/>
            <w:tcBorders>
              <w:top w:val="nil"/>
              <w:left w:val="nil"/>
              <w:bottom w:val="single" w:sz="12" w:space="0" w:color="auto"/>
              <w:right w:val="nil"/>
            </w:tcBorders>
            <w:shd w:val="clear" w:color="auto" w:fill="E7E6E6" w:themeFill="background2"/>
            <w:hideMark/>
          </w:tcPr>
          <w:p w14:paraId="55C7621D" w14:textId="77777777" w:rsidR="0070496D" w:rsidRPr="00EB5EDA" w:rsidRDefault="0070496D" w:rsidP="00B6576E">
            <w:pPr>
              <w:pStyle w:val="Normal-pool"/>
              <w:spacing w:before="40" w:after="40"/>
              <w:rPr>
                <w:sz w:val="18"/>
                <w:szCs w:val="18"/>
                <w:lang w:val="en-GB"/>
              </w:rPr>
            </w:pPr>
            <w:r w:rsidRPr="00EB5EDA">
              <w:rPr>
                <w:sz w:val="18"/>
                <w:szCs w:val="18"/>
                <w:lang w:val="en-GB"/>
              </w:rPr>
              <w:t>Others</w:t>
            </w:r>
          </w:p>
        </w:tc>
      </w:tr>
    </w:tbl>
    <w:p w14:paraId="24584BBF" w14:textId="77777777" w:rsidR="0070496D" w:rsidRPr="00EB5EDA" w:rsidRDefault="0070496D" w:rsidP="003B2AD6">
      <w:pPr>
        <w:pStyle w:val="Titletable"/>
        <w:spacing w:before="240"/>
        <w:rPr>
          <w:lang w:val="en-GB"/>
        </w:rPr>
      </w:pPr>
      <w:bookmarkStart w:id="5" w:name="_Hlk62466404"/>
      <w:r w:rsidRPr="00EB5EDA">
        <w:rPr>
          <w:lang w:val="en-GB"/>
        </w:rPr>
        <w:lastRenderedPageBreak/>
        <w:t>Switches and relays</w:t>
      </w:r>
    </w:p>
    <w:tbl>
      <w:tblPr>
        <w:tblW w:w="8307" w:type="dxa"/>
        <w:jc w:val="right"/>
        <w:tblLook w:val="04A0" w:firstRow="1" w:lastRow="0" w:firstColumn="1" w:lastColumn="0" w:noHBand="0" w:noVBand="1"/>
      </w:tblPr>
      <w:tblGrid>
        <w:gridCol w:w="1476"/>
        <w:gridCol w:w="2210"/>
        <w:gridCol w:w="4621"/>
      </w:tblGrid>
      <w:tr w:rsidR="0070496D" w:rsidRPr="00EB5EDA" w14:paraId="298568B7" w14:textId="77777777" w:rsidTr="002A72A8">
        <w:trPr>
          <w:cantSplit/>
          <w:trHeight w:val="57"/>
          <w:tblHeader/>
          <w:jc w:val="right"/>
        </w:trPr>
        <w:tc>
          <w:tcPr>
            <w:tcW w:w="1476" w:type="dxa"/>
            <w:tcBorders>
              <w:top w:val="single" w:sz="4" w:space="0" w:color="auto"/>
              <w:left w:val="nil"/>
              <w:bottom w:val="single" w:sz="12" w:space="0" w:color="auto"/>
              <w:right w:val="nil"/>
            </w:tcBorders>
            <w:shd w:val="clear" w:color="auto" w:fill="auto"/>
            <w:noWrap/>
            <w:vAlign w:val="bottom"/>
          </w:tcPr>
          <w:bookmarkEnd w:id="5"/>
          <w:p w14:paraId="6A5EA20B" w14:textId="6B080679" w:rsidR="0070496D" w:rsidRPr="00EB5EDA" w:rsidRDefault="0070496D" w:rsidP="003B2AD6">
            <w:pPr>
              <w:pStyle w:val="Normal-pool"/>
              <w:keepNext/>
              <w:keepLines/>
              <w:spacing w:before="40" w:after="40"/>
              <w:jc w:val="right"/>
              <w:rPr>
                <w:i/>
                <w:iCs/>
                <w:sz w:val="18"/>
                <w:szCs w:val="18"/>
                <w:lang w:val="en-GB"/>
              </w:rPr>
            </w:pPr>
            <w:r w:rsidRPr="00EB5EDA">
              <w:rPr>
                <w:i/>
                <w:iCs/>
                <w:sz w:val="18"/>
                <w:szCs w:val="18"/>
                <w:lang w:val="en-GB"/>
              </w:rPr>
              <w:t>Existing code</w:t>
            </w:r>
          </w:p>
        </w:tc>
        <w:tc>
          <w:tcPr>
            <w:tcW w:w="2210" w:type="dxa"/>
            <w:tcBorders>
              <w:top w:val="single" w:sz="4" w:space="0" w:color="auto"/>
              <w:left w:val="nil"/>
              <w:bottom w:val="single" w:sz="12" w:space="0" w:color="auto"/>
              <w:right w:val="nil"/>
            </w:tcBorders>
            <w:shd w:val="clear" w:color="auto" w:fill="auto"/>
            <w:noWrap/>
            <w:vAlign w:val="bottom"/>
          </w:tcPr>
          <w:p w14:paraId="4B7B8106" w14:textId="77777777" w:rsidR="0070496D" w:rsidRPr="00EB5EDA" w:rsidRDefault="0070496D" w:rsidP="003B2AD6">
            <w:pPr>
              <w:pStyle w:val="Normal-pool"/>
              <w:keepNext/>
              <w:keepLines/>
              <w:spacing w:before="40" w:after="40"/>
              <w:jc w:val="right"/>
              <w:rPr>
                <w:i/>
                <w:iCs/>
                <w:sz w:val="18"/>
                <w:szCs w:val="18"/>
                <w:lang w:val="en-GB"/>
              </w:rPr>
            </w:pPr>
            <w:r w:rsidRPr="00EB5EDA">
              <w:rPr>
                <w:i/>
                <w:iCs/>
                <w:sz w:val="18"/>
                <w:szCs w:val="18"/>
                <w:lang w:val="en-GB"/>
              </w:rPr>
              <w:t>Proposed statistical codes</w:t>
            </w:r>
          </w:p>
        </w:tc>
        <w:tc>
          <w:tcPr>
            <w:tcW w:w="4621" w:type="dxa"/>
            <w:tcBorders>
              <w:top w:val="single" w:sz="4" w:space="0" w:color="auto"/>
              <w:left w:val="nil"/>
              <w:bottom w:val="single" w:sz="12" w:space="0" w:color="auto"/>
              <w:right w:val="nil"/>
            </w:tcBorders>
            <w:shd w:val="clear" w:color="auto" w:fill="auto"/>
            <w:vAlign w:val="bottom"/>
          </w:tcPr>
          <w:p w14:paraId="5C1194C6" w14:textId="77777777" w:rsidR="0070496D" w:rsidRPr="00EB5EDA" w:rsidRDefault="0070496D" w:rsidP="003B2AD6">
            <w:pPr>
              <w:pStyle w:val="Normal-pool"/>
              <w:keepNext/>
              <w:keepLines/>
              <w:spacing w:before="40" w:after="40"/>
              <w:rPr>
                <w:i/>
                <w:iCs/>
                <w:sz w:val="18"/>
                <w:szCs w:val="18"/>
                <w:lang w:val="en-GB"/>
              </w:rPr>
            </w:pPr>
            <w:r w:rsidRPr="00EB5EDA">
              <w:rPr>
                <w:i/>
                <w:iCs/>
                <w:sz w:val="18"/>
                <w:szCs w:val="18"/>
                <w:lang w:val="en-GB"/>
              </w:rPr>
              <w:t>Description</w:t>
            </w:r>
          </w:p>
        </w:tc>
      </w:tr>
      <w:tr w:rsidR="0070496D" w:rsidRPr="00EB5EDA" w14:paraId="6B74FEAA" w14:textId="77777777" w:rsidTr="002A72A8">
        <w:trPr>
          <w:cantSplit/>
          <w:trHeight w:val="57"/>
          <w:jc w:val="right"/>
        </w:trPr>
        <w:tc>
          <w:tcPr>
            <w:tcW w:w="1476" w:type="dxa"/>
            <w:tcBorders>
              <w:top w:val="single" w:sz="12" w:space="0" w:color="auto"/>
              <w:left w:val="nil"/>
              <w:bottom w:val="nil"/>
              <w:right w:val="nil"/>
            </w:tcBorders>
            <w:shd w:val="clear" w:color="auto" w:fill="000000" w:themeFill="text1"/>
            <w:noWrap/>
            <w:hideMark/>
          </w:tcPr>
          <w:p w14:paraId="7E0F06D3" w14:textId="77777777" w:rsidR="0070496D" w:rsidRPr="00EB5EDA" w:rsidRDefault="0070496D" w:rsidP="003B2AD6">
            <w:pPr>
              <w:pStyle w:val="Normal-pool"/>
              <w:keepNext/>
              <w:keepLines/>
              <w:spacing w:before="40" w:after="40"/>
              <w:jc w:val="right"/>
              <w:rPr>
                <w:sz w:val="18"/>
                <w:szCs w:val="18"/>
                <w:lang w:val="en-GB"/>
              </w:rPr>
            </w:pPr>
          </w:p>
        </w:tc>
        <w:tc>
          <w:tcPr>
            <w:tcW w:w="2210" w:type="dxa"/>
            <w:tcBorders>
              <w:top w:val="single" w:sz="12" w:space="0" w:color="auto"/>
              <w:left w:val="nil"/>
              <w:bottom w:val="nil"/>
              <w:right w:val="nil"/>
            </w:tcBorders>
            <w:shd w:val="clear" w:color="auto" w:fill="000000" w:themeFill="text1"/>
            <w:noWrap/>
            <w:hideMark/>
          </w:tcPr>
          <w:p w14:paraId="2185BE65" w14:textId="77777777" w:rsidR="0070496D" w:rsidRPr="00EB5EDA" w:rsidRDefault="0070496D" w:rsidP="003B2AD6">
            <w:pPr>
              <w:pStyle w:val="Normal-pool"/>
              <w:keepNext/>
              <w:keepLines/>
              <w:spacing w:before="40" w:after="40"/>
              <w:jc w:val="right"/>
              <w:rPr>
                <w:sz w:val="18"/>
                <w:szCs w:val="18"/>
                <w:lang w:val="en-GB"/>
              </w:rPr>
            </w:pPr>
          </w:p>
        </w:tc>
        <w:tc>
          <w:tcPr>
            <w:tcW w:w="4621" w:type="dxa"/>
            <w:tcBorders>
              <w:top w:val="single" w:sz="12" w:space="0" w:color="auto"/>
              <w:left w:val="nil"/>
              <w:bottom w:val="nil"/>
              <w:right w:val="nil"/>
            </w:tcBorders>
            <w:shd w:val="clear" w:color="auto" w:fill="000000" w:themeFill="text1"/>
            <w:hideMark/>
          </w:tcPr>
          <w:p w14:paraId="22E5F858" w14:textId="2DED3928" w:rsidR="0070496D" w:rsidRPr="00EB5EDA" w:rsidRDefault="0070496D" w:rsidP="003B2AD6">
            <w:pPr>
              <w:pStyle w:val="Normal-pool"/>
              <w:keepNext/>
              <w:keepLines/>
              <w:spacing w:before="40" w:after="40"/>
              <w:rPr>
                <w:sz w:val="18"/>
                <w:szCs w:val="18"/>
                <w:lang w:val="en-GB"/>
              </w:rPr>
            </w:pPr>
            <w:r w:rsidRPr="00EB5EDA">
              <w:rPr>
                <w:sz w:val="18"/>
                <w:szCs w:val="18"/>
                <w:lang w:val="en-GB"/>
              </w:rPr>
              <w:t xml:space="preserve">Isolating switches and make-and-break switches, for a voltage exceeding 1,000 </w:t>
            </w:r>
            <w:r w:rsidR="00C90D5C" w:rsidRPr="00EB5EDA">
              <w:rPr>
                <w:sz w:val="18"/>
                <w:szCs w:val="18"/>
                <w:lang w:val="en-GB"/>
              </w:rPr>
              <w:t>volts</w:t>
            </w:r>
          </w:p>
        </w:tc>
      </w:tr>
      <w:tr w:rsidR="0070496D" w:rsidRPr="00EB5EDA" w14:paraId="4E8B229A" w14:textId="77777777" w:rsidTr="00A81F6C">
        <w:trPr>
          <w:cantSplit/>
          <w:trHeight w:val="57"/>
          <w:jc w:val="right"/>
        </w:trPr>
        <w:tc>
          <w:tcPr>
            <w:tcW w:w="1476" w:type="dxa"/>
            <w:tcBorders>
              <w:top w:val="nil"/>
              <w:left w:val="nil"/>
              <w:bottom w:val="nil"/>
              <w:right w:val="nil"/>
            </w:tcBorders>
            <w:shd w:val="clear" w:color="auto" w:fill="auto"/>
            <w:noWrap/>
            <w:hideMark/>
          </w:tcPr>
          <w:p w14:paraId="025AB087" w14:textId="77777777" w:rsidR="0070496D" w:rsidRPr="00EB5EDA" w:rsidRDefault="0070496D" w:rsidP="003B2AD6">
            <w:pPr>
              <w:pStyle w:val="Normal-pool"/>
              <w:keepNext/>
              <w:keepLines/>
              <w:spacing w:before="40" w:after="40"/>
              <w:jc w:val="right"/>
              <w:rPr>
                <w:sz w:val="18"/>
                <w:szCs w:val="18"/>
                <w:lang w:val="en-GB"/>
              </w:rPr>
            </w:pPr>
            <w:r w:rsidRPr="00EB5EDA">
              <w:rPr>
                <w:sz w:val="18"/>
                <w:szCs w:val="18"/>
                <w:lang w:val="en-GB"/>
              </w:rPr>
              <w:t>8535.30.01</w:t>
            </w:r>
          </w:p>
        </w:tc>
        <w:tc>
          <w:tcPr>
            <w:tcW w:w="2210" w:type="dxa"/>
            <w:tcBorders>
              <w:top w:val="nil"/>
              <w:left w:val="nil"/>
              <w:bottom w:val="nil"/>
              <w:right w:val="nil"/>
            </w:tcBorders>
            <w:shd w:val="clear" w:color="auto" w:fill="auto"/>
            <w:noWrap/>
            <w:hideMark/>
          </w:tcPr>
          <w:p w14:paraId="6C32ECC1" w14:textId="77777777" w:rsidR="0070496D" w:rsidRPr="00EB5EDA" w:rsidRDefault="0070496D" w:rsidP="003B2AD6">
            <w:pPr>
              <w:pStyle w:val="Normal-pool"/>
              <w:keepNext/>
              <w:keepLines/>
              <w:spacing w:before="40" w:after="40"/>
              <w:jc w:val="right"/>
              <w:rPr>
                <w:sz w:val="18"/>
                <w:szCs w:val="18"/>
                <w:lang w:val="en-GB"/>
              </w:rPr>
            </w:pPr>
          </w:p>
        </w:tc>
        <w:tc>
          <w:tcPr>
            <w:tcW w:w="4621" w:type="dxa"/>
            <w:tcBorders>
              <w:top w:val="nil"/>
              <w:left w:val="nil"/>
              <w:bottom w:val="nil"/>
              <w:right w:val="nil"/>
            </w:tcBorders>
            <w:shd w:val="clear" w:color="auto" w:fill="auto"/>
            <w:hideMark/>
          </w:tcPr>
          <w:p w14:paraId="78B18D6A" w14:textId="77777777" w:rsidR="0070496D" w:rsidRPr="00EB5EDA" w:rsidRDefault="0070496D" w:rsidP="003B2AD6">
            <w:pPr>
              <w:pStyle w:val="Normal-pool"/>
              <w:keepNext/>
              <w:keepLines/>
              <w:spacing w:before="40" w:after="40"/>
              <w:rPr>
                <w:sz w:val="18"/>
                <w:szCs w:val="18"/>
                <w:lang w:val="en-GB"/>
              </w:rPr>
            </w:pPr>
            <w:r w:rsidRPr="00EB5EDA">
              <w:rPr>
                <w:sz w:val="18"/>
                <w:szCs w:val="18"/>
                <w:lang w:val="en-GB"/>
              </w:rPr>
              <w:t>Make-and-break switches</w:t>
            </w:r>
          </w:p>
        </w:tc>
      </w:tr>
      <w:tr w:rsidR="0070496D" w:rsidRPr="00EB5EDA" w14:paraId="7EE5DE6E" w14:textId="77777777" w:rsidTr="00A81F6C">
        <w:trPr>
          <w:cantSplit/>
          <w:trHeight w:val="57"/>
          <w:jc w:val="right"/>
        </w:trPr>
        <w:tc>
          <w:tcPr>
            <w:tcW w:w="1476" w:type="dxa"/>
            <w:tcBorders>
              <w:top w:val="nil"/>
              <w:left w:val="nil"/>
              <w:bottom w:val="nil"/>
              <w:right w:val="nil"/>
            </w:tcBorders>
            <w:shd w:val="clear" w:color="auto" w:fill="auto"/>
            <w:noWrap/>
            <w:hideMark/>
          </w:tcPr>
          <w:p w14:paraId="4ABB5AF7" w14:textId="77777777" w:rsidR="0070496D" w:rsidRPr="00EB5EDA" w:rsidRDefault="0070496D" w:rsidP="003B2AD6">
            <w:pPr>
              <w:pStyle w:val="Normal-pool"/>
              <w:keepNext/>
              <w:keepLines/>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109D9A96" w14:textId="77777777" w:rsidR="0070496D" w:rsidRPr="00EB5EDA" w:rsidRDefault="0070496D" w:rsidP="003B2AD6">
            <w:pPr>
              <w:pStyle w:val="Normal-pool"/>
              <w:keepNext/>
              <w:keepLines/>
              <w:spacing w:before="40" w:after="40"/>
              <w:jc w:val="right"/>
              <w:rPr>
                <w:sz w:val="18"/>
                <w:szCs w:val="18"/>
                <w:lang w:val="en-GB"/>
              </w:rPr>
            </w:pPr>
            <w:r w:rsidRPr="00EB5EDA">
              <w:rPr>
                <w:sz w:val="18"/>
                <w:szCs w:val="18"/>
                <w:lang w:val="en-GB"/>
              </w:rPr>
              <w:t>8535.30.01.10</w:t>
            </w:r>
          </w:p>
        </w:tc>
        <w:tc>
          <w:tcPr>
            <w:tcW w:w="4621" w:type="dxa"/>
            <w:tcBorders>
              <w:top w:val="nil"/>
              <w:left w:val="nil"/>
              <w:bottom w:val="nil"/>
              <w:right w:val="nil"/>
            </w:tcBorders>
            <w:shd w:val="clear" w:color="auto" w:fill="E7E6E6" w:themeFill="background2"/>
            <w:hideMark/>
          </w:tcPr>
          <w:p w14:paraId="094032B4" w14:textId="77777777" w:rsidR="0070496D" w:rsidRPr="00EB5EDA" w:rsidRDefault="0070496D" w:rsidP="003B2AD6">
            <w:pPr>
              <w:pStyle w:val="Normal-pool"/>
              <w:keepNext/>
              <w:keepLines/>
              <w:spacing w:before="40" w:after="40"/>
              <w:rPr>
                <w:sz w:val="18"/>
                <w:szCs w:val="18"/>
                <w:lang w:val="en-GB"/>
              </w:rPr>
            </w:pPr>
            <w:r w:rsidRPr="00EB5EDA">
              <w:rPr>
                <w:sz w:val="18"/>
                <w:szCs w:val="18"/>
                <w:lang w:val="en-GB"/>
              </w:rPr>
              <w:t>With added mercury</w:t>
            </w:r>
          </w:p>
        </w:tc>
      </w:tr>
      <w:tr w:rsidR="0070496D" w:rsidRPr="00EB5EDA" w14:paraId="59E76E19" w14:textId="77777777" w:rsidTr="00A81F6C">
        <w:trPr>
          <w:cantSplit/>
          <w:trHeight w:val="57"/>
          <w:jc w:val="right"/>
        </w:trPr>
        <w:tc>
          <w:tcPr>
            <w:tcW w:w="1476" w:type="dxa"/>
            <w:tcBorders>
              <w:top w:val="nil"/>
              <w:left w:val="nil"/>
              <w:bottom w:val="nil"/>
              <w:right w:val="nil"/>
            </w:tcBorders>
            <w:shd w:val="clear" w:color="auto" w:fill="auto"/>
            <w:noWrap/>
            <w:hideMark/>
          </w:tcPr>
          <w:p w14:paraId="53932742" w14:textId="77777777" w:rsidR="0070496D" w:rsidRPr="00EB5EDA" w:rsidRDefault="0070496D" w:rsidP="003B2AD6">
            <w:pPr>
              <w:pStyle w:val="Normal-pool"/>
              <w:keepNext/>
              <w:keepLines/>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4F55EE36" w14:textId="77777777" w:rsidR="0070496D" w:rsidRPr="00EB5EDA" w:rsidRDefault="0070496D" w:rsidP="003B2AD6">
            <w:pPr>
              <w:pStyle w:val="Normal-pool"/>
              <w:keepNext/>
              <w:keepLines/>
              <w:spacing w:before="40" w:after="40"/>
              <w:jc w:val="right"/>
              <w:rPr>
                <w:sz w:val="18"/>
                <w:szCs w:val="18"/>
                <w:lang w:val="en-GB"/>
              </w:rPr>
            </w:pPr>
            <w:r w:rsidRPr="00EB5EDA">
              <w:rPr>
                <w:sz w:val="18"/>
                <w:szCs w:val="18"/>
                <w:lang w:val="en-GB"/>
              </w:rPr>
              <w:t>8535.30.01.90</w:t>
            </w:r>
          </w:p>
        </w:tc>
        <w:tc>
          <w:tcPr>
            <w:tcW w:w="4621" w:type="dxa"/>
            <w:tcBorders>
              <w:top w:val="nil"/>
              <w:left w:val="nil"/>
              <w:bottom w:val="nil"/>
              <w:right w:val="nil"/>
            </w:tcBorders>
            <w:shd w:val="clear" w:color="auto" w:fill="E7E6E6" w:themeFill="background2"/>
            <w:hideMark/>
          </w:tcPr>
          <w:p w14:paraId="2EA0624A" w14:textId="77777777" w:rsidR="0070496D" w:rsidRPr="00EB5EDA" w:rsidRDefault="0070496D" w:rsidP="003B2AD6">
            <w:pPr>
              <w:pStyle w:val="Normal-pool"/>
              <w:keepNext/>
              <w:keepLines/>
              <w:spacing w:before="40" w:after="40"/>
              <w:rPr>
                <w:sz w:val="18"/>
                <w:szCs w:val="18"/>
                <w:lang w:val="en-GB"/>
              </w:rPr>
            </w:pPr>
            <w:r w:rsidRPr="00EB5EDA">
              <w:rPr>
                <w:sz w:val="18"/>
                <w:szCs w:val="18"/>
                <w:lang w:val="en-GB"/>
              </w:rPr>
              <w:t>Others</w:t>
            </w:r>
          </w:p>
        </w:tc>
      </w:tr>
      <w:tr w:rsidR="0070496D" w:rsidRPr="00EB5EDA" w14:paraId="56CB9FED" w14:textId="77777777" w:rsidTr="00A81F6C">
        <w:trPr>
          <w:cantSplit/>
          <w:trHeight w:val="57"/>
          <w:jc w:val="right"/>
        </w:trPr>
        <w:tc>
          <w:tcPr>
            <w:tcW w:w="1476" w:type="dxa"/>
            <w:tcBorders>
              <w:top w:val="nil"/>
              <w:left w:val="nil"/>
              <w:bottom w:val="nil"/>
              <w:right w:val="nil"/>
            </w:tcBorders>
            <w:shd w:val="clear" w:color="auto" w:fill="auto"/>
            <w:noWrap/>
            <w:hideMark/>
          </w:tcPr>
          <w:p w14:paraId="1E779E49" w14:textId="77777777" w:rsidR="0070496D" w:rsidRPr="00EB5EDA" w:rsidRDefault="0070496D" w:rsidP="003B2AD6">
            <w:pPr>
              <w:pStyle w:val="Normal-pool"/>
              <w:keepNext/>
              <w:keepLines/>
              <w:spacing w:before="40" w:after="40"/>
              <w:jc w:val="right"/>
              <w:rPr>
                <w:sz w:val="18"/>
                <w:szCs w:val="18"/>
                <w:lang w:val="en-GB"/>
              </w:rPr>
            </w:pPr>
            <w:r w:rsidRPr="00EB5EDA">
              <w:rPr>
                <w:sz w:val="18"/>
                <w:szCs w:val="18"/>
                <w:lang w:val="en-GB"/>
              </w:rPr>
              <w:t>8535.30.13</w:t>
            </w:r>
          </w:p>
        </w:tc>
        <w:tc>
          <w:tcPr>
            <w:tcW w:w="2210" w:type="dxa"/>
            <w:tcBorders>
              <w:top w:val="nil"/>
              <w:left w:val="nil"/>
              <w:bottom w:val="nil"/>
              <w:right w:val="nil"/>
            </w:tcBorders>
            <w:shd w:val="clear" w:color="auto" w:fill="auto"/>
            <w:noWrap/>
            <w:hideMark/>
          </w:tcPr>
          <w:p w14:paraId="6E000AE4" w14:textId="77777777" w:rsidR="0070496D" w:rsidRPr="00EB5EDA" w:rsidRDefault="0070496D" w:rsidP="003B2AD6">
            <w:pPr>
              <w:pStyle w:val="Normal-pool"/>
              <w:keepNext/>
              <w:keepLines/>
              <w:spacing w:before="40" w:after="40"/>
              <w:jc w:val="right"/>
              <w:rPr>
                <w:sz w:val="18"/>
                <w:szCs w:val="18"/>
                <w:lang w:val="en-GB"/>
              </w:rPr>
            </w:pPr>
          </w:p>
        </w:tc>
        <w:tc>
          <w:tcPr>
            <w:tcW w:w="4621" w:type="dxa"/>
            <w:tcBorders>
              <w:top w:val="nil"/>
              <w:left w:val="nil"/>
              <w:bottom w:val="nil"/>
              <w:right w:val="nil"/>
            </w:tcBorders>
            <w:shd w:val="clear" w:color="auto" w:fill="auto"/>
            <w:hideMark/>
          </w:tcPr>
          <w:p w14:paraId="12AECBC2" w14:textId="00B68E46" w:rsidR="0070496D" w:rsidRPr="00EB5EDA" w:rsidRDefault="0070496D" w:rsidP="003B2AD6">
            <w:pPr>
              <w:pStyle w:val="Normal-pool"/>
              <w:keepNext/>
              <w:keepLines/>
              <w:spacing w:before="40" w:after="40"/>
              <w:rPr>
                <w:sz w:val="18"/>
                <w:szCs w:val="18"/>
                <w:lang w:val="en-GB"/>
              </w:rPr>
            </w:pPr>
            <w:r w:rsidRPr="00EB5EDA">
              <w:rPr>
                <w:sz w:val="18"/>
                <w:szCs w:val="18"/>
                <w:lang w:val="en-GB"/>
              </w:rPr>
              <w:t>Switches for rated current less than or equal to 1</w:t>
            </w:r>
            <w:r w:rsidR="00C90D5C" w:rsidRPr="00EB5EDA">
              <w:rPr>
                <w:sz w:val="18"/>
                <w:szCs w:val="18"/>
                <w:lang w:val="en-GB"/>
              </w:rPr>
              <w:t>,</w:t>
            </w:r>
            <w:r w:rsidRPr="00EB5EDA">
              <w:rPr>
                <w:sz w:val="18"/>
                <w:szCs w:val="18"/>
                <w:lang w:val="en-GB"/>
              </w:rPr>
              <w:t>600</w:t>
            </w:r>
            <w:r w:rsidR="00C90D5C" w:rsidRPr="00EB5EDA">
              <w:rPr>
                <w:sz w:val="18"/>
                <w:szCs w:val="18"/>
                <w:lang w:val="en-GB"/>
              </w:rPr>
              <w:t> amps</w:t>
            </w:r>
            <w:r w:rsidRPr="00EB5EDA">
              <w:rPr>
                <w:sz w:val="18"/>
                <w:szCs w:val="18"/>
                <w:lang w:val="en-GB"/>
              </w:rPr>
              <w:t>, vacuum cut-off without actuating device (vacuum bottles or ampoules)</w:t>
            </w:r>
          </w:p>
        </w:tc>
      </w:tr>
      <w:tr w:rsidR="0070496D" w:rsidRPr="00EB5EDA" w14:paraId="29A8E2BE" w14:textId="77777777" w:rsidTr="00A81F6C">
        <w:trPr>
          <w:cantSplit/>
          <w:trHeight w:val="57"/>
          <w:jc w:val="right"/>
        </w:trPr>
        <w:tc>
          <w:tcPr>
            <w:tcW w:w="1476" w:type="dxa"/>
            <w:tcBorders>
              <w:top w:val="nil"/>
              <w:left w:val="nil"/>
              <w:bottom w:val="nil"/>
              <w:right w:val="nil"/>
            </w:tcBorders>
            <w:shd w:val="clear" w:color="auto" w:fill="auto"/>
            <w:noWrap/>
            <w:hideMark/>
          </w:tcPr>
          <w:p w14:paraId="5CC327C1"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45D8FD17"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8535.30.13.10</w:t>
            </w:r>
          </w:p>
        </w:tc>
        <w:tc>
          <w:tcPr>
            <w:tcW w:w="4621" w:type="dxa"/>
            <w:tcBorders>
              <w:top w:val="nil"/>
              <w:left w:val="nil"/>
              <w:bottom w:val="nil"/>
              <w:right w:val="nil"/>
            </w:tcBorders>
            <w:shd w:val="clear" w:color="auto" w:fill="E7E6E6" w:themeFill="background2"/>
            <w:hideMark/>
          </w:tcPr>
          <w:p w14:paraId="30723D5D" w14:textId="77777777" w:rsidR="0070496D" w:rsidRPr="00EB5EDA" w:rsidRDefault="0070496D" w:rsidP="00A81F6C">
            <w:pPr>
              <w:pStyle w:val="Normal-pool"/>
              <w:spacing w:before="40" w:after="40"/>
              <w:rPr>
                <w:sz w:val="18"/>
                <w:szCs w:val="18"/>
                <w:lang w:val="en-GB"/>
              </w:rPr>
            </w:pPr>
            <w:r w:rsidRPr="00EB5EDA">
              <w:rPr>
                <w:sz w:val="18"/>
                <w:szCs w:val="18"/>
                <w:lang w:val="en-GB"/>
              </w:rPr>
              <w:t>With added mercury</w:t>
            </w:r>
          </w:p>
        </w:tc>
      </w:tr>
      <w:tr w:rsidR="0070496D" w:rsidRPr="00EB5EDA" w14:paraId="43AE6919" w14:textId="77777777" w:rsidTr="00A81F6C">
        <w:trPr>
          <w:cantSplit/>
          <w:trHeight w:val="57"/>
          <w:jc w:val="right"/>
        </w:trPr>
        <w:tc>
          <w:tcPr>
            <w:tcW w:w="1476" w:type="dxa"/>
            <w:tcBorders>
              <w:top w:val="nil"/>
              <w:left w:val="nil"/>
              <w:bottom w:val="nil"/>
              <w:right w:val="nil"/>
            </w:tcBorders>
            <w:shd w:val="clear" w:color="auto" w:fill="auto"/>
            <w:noWrap/>
            <w:hideMark/>
          </w:tcPr>
          <w:p w14:paraId="4F0F5137"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19AB7BAE"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8535.30.13.90</w:t>
            </w:r>
          </w:p>
        </w:tc>
        <w:tc>
          <w:tcPr>
            <w:tcW w:w="4621" w:type="dxa"/>
            <w:tcBorders>
              <w:top w:val="nil"/>
              <w:left w:val="nil"/>
              <w:bottom w:val="nil"/>
              <w:right w:val="nil"/>
            </w:tcBorders>
            <w:shd w:val="clear" w:color="auto" w:fill="E7E6E6" w:themeFill="background2"/>
            <w:hideMark/>
          </w:tcPr>
          <w:p w14:paraId="62B48DBD" w14:textId="77777777" w:rsidR="0070496D" w:rsidRPr="00EB5EDA" w:rsidRDefault="0070496D" w:rsidP="00A81F6C">
            <w:pPr>
              <w:pStyle w:val="Normal-pool"/>
              <w:spacing w:before="40" w:after="40"/>
              <w:rPr>
                <w:sz w:val="18"/>
                <w:szCs w:val="18"/>
                <w:lang w:val="en-GB"/>
              </w:rPr>
            </w:pPr>
            <w:r w:rsidRPr="00EB5EDA">
              <w:rPr>
                <w:sz w:val="18"/>
                <w:szCs w:val="18"/>
                <w:lang w:val="en-GB"/>
              </w:rPr>
              <w:t>Others</w:t>
            </w:r>
          </w:p>
        </w:tc>
      </w:tr>
      <w:tr w:rsidR="0070496D" w:rsidRPr="00EB5EDA" w14:paraId="3AB40DE9" w14:textId="77777777" w:rsidTr="00A81F6C">
        <w:trPr>
          <w:cantSplit/>
          <w:trHeight w:val="57"/>
          <w:jc w:val="right"/>
        </w:trPr>
        <w:tc>
          <w:tcPr>
            <w:tcW w:w="1476" w:type="dxa"/>
            <w:tcBorders>
              <w:top w:val="nil"/>
              <w:left w:val="nil"/>
              <w:bottom w:val="nil"/>
              <w:right w:val="nil"/>
            </w:tcBorders>
            <w:shd w:val="clear" w:color="auto" w:fill="auto"/>
            <w:noWrap/>
            <w:hideMark/>
          </w:tcPr>
          <w:p w14:paraId="1502AAF8"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8535.30.18</w:t>
            </w:r>
          </w:p>
        </w:tc>
        <w:tc>
          <w:tcPr>
            <w:tcW w:w="2210" w:type="dxa"/>
            <w:tcBorders>
              <w:top w:val="nil"/>
              <w:left w:val="nil"/>
              <w:bottom w:val="nil"/>
              <w:right w:val="nil"/>
            </w:tcBorders>
            <w:shd w:val="clear" w:color="auto" w:fill="auto"/>
            <w:noWrap/>
            <w:hideMark/>
          </w:tcPr>
          <w:p w14:paraId="22659921"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2EB040D6" w14:textId="767CC5A1" w:rsidR="0070496D" w:rsidRPr="00EB5EDA" w:rsidRDefault="0070496D" w:rsidP="00A81F6C">
            <w:pPr>
              <w:pStyle w:val="Normal-pool"/>
              <w:spacing w:before="40" w:after="40"/>
              <w:rPr>
                <w:sz w:val="18"/>
                <w:szCs w:val="18"/>
                <w:lang w:val="en-GB"/>
              </w:rPr>
            </w:pPr>
            <w:r w:rsidRPr="00EB5EDA">
              <w:rPr>
                <w:sz w:val="18"/>
                <w:szCs w:val="18"/>
                <w:lang w:val="en-GB"/>
              </w:rPr>
              <w:t>Disconnectors and switches for rated current less than or equal to 1</w:t>
            </w:r>
            <w:r w:rsidR="00C90D5C" w:rsidRPr="00EB5EDA">
              <w:rPr>
                <w:sz w:val="18"/>
                <w:szCs w:val="18"/>
                <w:lang w:val="en-GB"/>
              </w:rPr>
              <w:t>,</w:t>
            </w:r>
            <w:r w:rsidRPr="00EB5EDA">
              <w:rPr>
                <w:sz w:val="18"/>
                <w:szCs w:val="18"/>
                <w:lang w:val="en-GB"/>
              </w:rPr>
              <w:t>600</w:t>
            </w:r>
            <w:r w:rsidR="00C90D5C" w:rsidRPr="00EB5EDA">
              <w:rPr>
                <w:sz w:val="18"/>
                <w:szCs w:val="18"/>
                <w:lang w:val="en-GB"/>
              </w:rPr>
              <w:t xml:space="preserve"> amps</w:t>
            </w:r>
            <w:r w:rsidRPr="00EB5EDA">
              <w:rPr>
                <w:sz w:val="18"/>
                <w:szCs w:val="18"/>
                <w:lang w:val="en-GB"/>
              </w:rPr>
              <w:t xml:space="preserve"> and others with automatic actuation device except for contacts immersed in liquid medium</w:t>
            </w:r>
          </w:p>
        </w:tc>
      </w:tr>
      <w:tr w:rsidR="0070496D" w:rsidRPr="00EB5EDA" w14:paraId="7F47B037" w14:textId="77777777" w:rsidTr="00A81F6C">
        <w:trPr>
          <w:cantSplit/>
          <w:trHeight w:val="57"/>
          <w:jc w:val="right"/>
        </w:trPr>
        <w:tc>
          <w:tcPr>
            <w:tcW w:w="1476" w:type="dxa"/>
            <w:tcBorders>
              <w:top w:val="nil"/>
              <w:left w:val="nil"/>
              <w:bottom w:val="nil"/>
              <w:right w:val="nil"/>
            </w:tcBorders>
            <w:shd w:val="clear" w:color="auto" w:fill="auto"/>
            <w:noWrap/>
            <w:hideMark/>
          </w:tcPr>
          <w:p w14:paraId="28867804"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49B6F929"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8535.30.18.10</w:t>
            </w:r>
          </w:p>
        </w:tc>
        <w:tc>
          <w:tcPr>
            <w:tcW w:w="4621" w:type="dxa"/>
            <w:tcBorders>
              <w:top w:val="nil"/>
              <w:left w:val="nil"/>
              <w:bottom w:val="nil"/>
              <w:right w:val="nil"/>
            </w:tcBorders>
            <w:shd w:val="clear" w:color="auto" w:fill="E7E6E6" w:themeFill="background2"/>
            <w:hideMark/>
          </w:tcPr>
          <w:p w14:paraId="0B816D38" w14:textId="77777777" w:rsidR="0070496D" w:rsidRPr="00EB5EDA" w:rsidRDefault="0070496D" w:rsidP="00A81F6C">
            <w:pPr>
              <w:pStyle w:val="Normal-pool"/>
              <w:spacing w:before="40" w:after="40"/>
              <w:rPr>
                <w:sz w:val="18"/>
                <w:szCs w:val="18"/>
                <w:lang w:val="en-GB"/>
              </w:rPr>
            </w:pPr>
            <w:r w:rsidRPr="00EB5EDA">
              <w:rPr>
                <w:sz w:val="18"/>
                <w:szCs w:val="18"/>
                <w:lang w:val="en-GB"/>
              </w:rPr>
              <w:t>With added mercury</w:t>
            </w:r>
          </w:p>
        </w:tc>
      </w:tr>
      <w:tr w:rsidR="0070496D" w:rsidRPr="00EB5EDA" w14:paraId="3CC920D8" w14:textId="77777777" w:rsidTr="00A81F6C">
        <w:trPr>
          <w:cantSplit/>
          <w:trHeight w:val="57"/>
          <w:jc w:val="right"/>
        </w:trPr>
        <w:tc>
          <w:tcPr>
            <w:tcW w:w="1476" w:type="dxa"/>
            <w:tcBorders>
              <w:top w:val="nil"/>
              <w:left w:val="nil"/>
              <w:bottom w:val="nil"/>
              <w:right w:val="nil"/>
            </w:tcBorders>
            <w:shd w:val="clear" w:color="auto" w:fill="auto"/>
            <w:noWrap/>
            <w:hideMark/>
          </w:tcPr>
          <w:p w14:paraId="7C403AFE"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47241CC8"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8535.30.18.90</w:t>
            </w:r>
          </w:p>
        </w:tc>
        <w:tc>
          <w:tcPr>
            <w:tcW w:w="4621" w:type="dxa"/>
            <w:tcBorders>
              <w:top w:val="nil"/>
              <w:left w:val="nil"/>
              <w:bottom w:val="nil"/>
              <w:right w:val="nil"/>
            </w:tcBorders>
            <w:shd w:val="clear" w:color="auto" w:fill="E7E6E6" w:themeFill="background2"/>
            <w:hideMark/>
          </w:tcPr>
          <w:p w14:paraId="4F70FDE5" w14:textId="77777777" w:rsidR="0070496D" w:rsidRPr="00EB5EDA" w:rsidRDefault="0070496D" w:rsidP="00A81F6C">
            <w:pPr>
              <w:pStyle w:val="Normal-pool"/>
              <w:spacing w:before="40" w:after="40"/>
              <w:rPr>
                <w:sz w:val="18"/>
                <w:szCs w:val="18"/>
                <w:lang w:val="en-GB"/>
              </w:rPr>
            </w:pPr>
            <w:r w:rsidRPr="00EB5EDA">
              <w:rPr>
                <w:sz w:val="18"/>
                <w:szCs w:val="18"/>
                <w:lang w:val="en-GB"/>
              </w:rPr>
              <w:t>Others</w:t>
            </w:r>
          </w:p>
        </w:tc>
      </w:tr>
      <w:tr w:rsidR="0070496D" w:rsidRPr="00EB5EDA" w14:paraId="59FCBD53" w14:textId="77777777" w:rsidTr="00A81F6C">
        <w:trPr>
          <w:cantSplit/>
          <w:trHeight w:val="57"/>
          <w:jc w:val="right"/>
        </w:trPr>
        <w:tc>
          <w:tcPr>
            <w:tcW w:w="1476" w:type="dxa"/>
            <w:tcBorders>
              <w:top w:val="nil"/>
              <w:left w:val="nil"/>
              <w:bottom w:val="nil"/>
              <w:right w:val="nil"/>
            </w:tcBorders>
            <w:shd w:val="clear" w:color="auto" w:fill="auto"/>
            <w:noWrap/>
            <w:hideMark/>
          </w:tcPr>
          <w:p w14:paraId="0AFDD278"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8535.30.19</w:t>
            </w:r>
          </w:p>
        </w:tc>
        <w:tc>
          <w:tcPr>
            <w:tcW w:w="2210" w:type="dxa"/>
            <w:tcBorders>
              <w:top w:val="nil"/>
              <w:left w:val="nil"/>
              <w:bottom w:val="nil"/>
              <w:right w:val="nil"/>
            </w:tcBorders>
            <w:shd w:val="clear" w:color="auto" w:fill="auto"/>
            <w:noWrap/>
            <w:hideMark/>
          </w:tcPr>
          <w:p w14:paraId="467FEA75"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3452726E" w14:textId="2BB6A628" w:rsidR="0070496D" w:rsidRPr="00EB5EDA" w:rsidRDefault="0070496D" w:rsidP="00A81F6C">
            <w:pPr>
              <w:pStyle w:val="Normal-pool"/>
              <w:spacing w:before="40" w:after="40"/>
              <w:rPr>
                <w:sz w:val="18"/>
                <w:szCs w:val="18"/>
                <w:lang w:val="en-GB"/>
              </w:rPr>
            </w:pPr>
            <w:r w:rsidRPr="00EB5EDA">
              <w:rPr>
                <w:sz w:val="18"/>
                <w:szCs w:val="18"/>
                <w:lang w:val="en-GB"/>
              </w:rPr>
              <w:t>Other disconnectors and switches for rated current less than or equal to 1</w:t>
            </w:r>
            <w:r w:rsidR="00C90D5C" w:rsidRPr="00EB5EDA">
              <w:rPr>
                <w:sz w:val="18"/>
                <w:szCs w:val="18"/>
                <w:lang w:val="en-GB"/>
              </w:rPr>
              <w:t>,</w:t>
            </w:r>
            <w:r w:rsidRPr="00EB5EDA">
              <w:rPr>
                <w:sz w:val="18"/>
                <w:szCs w:val="18"/>
                <w:lang w:val="en-GB"/>
              </w:rPr>
              <w:t>600</w:t>
            </w:r>
            <w:r w:rsidR="00C90D5C" w:rsidRPr="00EB5EDA">
              <w:rPr>
                <w:sz w:val="18"/>
                <w:szCs w:val="18"/>
                <w:lang w:val="en-GB"/>
              </w:rPr>
              <w:t xml:space="preserve"> amps</w:t>
            </w:r>
          </w:p>
        </w:tc>
      </w:tr>
      <w:tr w:rsidR="0070496D" w:rsidRPr="00EB5EDA" w14:paraId="063C9CF7" w14:textId="77777777" w:rsidTr="00A81F6C">
        <w:trPr>
          <w:cantSplit/>
          <w:trHeight w:val="57"/>
          <w:jc w:val="right"/>
        </w:trPr>
        <w:tc>
          <w:tcPr>
            <w:tcW w:w="1476" w:type="dxa"/>
            <w:tcBorders>
              <w:top w:val="nil"/>
              <w:left w:val="nil"/>
              <w:bottom w:val="nil"/>
              <w:right w:val="nil"/>
            </w:tcBorders>
            <w:shd w:val="clear" w:color="auto" w:fill="auto"/>
            <w:noWrap/>
            <w:hideMark/>
          </w:tcPr>
          <w:p w14:paraId="4FF81169"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7AC0D770"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8535.30.90.10</w:t>
            </w:r>
          </w:p>
        </w:tc>
        <w:tc>
          <w:tcPr>
            <w:tcW w:w="4621" w:type="dxa"/>
            <w:tcBorders>
              <w:top w:val="nil"/>
              <w:left w:val="nil"/>
              <w:bottom w:val="nil"/>
              <w:right w:val="nil"/>
            </w:tcBorders>
            <w:shd w:val="clear" w:color="auto" w:fill="E7E6E6" w:themeFill="background2"/>
            <w:hideMark/>
          </w:tcPr>
          <w:p w14:paraId="5315CBE9" w14:textId="77777777" w:rsidR="0070496D" w:rsidRPr="00EB5EDA" w:rsidRDefault="0070496D" w:rsidP="00A81F6C">
            <w:pPr>
              <w:pStyle w:val="Normal-pool"/>
              <w:spacing w:before="40" w:after="40"/>
              <w:rPr>
                <w:sz w:val="18"/>
                <w:szCs w:val="18"/>
                <w:lang w:val="en-GB"/>
              </w:rPr>
            </w:pPr>
            <w:r w:rsidRPr="00EB5EDA">
              <w:rPr>
                <w:sz w:val="18"/>
                <w:szCs w:val="18"/>
                <w:lang w:val="en-GB"/>
              </w:rPr>
              <w:t>With added mercury</w:t>
            </w:r>
          </w:p>
        </w:tc>
      </w:tr>
      <w:tr w:rsidR="0070496D" w:rsidRPr="00EB5EDA" w14:paraId="2BC09464" w14:textId="77777777" w:rsidTr="00A81F6C">
        <w:trPr>
          <w:cantSplit/>
          <w:trHeight w:val="57"/>
          <w:jc w:val="right"/>
        </w:trPr>
        <w:tc>
          <w:tcPr>
            <w:tcW w:w="1476" w:type="dxa"/>
            <w:tcBorders>
              <w:top w:val="nil"/>
              <w:left w:val="nil"/>
              <w:bottom w:val="nil"/>
              <w:right w:val="nil"/>
            </w:tcBorders>
            <w:shd w:val="clear" w:color="auto" w:fill="auto"/>
            <w:noWrap/>
            <w:hideMark/>
          </w:tcPr>
          <w:p w14:paraId="5E5E51BF"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6372F80F"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8535.30.90.90</w:t>
            </w:r>
          </w:p>
        </w:tc>
        <w:tc>
          <w:tcPr>
            <w:tcW w:w="4621" w:type="dxa"/>
            <w:tcBorders>
              <w:top w:val="nil"/>
              <w:left w:val="nil"/>
              <w:bottom w:val="nil"/>
              <w:right w:val="nil"/>
            </w:tcBorders>
            <w:shd w:val="clear" w:color="auto" w:fill="E7E6E6" w:themeFill="background2"/>
            <w:hideMark/>
          </w:tcPr>
          <w:p w14:paraId="4CA331F6" w14:textId="77777777" w:rsidR="0070496D" w:rsidRPr="00EB5EDA" w:rsidRDefault="0070496D" w:rsidP="00A81F6C">
            <w:pPr>
              <w:pStyle w:val="Normal-pool"/>
              <w:spacing w:before="40" w:after="40"/>
              <w:rPr>
                <w:sz w:val="18"/>
                <w:szCs w:val="18"/>
                <w:lang w:val="en-GB"/>
              </w:rPr>
            </w:pPr>
            <w:r w:rsidRPr="00EB5EDA">
              <w:rPr>
                <w:sz w:val="18"/>
                <w:szCs w:val="18"/>
                <w:lang w:val="en-GB"/>
              </w:rPr>
              <w:t>Others</w:t>
            </w:r>
          </w:p>
        </w:tc>
      </w:tr>
      <w:tr w:rsidR="0070496D" w:rsidRPr="00EB5EDA" w14:paraId="7E8748AB" w14:textId="77777777" w:rsidTr="00A81F6C">
        <w:trPr>
          <w:cantSplit/>
          <w:trHeight w:val="57"/>
          <w:jc w:val="right"/>
        </w:trPr>
        <w:tc>
          <w:tcPr>
            <w:tcW w:w="1476" w:type="dxa"/>
            <w:tcBorders>
              <w:top w:val="nil"/>
              <w:left w:val="nil"/>
              <w:bottom w:val="nil"/>
              <w:right w:val="nil"/>
            </w:tcBorders>
            <w:shd w:val="clear" w:color="auto" w:fill="auto"/>
            <w:noWrap/>
            <w:hideMark/>
          </w:tcPr>
          <w:p w14:paraId="16099AFF"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8535.30.27</w:t>
            </w:r>
          </w:p>
        </w:tc>
        <w:tc>
          <w:tcPr>
            <w:tcW w:w="2210" w:type="dxa"/>
            <w:tcBorders>
              <w:top w:val="nil"/>
              <w:left w:val="nil"/>
              <w:bottom w:val="nil"/>
              <w:right w:val="nil"/>
            </w:tcBorders>
            <w:shd w:val="clear" w:color="auto" w:fill="auto"/>
            <w:noWrap/>
            <w:hideMark/>
          </w:tcPr>
          <w:p w14:paraId="098BD3E0"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544BE46F" w14:textId="19110481" w:rsidR="0070496D" w:rsidRPr="00EB5EDA" w:rsidRDefault="0070496D" w:rsidP="00A81F6C">
            <w:pPr>
              <w:pStyle w:val="Normal-pool"/>
              <w:spacing w:before="40" w:after="40"/>
              <w:rPr>
                <w:sz w:val="18"/>
                <w:szCs w:val="18"/>
                <w:lang w:val="en-GB"/>
              </w:rPr>
            </w:pPr>
            <w:r w:rsidRPr="00EB5EDA">
              <w:rPr>
                <w:sz w:val="18"/>
                <w:szCs w:val="18"/>
                <w:lang w:val="en-GB"/>
              </w:rPr>
              <w:t>Switches for rated current greater than 1</w:t>
            </w:r>
            <w:r w:rsidR="00C90D5C" w:rsidRPr="00EB5EDA">
              <w:rPr>
                <w:sz w:val="18"/>
                <w:szCs w:val="18"/>
                <w:lang w:val="en-GB"/>
              </w:rPr>
              <w:t>,</w:t>
            </w:r>
            <w:r w:rsidRPr="00EB5EDA">
              <w:rPr>
                <w:sz w:val="18"/>
                <w:szCs w:val="18"/>
                <w:lang w:val="en-GB"/>
              </w:rPr>
              <w:t>600</w:t>
            </w:r>
            <w:r w:rsidR="00C90D5C" w:rsidRPr="00EB5EDA">
              <w:rPr>
                <w:sz w:val="18"/>
                <w:szCs w:val="18"/>
                <w:lang w:val="en-GB"/>
              </w:rPr>
              <w:t xml:space="preserve"> amps</w:t>
            </w:r>
            <w:r w:rsidRPr="00EB5EDA">
              <w:rPr>
                <w:sz w:val="18"/>
                <w:szCs w:val="18"/>
                <w:lang w:val="en-GB"/>
              </w:rPr>
              <w:t xml:space="preserve"> and others with non-automatic actuation device</w:t>
            </w:r>
          </w:p>
        </w:tc>
      </w:tr>
      <w:tr w:rsidR="0070496D" w:rsidRPr="00EB5EDA" w14:paraId="2E0659DF" w14:textId="77777777" w:rsidTr="00A81F6C">
        <w:trPr>
          <w:cantSplit/>
          <w:trHeight w:val="57"/>
          <w:jc w:val="right"/>
        </w:trPr>
        <w:tc>
          <w:tcPr>
            <w:tcW w:w="1476" w:type="dxa"/>
            <w:tcBorders>
              <w:top w:val="nil"/>
              <w:left w:val="nil"/>
              <w:bottom w:val="nil"/>
              <w:right w:val="nil"/>
            </w:tcBorders>
            <w:shd w:val="clear" w:color="auto" w:fill="auto"/>
            <w:noWrap/>
            <w:hideMark/>
          </w:tcPr>
          <w:p w14:paraId="26FBB9DD"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221622F0"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8535.30.27.10</w:t>
            </w:r>
          </w:p>
        </w:tc>
        <w:tc>
          <w:tcPr>
            <w:tcW w:w="4621" w:type="dxa"/>
            <w:tcBorders>
              <w:top w:val="nil"/>
              <w:left w:val="nil"/>
              <w:bottom w:val="nil"/>
              <w:right w:val="nil"/>
            </w:tcBorders>
            <w:shd w:val="clear" w:color="auto" w:fill="E7E6E6" w:themeFill="background2"/>
            <w:hideMark/>
          </w:tcPr>
          <w:p w14:paraId="464707E3" w14:textId="77777777" w:rsidR="0070496D" w:rsidRPr="00EB5EDA" w:rsidRDefault="0070496D" w:rsidP="00A81F6C">
            <w:pPr>
              <w:pStyle w:val="Normal-pool"/>
              <w:spacing w:before="40" w:after="40"/>
              <w:rPr>
                <w:sz w:val="18"/>
                <w:szCs w:val="18"/>
                <w:lang w:val="en-GB"/>
              </w:rPr>
            </w:pPr>
            <w:r w:rsidRPr="00EB5EDA">
              <w:rPr>
                <w:sz w:val="18"/>
                <w:szCs w:val="18"/>
                <w:lang w:val="en-GB"/>
              </w:rPr>
              <w:t>With added mercury</w:t>
            </w:r>
          </w:p>
        </w:tc>
      </w:tr>
      <w:tr w:rsidR="0070496D" w:rsidRPr="00EB5EDA" w14:paraId="13415B5E" w14:textId="77777777" w:rsidTr="00A81F6C">
        <w:trPr>
          <w:cantSplit/>
          <w:trHeight w:val="57"/>
          <w:jc w:val="right"/>
        </w:trPr>
        <w:tc>
          <w:tcPr>
            <w:tcW w:w="1476" w:type="dxa"/>
            <w:tcBorders>
              <w:top w:val="nil"/>
              <w:left w:val="nil"/>
              <w:bottom w:val="nil"/>
              <w:right w:val="nil"/>
            </w:tcBorders>
            <w:shd w:val="clear" w:color="auto" w:fill="auto"/>
            <w:noWrap/>
            <w:hideMark/>
          </w:tcPr>
          <w:p w14:paraId="44B281A6"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0F249BA5"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8535.30.27.90</w:t>
            </w:r>
          </w:p>
        </w:tc>
        <w:tc>
          <w:tcPr>
            <w:tcW w:w="4621" w:type="dxa"/>
            <w:tcBorders>
              <w:top w:val="nil"/>
              <w:left w:val="nil"/>
              <w:bottom w:val="nil"/>
              <w:right w:val="nil"/>
            </w:tcBorders>
            <w:shd w:val="clear" w:color="auto" w:fill="E7E6E6" w:themeFill="background2"/>
            <w:hideMark/>
          </w:tcPr>
          <w:p w14:paraId="0A73B05B" w14:textId="77777777" w:rsidR="0070496D" w:rsidRPr="00EB5EDA" w:rsidRDefault="0070496D" w:rsidP="00A81F6C">
            <w:pPr>
              <w:pStyle w:val="Normal-pool"/>
              <w:spacing w:before="40" w:after="40"/>
              <w:rPr>
                <w:sz w:val="18"/>
                <w:szCs w:val="18"/>
                <w:lang w:val="en-GB"/>
              </w:rPr>
            </w:pPr>
            <w:r w:rsidRPr="00EB5EDA">
              <w:rPr>
                <w:sz w:val="18"/>
                <w:szCs w:val="18"/>
                <w:lang w:val="en-GB"/>
              </w:rPr>
              <w:t>Others</w:t>
            </w:r>
          </w:p>
        </w:tc>
      </w:tr>
      <w:tr w:rsidR="0070496D" w:rsidRPr="00EB5EDA" w14:paraId="3C49E420" w14:textId="77777777" w:rsidTr="00A81F6C">
        <w:trPr>
          <w:cantSplit/>
          <w:trHeight w:val="57"/>
          <w:jc w:val="right"/>
        </w:trPr>
        <w:tc>
          <w:tcPr>
            <w:tcW w:w="1476" w:type="dxa"/>
            <w:tcBorders>
              <w:top w:val="nil"/>
              <w:left w:val="nil"/>
              <w:bottom w:val="nil"/>
              <w:right w:val="nil"/>
            </w:tcBorders>
            <w:shd w:val="clear" w:color="auto" w:fill="auto"/>
            <w:noWrap/>
            <w:hideMark/>
          </w:tcPr>
          <w:p w14:paraId="4D5AE37D"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8535.30.28</w:t>
            </w:r>
          </w:p>
        </w:tc>
        <w:tc>
          <w:tcPr>
            <w:tcW w:w="2210" w:type="dxa"/>
            <w:tcBorders>
              <w:top w:val="nil"/>
              <w:left w:val="nil"/>
              <w:bottom w:val="nil"/>
              <w:right w:val="nil"/>
            </w:tcBorders>
            <w:shd w:val="clear" w:color="auto" w:fill="auto"/>
            <w:noWrap/>
            <w:hideMark/>
          </w:tcPr>
          <w:p w14:paraId="32D6110C"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5958BCA5" w14:textId="3CE696A4" w:rsidR="0070496D" w:rsidRPr="00EB5EDA" w:rsidRDefault="0070496D" w:rsidP="00A81F6C">
            <w:pPr>
              <w:pStyle w:val="Normal-pool"/>
              <w:spacing w:before="40" w:after="40"/>
              <w:rPr>
                <w:sz w:val="18"/>
                <w:szCs w:val="18"/>
                <w:lang w:val="en-GB"/>
              </w:rPr>
            </w:pPr>
            <w:r w:rsidRPr="00EB5EDA">
              <w:rPr>
                <w:sz w:val="18"/>
                <w:szCs w:val="18"/>
                <w:lang w:val="en-GB"/>
              </w:rPr>
              <w:t>Switches for rated current greater than 1</w:t>
            </w:r>
            <w:r w:rsidR="00C90D5C" w:rsidRPr="00EB5EDA">
              <w:rPr>
                <w:sz w:val="18"/>
                <w:szCs w:val="18"/>
                <w:lang w:val="en-GB"/>
              </w:rPr>
              <w:t>,</w:t>
            </w:r>
            <w:r w:rsidRPr="00EB5EDA">
              <w:rPr>
                <w:sz w:val="18"/>
                <w:szCs w:val="18"/>
                <w:lang w:val="en-GB"/>
              </w:rPr>
              <w:t>600</w:t>
            </w:r>
            <w:r w:rsidR="00C90D5C" w:rsidRPr="00EB5EDA">
              <w:rPr>
                <w:sz w:val="18"/>
                <w:szCs w:val="18"/>
                <w:lang w:val="en-GB"/>
              </w:rPr>
              <w:t xml:space="preserve"> amps</w:t>
            </w:r>
            <w:r w:rsidRPr="00EB5EDA">
              <w:rPr>
                <w:sz w:val="18"/>
                <w:szCs w:val="18"/>
                <w:lang w:val="en-GB"/>
              </w:rPr>
              <w:t xml:space="preserve"> and others with automatic actuation device except for contacts immersed in liquid medium</w:t>
            </w:r>
          </w:p>
        </w:tc>
      </w:tr>
      <w:tr w:rsidR="0070496D" w:rsidRPr="00EB5EDA" w14:paraId="2F212441" w14:textId="77777777" w:rsidTr="00A81F6C">
        <w:trPr>
          <w:cantSplit/>
          <w:trHeight w:val="57"/>
          <w:jc w:val="right"/>
        </w:trPr>
        <w:tc>
          <w:tcPr>
            <w:tcW w:w="1476" w:type="dxa"/>
            <w:tcBorders>
              <w:top w:val="nil"/>
              <w:left w:val="nil"/>
              <w:bottom w:val="nil"/>
              <w:right w:val="nil"/>
            </w:tcBorders>
            <w:shd w:val="clear" w:color="auto" w:fill="auto"/>
            <w:noWrap/>
            <w:hideMark/>
          </w:tcPr>
          <w:p w14:paraId="79C185D3"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1037E691"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8535.30.28.10</w:t>
            </w:r>
          </w:p>
        </w:tc>
        <w:tc>
          <w:tcPr>
            <w:tcW w:w="4621" w:type="dxa"/>
            <w:tcBorders>
              <w:top w:val="nil"/>
              <w:left w:val="nil"/>
              <w:bottom w:val="nil"/>
              <w:right w:val="nil"/>
            </w:tcBorders>
            <w:shd w:val="clear" w:color="auto" w:fill="E7E6E6" w:themeFill="background2"/>
            <w:hideMark/>
          </w:tcPr>
          <w:p w14:paraId="4B950657" w14:textId="77777777" w:rsidR="0070496D" w:rsidRPr="00EB5EDA" w:rsidRDefault="0070496D" w:rsidP="00A81F6C">
            <w:pPr>
              <w:pStyle w:val="Normal-pool"/>
              <w:spacing w:before="40" w:after="40"/>
              <w:rPr>
                <w:sz w:val="18"/>
                <w:szCs w:val="18"/>
                <w:lang w:val="en-GB"/>
              </w:rPr>
            </w:pPr>
            <w:r w:rsidRPr="00EB5EDA">
              <w:rPr>
                <w:sz w:val="18"/>
                <w:szCs w:val="18"/>
                <w:lang w:val="en-GB"/>
              </w:rPr>
              <w:t>With added mercury</w:t>
            </w:r>
          </w:p>
        </w:tc>
      </w:tr>
      <w:tr w:rsidR="0070496D" w:rsidRPr="00EB5EDA" w14:paraId="7F4B9462" w14:textId="77777777" w:rsidTr="00A81F6C">
        <w:trPr>
          <w:cantSplit/>
          <w:trHeight w:val="57"/>
          <w:jc w:val="right"/>
        </w:trPr>
        <w:tc>
          <w:tcPr>
            <w:tcW w:w="1476" w:type="dxa"/>
            <w:tcBorders>
              <w:top w:val="nil"/>
              <w:left w:val="nil"/>
              <w:bottom w:val="nil"/>
              <w:right w:val="nil"/>
            </w:tcBorders>
            <w:shd w:val="clear" w:color="auto" w:fill="auto"/>
            <w:noWrap/>
            <w:hideMark/>
          </w:tcPr>
          <w:p w14:paraId="257893A1"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1DC43BF1"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8535.30.28.90</w:t>
            </w:r>
          </w:p>
        </w:tc>
        <w:tc>
          <w:tcPr>
            <w:tcW w:w="4621" w:type="dxa"/>
            <w:tcBorders>
              <w:top w:val="nil"/>
              <w:left w:val="nil"/>
              <w:bottom w:val="nil"/>
              <w:right w:val="nil"/>
            </w:tcBorders>
            <w:shd w:val="clear" w:color="auto" w:fill="E7E6E6" w:themeFill="background2"/>
            <w:hideMark/>
          </w:tcPr>
          <w:p w14:paraId="0C3C45B9" w14:textId="77777777" w:rsidR="0070496D" w:rsidRPr="00EB5EDA" w:rsidRDefault="0070496D" w:rsidP="00A81F6C">
            <w:pPr>
              <w:pStyle w:val="Normal-pool"/>
              <w:spacing w:before="40" w:after="40"/>
              <w:rPr>
                <w:sz w:val="18"/>
                <w:szCs w:val="18"/>
                <w:lang w:val="en-GB"/>
              </w:rPr>
            </w:pPr>
            <w:r w:rsidRPr="00EB5EDA">
              <w:rPr>
                <w:sz w:val="18"/>
                <w:szCs w:val="18"/>
                <w:lang w:val="en-GB"/>
              </w:rPr>
              <w:t>Others</w:t>
            </w:r>
          </w:p>
        </w:tc>
      </w:tr>
      <w:tr w:rsidR="0070496D" w:rsidRPr="00EB5EDA" w14:paraId="288CA644" w14:textId="77777777" w:rsidTr="00A81F6C">
        <w:trPr>
          <w:cantSplit/>
          <w:trHeight w:val="57"/>
          <w:jc w:val="right"/>
        </w:trPr>
        <w:tc>
          <w:tcPr>
            <w:tcW w:w="1476" w:type="dxa"/>
            <w:tcBorders>
              <w:top w:val="nil"/>
              <w:left w:val="nil"/>
              <w:bottom w:val="nil"/>
              <w:right w:val="nil"/>
            </w:tcBorders>
            <w:shd w:val="clear" w:color="auto" w:fill="000000" w:themeFill="text1"/>
            <w:noWrap/>
            <w:hideMark/>
          </w:tcPr>
          <w:p w14:paraId="11886D10"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000000" w:themeFill="text1"/>
            <w:noWrap/>
            <w:hideMark/>
          </w:tcPr>
          <w:p w14:paraId="39CCC339"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000000" w:themeFill="text1"/>
            <w:hideMark/>
          </w:tcPr>
          <w:p w14:paraId="7F6A3553" w14:textId="7B0C97CD" w:rsidR="0070496D" w:rsidRPr="00EB5EDA" w:rsidRDefault="0070496D" w:rsidP="00A81F6C">
            <w:pPr>
              <w:pStyle w:val="Normal-pool"/>
              <w:spacing w:before="40" w:after="40"/>
              <w:rPr>
                <w:sz w:val="18"/>
                <w:szCs w:val="18"/>
                <w:lang w:val="en-GB"/>
              </w:rPr>
            </w:pPr>
            <w:r w:rsidRPr="00EB5EDA">
              <w:rPr>
                <w:sz w:val="18"/>
                <w:szCs w:val="18"/>
                <w:lang w:val="en-GB"/>
              </w:rPr>
              <w:t>Electrical apparatus for switching, protecting or making connections for a voltage exceeding 1,000</w:t>
            </w:r>
            <w:r w:rsidR="00C90D5C" w:rsidRPr="00EB5EDA">
              <w:rPr>
                <w:sz w:val="18"/>
                <w:szCs w:val="18"/>
                <w:lang w:val="en-GB"/>
              </w:rPr>
              <w:t xml:space="preserve"> volts</w:t>
            </w:r>
          </w:p>
        </w:tc>
      </w:tr>
      <w:tr w:rsidR="0070496D" w:rsidRPr="00EB5EDA" w14:paraId="65BC8495" w14:textId="77777777" w:rsidTr="00A81F6C">
        <w:trPr>
          <w:cantSplit/>
          <w:trHeight w:val="57"/>
          <w:jc w:val="right"/>
        </w:trPr>
        <w:tc>
          <w:tcPr>
            <w:tcW w:w="1476" w:type="dxa"/>
            <w:tcBorders>
              <w:top w:val="nil"/>
              <w:left w:val="nil"/>
              <w:bottom w:val="nil"/>
              <w:right w:val="nil"/>
            </w:tcBorders>
            <w:shd w:val="clear" w:color="auto" w:fill="auto"/>
            <w:noWrap/>
            <w:hideMark/>
          </w:tcPr>
          <w:p w14:paraId="36D354F2"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8535.90.04</w:t>
            </w:r>
          </w:p>
        </w:tc>
        <w:tc>
          <w:tcPr>
            <w:tcW w:w="2210" w:type="dxa"/>
            <w:tcBorders>
              <w:top w:val="nil"/>
              <w:left w:val="nil"/>
              <w:bottom w:val="nil"/>
              <w:right w:val="nil"/>
            </w:tcBorders>
            <w:shd w:val="clear" w:color="auto" w:fill="auto"/>
            <w:noWrap/>
            <w:hideMark/>
          </w:tcPr>
          <w:p w14:paraId="646EA460"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03A4D643" w14:textId="77777777" w:rsidR="0070496D" w:rsidRPr="00EB5EDA" w:rsidRDefault="0070496D" w:rsidP="00A81F6C">
            <w:pPr>
              <w:pStyle w:val="Normal-pool"/>
              <w:spacing w:before="40" w:after="40"/>
              <w:rPr>
                <w:sz w:val="18"/>
                <w:szCs w:val="18"/>
                <w:lang w:val="en-GB"/>
              </w:rPr>
            </w:pPr>
            <w:r w:rsidRPr="00EB5EDA">
              <w:rPr>
                <w:sz w:val="18"/>
                <w:szCs w:val="18"/>
                <w:lang w:val="en-GB"/>
              </w:rPr>
              <w:t>Starter relays</w:t>
            </w:r>
          </w:p>
        </w:tc>
      </w:tr>
      <w:tr w:rsidR="0070496D" w:rsidRPr="00EB5EDA" w14:paraId="0728E981" w14:textId="77777777" w:rsidTr="00A81F6C">
        <w:trPr>
          <w:cantSplit/>
          <w:trHeight w:val="57"/>
          <w:jc w:val="right"/>
        </w:trPr>
        <w:tc>
          <w:tcPr>
            <w:tcW w:w="1476" w:type="dxa"/>
            <w:tcBorders>
              <w:top w:val="nil"/>
              <w:left w:val="nil"/>
              <w:bottom w:val="nil"/>
              <w:right w:val="nil"/>
            </w:tcBorders>
            <w:shd w:val="clear" w:color="auto" w:fill="auto"/>
            <w:noWrap/>
            <w:hideMark/>
          </w:tcPr>
          <w:p w14:paraId="0C372378"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3A58762E"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8535.90.04.10</w:t>
            </w:r>
          </w:p>
        </w:tc>
        <w:tc>
          <w:tcPr>
            <w:tcW w:w="4621" w:type="dxa"/>
            <w:tcBorders>
              <w:top w:val="nil"/>
              <w:left w:val="nil"/>
              <w:bottom w:val="nil"/>
              <w:right w:val="nil"/>
            </w:tcBorders>
            <w:shd w:val="clear" w:color="auto" w:fill="E7E6E6" w:themeFill="background2"/>
            <w:hideMark/>
          </w:tcPr>
          <w:p w14:paraId="6EBA9667" w14:textId="77777777" w:rsidR="0070496D" w:rsidRPr="00EB5EDA" w:rsidRDefault="0070496D" w:rsidP="00A81F6C">
            <w:pPr>
              <w:pStyle w:val="Normal-pool"/>
              <w:spacing w:before="40" w:after="40"/>
              <w:rPr>
                <w:sz w:val="18"/>
                <w:szCs w:val="18"/>
                <w:lang w:val="en-GB"/>
              </w:rPr>
            </w:pPr>
            <w:r w:rsidRPr="00EB5EDA">
              <w:rPr>
                <w:sz w:val="18"/>
                <w:szCs w:val="18"/>
                <w:lang w:val="en-GB"/>
              </w:rPr>
              <w:t>With added mercury</w:t>
            </w:r>
          </w:p>
        </w:tc>
      </w:tr>
      <w:tr w:rsidR="0070496D" w:rsidRPr="00EB5EDA" w14:paraId="6F2B0136" w14:textId="77777777" w:rsidTr="00A81F6C">
        <w:trPr>
          <w:cantSplit/>
          <w:trHeight w:val="57"/>
          <w:jc w:val="right"/>
        </w:trPr>
        <w:tc>
          <w:tcPr>
            <w:tcW w:w="1476" w:type="dxa"/>
            <w:tcBorders>
              <w:top w:val="nil"/>
              <w:left w:val="nil"/>
              <w:bottom w:val="nil"/>
              <w:right w:val="nil"/>
            </w:tcBorders>
            <w:shd w:val="clear" w:color="auto" w:fill="auto"/>
            <w:noWrap/>
            <w:hideMark/>
          </w:tcPr>
          <w:p w14:paraId="4792A58C"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5FE5C1BA"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8535.90.04.90</w:t>
            </w:r>
          </w:p>
        </w:tc>
        <w:tc>
          <w:tcPr>
            <w:tcW w:w="4621" w:type="dxa"/>
            <w:tcBorders>
              <w:top w:val="nil"/>
              <w:left w:val="nil"/>
              <w:bottom w:val="nil"/>
              <w:right w:val="nil"/>
            </w:tcBorders>
            <w:shd w:val="clear" w:color="auto" w:fill="E7E6E6" w:themeFill="background2"/>
            <w:hideMark/>
          </w:tcPr>
          <w:p w14:paraId="0C45DC8F" w14:textId="77777777" w:rsidR="0070496D" w:rsidRPr="00EB5EDA" w:rsidRDefault="0070496D" w:rsidP="00A81F6C">
            <w:pPr>
              <w:pStyle w:val="Normal-pool"/>
              <w:spacing w:before="40" w:after="40"/>
              <w:rPr>
                <w:sz w:val="18"/>
                <w:szCs w:val="18"/>
                <w:lang w:val="en-GB"/>
              </w:rPr>
            </w:pPr>
            <w:r w:rsidRPr="00EB5EDA">
              <w:rPr>
                <w:sz w:val="18"/>
                <w:szCs w:val="18"/>
                <w:lang w:val="en-GB"/>
              </w:rPr>
              <w:t>Others</w:t>
            </w:r>
          </w:p>
        </w:tc>
      </w:tr>
      <w:tr w:rsidR="0070496D" w:rsidRPr="00EB5EDA" w14:paraId="06DE686F" w14:textId="77777777" w:rsidTr="00A81F6C">
        <w:trPr>
          <w:cantSplit/>
          <w:trHeight w:val="57"/>
          <w:jc w:val="right"/>
        </w:trPr>
        <w:tc>
          <w:tcPr>
            <w:tcW w:w="1476" w:type="dxa"/>
            <w:tcBorders>
              <w:top w:val="nil"/>
              <w:left w:val="nil"/>
              <w:bottom w:val="nil"/>
              <w:right w:val="nil"/>
            </w:tcBorders>
            <w:shd w:val="clear" w:color="auto" w:fill="auto"/>
            <w:noWrap/>
            <w:hideMark/>
          </w:tcPr>
          <w:p w14:paraId="5FDA5559"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8535.90.05</w:t>
            </w:r>
          </w:p>
        </w:tc>
        <w:tc>
          <w:tcPr>
            <w:tcW w:w="2210" w:type="dxa"/>
            <w:tcBorders>
              <w:top w:val="nil"/>
              <w:left w:val="nil"/>
              <w:bottom w:val="nil"/>
              <w:right w:val="nil"/>
            </w:tcBorders>
            <w:shd w:val="clear" w:color="auto" w:fill="auto"/>
            <w:noWrap/>
            <w:hideMark/>
          </w:tcPr>
          <w:p w14:paraId="5609245A"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37C4758D" w14:textId="77777777" w:rsidR="0070496D" w:rsidRPr="00EB5EDA" w:rsidRDefault="0070496D" w:rsidP="00A81F6C">
            <w:pPr>
              <w:pStyle w:val="Normal-pool"/>
              <w:spacing w:before="40" w:after="40"/>
              <w:rPr>
                <w:sz w:val="18"/>
                <w:szCs w:val="18"/>
                <w:lang w:val="en-GB"/>
              </w:rPr>
            </w:pPr>
            <w:r w:rsidRPr="00EB5EDA">
              <w:rPr>
                <w:sz w:val="18"/>
                <w:szCs w:val="18"/>
                <w:lang w:val="en-GB"/>
              </w:rPr>
              <w:t>Thermal or induction relays</w:t>
            </w:r>
          </w:p>
        </w:tc>
      </w:tr>
      <w:tr w:rsidR="0070496D" w:rsidRPr="00EB5EDA" w14:paraId="01459D3D" w14:textId="77777777" w:rsidTr="00A81F6C">
        <w:trPr>
          <w:cantSplit/>
          <w:trHeight w:val="57"/>
          <w:jc w:val="right"/>
        </w:trPr>
        <w:tc>
          <w:tcPr>
            <w:tcW w:w="1476" w:type="dxa"/>
            <w:tcBorders>
              <w:top w:val="nil"/>
              <w:left w:val="nil"/>
              <w:bottom w:val="nil"/>
              <w:right w:val="nil"/>
            </w:tcBorders>
            <w:shd w:val="clear" w:color="auto" w:fill="auto"/>
            <w:noWrap/>
            <w:hideMark/>
          </w:tcPr>
          <w:p w14:paraId="1D59255F"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7FFB6614"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8535.90.05.10</w:t>
            </w:r>
          </w:p>
        </w:tc>
        <w:tc>
          <w:tcPr>
            <w:tcW w:w="4621" w:type="dxa"/>
            <w:tcBorders>
              <w:top w:val="nil"/>
              <w:left w:val="nil"/>
              <w:bottom w:val="nil"/>
              <w:right w:val="nil"/>
            </w:tcBorders>
            <w:shd w:val="clear" w:color="auto" w:fill="E7E6E6" w:themeFill="background2"/>
            <w:hideMark/>
          </w:tcPr>
          <w:p w14:paraId="6A8812C9" w14:textId="77777777" w:rsidR="0070496D" w:rsidRPr="00EB5EDA" w:rsidRDefault="0070496D" w:rsidP="00A81F6C">
            <w:pPr>
              <w:pStyle w:val="Normal-pool"/>
              <w:spacing w:before="40" w:after="40"/>
              <w:rPr>
                <w:sz w:val="18"/>
                <w:szCs w:val="18"/>
                <w:lang w:val="en-GB"/>
              </w:rPr>
            </w:pPr>
            <w:r w:rsidRPr="00EB5EDA">
              <w:rPr>
                <w:sz w:val="18"/>
                <w:szCs w:val="18"/>
                <w:lang w:val="en-GB"/>
              </w:rPr>
              <w:t>With added mercury</w:t>
            </w:r>
          </w:p>
        </w:tc>
      </w:tr>
      <w:tr w:rsidR="0070496D" w:rsidRPr="00EB5EDA" w14:paraId="2A1A9669" w14:textId="77777777" w:rsidTr="00A81F6C">
        <w:trPr>
          <w:cantSplit/>
          <w:trHeight w:val="57"/>
          <w:jc w:val="right"/>
        </w:trPr>
        <w:tc>
          <w:tcPr>
            <w:tcW w:w="1476" w:type="dxa"/>
            <w:tcBorders>
              <w:top w:val="nil"/>
              <w:left w:val="nil"/>
              <w:bottom w:val="nil"/>
              <w:right w:val="nil"/>
            </w:tcBorders>
            <w:shd w:val="clear" w:color="auto" w:fill="auto"/>
            <w:noWrap/>
            <w:hideMark/>
          </w:tcPr>
          <w:p w14:paraId="66ADD612"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35FA5120"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8535.90.05.90</w:t>
            </w:r>
          </w:p>
        </w:tc>
        <w:tc>
          <w:tcPr>
            <w:tcW w:w="4621" w:type="dxa"/>
            <w:tcBorders>
              <w:top w:val="nil"/>
              <w:left w:val="nil"/>
              <w:bottom w:val="nil"/>
              <w:right w:val="nil"/>
            </w:tcBorders>
            <w:shd w:val="clear" w:color="auto" w:fill="E7E6E6" w:themeFill="background2"/>
            <w:hideMark/>
          </w:tcPr>
          <w:p w14:paraId="5F06FCBC" w14:textId="77777777" w:rsidR="0070496D" w:rsidRPr="00EB5EDA" w:rsidRDefault="0070496D" w:rsidP="00A81F6C">
            <w:pPr>
              <w:pStyle w:val="Normal-pool"/>
              <w:spacing w:before="40" w:after="40"/>
              <w:rPr>
                <w:sz w:val="18"/>
                <w:szCs w:val="18"/>
                <w:lang w:val="en-GB"/>
              </w:rPr>
            </w:pPr>
            <w:r w:rsidRPr="00EB5EDA">
              <w:rPr>
                <w:sz w:val="18"/>
                <w:szCs w:val="18"/>
                <w:lang w:val="en-GB"/>
              </w:rPr>
              <w:t>Others</w:t>
            </w:r>
          </w:p>
        </w:tc>
      </w:tr>
      <w:tr w:rsidR="0070496D" w:rsidRPr="00EB5EDA" w14:paraId="4881A64E" w14:textId="77777777" w:rsidTr="00A81F6C">
        <w:trPr>
          <w:cantSplit/>
          <w:trHeight w:val="57"/>
          <w:jc w:val="right"/>
        </w:trPr>
        <w:tc>
          <w:tcPr>
            <w:tcW w:w="1476" w:type="dxa"/>
            <w:tcBorders>
              <w:top w:val="nil"/>
              <w:left w:val="nil"/>
              <w:bottom w:val="nil"/>
              <w:right w:val="nil"/>
            </w:tcBorders>
            <w:shd w:val="clear" w:color="auto" w:fill="auto"/>
            <w:noWrap/>
            <w:hideMark/>
          </w:tcPr>
          <w:p w14:paraId="5908F304"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8535.90.06</w:t>
            </w:r>
          </w:p>
        </w:tc>
        <w:tc>
          <w:tcPr>
            <w:tcW w:w="2210" w:type="dxa"/>
            <w:tcBorders>
              <w:top w:val="nil"/>
              <w:left w:val="nil"/>
              <w:bottom w:val="nil"/>
              <w:right w:val="nil"/>
            </w:tcBorders>
            <w:shd w:val="clear" w:color="auto" w:fill="auto"/>
            <w:noWrap/>
            <w:hideMark/>
          </w:tcPr>
          <w:p w14:paraId="475FB51F"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3DB449D8" w14:textId="77777777" w:rsidR="0070496D" w:rsidRPr="00EB5EDA" w:rsidRDefault="0070496D" w:rsidP="00A81F6C">
            <w:pPr>
              <w:pStyle w:val="Normal-pool"/>
              <w:spacing w:before="40" w:after="40"/>
              <w:rPr>
                <w:sz w:val="18"/>
                <w:szCs w:val="18"/>
                <w:lang w:val="en-GB"/>
              </w:rPr>
            </w:pPr>
            <w:r w:rsidRPr="00EB5EDA">
              <w:rPr>
                <w:sz w:val="18"/>
                <w:szCs w:val="18"/>
                <w:lang w:val="en-GB"/>
              </w:rPr>
              <w:t>High sensitivity relays, with laminated core, inverting monopole, as exclusively designed for telephone equipment</w:t>
            </w:r>
          </w:p>
        </w:tc>
      </w:tr>
      <w:tr w:rsidR="0070496D" w:rsidRPr="00EB5EDA" w14:paraId="4BE85EE9" w14:textId="77777777" w:rsidTr="00A81F6C">
        <w:trPr>
          <w:cantSplit/>
          <w:trHeight w:val="57"/>
          <w:jc w:val="right"/>
        </w:trPr>
        <w:tc>
          <w:tcPr>
            <w:tcW w:w="1476" w:type="dxa"/>
            <w:tcBorders>
              <w:top w:val="nil"/>
              <w:left w:val="nil"/>
              <w:bottom w:val="nil"/>
              <w:right w:val="nil"/>
            </w:tcBorders>
            <w:shd w:val="clear" w:color="auto" w:fill="auto"/>
            <w:noWrap/>
            <w:hideMark/>
          </w:tcPr>
          <w:p w14:paraId="30D5D913"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16F58678"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8535.90.06.10</w:t>
            </w:r>
          </w:p>
        </w:tc>
        <w:tc>
          <w:tcPr>
            <w:tcW w:w="4621" w:type="dxa"/>
            <w:tcBorders>
              <w:top w:val="nil"/>
              <w:left w:val="nil"/>
              <w:bottom w:val="nil"/>
              <w:right w:val="nil"/>
            </w:tcBorders>
            <w:shd w:val="clear" w:color="auto" w:fill="E7E6E6" w:themeFill="background2"/>
            <w:hideMark/>
          </w:tcPr>
          <w:p w14:paraId="643477E4" w14:textId="77777777" w:rsidR="0070496D" w:rsidRPr="00EB5EDA" w:rsidRDefault="0070496D" w:rsidP="00A81F6C">
            <w:pPr>
              <w:pStyle w:val="Normal-pool"/>
              <w:spacing w:before="40" w:after="40"/>
              <w:rPr>
                <w:sz w:val="18"/>
                <w:szCs w:val="18"/>
                <w:lang w:val="en-GB"/>
              </w:rPr>
            </w:pPr>
            <w:r w:rsidRPr="00EB5EDA">
              <w:rPr>
                <w:sz w:val="18"/>
                <w:szCs w:val="18"/>
                <w:lang w:val="en-GB"/>
              </w:rPr>
              <w:t>With added mercury</w:t>
            </w:r>
          </w:p>
        </w:tc>
      </w:tr>
      <w:tr w:rsidR="0070496D" w:rsidRPr="00EB5EDA" w14:paraId="296CE72D" w14:textId="77777777" w:rsidTr="00A81F6C">
        <w:trPr>
          <w:cantSplit/>
          <w:trHeight w:val="57"/>
          <w:jc w:val="right"/>
        </w:trPr>
        <w:tc>
          <w:tcPr>
            <w:tcW w:w="1476" w:type="dxa"/>
            <w:tcBorders>
              <w:top w:val="nil"/>
              <w:left w:val="nil"/>
              <w:bottom w:val="nil"/>
              <w:right w:val="nil"/>
            </w:tcBorders>
            <w:shd w:val="clear" w:color="auto" w:fill="auto"/>
            <w:noWrap/>
            <w:hideMark/>
          </w:tcPr>
          <w:p w14:paraId="2C8DFEDE"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5E77458A"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8535.90.06.90</w:t>
            </w:r>
          </w:p>
        </w:tc>
        <w:tc>
          <w:tcPr>
            <w:tcW w:w="4621" w:type="dxa"/>
            <w:tcBorders>
              <w:top w:val="nil"/>
              <w:left w:val="nil"/>
              <w:bottom w:val="nil"/>
              <w:right w:val="nil"/>
            </w:tcBorders>
            <w:shd w:val="clear" w:color="auto" w:fill="E7E6E6" w:themeFill="background2"/>
            <w:hideMark/>
          </w:tcPr>
          <w:p w14:paraId="20B3B67F" w14:textId="77777777" w:rsidR="0070496D" w:rsidRPr="00EB5EDA" w:rsidRDefault="0070496D" w:rsidP="00A81F6C">
            <w:pPr>
              <w:pStyle w:val="Normal-pool"/>
              <w:spacing w:before="40" w:after="40"/>
              <w:rPr>
                <w:sz w:val="18"/>
                <w:szCs w:val="18"/>
                <w:lang w:val="en-GB"/>
              </w:rPr>
            </w:pPr>
            <w:r w:rsidRPr="00EB5EDA">
              <w:rPr>
                <w:sz w:val="18"/>
                <w:szCs w:val="18"/>
                <w:lang w:val="en-GB"/>
              </w:rPr>
              <w:t>Others</w:t>
            </w:r>
          </w:p>
        </w:tc>
      </w:tr>
      <w:tr w:rsidR="0070496D" w:rsidRPr="00EB5EDA" w14:paraId="279868AA" w14:textId="77777777" w:rsidTr="00A81F6C">
        <w:trPr>
          <w:cantSplit/>
          <w:trHeight w:val="57"/>
          <w:jc w:val="right"/>
        </w:trPr>
        <w:tc>
          <w:tcPr>
            <w:tcW w:w="1476" w:type="dxa"/>
            <w:tcBorders>
              <w:top w:val="nil"/>
              <w:left w:val="nil"/>
              <w:bottom w:val="nil"/>
              <w:right w:val="nil"/>
            </w:tcBorders>
            <w:shd w:val="clear" w:color="auto" w:fill="auto"/>
            <w:noWrap/>
            <w:hideMark/>
          </w:tcPr>
          <w:p w14:paraId="51ED764C"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8535.90.13</w:t>
            </w:r>
          </w:p>
        </w:tc>
        <w:tc>
          <w:tcPr>
            <w:tcW w:w="2210" w:type="dxa"/>
            <w:tcBorders>
              <w:top w:val="nil"/>
              <w:left w:val="nil"/>
              <w:bottom w:val="nil"/>
              <w:right w:val="nil"/>
            </w:tcBorders>
            <w:shd w:val="clear" w:color="auto" w:fill="auto"/>
            <w:noWrap/>
            <w:hideMark/>
          </w:tcPr>
          <w:p w14:paraId="1DE0305B"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3CABD85E" w14:textId="77777777" w:rsidR="0070496D" w:rsidRPr="00EB5EDA" w:rsidRDefault="0070496D" w:rsidP="00A81F6C">
            <w:pPr>
              <w:pStyle w:val="Normal-pool"/>
              <w:spacing w:before="40" w:after="40"/>
              <w:rPr>
                <w:sz w:val="18"/>
                <w:szCs w:val="18"/>
                <w:lang w:val="en-GB"/>
              </w:rPr>
            </w:pPr>
            <w:r w:rsidRPr="00EB5EDA">
              <w:rPr>
                <w:sz w:val="18"/>
                <w:szCs w:val="18"/>
                <w:lang w:val="en-GB"/>
              </w:rPr>
              <w:t>Secondary electromagnetic relays, powered exclusively through current and / or voltage transformers</w:t>
            </w:r>
          </w:p>
        </w:tc>
      </w:tr>
      <w:tr w:rsidR="0070496D" w:rsidRPr="00EB5EDA" w14:paraId="375F9192" w14:textId="77777777" w:rsidTr="00A81F6C">
        <w:trPr>
          <w:cantSplit/>
          <w:trHeight w:val="57"/>
          <w:jc w:val="right"/>
        </w:trPr>
        <w:tc>
          <w:tcPr>
            <w:tcW w:w="1476" w:type="dxa"/>
            <w:tcBorders>
              <w:top w:val="nil"/>
              <w:left w:val="nil"/>
              <w:bottom w:val="nil"/>
              <w:right w:val="nil"/>
            </w:tcBorders>
            <w:shd w:val="clear" w:color="auto" w:fill="auto"/>
            <w:noWrap/>
            <w:hideMark/>
          </w:tcPr>
          <w:p w14:paraId="1CF4056C"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5880B488"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8535.90.13.10</w:t>
            </w:r>
          </w:p>
        </w:tc>
        <w:tc>
          <w:tcPr>
            <w:tcW w:w="4621" w:type="dxa"/>
            <w:tcBorders>
              <w:top w:val="nil"/>
              <w:left w:val="nil"/>
              <w:bottom w:val="nil"/>
              <w:right w:val="nil"/>
            </w:tcBorders>
            <w:shd w:val="clear" w:color="auto" w:fill="E7E6E6" w:themeFill="background2"/>
            <w:hideMark/>
          </w:tcPr>
          <w:p w14:paraId="5C9ABD5D" w14:textId="77777777" w:rsidR="0070496D" w:rsidRPr="00EB5EDA" w:rsidRDefault="0070496D" w:rsidP="00A81F6C">
            <w:pPr>
              <w:pStyle w:val="Normal-pool"/>
              <w:spacing w:before="40" w:after="40"/>
              <w:rPr>
                <w:sz w:val="18"/>
                <w:szCs w:val="18"/>
                <w:lang w:val="en-GB"/>
              </w:rPr>
            </w:pPr>
            <w:r w:rsidRPr="00EB5EDA">
              <w:rPr>
                <w:sz w:val="18"/>
                <w:szCs w:val="18"/>
                <w:lang w:val="en-GB"/>
              </w:rPr>
              <w:t>With added mercury</w:t>
            </w:r>
          </w:p>
        </w:tc>
      </w:tr>
      <w:tr w:rsidR="0070496D" w:rsidRPr="00EB5EDA" w14:paraId="11DAB6B9" w14:textId="77777777" w:rsidTr="00A81F6C">
        <w:trPr>
          <w:cantSplit/>
          <w:trHeight w:val="57"/>
          <w:jc w:val="right"/>
        </w:trPr>
        <w:tc>
          <w:tcPr>
            <w:tcW w:w="1476" w:type="dxa"/>
            <w:tcBorders>
              <w:top w:val="nil"/>
              <w:left w:val="nil"/>
              <w:bottom w:val="nil"/>
              <w:right w:val="nil"/>
            </w:tcBorders>
            <w:shd w:val="clear" w:color="auto" w:fill="auto"/>
            <w:noWrap/>
            <w:hideMark/>
          </w:tcPr>
          <w:p w14:paraId="68606062"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545E8157"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8535.90.13.90</w:t>
            </w:r>
          </w:p>
        </w:tc>
        <w:tc>
          <w:tcPr>
            <w:tcW w:w="4621" w:type="dxa"/>
            <w:tcBorders>
              <w:top w:val="nil"/>
              <w:left w:val="nil"/>
              <w:bottom w:val="nil"/>
              <w:right w:val="nil"/>
            </w:tcBorders>
            <w:shd w:val="clear" w:color="auto" w:fill="E7E6E6" w:themeFill="background2"/>
            <w:hideMark/>
          </w:tcPr>
          <w:p w14:paraId="4894DC78" w14:textId="77777777" w:rsidR="0070496D" w:rsidRPr="00EB5EDA" w:rsidRDefault="0070496D" w:rsidP="00A81F6C">
            <w:pPr>
              <w:pStyle w:val="Normal-pool"/>
              <w:spacing w:before="40" w:after="40"/>
              <w:rPr>
                <w:sz w:val="18"/>
                <w:szCs w:val="18"/>
                <w:lang w:val="en-GB"/>
              </w:rPr>
            </w:pPr>
            <w:r w:rsidRPr="00EB5EDA">
              <w:rPr>
                <w:sz w:val="18"/>
                <w:szCs w:val="18"/>
                <w:lang w:val="en-GB"/>
              </w:rPr>
              <w:t>Others</w:t>
            </w:r>
          </w:p>
        </w:tc>
      </w:tr>
      <w:tr w:rsidR="0070496D" w:rsidRPr="00EB5EDA" w14:paraId="5147958D" w14:textId="77777777" w:rsidTr="00A81F6C">
        <w:trPr>
          <w:cantSplit/>
          <w:trHeight w:val="57"/>
          <w:jc w:val="right"/>
        </w:trPr>
        <w:tc>
          <w:tcPr>
            <w:tcW w:w="1476" w:type="dxa"/>
            <w:tcBorders>
              <w:top w:val="nil"/>
              <w:left w:val="nil"/>
              <w:bottom w:val="nil"/>
              <w:right w:val="nil"/>
            </w:tcBorders>
            <w:shd w:val="clear" w:color="auto" w:fill="auto"/>
            <w:noWrap/>
            <w:hideMark/>
          </w:tcPr>
          <w:p w14:paraId="0EA0837E"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8535.90.14</w:t>
            </w:r>
          </w:p>
        </w:tc>
        <w:tc>
          <w:tcPr>
            <w:tcW w:w="2210" w:type="dxa"/>
            <w:tcBorders>
              <w:top w:val="nil"/>
              <w:left w:val="nil"/>
              <w:bottom w:val="nil"/>
              <w:right w:val="nil"/>
            </w:tcBorders>
            <w:shd w:val="clear" w:color="auto" w:fill="auto"/>
            <w:noWrap/>
            <w:hideMark/>
          </w:tcPr>
          <w:p w14:paraId="3EE139A9"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616DEDC5" w14:textId="77777777" w:rsidR="0070496D" w:rsidRPr="00EB5EDA" w:rsidRDefault="0070496D" w:rsidP="00A81F6C">
            <w:pPr>
              <w:pStyle w:val="Normal-pool"/>
              <w:spacing w:before="40" w:after="40"/>
              <w:rPr>
                <w:sz w:val="18"/>
                <w:szCs w:val="18"/>
                <w:lang w:val="en-GB"/>
              </w:rPr>
            </w:pPr>
            <w:r w:rsidRPr="00EB5EDA">
              <w:rPr>
                <w:sz w:val="18"/>
                <w:szCs w:val="18"/>
                <w:lang w:val="en-GB"/>
              </w:rPr>
              <w:t>Automatic differential relays, up to 60 amps with differential protection up to 300 milliamps</w:t>
            </w:r>
          </w:p>
        </w:tc>
      </w:tr>
      <w:tr w:rsidR="0070496D" w:rsidRPr="00EB5EDA" w14:paraId="5086B625" w14:textId="77777777" w:rsidTr="00A81F6C">
        <w:trPr>
          <w:cantSplit/>
          <w:trHeight w:val="57"/>
          <w:jc w:val="right"/>
        </w:trPr>
        <w:tc>
          <w:tcPr>
            <w:tcW w:w="1476" w:type="dxa"/>
            <w:tcBorders>
              <w:top w:val="nil"/>
              <w:left w:val="nil"/>
              <w:bottom w:val="nil"/>
              <w:right w:val="nil"/>
            </w:tcBorders>
            <w:shd w:val="clear" w:color="auto" w:fill="auto"/>
            <w:noWrap/>
            <w:hideMark/>
          </w:tcPr>
          <w:p w14:paraId="42412D25"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596DC5FF"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8535.90.14.10</w:t>
            </w:r>
          </w:p>
        </w:tc>
        <w:tc>
          <w:tcPr>
            <w:tcW w:w="4621" w:type="dxa"/>
            <w:tcBorders>
              <w:top w:val="nil"/>
              <w:left w:val="nil"/>
              <w:bottom w:val="nil"/>
              <w:right w:val="nil"/>
            </w:tcBorders>
            <w:shd w:val="clear" w:color="auto" w:fill="E7E6E6" w:themeFill="background2"/>
            <w:hideMark/>
          </w:tcPr>
          <w:p w14:paraId="6351B481" w14:textId="77777777" w:rsidR="0070496D" w:rsidRPr="00EB5EDA" w:rsidRDefault="0070496D" w:rsidP="00A81F6C">
            <w:pPr>
              <w:pStyle w:val="Normal-pool"/>
              <w:spacing w:before="40" w:after="40"/>
              <w:rPr>
                <w:sz w:val="18"/>
                <w:szCs w:val="18"/>
                <w:lang w:val="en-GB"/>
              </w:rPr>
            </w:pPr>
            <w:r w:rsidRPr="00EB5EDA">
              <w:rPr>
                <w:sz w:val="18"/>
                <w:szCs w:val="18"/>
                <w:lang w:val="en-GB"/>
              </w:rPr>
              <w:t>With added mercury</w:t>
            </w:r>
          </w:p>
        </w:tc>
      </w:tr>
      <w:tr w:rsidR="0070496D" w:rsidRPr="00EB5EDA" w14:paraId="52E66D2F" w14:textId="77777777" w:rsidTr="00A81F6C">
        <w:trPr>
          <w:cantSplit/>
          <w:trHeight w:val="57"/>
          <w:jc w:val="right"/>
        </w:trPr>
        <w:tc>
          <w:tcPr>
            <w:tcW w:w="1476" w:type="dxa"/>
            <w:tcBorders>
              <w:top w:val="nil"/>
              <w:left w:val="nil"/>
              <w:bottom w:val="nil"/>
              <w:right w:val="nil"/>
            </w:tcBorders>
            <w:shd w:val="clear" w:color="auto" w:fill="auto"/>
            <w:noWrap/>
            <w:hideMark/>
          </w:tcPr>
          <w:p w14:paraId="5B0677E4"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2232467D"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8535.90.14.90</w:t>
            </w:r>
          </w:p>
        </w:tc>
        <w:tc>
          <w:tcPr>
            <w:tcW w:w="4621" w:type="dxa"/>
            <w:tcBorders>
              <w:top w:val="nil"/>
              <w:left w:val="nil"/>
              <w:bottom w:val="nil"/>
              <w:right w:val="nil"/>
            </w:tcBorders>
            <w:shd w:val="clear" w:color="auto" w:fill="E7E6E6" w:themeFill="background2"/>
            <w:hideMark/>
          </w:tcPr>
          <w:p w14:paraId="7DC6E905" w14:textId="77777777" w:rsidR="0070496D" w:rsidRPr="00EB5EDA" w:rsidRDefault="0070496D" w:rsidP="00A81F6C">
            <w:pPr>
              <w:pStyle w:val="Normal-pool"/>
              <w:spacing w:before="40" w:after="40"/>
              <w:rPr>
                <w:sz w:val="18"/>
                <w:szCs w:val="18"/>
                <w:lang w:val="en-GB"/>
              </w:rPr>
            </w:pPr>
            <w:r w:rsidRPr="00EB5EDA">
              <w:rPr>
                <w:sz w:val="18"/>
                <w:szCs w:val="18"/>
                <w:lang w:val="en-GB"/>
              </w:rPr>
              <w:t>Others</w:t>
            </w:r>
          </w:p>
        </w:tc>
      </w:tr>
      <w:tr w:rsidR="0070496D" w:rsidRPr="00EB5EDA" w14:paraId="6EB33DD0" w14:textId="77777777" w:rsidTr="00A81F6C">
        <w:trPr>
          <w:cantSplit/>
          <w:trHeight w:val="57"/>
          <w:jc w:val="right"/>
        </w:trPr>
        <w:tc>
          <w:tcPr>
            <w:tcW w:w="1476" w:type="dxa"/>
            <w:tcBorders>
              <w:top w:val="nil"/>
              <w:left w:val="nil"/>
              <w:bottom w:val="nil"/>
              <w:right w:val="nil"/>
            </w:tcBorders>
            <w:shd w:val="clear" w:color="auto" w:fill="auto"/>
            <w:noWrap/>
            <w:hideMark/>
          </w:tcPr>
          <w:p w14:paraId="6CF79464"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8535.90.22</w:t>
            </w:r>
          </w:p>
        </w:tc>
        <w:tc>
          <w:tcPr>
            <w:tcW w:w="2210" w:type="dxa"/>
            <w:tcBorders>
              <w:top w:val="nil"/>
              <w:left w:val="nil"/>
              <w:bottom w:val="nil"/>
              <w:right w:val="nil"/>
            </w:tcBorders>
            <w:shd w:val="clear" w:color="auto" w:fill="auto"/>
            <w:noWrap/>
            <w:hideMark/>
          </w:tcPr>
          <w:p w14:paraId="7104A4E1"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5A3642F3" w14:textId="77777777" w:rsidR="0070496D" w:rsidRPr="00EB5EDA" w:rsidRDefault="0070496D" w:rsidP="00A81F6C">
            <w:pPr>
              <w:pStyle w:val="Normal-pool"/>
              <w:spacing w:before="40" w:after="40"/>
              <w:rPr>
                <w:sz w:val="18"/>
                <w:szCs w:val="18"/>
                <w:lang w:val="en-GB"/>
              </w:rPr>
            </w:pPr>
            <w:r w:rsidRPr="00EB5EDA">
              <w:rPr>
                <w:sz w:val="18"/>
                <w:szCs w:val="18"/>
                <w:lang w:val="en-GB"/>
              </w:rPr>
              <w:t>Relays other than those included in subheadings 8535.90.04, 8535.90.05, 8535.90.06, 8535.90.13 and 8535.90.14.</w:t>
            </w:r>
          </w:p>
        </w:tc>
      </w:tr>
      <w:tr w:rsidR="0070496D" w:rsidRPr="00EB5EDA" w14:paraId="03746D5F" w14:textId="77777777" w:rsidTr="00A81F6C">
        <w:trPr>
          <w:cantSplit/>
          <w:trHeight w:val="57"/>
          <w:jc w:val="right"/>
        </w:trPr>
        <w:tc>
          <w:tcPr>
            <w:tcW w:w="1476" w:type="dxa"/>
            <w:tcBorders>
              <w:top w:val="nil"/>
              <w:left w:val="nil"/>
              <w:bottom w:val="nil"/>
              <w:right w:val="nil"/>
            </w:tcBorders>
            <w:shd w:val="clear" w:color="auto" w:fill="auto"/>
            <w:noWrap/>
            <w:hideMark/>
          </w:tcPr>
          <w:p w14:paraId="6D575716"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4AB4D104"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8535.90.22.10</w:t>
            </w:r>
          </w:p>
        </w:tc>
        <w:tc>
          <w:tcPr>
            <w:tcW w:w="4621" w:type="dxa"/>
            <w:tcBorders>
              <w:top w:val="nil"/>
              <w:left w:val="nil"/>
              <w:bottom w:val="nil"/>
              <w:right w:val="nil"/>
            </w:tcBorders>
            <w:shd w:val="clear" w:color="auto" w:fill="E7E6E6" w:themeFill="background2"/>
            <w:hideMark/>
          </w:tcPr>
          <w:p w14:paraId="15C36132" w14:textId="77777777" w:rsidR="0070496D" w:rsidRPr="00EB5EDA" w:rsidRDefault="0070496D" w:rsidP="00A81F6C">
            <w:pPr>
              <w:pStyle w:val="Normal-pool"/>
              <w:spacing w:before="40" w:after="40"/>
              <w:rPr>
                <w:sz w:val="18"/>
                <w:szCs w:val="18"/>
                <w:lang w:val="en-GB"/>
              </w:rPr>
            </w:pPr>
            <w:r w:rsidRPr="00EB5EDA">
              <w:rPr>
                <w:sz w:val="18"/>
                <w:szCs w:val="18"/>
                <w:lang w:val="en-GB"/>
              </w:rPr>
              <w:t>With added mercury</w:t>
            </w:r>
          </w:p>
        </w:tc>
      </w:tr>
      <w:tr w:rsidR="0070496D" w:rsidRPr="00EB5EDA" w14:paraId="60B85164" w14:textId="77777777" w:rsidTr="00A81F6C">
        <w:trPr>
          <w:cantSplit/>
          <w:trHeight w:val="57"/>
          <w:jc w:val="right"/>
        </w:trPr>
        <w:tc>
          <w:tcPr>
            <w:tcW w:w="1476" w:type="dxa"/>
            <w:tcBorders>
              <w:top w:val="nil"/>
              <w:left w:val="nil"/>
              <w:bottom w:val="nil"/>
              <w:right w:val="nil"/>
            </w:tcBorders>
            <w:shd w:val="clear" w:color="auto" w:fill="auto"/>
            <w:noWrap/>
            <w:hideMark/>
          </w:tcPr>
          <w:p w14:paraId="24947D73"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6F9D777F"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8535.90.22.90</w:t>
            </w:r>
          </w:p>
        </w:tc>
        <w:tc>
          <w:tcPr>
            <w:tcW w:w="4621" w:type="dxa"/>
            <w:tcBorders>
              <w:top w:val="nil"/>
              <w:left w:val="nil"/>
              <w:bottom w:val="nil"/>
              <w:right w:val="nil"/>
            </w:tcBorders>
            <w:shd w:val="clear" w:color="auto" w:fill="E7E6E6" w:themeFill="background2"/>
            <w:hideMark/>
          </w:tcPr>
          <w:p w14:paraId="06FE315C" w14:textId="77777777" w:rsidR="0070496D" w:rsidRPr="00EB5EDA" w:rsidRDefault="0070496D" w:rsidP="00A81F6C">
            <w:pPr>
              <w:pStyle w:val="Normal-pool"/>
              <w:spacing w:before="40" w:after="40"/>
              <w:rPr>
                <w:sz w:val="18"/>
                <w:szCs w:val="18"/>
                <w:lang w:val="en-GB"/>
              </w:rPr>
            </w:pPr>
            <w:r w:rsidRPr="00EB5EDA">
              <w:rPr>
                <w:sz w:val="18"/>
                <w:szCs w:val="18"/>
                <w:lang w:val="en-GB"/>
              </w:rPr>
              <w:t>Others</w:t>
            </w:r>
          </w:p>
        </w:tc>
      </w:tr>
      <w:tr w:rsidR="0070496D" w:rsidRPr="00EB5EDA" w14:paraId="13184E60" w14:textId="77777777" w:rsidTr="00A81F6C">
        <w:trPr>
          <w:cantSplit/>
          <w:trHeight w:val="57"/>
          <w:jc w:val="right"/>
        </w:trPr>
        <w:tc>
          <w:tcPr>
            <w:tcW w:w="1476" w:type="dxa"/>
            <w:tcBorders>
              <w:top w:val="nil"/>
              <w:left w:val="nil"/>
              <w:bottom w:val="nil"/>
              <w:right w:val="nil"/>
            </w:tcBorders>
            <w:shd w:val="clear" w:color="auto" w:fill="000000" w:themeFill="text1"/>
            <w:noWrap/>
            <w:hideMark/>
          </w:tcPr>
          <w:p w14:paraId="1A17414C"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000000" w:themeFill="text1"/>
            <w:noWrap/>
            <w:hideMark/>
          </w:tcPr>
          <w:p w14:paraId="0930BD88"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000000" w:themeFill="text1"/>
            <w:hideMark/>
          </w:tcPr>
          <w:p w14:paraId="2DE3B15F" w14:textId="2D289879" w:rsidR="0070496D" w:rsidRPr="00EB5EDA" w:rsidRDefault="0070496D" w:rsidP="00A81F6C">
            <w:pPr>
              <w:pStyle w:val="Normal-pool"/>
              <w:spacing w:before="40" w:after="40"/>
              <w:rPr>
                <w:sz w:val="18"/>
                <w:szCs w:val="18"/>
                <w:lang w:val="en-GB"/>
              </w:rPr>
            </w:pPr>
            <w:r w:rsidRPr="00EB5EDA">
              <w:rPr>
                <w:sz w:val="18"/>
                <w:szCs w:val="18"/>
                <w:lang w:val="en-GB"/>
              </w:rPr>
              <w:t xml:space="preserve">Relays, for a voltage not exceeding 1,000 </w:t>
            </w:r>
            <w:r w:rsidR="00C90D5C" w:rsidRPr="00EB5EDA">
              <w:rPr>
                <w:sz w:val="18"/>
                <w:szCs w:val="18"/>
                <w:lang w:val="en-GB"/>
              </w:rPr>
              <w:t>volts</w:t>
            </w:r>
          </w:p>
        </w:tc>
      </w:tr>
      <w:tr w:rsidR="0070496D" w:rsidRPr="00EB5EDA" w14:paraId="4F8B11DB" w14:textId="77777777" w:rsidTr="00A81F6C">
        <w:trPr>
          <w:cantSplit/>
          <w:trHeight w:val="57"/>
          <w:jc w:val="right"/>
        </w:trPr>
        <w:tc>
          <w:tcPr>
            <w:tcW w:w="1476" w:type="dxa"/>
            <w:tcBorders>
              <w:top w:val="nil"/>
              <w:left w:val="nil"/>
              <w:bottom w:val="nil"/>
              <w:right w:val="nil"/>
            </w:tcBorders>
            <w:shd w:val="clear" w:color="auto" w:fill="auto"/>
            <w:noWrap/>
            <w:hideMark/>
          </w:tcPr>
          <w:p w14:paraId="26836995"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1A762F28"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8536.40.00.10</w:t>
            </w:r>
          </w:p>
        </w:tc>
        <w:tc>
          <w:tcPr>
            <w:tcW w:w="4621" w:type="dxa"/>
            <w:tcBorders>
              <w:top w:val="nil"/>
              <w:left w:val="nil"/>
              <w:bottom w:val="nil"/>
              <w:right w:val="nil"/>
            </w:tcBorders>
            <w:shd w:val="clear" w:color="auto" w:fill="E7E6E6" w:themeFill="background2"/>
            <w:hideMark/>
          </w:tcPr>
          <w:p w14:paraId="42FBC395" w14:textId="77777777" w:rsidR="0070496D" w:rsidRPr="00EB5EDA" w:rsidRDefault="0070496D" w:rsidP="00A81F6C">
            <w:pPr>
              <w:pStyle w:val="Normal-pool"/>
              <w:spacing w:before="40" w:after="40"/>
              <w:rPr>
                <w:sz w:val="18"/>
                <w:szCs w:val="18"/>
                <w:lang w:val="en-GB"/>
              </w:rPr>
            </w:pPr>
            <w:r w:rsidRPr="00EB5EDA">
              <w:rPr>
                <w:sz w:val="18"/>
                <w:szCs w:val="18"/>
                <w:lang w:val="en-GB"/>
              </w:rPr>
              <w:t>With added mercury</w:t>
            </w:r>
          </w:p>
        </w:tc>
      </w:tr>
      <w:tr w:rsidR="0070496D" w:rsidRPr="00EB5EDA" w14:paraId="4EE3D8A2" w14:textId="77777777" w:rsidTr="00A81F6C">
        <w:trPr>
          <w:cantSplit/>
          <w:trHeight w:val="57"/>
          <w:jc w:val="right"/>
        </w:trPr>
        <w:tc>
          <w:tcPr>
            <w:tcW w:w="1476" w:type="dxa"/>
            <w:tcBorders>
              <w:top w:val="nil"/>
              <w:left w:val="nil"/>
              <w:bottom w:val="nil"/>
              <w:right w:val="nil"/>
            </w:tcBorders>
            <w:shd w:val="clear" w:color="auto" w:fill="auto"/>
            <w:noWrap/>
            <w:hideMark/>
          </w:tcPr>
          <w:p w14:paraId="2538D986"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10FDB0CA"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8536.40.00.90</w:t>
            </w:r>
          </w:p>
        </w:tc>
        <w:tc>
          <w:tcPr>
            <w:tcW w:w="4621" w:type="dxa"/>
            <w:tcBorders>
              <w:top w:val="nil"/>
              <w:left w:val="nil"/>
              <w:bottom w:val="nil"/>
              <w:right w:val="nil"/>
            </w:tcBorders>
            <w:shd w:val="clear" w:color="auto" w:fill="E7E6E6" w:themeFill="background2"/>
            <w:hideMark/>
          </w:tcPr>
          <w:p w14:paraId="6F73F751" w14:textId="77777777" w:rsidR="0070496D" w:rsidRPr="00EB5EDA" w:rsidRDefault="0070496D" w:rsidP="00A81F6C">
            <w:pPr>
              <w:pStyle w:val="Normal-pool"/>
              <w:spacing w:before="40" w:after="40"/>
              <w:rPr>
                <w:sz w:val="18"/>
                <w:szCs w:val="18"/>
                <w:lang w:val="en-GB"/>
              </w:rPr>
            </w:pPr>
            <w:r w:rsidRPr="00EB5EDA">
              <w:rPr>
                <w:sz w:val="18"/>
                <w:szCs w:val="18"/>
                <w:lang w:val="en-GB"/>
              </w:rPr>
              <w:t>Others</w:t>
            </w:r>
          </w:p>
        </w:tc>
      </w:tr>
      <w:tr w:rsidR="0070496D" w:rsidRPr="00EB5EDA" w14:paraId="6498D9D2" w14:textId="77777777" w:rsidTr="00A81F6C">
        <w:trPr>
          <w:cantSplit/>
          <w:trHeight w:val="57"/>
          <w:jc w:val="right"/>
        </w:trPr>
        <w:tc>
          <w:tcPr>
            <w:tcW w:w="1476" w:type="dxa"/>
            <w:tcBorders>
              <w:top w:val="nil"/>
              <w:left w:val="nil"/>
              <w:bottom w:val="nil"/>
              <w:right w:val="nil"/>
            </w:tcBorders>
            <w:shd w:val="clear" w:color="auto" w:fill="000000" w:themeFill="text1"/>
            <w:noWrap/>
            <w:hideMark/>
          </w:tcPr>
          <w:p w14:paraId="15FAA296"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000000" w:themeFill="text1"/>
            <w:noWrap/>
            <w:hideMark/>
          </w:tcPr>
          <w:p w14:paraId="4B3BFEE7"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000000" w:themeFill="text1"/>
            <w:hideMark/>
          </w:tcPr>
          <w:p w14:paraId="57AEB66A" w14:textId="096E1D52" w:rsidR="0070496D" w:rsidRPr="00EB5EDA" w:rsidRDefault="0070496D" w:rsidP="00A81F6C">
            <w:pPr>
              <w:pStyle w:val="Normal-pool"/>
              <w:spacing w:before="40" w:after="40"/>
              <w:rPr>
                <w:sz w:val="18"/>
                <w:szCs w:val="18"/>
                <w:lang w:val="en-GB"/>
              </w:rPr>
            </w:pPr>
            <w:r w:rsidRPr="00EB5EDA">
              <w:rPr>
                <w:sz w:val="18"/>
                <w:szCs w:val="18"/>
                <w:lang w:val="en-GB"/>
              </w:rPr>
              <w:t xml:space="preserve">Relays for a voltage not exceeding 60 </w:t>
            </w:r>
            <w:r w:rsidR="00C90D5C" w:rsidRPr="00EB5EDA">
              <w:rPr>
                <w:sz w:val="18"/>
                <w:szCs w:val="18"/>
                <w:lang w:val="en-GB"/>
              </w:rPr>
              <w:t>volts</w:t>
            </w:r>
          </w:p>
        </w:tc>
      </w:tr>
      <w:tr w:rsidR="0070496D" w:rsidRPr="00EB5EDA" w14:paraId="62327CC6" w14:textId="77777777" w:rsidTr="00A81F6C">
        <w:trPr>
          <w:cantSplit/>
          <w:trHeight w:val="57"/>
          <w:jc w:val="right"/>
        </w:trPr>
        <w:tc>
          <w:tcPr>
            <w:tcW w:w="1476" w:type="dxa"/>
            <w:tcBorders>
              <w:top w:val="nil"/>
              <w:left w:val="nil"/>
              <w:bottom w:val="nil"/>
              <w:right w:val="nil"/>
            </w:tcBorders>
            <w:shd w:val="clear" w:color="auto" w:fill="auto"/>
            <w:noWrap/>
            <w:hideMark/>
          </w:tcPr>
          <w:p w14:paraId="56E93AE8"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8536.41.01</w:t>
            </w:r>
          </w:p>
        </w:tc>
        <w:tc>
          <w:tcPr>
            <w:tcW w:w="2210" w:type="dxa"/>
            <w:tcBorders>
              <w:top w:val="nil"/>
              <w:left w:val="nil"/>
              <w:bottom w:val="nil"/>
              <w:right w:val="nil"/>
            </w:tcBorders>
            <w:shd w:val="clear" w:color="auto" w:fill="auto"/>
            <w:noWrap/>
            <w:hideMark/>
          </w:tcPr>
          <w:p w14:paraId="4C85CC85"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4403D5EB" w14:textId="77777777" w:rsidR="0070496D" w:rsidRPr="00EB5EDA" w:rsidRDefault="0070496D" w:rsidP="00A81F6C">
            <w:pPr>
              <w:pStyle w:val="Normal-pool"/>
              <w:spacing w:before="40" w:after="40"/>
              <w:rPr>
                <w:sz w:val="18"/>
                <w:szCs w:val="18"/>
                <w:lang w:val="en-GB"/>
              </w:rPr>
            </w:pPr>
            <w:r w:rsidRPr="00EB5EDA">
              <w:rPr>
                <w:sz w:val="18"/>
                <w:szCs w:val="18"/>
                <w:lang w:val="en-GB"/>
              </w:rPr>
              <w:t>For speakers</w:t>
            </w:r>
          </w:p>
        </w:tc>
      </w:tr>
      <w:tr w:rsidR="0070496D" w:rsidRPr="00EB5EDA" w14:paraId="2FCDE5D0" w14:textId="77777777" w:rsidTr="00A81F6C">
        <w:trPr>
          <w:cantSplit/>
          <w:trHeight w:val="57"/>
          <w:jc w:val="right"/>
        </w:trPr>
        <w:tc>
          <w:tcPr>
            <w:tcW w:w="1476" w:type="dxa"/>
            <w:tcBorders>
              <w:top w:val="nil"/>
              <w:left w:val="nil"/>
              <w:bottom w:val="nil"/>
              <w:right w:val="nil"/>
            </w:tcBorders>
            <w:shd w:val="clear" w:color="auto" w:fill="auto"/>
            <w:noWrap/>
            <w:hideMark/>
          </w:tcPr>
          <w:p w14:paraId="45E9A10E"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2ED469DB"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8536.41.01.10</w:t>
            </w:r>
          </w:p>
        </w:tc>
        <w:tc>
          <w:tcPr>
            <w:tcW w:w="4621" w:type="dxa"/>
            <w:tcBorders>
              <w:top w:val="nil"/>
              <w:left w:val="nil"/>
              <w:bottom w:val="nil"/>
              <w:right w:val="nil"/>
            </w:tcBorders>
            <w:shd w:val="clear" w:color="auto" w:fill="E7E6E6" w:themeFill="background2"/>
            <w:hideMark/>
          </w:tcPr>
          <w:p w14:paraId="25EDD33F" w14:textId="77777777" w:rsidR="0070496D" w:rsidRPr="00EB5EDA" w:rsidRDefault="0070496D" w:rsidP="00A81F6C">
            <w:pPr>
              <w:pStyle w:val="Normal-pool"/>
              <w:spacing w:before="40" w:after="40"/>
              <w:rPr>
                <w:sz w:val="18"/>
                <w:szCs w:val="18"/>
                <w:lang w:val="en-GB"/>
              </w:rPr>
            </w:pPr>
            <w:r w:rsidRPr="00EB5EDA">
              <w:rPr>
                <w:sz w:val="18"/>
                <w:szCs w:val="18"/>
                <w:lang w:val="en-GB"/>
              </w:rPr>
              <w:t>With added mercury</w:t>
            </w:r>
          </w:p>
        </w:tc>
      </w:tr>
      <w:tr w:rsidR="0070496D" w:rsidRPr="00EB5EDA" w14:paraId="6A12B9E0" w14:textId="77777777" w:rsidTr="00A81F6C">
        <w:trPr>
          <w:cantSplit/>
          <w:trHeight w:val="57"/>
          <w:jc w:val="right"/>
        </w:trPr>
        <w:tc>
          <w:tcPr>
            <w:tcW w:w="1476" w:type="dxa"/>
            <w:tcBorders>
              <w:top w:val="nil"/>
              <w:left w:val="nil"/>
              <w:bottom w:val="nil"/>
              <w:right w:val="nil"/>
            </w:tcBorders>
            <w:shd w:val="clear" w:color="auto" w:fill="auto"/>
            <w:noWrap/>
            <w:hideMark/>
          </w:tcPr>
          <w:p w14:paraId="08F632CF"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6807E54C"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8536.41.01.90</w:t>
            </w:r>
          </w:p>
        </w:tc>
        <w:tc>
          <w:tcPr>
            <w:tcW w:w="4621" w:type="dxa"/>
            <w:tcBorders>
              <w:top w:val="nil"/>
              <w:left w:val="nil"/>
              <w:bottom w:val="nil"/>
              <w:right w:val="nil"/>
            </w:tcBorders>
            <w:shd w:val="clear" w:color="auto" w:fill="E7E6E6" w:themeFill="background2"/>
            <w:hideMark/>
          </w:tcPr>
          <w:p w14:paraId="11F473FF" w14:textId="77777777" w:rsidR="0070496D" w:rsidRPr="00EB5EDA" w:rsidRDefault="0070496D" w:rsidP="00A81F6C">
            <w:pPr>
              <w:pStyle w:val="Normal-pool"/>
              <w:spacing w:before="40" w:after="40"/>
              <w:rPr>
                <w:sz w:val="18"/>
                <w:szCs w:val="18"/>
                <w:lang w:val="en-GB"/>
              </w:rPr>
            </w:pPr>
            <w:r w:rsidRPr="00EB5EDA">
              <w:rPr>
                <w:sz w:val="18"/>
                <w:szCs w:val="18"/>
                <w:lang w:val="en-GB"/>
              </w:rPr>
              <w:t>Others</w:t>
            </w:r>
          </w:p>
        </w:tc>
      </w:tr>
      <w:tr w:rsidR="0070496D" w:rsidRPr="00EB5EDA" w14:paraId="3081C04A" w14:textId="77777777" w:rsidTr="00A81F6C">
        <w:trPr>
          <w:cantSplit/>
          <w:trHeight w:val="57"/>
          <w:jc w:val="right"/>
        </w:trPr>
        <w:tc>
          <w:tcPr>
            <w:tcW w:w="1476" w:type="dxa"/>
            <w:tcBorders>
              <w:top w:val="nil"/>
              <w:left w:val="nil"/>
              <w:bottom w:val="nil"/>
              <w:right w:val="nil"/>
            </w:tcBorders>
            <w:shd w:val="clear" w:color="auto" w:fill="auto"/>
            <w:noWrap/>
            <w:hideMark/>
          </w:tcPr>
          <w:p w14:paraId="6B71C813"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8536.41.02</w:t>
            </w:r>
          </w:p>
        </w:tc>
        <w:tc>
          <w:tcPr>
            <w:tcW w:w="2210" w:type="dxa"/>
            <w:tcBorders>
              <w:top w:val="nil"/>
              <w:left w:val="nil"/>
              <w:bottom w:val="nil"/>
              <w:right w:val="nil"/>
            </w:tcBorders>
            <w:shd w:val="clear" w:color="auto" w:fill="auto"/>
            <w:noWrap/>
            <w:hideMark/>
          </w:tcPr>
          <w:p w14:paraId="07156ADB"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5BB1010A" w14:textId="60679194" w:rsidR="0070496D" w:rsidRPr="00EB5EDA" w:rsidRDefault="0070496D" w:rsidP="00A81F6C">
            <w:pPr>
              <w:pStyle w:val="Normal-pool"/>
              <w:spacing w:before="40" w:after="40"/>
              <w:rPr>
                <w:sz w:val="18"/>
                <w:szCs w:val="18"/>
                <w:lang w:val="en-GB"/>
              </w:rPr>
            </w:pPr>
            <w:r w:rsidRPr="00EB5EDA">
              <w:rPr>
                <w:sz w:val="18"/>
                <w:szCs w:val="18"/>
                <w:lang w:val="en-GB"/>
              </w:rPr>
              <w:t>6</w:t>
            </w:r>
            <w:r w:rsidR="00C90D5C" w:rsidRPr="00EB5EDA">
              <w:rPr>
                <w:sz w:val="18"/>
                <w:szCs w:val="18"/>
                <w:lang w:val="en-GB"/>
              </w:rPr>
              <w:t>-</w:t>
            </w:r>
            <w:r w:rsidRPr="00EB5EDA">
              <w:rPr>
                <w:sz w:val="18"/>
                <w:szCs w:val="18"/>
                <w:lang w:val="en-GB"/>
              </w:rPr>
              <w:t xml:space="preserve"> and 12</w:t>
            </w:r>
            <w:r w:rsidR="00C90D5C" w:rsidRPr="00EB5EDA">
              <w:rPr>
                <w:sz w:val="18"/>
                <w:szCs w:val="18"/>
                <w:lang w:val="en-GB"/>
              </w:rPr>
              <w:t>-volt</w:t>
            </w:r>
            <w:r w:rsidRPr="00EB5EDA">
              <w:rPr>
                <w:sz w:val="18"/>
                <w:szCs w:val="18"/>
                <w:lang w:val="en-GB"/>
              </w:rPr>
              <w:t xml:space="preserve"> solenoids, for automotive starter motors</w:t>
            </w:r>
          </w:p>
        </w:tc>
      </w:tr>
      <w:tr w:rsidR="0070496D" w:rsidRPr="00EB5EDA" w14:paraId="32932BD3" w14:textId="77777777" w:rsidTr="00A81F6C">
        <w:trPr>
          <w:cantSplit/>
          <w:trHeight w:val="57"/>
          <w:jc w:val="right"/>
        </w:trPr>
        <w:tc>
          <w:tcPr>
            <w:tcW w:w="1476" w:type="dxa"/>
            <w:tcBorders>
              <w:top w:val="nil"/>
              <w:left w:val="nil"/>
              <w:bottom w:val="nil"/>
              <w:right w:val="nil"/>
            </w:tcBorders>
            <w:shd w:val="clear" w:color="auto" w:fill="auto"/>
            <w:noWrap/>
            <w:hideMark/>
          </w:tcPr>
          <w:p w14:paraId="7CBAA0AF"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1EB3568F"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8536.41.02.10</w:t>
            </w:r>
          </w:p>
        </w:tc>
        <w:tc>
          <w:tcPr>
            <w:tcW w:w="4621" w:type="dxa"/>
            <w:tcBorders>
              <w:top w:val="nil"/>
              <w:left w:val="nil"/>
              <w:bottom w:val="nil"/>
              <w:right w:val="nil"/>
            </w:tcBorders>
            <w:shd w:val="clear" w:color="auto" w:fill="E7E6E6" w:themeFill="background2"/>
            <w:hideMark/>
          </w:tcPr>
          <w:p w14:paraId="610C5E86" w14:textId="77777777" w:rsidR="0070496D" w:rsidRPr="00EB5EDA" w:rsidRDefault="0070496D" w:rsidP="00A81F6C">
            <w:pPr>
              <w:pStyle w:val="Normal-pool"/>
              <w:spacing w:before="40" w:after="40"/>
              <w:rPr>
                <w:sz w:val="18"/>
                <w:szCs w:val="18"/>
                <w:lang w:val="en-GB"/>
              </w:rPr>
            </w:pPr>
            <w:r w:rsidRPr="00EB5EDA">
              <w:rPr>
                <w:sz w:val="18"/>
                <w:szCs w:val="18"/>
                <w:lang w:val="en-GB"/>
              </w:rPr>
              <w:t>With added mercury</w:t>
            </w:r>
          </w:p>
        </w:tc>
      </w:tr>
      <w:tr w:rsidR="0070496D" w:rsidRPr="00EB5EDA" w14:paraId="702F3609" w14:textId="77777777" w:rsidTr="00A81F6C">
        <w:trPr>
          <w:cantSplit/>
          <w:trHeight w:val="57"/>
          <w:jc w:val="right"/>
        </w:trPr>
        <w:tc>
          <w:tcPr>
            <w:tcW w:w="1476" w:type="dxa"/>
            <w:tcBorders>
              <w:top w:val="nil"/>
              <w:left w:val="nil"/>
              <w:bottom w:val="nil"/>
              <w:right w:val="nil"/>
            </w:tcBorders>
            <w:shd w:val="clear" w:color="auto" w:fill="auto"/>
            <w:noWrap/>
            <w:hideMark/>
          </w:tcPr>
          <w:p w14:paraId="5304FBC4"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013B7E4D"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8536.41.02.90</w:t>
            </w:r>
          </w:p>
        </w:tc>
        <w:tc>
          <w:tcPr>
            <w:tcW w:w="4621" w:type="dxa"/>
            <w:tcBorders>
              <w:top w:val="nil"/>
              <w:left w:val="nil"/>
              <w:bottom w:val="nil"/>
              <w:right w:val="nil"/>
            </w:tcBorders>
            <w:shd w:val="clear" w:color="auto" w:fill="E7E6E6" w:themeFill="background2"/>
            <w:hideMark/>
          </w:tcPr>
          <w:p w14:paraId="6268F942" w14:textId="77777777" w:rsidR="0070496D" w:rsidRPr="00EB5EDA" w:rsidRDefault="0070496D" w:rsidP="00A81F6C">
            <w:pPr>
              <w:pStyle w:val="Normal-pool"/>
              <w:spacing w:before="40" w:after="40"/>
              <w:rPr>
                <w:sz w:val="18"/>
                <w:szCs w:val="18"/>
                <w:lang w:val="en-GB"/>
              </w:rPr>
            </w:pPr>
            <w:r w:rsidRPr="00EB5EDA">
              <w:rPr>
                <w:sz w:val="18"/>
                <w:szCs w:val="18"/>
                <w:lang w:val="en-GB"/>
              </w:rPr>
              <w:t>Others</w:t>
            </w:r>
          </w:p>
        </w:tc>
      </w:tr>
      <w:tr w:rsidR="0070496D" w:rsidRPr="00EB5EDA" w14:paraId="011BD201" w14:textId="77777777" w:rsidTr="00A81F6C">
        <w:trPr>
          <w:cantSplit/>
          <w:trHeight w:val="57"/>
          <w:jc w:val="right"/>
        </w:trPr>
        <w:tc>
          <w:tcPr>
            <w:tcW w:w="1476" w:type="dxa"/>
            <w:tcBorders>
              <w:top w:val="nil"/>
              <w:left w:val="nil"/>
              <w:bottom w:val="nil"/>
              <w:right w:val="nil"/>
            </w:tcBorders>
            <w:shd w:val="clear" w:color="auto" w:fill="auto"/>
            <w:noWrap/>
            <w:hideMark/>
          </w:tcPr>
          <w:p w14:paraId="5E38F380"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8536.41.03</w:t>
            </w:r>
          </w:p>
        </w:tc>
        <w:tc>
          <w:tcPr>
            <w:tcW w:w="2210" w:type="dxa"/>
            <w:tcBorders>
              <w:top w:val="nil"/>
              <w:left w:val="nil"/>
              <w:bottom w:val="nil"/>
              <w:right w:val="nil"/>
            </w:tcBorders>
            <w:shd w:val="clear" w:color="auto" w:fill="auto"/>
            <w:noWrap/>
            <w:hideMark/>
          </w:tcPr>
          <w:p w14:paraId="49E255A2"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0AFC036B" w14:textId="77777777" w:rsidR="0070496D" w:rsidRPr="00EB5EDA" w:rsidRDefault="0070496D" w:rsidP="00A81F6C">
            <w:pPr>
              <w:pStyle w:val="Normal-pool"/>
              <w:spacing w:before="40" w:after="40"/>
              <w:rPr>
                <w:sz w:val="18"/>
                <w:szCs w:val="18"/>
                <w:lang w:val="en-GB"/>
              </w:rPr>
            </w:pPr>
            <w:r w:rsidRPr="00EB5EDA">
              <w:rPr>
                <w:sz w:val="18"/>
                <w:szCs w:val="18"/>
                <w:lang w:val="en-GB"/>
              </w:rPr>
              <w:t>Thermal or induction</w:t>
            </w:r>
          </w:p>
        </w:tc>
      </w:tr>
      <w:tr w:rsidR="0070496D" w:rsidRPr="00EB5EDA" w14:paraId="341EC0E7" w14:textId="77777777" w:rsidTr="00A81F6C">
        <w:trPr>
          <w:cantSplit/>
          <w:trHeight w:val="57"/>
          <w:jc w:val="right"/>
        </w:trPr>
        <w:tc>
          <w:tcPr>
            <w:tcW w:w="1476" w:type="dxa"/>
            <w:tcBorders>
              <w:top w:val="nil"/>
              <w:left w:val="nil"/>
              <w:bottom w:val="nil"/>
              <w:right w:val="nil"/>
            </w:tcBorders>
            <w:shd w:val="clear" w:color="auto" w:fill="auto"/>
            <w:noWrap/>
            <w:hideMark/>
          </w:tcPr>
          <w:p w14:paraId="23541155"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6B29C0B8"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8536.41.03.10</w:t>
            </w:r>
          </w:p>
        </w:tc>
        <w:tc>
          <w:tcPr>
            <w:tcW w:w="4621" w:type="dxa"/>
            <w:tcBorders>
              <w:top w:val="nil"/>
              <w:left w:val="nil"/>
              <w:bottom w:val="nil"/>
              <w:right w:val="nil"/>
            </w:tcBorders>
            <w:shd w:val="clear" w:color="auto" w:fill="E7E6E6" w:themeFill="background2"/>
            <w:hideMark/>
          </w:tcPr>
          <w:p w14:paraId="3BD34C31" w14:textId="77777777" w:rsidR="0070496D" w:rsidRPr="00EB5EDA" w:rsidRDefault="0070496D" w:rsidP="00A81F6C">
            <w:pPr>
              <w:pStyle w:val="Normal-pool"/>
              <w:spacing w:before="40" w:after="40"/>
              <w:rPr>
                <w:sz w:val="18"/>
                <w:szCs w:val="18"/>
                <w:lang w:val="en-GB"/>
              </w:rPr>
            </w:pPr>
            <w:r w:rsidRPr="00EB5EDA">
              <w:rPr>
                <w:sz w:val="18"/>
                <w:szCs w:val="18"/>
                <w:lang w:val="en-GB"/>
              </w:rPr>
              <w:t>With added mercury</w:t>
            </w:r>
          </w:p>
        </w:tc>
      </w:tr>
      <w:tr w:rsidR="0070496D" w:rsidRPr="00EB5EDA" w14:paraId="11E828DD" w14:textId="77777777" w:rsidTr="00A81F6C">
        <w:trPr>
          <w:cantSplit/>
          <w:trHeight w:val="57"/>
          <w:jc w:val="right"/>
        </w:trPr>
        <w:tc>
          <w:tcPr>
            <w:tcW w:w="1476" w:type="dxa"/>
            <w:tcBorders>
              <w:top w:val="nil"/>
              <w:left w:val="nil"/>
              <w:bottom w:val="nil"/>
              <w:right w:val="nil"/>
            </w:tcBorders>
            <w:shd w:val="clear" w:color="auto" w:fill="auto"/>
            <w:noWrap/>
            <w:hideMark/>
          </w:tcPr>
          <w:p w14:paraId="1ADB343D"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666FC53A"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8536.41.03.90</w:t>
            </w:r>
          </w:p>
        </w:tc>
        <w:tc>
          <w:tcPr>
            <w:tcW w:w="4621" w:type="dxa"/>
            <w:tcBorders>
              <w:top w:val="nil"/>
              <w:left w:val="nil"/>
              <w:bottom w:val="nil"/>
              <w:right w:val="nil"/>
            </w:tcBorders>
            <w:shd w:val="clear" w:color="auto" w:fill="E7E6E6" w:themeFill="background2"/>
            <w:hideMark/>
          </w:tcPr>
          <w:p w14:paraId="68EE1D55" w14:textId="77777777" w:rsidR="0070496D" w:rsidRPr="00EB5EDA" w:rsidRDefault="0070496D" w:rsidP="00A81F6C">
            <w:pPr>
              <w:pStyle w:val="Normal-pool"/>
              <w:spacing w:before="40" w:after="40"/>
              <w:rPr>
                <w:sz w:val="18"/>
                <w:szCs w:val="18"/>
                <w:lang w:val="en-GB"/>
              </w:rPr>
            </w:pPr>
            <w:r w:rsidRPr="00EB5EDA">
              <w:rPr>
                <w:sz w:val="18"/>
                <w:szCs w:val="18"/>
                <w:lang w:val="en-GB"/>
              </w:rPr>
              <w:t>Others</w:t>
            </w:r>
          </w:p>
        </w:tc>
      </w:tr>
      <w:tr w:rsidR="0070496D" w:rsidRPr="00EB5EDA" w14:paraId="5F3FDEEF" w14:textId="77777777" w:rsidTr="00A81F6C">
        <w:trPr>
          <w:cantSplit/>
          <w:trHeight w:val="57"/>
          <w:jc w:val="right"/>
        </w:trPr>
        <w:tc>
          <w:tcPr>
            <w:tcW w:w="1476" w:type="dxa"/>
            <w:tcBorders>
              <w:top w:val="nil"/>
              <w:left w:val="nil"/>
              <w:bottom w:val="nil"/>
              <w:right w:val="nil"/>
            </w:tcBorders>
            <w:shd w:val="clear" w:color="auto" w:fill="auto"/>
            <w:noWrap/>
            <w:hideMark/>
          </w:tcPr>
          <w:p w14:paraId="127457BE"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8536.41.04</w:t>
            </w:r>
          </w:p>
        </w:tc>
        <w:tc>
          <w:tcPr>
            <w:tcW w:w="2210" w:type="dxa"/>
            <w:tcBorders>
              <w:top w:val="nil"/>
              <w:left w:val="nil"/>
              <w:bottom w:val="nil"/>
              <w:right w:val="nil"/>
            </w:tcBorders>
            <w:shd w:val="clear" w:color="auto" w:fill="auto"/>
            <w:noWrap/>
            <w:hideMark/>
          </w:tcPr>
          <w:p w14:paraId="1456C302"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5F83D2EE" w14:textId="77777777" w:rsidR="0070496D" w:rsidRPr="00EB5EDA" w:rsidRDefault="0070496D" w:rsidP="00A81F6C">
            <w:pPr>
              <w:pStyle w:val="Normal-pool"/>
              <w:spacing w:before="40" w:after="40"/>
              <w:rPr>
                <w:sz w:val="18"/>
                <w:szCs w:val="18"/>
                <w:lang w:val="en-GB"/>
              </w:rPr>
            </w:pPr>
            <w:r w:rsidRPr="00EB5EDA">
              <w:rPr>
                <w:sz w:val="18"/>
                <w:szCs w:val="18"/>
                <w:lang w:val="en-GB"/>
              </w:rPr>
              <w:t>Certified for aircraft</w:t>
            </w:r>
          </w:p>
        </w:tc>
      </w:tr>
      <w:tr w:rsidR="0070496D" w:rsidRPr="00EB5EDA" w14:paraId="77077A7A" w14:textId="77777777" w:rsidTr="00A81F6C">
        <w:trPr>
          <w:cantSplit/>
          <w:trHeight w:val="57"/>
          <w:jc w:val="right"/>
        </w:trPr>
        <w:tc>
          <w:tcPr>
            <w:tcW w:w="1476" w:type="dxa"/>
            <w:tcBorders>
              <w:top w:val="nil"/>
              <w:left w:val="nil"/>
              <w:bottom w:val="nil"/>
              <w:right w:val="nil"/>
            </w:tcBorders>
            <w:shd w:val="clear" w:color="auto" w:fill="auto"/>
            <w:noWrap/>
            <w:hideMark/>
          </w:tcPr>
          <w:p w14:paraId="305854EF"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47BF340F"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8536.41.04.10</w:t>
            </w:r>
          </w:p>
        </w:tc>
        <w:tc>
          <w:tcPr>
            <w:tcW w:w="4621" w:type="dxa"/>
            <w:tcBorders>
              <w:top w:val="nil"/>
              <w:left w:val="nil"/>
              <w:bottom w:val="nil"/>
              <w:right w:val="nil"/>
            </w:tcBorders>
            <w:shd w:val="clear" w:color="auto" w:fill="E7E6E6" w:themeFill="background2"/>
            <w:hideMark/>
          </w:tcPr>
          <w:p w14:paraId="0D3CF81F" w14:textId="77777777" w:rsidR="0070496D" w:rsidRPr="00EB5EDA" w:rsidRDefault="0070496D" w:rsidP="00A81F6C">
            <w:pPr>
              <w:pStyle w:val="Normal-pool"/>
              <w:spacing w:before="40" w:after="40"/>
              <w:rPr>
                <w:sz w:val="18"/>
                <w:szCs w:val="18"/>
                <w:lang w:val="en-GB"/>
              </w:rPr>
            </w:pPr>
            <w:r w:rsidRPr="00EB5EDA">
              <w:rPr>
                <w:sz w:val="18"/>
                <w:szCs w:val="18"/>
                <w:lang w:val="en-GB"/>
              </w:rPr>
              <w:t>With added mercury</w:t>
            </w:r>
          </w:p>
        </w:tc>
      </w:tr>
      <w:tr w:rsidR="0070496D" w:rsidRPr="00EB5EDA" w14:paraId="5793A1D6" w14:textId="77777777" w:rsidTr="00A81F6C">
        <w:trPr>
          <w:cantSplit/>
          <w:trHeight w:val="57"/>
          <w:jc w:val="right"/>
        </w:trPr>
        <w:tc>
          <w:tcPr>
            <w:tcW w:w="1476" w:type="dxa"/>
            <w:tcBorders>
              <w:top w:val="nil"/>
              <w:left w:val="nil"/>
              <w:bottom w:val="nil"/>
              <w:right w:val="nil"/>
            </w:tcBorders>
            <w:shd w:val="clear" w:color="auto" w:fill="auto"/>
            <w:noWrap/>
            <w:hideMark/>
          </w:tcPr>
          <w:p w14:paraId="74F28384"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16AC600F"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8536.41.04.90</w:t>
            </w:r>
          </w:p>
        </w:tc>
        <w:tc>
          <w:tcPr>
            <w:tcW w:w="4621" w:type="dxa"/>
            <w:tcBorders>
              <w:top w:val="nil"/>
              <w:left w:val="nil"/>
              <w:bottom w:val="nil"/>
              <w:right w:val="nil"/>
            </w:tcBorders>
            <w:shd w:val="clear" w:color="auto" w:fill="E7E6E6" w:themeFill="background2"/>
            <w:hideMark/>
          </w:tcPr>
          <w:p w14:paraId="6DEDD1B9" w14:textId="77777777" w:rsidR="0070496D" w:rsidRPr="00EB5EDA" w:rsidRDefault="0070496D" w:rsidP="00A81F6C">
            <w:pPr>
              <w:pStyle w:val="Normal-pool"/>
              <w:spacing w:before="40" w:after="40"/>
              <w:rPr>
                <w:sz w:val="18"/>
                <w:szCs w:val="18"/>
                <w:lang w:val="en-GB"/>
              </w:rPr>
            </w:pPr>
            <w:r w:rsidRPr="00EB5EDA">
              <w:rPr>
                <w:sz w:val="18"/>
                <w:szCs w:val="18"/>
                <w:lang w:val="en-GB"/>
              </w:rPr>
              <w:t>Others</w:t>
            </w:r>
          </w:p>
        </w:tc>
      </w:tr>
      <w:tr w:rsidR="0070496D" w:rsidRPr="00EB5EDA" w14:paraId="53B8B851" w14:textId="77777777" w:rsidTr="00A81F6C">
        <w:trPr>
          <w:cantSplit/>
          <w:trHeight w:val="57"/>
          <w:jc w:val="right"/>
        </w:trPr>
        <w:tc>
          <w:tcPr>
            <w:tcW w:w="1476" w:type="dxa"/>
            <w:tcBorders>
              <w:top w:val="nil"/>
              <w:left w:val="nil"/>
              <w:bottom w:val="nil"/>
              <w:right w:val="nil"/>
            </w:tcBorders>
            <w:shd w:val="clear" w:color="auto" w:fill="auto"/>
            <w:noWrap/>
            <w:hideMark/>
          </w:tcPr>
          <w:p w14:paraId="55B483DB"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8536.41.05</w:t>
            </w:r>
          </w:p>
        </w:tc>
        <w:tc>
          <w:tcPr>
            <w:tcW w:w="2210" w:type="dxa"/>
            <w:tcBorders>
              <w:top w:val="nil"/>
              <w:left w:val="nil"/>
              <w:bottom w:val="nil"/>
              <w:right w:val="nil"/>
            </w:tcBorders>
            <w:shd w:val="clear" w:color="auto" w:fill="auto"/>
            <w:noWrap/>
            <w:hideMark/>
          </w:tcPr>
          <w:p w14:paraId="09333EBB"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0DFA3B11" w14:textId="77777777" w:rsidR="0070496D" w:rsidRPr="00EB5EDA" w:rsidRDefault="0070496D" w:rsidP="00A81F6C">
            <w:pPr>
              <w:pStyle w:val="Normal-pool"/>
              <w:spacing w:before="40" w:after="40"/>
              <w:rPr>
                <w:sz w:val="18"/>
                <w:szCs w:val="18"/>
                <w:lang w:val="en-GB"/>
              </w:rPr>
            </w:pPr>
            <w:r w:rsidRPr="00EB5EDA">
              <w:rPr>
                <w:sz w:val="18"/>
                <w:szCs w:val="18"/>
                <w:lang w:val="en-GB"/>
              </w:rPr>
              <w:t>High sensitivity, with laminated core, inverter monopole, designed and certified for telephone equipment</w:t>
            </w:r>
          </w:p>
        </w:tc>
      </w:tr>
      <w:tr w:rsidR="0070496D" w:rsidRPr="00EB5EDA" w14:paraId="6FD25C60" w14:textId="77777777" w:rsidTr="00A81F6C">
        <w:trPr>
          <w:cantSplit/>
          <w:trHeight w:val="57"/>
          <w:jc w:val="right"/>
        </w:trPr>
        <w:tc>
          <w:tcPr>
            <w:tcW w:w="1476" w:type="dxa"/>
            <w:tcBorders>
              <w:top w:val="nil"/>
              <w:left w:val="nil"/>
              <w:bottom w:val="nil"/>
              <w:right w:val="nil"/>
            </w:tcBorders>
            <w:shd w:val="clear" w:color="auto" w:fill="auto"/>
            <w:noWrap/>
            <w:hideMark/>
          </w:tcPr>
          <w:p w14:paraId="7083DDA7"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0DDB54E5"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8536.41.05.10</w:t>
            </w:r>
          </w:p>
        </w:tc>
        <w:tc>
          <w:tcPr>
            <w:tcW w:w="4621" w:type="dxa"/>
            <w:tcBorders>
              <w:top w:val="nil"/>
              <w:left w:val="nil"/>
              <w:bottom w:val="nil"/>
              <w:right w:val="nil"/>
            </w:tcBorders>
            <w:shd w:val="clear" w:color="auto" w:fill="E7E6E6" w:themeFill="background2"/>
            <w:hideMark/>
          </w:tcPr>
          <w:p w14:paraId="3254872B" w14:textId="77777777" w:rsidR="0070496D" w:rsidRPr="00EB5EDA" w:rsidRDefault="0070496D" w:rsidP="00A81F6C">
            <w:pPr>
              <w:pStyle w:val="Normal-pool"/>
              <w:spacing w:before="40" w:after="40"/>
              <w:rPr>
                <w:sz w:val="18"/>
                <w:szCs w:val="18"/>
                <w:lang w:val="en-GB"/>
              </w:rPr>
            </w:pPr>
            <w:r w:rsidRPr="00EB5EDA">
              <w:rPr>
                <w:sz w:val="18"/>
                <w:szCs w:val="18"/>
                <w:lang w:val="en-GB"/>
              </w:rPr>
              <w:t>With added mercury</w:t>
            </w:r>
          </w:p>
        </w:tc>
      </w:tr>
      <w:tr w:rsidR="0070496D" w:rsidRPr="00EB5EDA" w14:paraId="1F821EF3" w14:textId="77777777" w:rsidTr="00A81F6C">
        <w:trPr>
          <w:cantSplit/>
          <w:trHeight w:val="57"/>
          <w:jc w:val="right"/>
        </w:trPr>
        <w:tc>
          <w:tcPr>
            <w:tcW w:w="1476" w:type="dxa"/>
            <w:tcBorders>
              <w:top w:val="nil"/>
              <w:left w:val="nil"/>
              <w:bottom w:val="nil"/>
              <w:right w:val="nil"/>
            </w:tcBorders>
            <w:shd w:val="clear" w:color="auto" w:fill="auto"/>
            <w:noWrap/>
            <w:hideMark/>
          </w:tcPr>
          <w:p w14:paraId="742ED452"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43943AF6"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8536.41.05.90</w:t>
            </w:r>
          </w:p>
        </w:tc>
        <w:tc>
          <w:tcPr>
            <w:tcW w:w="4621" w:type="dxa"/>
            <w:tcBorders>
              <w:top w:val="nil"/>
              <w:left w:val="nil"/>
              <w:bottom w:val="nil"/>
              <w:right w:val="nil"/>
            </w:tcBorders>
            <w:shd w:val="clear" w:color="auto" w:fill="E7E6E6" w:themeFill="background2"/>
            <w:hideMark/>
          </w:tcPr>
          <w:p w14:paraId="28A6BBDF" w14:textId="77777777" w:rsidR="0070496D" w:rsidRPr="00EB5EDA" w:rsidRDefault="0070496D" w:rsidP="00A81F6C">
            <w:pPr>
              <w:pStyle w:val="Normal-pool"/>
              <w:spacing w:before="40" w:after="40"/>
              <w:rPr>
                <w:sz w:val="18"/>
                <w:szCs w:val="18"/>
                <w:lang w:val="en-GB"/>
              </w:rPr>
            </w:pPr>
            <w:r w:rsidRPr="00EB5EDA">
              <w:rPr>
                <w:sz w:val="18"/>
                <w:szCs w:val="18"/>
                <w:lang w:val="en-GB"/>
              </w:rPr>
              <w:t>Others</w:t>
            </w:r>
          </w:p>
        </w:tc>
      </w:tr>
      <w:tr w:rsidR="0070496D" w:rsidRPr="00EB5EDA" w14:paraId="5B72A1CC" w14:textId="77777777" w:rsidTr="00A81F6C">
        <w:trPr>
          <w:cantSplit/>
          <w:trHeight w:val="57"/>
          <w:jc w:val="right"/>
        </w:trPr>
        <w:tc>
          <w:tcPr>
            <w:tcW w:w="1476" w:type="dxa"/>
            <w:tcBorders>
              <w:top w:val="nil"/>
              <w:left w:val="nil"/>
              <w:bottom w:val="nil"/>
              <w:right w:val="nil"/>
            </w:tcBorders>
            <w:shd w:val="clear" w:color="auto" w:fill="auto"/>
            <w:noWrap/>
            <w:hideMark/>
          </w:tcPr>
          <w:p w14:paraId="5DEA07F3"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8536.41.06</w:t>
            </w:r>
          </w:p>
        </w:tc>
        <w:tc>
          <w:tcPr>
            <w:tcW w:w="2210" w:type="dxa"/>
            <w:tcBorders>
              <w:top w:val="nil"/>
              <w:left w:val="nil"/>
              <w:bottom w:val="nil"/>
              <w:right w:val="nil"/>
            </w:tcBorders>
            <w:shd w:val="clear" w:color="auto" w:fill="auto"/>
            <w:noWrap/>
            <w:hideMark/>
          </w:tcPr>
          <w:p w14:paraId="763FCD8A"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08BD264A" w14:textId="77777777" w:rsidR="0070496D" w:rsidRPr="00EB5EDA" w:rsidRDefault="0070496D" w:rsidP="00A81F6C">
            <w:pPr>
              <w:pStyle w:val="Normal-pool"/>
              <w:spacing w:before="40" w:after="40"/>
              <w:rPr>
                <w:sz w:val="18"/>
                <w:szCs w:val="18"/>
                <w:lang w:val="en-GB"/>
              </w:rPr>
            </w:pPr>
            <w:r w:rsidRPr="00EB5EDA">
              <w:rPr>
                <w:sz w:val="18"/>
                <w:szCs w:val="18"/>
                <w:lang w:val="en-GB"/>
              </w:rPr>
              <w:t>Electromagnetic secondaries, powered exclusively through current and / or voltage transformers</w:t>
            </w:r>
          </w:p>
        </w:tc>
      </w:tr>
      <w:tr w:rsidR="0070496D" w:rsidRPr="00EB5EDA" w14:paraId="00D9B674" w14:textId="77777777" w:rsidTr="00A81F6C">
        <w:trPr>
          <w:cantSplit/>
          <w:trHeight w:val="57"/>
          <w:jc w:val="right"/>
        </w:trPr>
        <w:tc>
          <w:tcPr>
            <w:tcW w:w="1476" w:type="dxa"/>
            <w:tcBorders>
              <w:top w:val="nil"/>
              <w:left w:val="nil"/>
              <w:bottom w:val="nil"/>
              <w:right w:val="nil"/>
            </w:tcBorders>
            <w:shd w:val="clear" w:color="auto" w:fill="auto"/>
            <w:noWrap/>
            <w:hideMark/>
          </w:tcPr>
          <w:p w14:paraId="57B602CC"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7C963754"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8536.41.06.10</w:t>
            </w:r>
          </w:p>
        </w:tc>
        <w:tc>
          <w:tcPr>
            <w:tcW w:w="4621" w:type="dxa"/>
            <w:tcBorders>
              <w:top w:val="nil"/>
              <w:left w:val="nil"/>
              <w:bottom w:val="nil"/>
              <w:right w:val="nil"/>
            </w:tcBorders>
            <w:shd w:val="clear" w:color="auto" w:fill="E7E6E6" w:themeFill="background2"/>
            <w:hideMark/>
          </w:tcPr>
          <w:p w14:paraId="29D58EF3" w14:textId="77777777" w:rsidR="0070496D" w:rsidRPr="00EB5EDA" w:rsidRDefault="0070496D" w:rsidP="00A81F6C">
            <w:pPr>
              <w:pStyle w:val="Normal-pool"/>
              <w:spacing w:before="40" w:after="40"/>
              <w:rPr>
                <w:sz w:val="18"/>
                <w:szCs w:val="18"/>
                <w:lang w:val="en-GB"/>
              </w:rPr>
            </w:pPr>
            <w:r w:rsidRPr="00EB5EDA">
              <w:rPr>
                <w:sz w:val="18"/>
                <w:szCs w:val="18"/>
                <w:lang w:val="en-GB"/>
              </w:rPr>
              <w:t>With added mercury</w:t>
            </w:r>
          </w:p>
        </w:tc>
      </w:tr>
      <w:tr w:rsidR="0070496D" w:rsidRPr="00EB5EDA" w14:paraId="4A58CBC3" w14:textId="77777777" w:rsidTr="00A81F6C">
        <w:trPr>
          <w:cantSplit/>
          <w:trHeight w:val="57"/>
          <w:jc w:val="right"/>
        </w:trPr>
        <w:tc>
          <w:tcPr>
            <w:tcW w:w="1476" w:type="dxa"/>
            <w:tcBorders>
              <w:top w:val="nil"/>
              <w:left w:val="nil"/>
              <w:bottom w:val="nil"/>
              <w:right w:val="nil"/>
            </w:tcBorders>
            <w:shd w:val="clear" w:color="auto" w:fill="auto"/>
            <w:noWrap/>
            <w:hideMark/>
          </w:tcPr>
          <w:p w14:paraId="3B394021"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1E5E107A"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8536.41.06.90</w:t>
            </w:r>
          </w:p>
        </w:tc>
        <w:tc>
          <w:tcPr>
            <w:tcW w:w="4621" w:type="dxa"/>
            <w:tcBorders>
              <w:top w:val="nil"/>
              <w:left w:val="nil"/>
              <w:bottom w:val="nil"/>
              <w:right w:val="nil"/>
            </w:tcBorders>
            <w:shd w:val="clear" w:color="auto" w:fill="E7E6E6" w:themeFill="background2"/>
            <w:hideMark/>
          </w:tcPr>
          <w:p w14:paraId="19AAD923" w14:textId="77777777" w:rsidR="0070496D" w:rsidRPr="00EB5EDA" w:rsidRDefault="0070496D" w:rsidP="00A81F6C">
            <w:pPr>
              <w:pStyle w:val="Normal-pool"/>
              <w:spacing w:before="40" w:after="40"/>
              <w:rPr>
                <w:sz w:val="18"/>
                <w:szCs w:val="18"/>
                <w:lang w:val="en-GB"/>
              </w:rPr>
            </w:pPr>
            <w:r w:rsidRPr="00EB5EDA">
              <w:rPr>
                <w:sz w:val="18"/>
                <w:szCs w:val="18"/>
                <w:lang w:val="en-GB"/>
              </w:rPr>
              <w:t>Others</w:t>
            </w:r>
          </w:p>
        </w:tc>
      </w:tr>
      <w:tr w:rsidR="0070496D" w:rsidRPr="00EB5EDA" w14:paraId="35E6F636" w14:textId="77777777" w:rsidTr="00A81F6C">
        <w:trPr>
          <w:cantSplit/>
          <w:trHeight w:val="57"/>
          <w:jc w:val="right"/>
        </w:trPr>
        <w:tc>
          <w:tcPr>
            <w:tcW w:w="1476" w:type="dxa"/>
            <w:tcBorders>
              <w:top w:val="nil"/>
              <w:left w:val="nil"/>
              <w:bottom w:val="nil"/>
              <w:right w:val="nil"/>
            </w:tcBorders>
            <w:shd w:val="clear" w:color="auto" w:fill="auto"/>
            <w:noWrap/>
            <w:hideMark/>
          </w:tcPr>
          <w:p w14:paraId="4B8DCC95"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8536.41.07</w:t>
            </w:r>
          </w:p>
        </w:tc>
        <w:tc>
          <w:tcPr>
            <w:tcW w:w="2210" w:type="dxa"/>
            <w:tcBorders>
              <w:top w:val="nil"/>
              <w:left w:val="nil"/>
              <w:bottom w:val="nil"/>
              <w:right w:val="nil"/>
            </w:tcBorders>
            <w:shd w:val="clear" w:color="auto" w:fill="auto"/>
            <w:noWrap/>
            <w:hideMark/>
          </w:tcPr>
          <w:p w14:paraId="19EE5AAE"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681983EC" w14:textId="77777777" w:rsidR="0070496D" w:rsidRPr="00EB5EDA" w:rsidRDefault="0070496D" w:rsidP="00A81F6C">
            <w:pPr>
              <w:pStyle w:val="Normal-pool"/>
              <w:spacing w:before="40" w:after="40"/>
              <w:rPr>
                <w:sz w:val="18"/>
                <w:szCs w:val="18"/>
                <w:lang w:val="en-GB"/>
              </w:rPr>
            </w:pPr>
            <w:r w:rsidRPr="00EB5EDA">
              <w:rPr>
                <w:sz w:val="18"/>
                <w:szCs w:val="18"/>
                <w:lang w:val="en-GB"/>
              </w:rPr>
              <w:t>Automatic differential, up to 60 amps with differential protection up to 300 milliamps</w:t>
            </w:r>
          </w:p>
        </w:tc>
      </w:tr>
      <w:tr w:rsidR="0070496D" w:rsidRPr="00EB5EDA" w14:paraId="1522E3BA" w14:textId="77777777" w:rsidTr="00A81F6C">
        <w:trPr>
          <w:cantSplit/>
          <w:trHeight w:val="57"/>
          <w:jc w:val="right"/>
        </w:trPr>
        <w:tc>
          <w:tcPr>
            <w:tcW w:w="1476" w:type="dxa"/>
            <w:tcBorders>
              <w:top w:val="nil"/>
              <w:left w:val="nil"/>
              <w:bottom w:val="nil"/>
              <w:right w:val="nil"/>
            </w:tcBorders>
            <w:shd w:val="clear" w:color="auto" w:fill="auto"/>
            <w:noWrap/>
            <w:hideMark/>
          </w:tcPr>
          <w:p w14:paraId="78804AA8"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6CBD1573"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8536.41.07.10</w:t>
            </w:r>
          </w:p>
        </w:tc>
        <w:tc>
          <w:tcPr>
            <w:tcW w:w="4621" w:type="dxa"/>
            <w:tcBorders>
              <w:top w:val="nil"/>
              <w:left w:val="nil"/>
              <w:bottom w:val="nil"/>
              <w:right w:val="nil"/>
            </w:tcBorders>
            <w:shd w:val="clear" w:color="auto" w:fill="E7E6E6" w:themeFill="background2"/>
            <w:hideMark/>
          </w:tcPr>
          <w:p w14:paraId="2CECD7E3" w14:textId="77777777" w:rsidR="0070496D" w:rsidRPr="00EB5EDA" w:rsidRDefault="0070496D" w:rsidP="00A81F6C">
            <w:pPr>
              <w:pStyle w:val="Normal-pool"/>
              <w:spacing w:before="40" w:after="40"/>
              <w:rPr>
                <w:sz w:val="18"/>
                <w:szCs w:val="18"/>
                <w:lang w:val="en-GB"/>
              </w:rPr>
            </w:pPr>
            <w:r w:rsidRPr="00EB5EDA">
              <w:rPr>
                <w:sz w:val="18"/>
                <w:szCs w:val="18"/>
                <w:lang w:val="en-GB"/>
              </w:rPr>
              <w:t>With added mercury</w:t>
            </w:r>
          </w:p>
        </w:tc>
      </w:tr>
      <w:tr w:rsidR="0070496D" w:rsidRPr="00EB5EDA" w14:paraId="2000CEFB" w14:textId="77777777" w:rsidTr="00A81F6C">
        <w:trPr>
          <w:cantSplit/>
          <w:trHeight w:val="57"/>
          <w:jc w:val="right"/>
        </w:trPr>
        <w:tc>
          <w:tcPr>
            <w:tcW w:w="1476" w:type="dxa"/>
            <w:tcBorders>
              <w:top w:val="nil"/>
              <w:left w:val="nil"/>
              <w:bottom w:val="nil"/>
              <w:right w:val="nil"/>
            </w:tcBorders>
            <w:shd w:val="clear" w:color="auto" w:fill="auto"/>
            <w:noWrap/>
            <w:hideMark/>
          </w:tcPr>
          <w:p w14:paraId="76871C40"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3853C09B"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8536.41.07.90</w:t>
            </w:r>
          </w:p>
        </w:tc>
        <w:tc>
          <w:tcPr>
            <w:tcW w:w="4621" w:type="dxa"/>
            <w:tcBorders>
              <w:top w:val="nil"/>
              <w:left w:val="nil"/>
              <w:bottom w:val="nil"/>
              <w:right w:val="nil"/>
            </w:tcBorders>
            <w:shd w:val="clear" w:color="auto" w:fill="E7E6E6" w:themeFill="background2"/>
            <w:hideMark/>
          </w:tcPr>
          <w:p w14:paraId="0010CFCE" w14:textId="77777777" w:rsidR="0070496D" w:rsidRPr="00EB5EDA" w:rsidRDefault="0070496D" w:rsidP="00A81F6C">
            <w:pPr>
              <w:pStyle w:val="Normal-pool"/>
              <w:spacing w:before="40" w:after="40"/>
              <w:rPr>
                <w:sz w:val="18"/>
                <w:szCs w:val="18"/>
                <w:lang w:val="en-GB"/>
              </w:rPr>
            </w:pPr>
            <w:r w:rsidRPr="00EB5EDA">
              <w:rPr>
                <w:sz w:val="18"/>
                <w:szCs w:val="18"/>
                <w:lang w:val="en-GB"/>
              </w:rPr>
              <w:t>Others</w:t>
            </w:r>
          </w:p>
        </w:tc>
      </w:tr>
      <w:tr w:rsidR="0070496D" w:rsidRPr="00EB5EDA" w14:paraId="1F7463B7" w14:textId="77777777" w:rsidTr="00A81F6C">
        <w:trPr>
          <w:cantSplit/>
          <w:trHeight w:val="57"/>
          <w:jc w:val="right"/>
        </w:trPr>
        <w:tc>
          <w:tcPr>
            <w:tcW w:w="1476" w:type="dxa"/>
            <w:tcBorders>
              <w:top w:val="nil"/>
              <w:left w:val="nil"/>
              <w:bottom w:val="nil"/>
              <w:right w:val="nil"/>
            </w:tcBorders>
            <w:shd w:val="clear" w:color="auto" w:fill="auto"/>
            <w:noWrap/>
            <w:hideMark/>
          </w:tcPr>
          <w:p w14:paraId="5A112F0D"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8536.41.08</w:t>
            </w:r>
          </w:p>
        </w:tc>
        <w:tc>
          <w:tcPr>
            <w:tcW w:w="2210" w:type="dxa"/>
            <w:tcBorders>
              <w:top w:val="nil"/>
              <w:left w:val="nil"/>
              <w:bottom w:val="nil"/>
              <w:right w:val="nil"/>
            </w:tcBorders>
            <w:shd w:val="clear" w:color="auto" w:fill="auto"/>
            <w:noWrap/>
            <w:hideMark/>
          </w:tcPr>
          <w:p w14:paraId="6046F238"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1CC728C9" w14:textId="77777777" w:rsidR="0070496D" w:rsidRPr="00EB5EDA" w:rsidRDefault="0070496D" w:rsidP="00A81F6C">
            <w:pPr>
              <w:pStyle w:val="Normal-pool"/>
              <w:spacing w:before="40" w:after="40"/>
              <w:rPr>
                <w:sz w:val="18"/>
                <w:szCs w:val="18"/>
                <w:lang w:val="en-GB"/>
              </w:rPr>
            </w:pPr>
            <w:r w:rsidRPr="00EB5EDA">
              <w:rPr>
                <w:sz w:val="18"/>
                <w:szCs w:val="18"/>
                <w:lang w:val="en-GB"/>
              </w:rPr>
              <w:t>Photoelectric relays</w:t>
            </w:r>
          </w:p>
        </w:tc>
      </w:tr>
      <w:tr w:rsidR="0070496D" w:rsidRPr="00EB5EDA" w14:paraId="4562C3C5" w14:textId="77777777" w:rsidTr="00A81F6C">
        <w:trPr>
          <w:cantSplit/>
          <w:trHeight w:val="57"/>
          <w:jc w:val="right"/>
        </w:trPr>
        <w:tc>
          <w:tcPr>
            <w:tcW w:w="1476" w:type="dxa"/>
            <w:tcBorders>
              <w:top w:val="nil"/>
              <w:left w:val="nil"/>
              <w:bottom w:val="nil"/>
              <w:right w:val="nil"/>
            </w:tcBorders>
            <w:shd w:val="clear" w:color="auto" w:fill="auto"/>
            <w:noWrap/>
            <w:hideMark/>
          </w:tcPr>
          <w:p w14:paraId="4F221BE7"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6A953E23"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8536.41.08.10</w:t>
            </w:r>
          </w:p>
        </w:tc>
        <w:tc>
          <w:tcPr>
            <w:tcW w:w="4621" w:type="dxa"/>
            <w:tcBorders>
              <w:top w:val="nil"/>
              <w:left w:val="nil"/>
              <w:bottom w:val="nil"/>
              <w:right w:val="nil"/>
            </w:tcBorders>
            <w:shd w:val="clear" w:color="auto" w:fill="E7E6E6" w:themeFill="background2"/>
            <w:hideMark/>
          </w:tcPr>
          <w:p w14:paraId="7A7DC105" w14:textId="77777777" w:rsidR="0070496D" w:rsidRPr="00EB5EDA" w:rsidRDefault="0070496D" w:rsidP="00A81F6C">
            <w:pPr>
              <w:pStyle w:val="Normal-pool"/>
              <w:spacing w:before="40" w:after="40"/>
              <w:rPr>
                <w:sz w:val="18"/>
                <w:szCs w:val="18"/>
                <w:lang w:val="en-GB"/>
              </w:rPr>
            </w:pPr>
            <w:r w:rsidRPr="00EB5EDA">
              <w:rPr>
                <w:sz w:val="18"/>
                <w:szCs w:val="18"/>
                <w:lang w:val="en-GB"/>
              </w:rPr>
              <w:t>With added mercury</w:t>
            </w:r>
          </w:p>
        </w:tc>
      </w:tr>
      <w:tr w:rsidR="0070496D" w:rsidRPr="00EB5EDA" w14:paraId="74FA9F93" w14:textId="77777777" w:rsidTr="00A81F6C">
        <w:trPr>
          <w:cantSplit/>
          <w:trHeight w:val="57"/>
          <w:jc w:val="right"/>
        </w:trPr>
        <w:tc>
          <w:tcPr>
            <w:tcW w:w="1476" w:type="dxa"/>
            <w:tcBorders>
              <w:top w:val="nil"/>
              <w:left w:val="nil"/>
              <w:bottom w:val="nil"/>
              <w:right w:val="nil"/>
            </w:tcBorders>
            <w:shd w:val="clear" w:color="auto" w:fill="auto"/>
            <w:noWrap/>
            <w:hideMark/>
          </w:tcPr>
          <w:p w14:paraId="78FD2638"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22B02164"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8536.41.08.90</w:t>
            </w:r>
          </w:p>
        </w:tc>
        <w:tc>
          <w:tcPr>
            <w:tcW w:w="4621" w:type="dxa"/>
            <w:tcBorders>
              <w:top w:val="nil"/>
              <w:left w:val="nil"/>
              <w:bottom w:val="nil"/>
              <w:right w:val="nil"/>
            </w:tcBorders>
            <w:shd w:val="clear" w:color="auto" w:fill="E7E6E6" w:themeFill="background2"/>
            <w:hideMark/>
          </w:tcPr>
          <w:p w14:paraId="59FDB44C" w14:textId="77777777" w:rsidR="0070496D" w:rsidRPr="00EB5EDA" w:rsidRDefault="0070496D" w:rsidP="00A81F6C">
            <w:pPr>
              <w:pStyle w:val="Normal-pool"/>
              <w:spacing w:before="40" w:after="40"/>
              <w:rPr>
                <w:sz w:val="18"/>
                <w:szCs w:val="18"/>
                <w:lang w:val="en-GB"/>
              </w:rPr>
            </w:pPr>
            <w:r w:rsidRPr="00EB5EDA">
              <w:rPr>
                <w:sz w:val="18"/>
                <w:szCs w:val="18"/>
                <w:lang w:val="en-GB"/>
              </w:rPr>
              <w:t>Others</w:t>
            </w:r>
          </w:p>
        </w:tc>
      </w:tr>
      <w:tr w:rsidR="0070496D" w:rsidRPr="00EB5EDA" w14:paraId="7058C43F" w14:textId="77777777" w:rsidTr="00A81F6C">
        <w:trPr>
          <w:cantSplit/>
          <w:trHeight w:val="57"/>
          <w:jc w:val="right"/>
        </w:trPr>
        <w:tc>
          <w:tcPr>
            <w:tcW w:w="1476" w:type="dxa"/>
            <w:tcBorders>
              <w:top w:val="nil"/>
              <w:left w:val="nil"/>
              <w:bottom w:val="nil"/>
              <w:right w:val="nil"/>
            </w:tcBorders>
            <w:shd w:val="clear" w:color="auto" w:fill="auto"/>
            <w:noWrap/>
            <w:hideMark/>
          </w:tcPr>
          <w:p w14:paraId="4DC8ADAF"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8536.41.09</w:t>
            </w:r>
          </w:p>
        </w:tc>
        <w:tc>
          <w:tcPr>
            <w:tcW w:w="2210" w:type="dxa"/>
            <w:tcBorders>
              <w:top w:val="nil"/>
              <w:left w:val="nil"/>
              <w:bottom w:val="nil"/>
              <w:right w:val="nil"/>
            </w:tcBorders>
            <w:shd w:val="clear" w:color="auto" w:fill="auto"/>
            <w:noWrap/>
            <w:hideMark/>
          </w:tcPr>
          <w:p w14:paraId="26BBDFFA"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108C45A7" w14:textId="0048BCDA" w:rsidR="0070496D" w:rsidRPr="00EB5EDA" w:rsidRDefault="0070496D" w:rsidP="00A81F6C">
            <w:pPr>
              <w:pStyle w:val="Normal-pool"/>
              <w:spacing w:before="40" w:after="40"/>
              <w:rPr>
                <w:sz w:val="18"/>
                <w:szCs w:val="18"/>
                <w:lang w:val="en-GB"/>
              </w:rPr>
            </w:pPr>
            <w:r w:rsidRPr="00EB5EDA">
              <w:rPr>
                <w:sz w:val="18"/>
                <w:szCs w:val="18"/>
                <w:lang w:val="en-GB"/>
              </w:rPr>
              <w:t>Directional indicators for man</w:t>
            </w:r>
            <w:r w:rsidR="00D90598" w:rsidRPr="00EB5EDA">
              <w:rPr>
                <w:sz w:val="18"/>
                <w:szCs w:val="18"/>
                <w:lang w:val="en-GB"/>
              </w:rPr>
              <w:t>o</w:t>
            </w:r>
            <w:r w:rsidRPr="00EB5EDA">
              <w:rPr>
                <w:sz w:val="18"/>
                <w:szCs w:val="18"/>
                <w:lang w:val="en-GB"/>
              </w:rPr>
              <w:t>euvring indicator lights, for automotive use</w:t>
            </w:r>
          </w:p>
        </w:tc>
      </w:tr>
      <w:tr w:rsidR="0070496D" w:rsidRPr="00EB5EDA" w14:paraId="7C6D78BC" w14:textId="77777777" w:rsidTr="00A81F6C">
        <w:trPr>
          <w:cantSplit/>
          <w:trHeight w:val="57"/>
          <w:jc w:val="right"/>
        </w:trPr>
        <w:tc>
          <w:tcPr>
            <w:tcW w:w="1476" w:type="dxa"/>
            <w:tcBorders>
              <w:top w:val="nil"/>
              <w:left w:val="nil"/>
              <w:bottom w:val="nil"/>
              <w:right w:val="nil"/>
            </w:tcBorders>
            <w:shd w:val="clear" w:color="auto" w:fill="auto"/>
            <w:noWrap/>
            <w:hideMark/>
          </w:tcPr>
          <w:p w14:paraId="186DA804"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41D35022"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8536.41.09.10</w:t>
            </w:r>
          </w:p>
        </w:tc>
        <w:tc>
          <w:tcPr>
            <w:tcW w:w="4621" w:type="dxa"/>
            <w:tcBorders>
              <w:top w:val="nil"/>
              <w:left w:val="nil"/>
              <w:bottom w:val="nil"/>
              <w:right w:val="nil"/>
            </w:tcBorders>
            <w:shd w:val="clear" w:color="auto" w:fill="E7E6E6" w:themeFill="background2"/>
            <w:hideMark/>
          </w:tcPr>
          <w:p w14:paraId="62B60868" w14:textId="77777777" w:rsidR="0070496D" w:rsidRPr="00EB5EDA" w:rsidRDefault="0070496D" w:rsidP="00A81F6C">
            <w:pPr>
              <w:pStyle w:val="Normal-pool"/>
              <w:spacing w:before="40" w:after="40"/>
              <w:rPr>
                <w:sz w:val="18"/>
                <w:szCs w:val="18"/>
                <w:lang w:val="en-GB"/>
              </w:rPr>
            </w:pPr>
            <w:r w:rsidRPr="00EB5EDA">
              <w:rPr>
                <w:sz w:val="18"/>
                <w:szCs w:val="18"/>
                <w:lang w:val="en-GB"/>
              </w:rPr>
              <w:t>With added mercury</w:t>
            </w:r>
          </w:p>
        </w:tc>
      </w:tr>
      <w:tr w:rsidR="0070496D" w:rsidRPr="00EB5EDA" w14:paraId="50EDA99A" w14:textId="77777777" w:rsidTr="00A81F6C">
        <w:trPr>
          <w:cantSplit/>
          <w:trHeight w:val="57"/>
          <w:jc w:val="right"/>
        </w:trPr>
        <w:tc>
          <w:tcPr>
            <w:tcW w:w="1476" w:type="dxa"/>
            <w:tcBorders>
              <w:top w:val="nil"/>
              <w:left w:val="nil"/>
              <w:bottom w:val="nil"/>
              <w:right w:val="nil"/>
            </w:tcBorders>
            <w:shd w:val="clear" w:color="auto" w:fill="auto"/>
            <w:noWrap/>
            <w:hideMark/>
          </w:tcPr>
          <w:p w14:paraId="0EBDC746"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21928F64"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8536.41.09.90</w:t>
            </w:r>
          </w:p>
        </w:tc>
        <w:tc>
          <w:tcPr>
            <w:tcW w:w="4621" w:type="dxa"/>
            <w:tcBorders>
              <w:top w:val="nil"/>
              <w:left w:val="nil"/>
              <w:bottom w:val="nil"/>
              <w:right w:val="nil"/>
            </w:tcBorders>
            <w:shd w:val="clear" w:color="auto" w:fill="E7E6E6" w:themeFill="background2"/>
            <w:hideMark/>
          </w:tcPr>
          <w:p w14:paraId="0E93A355" w14:textId="77777777" w:rsidR="0070496D" w:rsidRPr="00EB5EDA" w:rsidRDefault="0070496D" w:rsidP="00A81F6C">
            <w:pPr>
              <w:pStyle w:val="Normal-pool"/>
              <w:spacing w:before="40" w:after="40"/>
              <w:rPr>
                <w:sz w:val="18"/>
                <w:szCs w:val="18"/>
                <w:lang w:val="en-GB"/>
              </w:rPr>
            </w:pPr>
            <w:r w:rsidRPr="00EB5EDA">
              <w:rPr>
                <w:sz w:val="18"/>
                <w:szCs w:val="18"/>
                <w:lang w:val="en-GB"/>
              </w:rPr>
              <w:t>Others</w:t>
            </w:r>
          </w:p>
        </w:tc>
      </w:tr>
      <w:tr w:rsidR="0070496D" w:rsidRPr="00EB5EDA" w14:paraId="3868CA10" w14:textId="77777777" w:rsidTr="00A81F6C">
        <w:trPr>
          <w:cantSplit/>
          <w:trHeight w:val="57"/>
          <w:jc w:val="right"/>
        </w:trPr>
        <w:tc>
          <w:tcPr>
            <w:tcW w:w="1476" w:type="dxa"/>
            <w:tcBorders>
              <w:top w:val="nil"/>
              <w:left w:val="nil"/>
              <w:bottom w:val="nil"/>
              <w:right w:val="nil"/>
            </w:tcBorders>
            <w:shd w:val="clear" w:color="auto" w:fill="auto"/>
            <w:noWrap/>
            <w:hideMark/>
          </w:tcPr>
          <w:p w14:paraId="48905BDA"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8536.41.10</w:t>
            </w:r>
          </w:p>
        </w:tc>
        <w:tc>
          <w:tcPr>
            <w:tcW w:w="2210" w:type="dxa"/>
            <w:tcBorders>
              <w:top w:val="nil"/>
              <w:left w:val="nil"/>
              <w:bottom w:val="nil"/>
              <w:right w:val="nil"/>
            </w:tcBorders>
            <w:shd w:val="clear" w:color="auto" w:fill="auto"/>
            <w:noWrap/>
            <w:hideMark/>
          </w:tcPr>
          <w:p w14:paraId="65208B0A"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2C82FE76" w14:textId="77777777" w:rsidR="0070496D" w:rsidRPr="00EB5EDA" w:rsidRDefault="0070496D" w:rsidP="00A81F6C">
            <w:pPr>
              <w:pStyle w:val="Normal-pool"/>
              <w:spacing w:before="40" w:after="40"/>
              <w:rPr>
                <w:sz w:val="18"/>
                <w:szCs w:val="18"/>
                <w:lang w:val="en-GB"/>
              </w:rPr>
            </w:pPr>
            <w:r w:rsidRPr="00EB5EDA">
              <w:rPr>
                <w:sz w:val="18"/>
                <w:szCs w:val="18"/>
                <w:lang w:val="en-GB"/>
              </w:rPr>
              <w:t>For start-up functions, other than those included in section 8536.41.02</w:t>
            </w:r>
          </w:p>
        </w:tc>
      </w:tr>
      <w:tr w:rsidR="0070496D" w:rsidRPr="00EB5EDA" w14:paraId="673BBA96" w14:textId="77777777" w:rsidTr="00A81F6C">
        <w:trPr>
          <w:cantSplit/>
          <w:trHeight w:val="57"/>
          <w:jc w:val="right"/>
        </w:trPr>
        <w:tc>
          <w:tcPr>
            <w:tcW w:w="1476" w:type="dxa"/>
            <w:tcBorders>
              <w:top w:val="nil"/>
              <w:left w:val="nil"/>
              <w:bottom w:val="nil"/>
              <w:right w:val="nil"/>
            </w:tcBorders>
            <w:shd w:val="clear" w:color="auto" w:fill="auto"/>
            <w:noWrap/>
            <w:hideMark/>
          </w:tcPr>
          <w:p w14:paraId="271C8F72"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0DB7D4C5"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8536.41.10.10</w:t>
            </w:r>
          </w:p>
        </w:tc>
        <w:tc>
          <w:tcPr>
            <w:tcW w:w="4621" w:type="dxa"/>
            <w:tcBorders>
              <w:top w:val="nil"/>
              <w:left w:val="nil"/>
              <w:bottom w:val="nil"/>
              <w:right w:val="nil"/>
            </w:tcBorders>
            <w:shd w:val="clear" w:color="auto" w:fill="E7E6E6" w:themeFill="background2"/>
            <w:hideMark/>
          </w:tcPr>
          <w:p w14:paraId="606A4090" w14:textId="77777777" w:rsidR="0070496D" w:rsidRPr="00EB5EDA" w:rsidRDefault="0070496D" w:rsidP="00A81F6C">
            <w:pPr>
              <w:pStyle w:val="Normal-pool"/>
              <w:spacing w:before="40" w:after="40"/>
              <w:rPr>
                <w:sz w:val="18"/>
                <w:szCs w:val="18"/>
                <w:lang w:val="en-GB"/>
              </w:rPr>
            </w:pPr>
            <w:r w:rsidRPr="00EB5EDA">
              <w:rPr>
                <w:sz w:val="18"/>
                <w:szCs w:val="18"/>
                <w:lang w:val="en-GB"/>
              </w:rPr>
              <w:t>With added mercury</w:t>
            </w:r>
          </w:p>
        </w:tc>
      </w:tr>
      <w:tr w:rsidR="0070496D" w:rsidRPr="00EB5EDA" w14:paraId="37CDB4AA" w14:textId="77777777" w:rsidTr="00A81F6C">
        <w:trPr>
          <w:cantSplit/>
          <w:trHeight w:val="57"/>
          <w:jc w:val="right"/>
        </w:trPr>
        <w:tc>
          <w:tcPr>
            <w:tcW w:w="1476" w:type="dxa"/>
            <w:tcBorders>
              <w:top w:val="nil"/>
              <w:left w:val="nil"/>
              <w:bottom w:val="nil"/>
              <w:right w:val="nil"/>
            </w:tcBorders>
            <w:shd w:val="clear" w:color="auto" w:fill="auto"/>
            <w:noWrap/>
            <w:hideMark/>
          </w:tcPr>
          <w:p w14:paraId="79720A5E"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2704BE59"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8536.41.10.90</w:t>
            </w:r>
          </w:p>
        </w:tc>
        <w:tc>
          <w:tcPr>
            <w:tcW w:w="4621" w:type="dxa"/>
            <w:tcBorders>
              <w:top w:val="nil"/>
              <w:left w:val="nil"/>
              <w:bottom w:val="nil"/>
              <w:right w:val="nil"/>
            </w:tcBorders>
            <w:shd w:val="clear" w:color="auto" w:fill="E7E6E6" w:themeFill="background2"/>
            <w:hideMark/>
          </w:tcPr>
          <w:p w14:paraId="7C071C18" w14:textId="77777777" w:rsidR="0070496D" w:rsidRPr="00EB5EDA" w:rsidRDefault="0070496D" w:rsidP="00A81F6C">
            <w:pPr>
              <w:pStyle w:val="Normal-pool"/>
              <w:spacing w:before="40" w:after="40"/>
              <w:rPr>
                <w:sz w:val="18"/>
                <w:szCs w:val="18"/>
                <w:lang w:val="en-GB"/>
              </w:rPr>
            </w:pPr>
            <w:r w:rsidRPr="00EB5EDA">
              <w:rPr>
                <w:sz w:val="18"/>
                <w:szCs w:val="18"/>
                <w:lang w:val="en-GB"/>
              </w:rPr>
              <w:t>Others</w:t>
            </w:r>
          </w:p>
        </w:tc>
      </w:tr>
      <w:tr w:rsidR="0070496D" w:rsidRPr="00EB5EDA" w14:paraId="154F18B5" w14:textId="77777777" w:rsidTr="00A81F6C">
        <w:trPr>
          <w:cantSplit/>
          <w:trHeight w:val="57"/>
          <w:jc w:val="right"/>
        </w:trPr>
        <w:tc>
          <w:tcPr>
            <w:tcW w:w="1476" w:type="dxa"/>
            <w:tcBorders>
              <w:top w:val="nil"/>
              <w:left w:val="nil"/>
              <w:bottom w:val="nil"/>
              <w:right w:val="nil"/>
            </w:tcBorders>
            <w:shd w:val="clear" w:color="auto" w:fill="auto"/>
            <w:noWrap/>
            <w:hideMark/>
          </w:tcPr>
          <w:p w14:paraId="69989F9E"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8536.41.11</w:t>
            </w:r>
          </w:p>
        </w:tc>
        <w:tc>
          <w:tcPr>
            <w:tcW w:w="2210" w:type="dxa"/>
            <w:tcBorders>
              <w:top w:val="nil"/>
              <w:left w:val="nil"/>
              <w:bottom w:val="nil"/>
              <w:right w:val="nil"/>
            </w:tcBorders>
            <w:shd w:val="clear" w:color="auto" w:fill="auto"/>
            <w:noWrap/>
            <w:hideMark/>
          </w:tcPr>
          <w:p w14:paraId="1F3063A4"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1E6B4BFE" w14:textId="77777777" w:rsidR="0070496D" w:rsidRPr="00EB5EDA" w:rsidRDefault="0070496D" w:rsidP="00A81F6C">
            <w:pPr>
              <w:pStyle w:val="Normal-pool"/>
              <w:spacing w:before="40" w:after="40"/>
              <w:rPr>
                <w:sz w:val="18"/>
                <w:szCs w:val="18"/>
                <w:lang w:val="en-GB"/>
              </w:rPr>
            </w:pPr>
            <w:r w:rsidRPr="00EB5EDA">
              <w:rPr>
                <w:sz w:val="18"/>
                <w:szCs w:val="18"/>
                <w:lang w:val="en-GB"/>
              </w:rPr>
              <w:t>Manual or electrical reset multiple contact lockout auxiliary relays rated less than or equal to 60 amps</w:t>
            </w:r>
          </w:p>
        </w:tc>
      </w:tr>
      <w:tr w:rsidR="0070496D" w:rsidRPr="00EB5EDA" w14:paraId="1E074C91" w14:textId="77777777" w:rsidTr="00A81F6C">
        <w:trPr>
          <w:cantSplit/>
          <w:trHeight w:val="57"/>
          <w:jc w:val="right"/>
        </w:trPr>
        <w:tc>
          <w:tcPr>
            <w:tcW w:w="1476" w:type="dxa"/>
            <w:tcBorders>
              <w:top w:val="nil"/>
              <w:left w:val="nil"/>
              <w:bottom w:val="nil"/>
              <w:right w:val="nil"/>
            </w:tcBorders>
            <w:shd w:val="clear" w:color="auto" w:fill="auto"/>
            <w:noWrap/>
            <w:hideMark/>
          </w:tcPr>
          <w:p w14:paraId="16738B88"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69BCA796"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8536.41.11.10</w:t>
            </w:r>
          </w:p>
        </w:tc>
        <w:tc>
          <w:tcPr>
            <w:tcW w:w="4621" w:type="dxa"/>
            <w:tcBorders>
              <w:top w:val="nil"/>
              <w:left w:val="nil"/>
              <w:bottom w:val="nil"/>
              <w:right w:val="nil"/>
            </w:tcBorders>
            <w:shd w:val="clear" w:color="auto" w:fill="E7E6E6" w:themeFill="background2"/>
            <w:hideMark/>
          </w:tcPr>
          <w:p w14:paraId="057614C4" w14:textId="77777777" w:rsidR="0070496D" w:rsidRPr="00EB5EDA" w:rsidRDefault="0070496D" w:rsidP="00A81F6C">
            <w:pPr>
              <w:pStyle w:val="Normal-pool"/>
              <w:spacing w:before="40" w:after="40"/>
              <w:rPr>
                <w:sz w:val="18"/>
                <w:szCs w:val="18"/>
                <w:lang w:val="en-GB"/>
              </w:rPr>
            </w:pPr>
            <w:r w:rsidRPr="00EB5EDA">
              <w:rPr>
                <w:sz w:val="18"/>
                <w:szCs w:val="18"/>
                <w:lang w:val="en-GB"/>
              </w:rPr>
              <w:t>With added mercury</w:t>
            </w:r>
          </w:p>
        </w:tc>
      </w:tr>
      <w:tr w:rsidR="0070496D" w:rsidRPr="00EB5EDA" w14:paraId="162081F1" w14:textId="77777777" w:rsidTr="00A81F6C">
        <w:trPr>
          <w:cantSplit/>
          <w:trHeight w:val="57"/>
          <w:jc w:val="right"/>
        </w:trPr>
        <w:tc>
          <w:tcPr>
            <w:tcW w:w="1476" w:type="dxa"/>
            <w:tcBorders>
              <w:top w:val="nil"/>
              <w:left w:val="nil"/>
              <w:bottom w:val="nil"/>
              <w:right w:val="nil"/>
            </w:tcBorders>
            <w:shd w:val="clear" w:color="auto" w:fill="auto"/>
            <w:noWrap/>
            <w:hideMark/>
          </w:tcPr>
          <w:p w14:paraId="19111458"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3F463A40"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8536.41.11.90</w:t>
            </w:r>
          </w:p>
        </w:tc>
        <w:tc>
          <w:tcPr>
            <w:tcW w:w="4621" w:type="dxa"/>
            <w:tcBorders>
              <w:top w:val="nil"/>
              <w:left w:val="nil"/>
              <w:bottom w:val="nil"/>
              <w:right w:val="nil"/>
            </w:tcBorders>
            <w:shd w:val="clear" w:color="auto" w:fill="E7E6E6" w:themeFill="background2"/>
            <w:hideMark/>
          </w:tcPr>
          <w:p w14:paraId="043591A1" w14:textId="77777777" w:rsidR="0070496D" w:rsidRPr="00EB5EDA" w:rsidRDefault="0070496D" w:rsidP="00A81F6C">
            <w:pPr>
              <w:pStyle w:val="Normal-pool"/>
              <w:spacing w:before="40" w:after="40"/>
              <w:rPr>
                <w:sz w:val="18"/>
                <w:szCs w:val="18"/>
                <w:lang w:val="en-GB"/>
              </w:rPr>
            </w:pPr>
            <w:r w:rsidRPr="00EB5EDA">
              <w:rPr>
                <w:sz w:val="18"/>
                <w:szCs w:val="18"/>
                <w:lang w:val="en-GB"/>
              </w:rPr>
              <w:t>Others</w:t>
            </w:r>
          </w:p>
        </w:tc>
      </w:tr>
      <w:tr w:rsidR="0070496D" w:rsidRPr="00EB5EDA" w14:paraId="5D51A8E3" w14:textId="77777777" w:rsidTr="00A81F6C">
        <w:trPr>
          <w:cantSplit/>
          <w:trHeight w:val="57"/>
          <w:jc w:val="right"/>
        </w:trPr>
        <w:tc>
          <w:tcPr>
            <w:tcW w:w="1476" w:type="dxa"/>
            <w:tcBorders>
              <w:top w:val="nil"/>
              <w:left w:val="nil"/>
              <w:bottom w:val="nil"/>
              <w:right w:val="nil"/>
            </w:tcBorders>
            <w:shd w:val="clear" w:color="auto" w:fill="auto"/>
            <w:noWrap/>
            <w:hideMark/>
          </w:tcPr>
          <w:p w14:paraId="7825B3B8"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8536.41.99</w:t>
            </w:r>
          </w:p>
        </w:tc>
        <w:tc>
          <w:tcPr>
            <w:tcW w:w="2210" w:type="dxa"/>
            <w:tcBorders>
              <w:top w:val="nil"/>
              <w:left w:val="nil"/>
              <w:bottom w:val="nil"/>
              <w:right w:val="nil"/>
            </w:tcBorders>
            <w:shd w:val="clear" w:color="auto" w:fill="auto"/>
            <w:noWrap/>
            <w:hideMark/>
          </w:tcPr>
          <w:p w14:paraId="596C8A63"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3405CB36" w14:textId="77777777" w:rsidR="0070496D" w:rsidRPr="00EB5EDA" w:rsidRDefault="0070496D" w:rsidP="00A81F6C">
            <w:pPr>
              <w:pStyle w:val="Normal-pool"/>
              <w:spacing w:before="40" w:after="40"/>
              <w:rPr>
                <w:sz w:val="18"/>
                <w:szCs w:val="18"/>
                <w:lang w:val="en-GB"/>
              </w:rPr>
            </w:pPr>
            <w:r w:rsidRPr="00EB5EDA">
              <w:rPr>
                <w:sz w:val="18"/>
                <w:szCs w:val="18"/>
                <w:lang w:val="en-GB"/>
              </w:rPr>
              <w:t>Other</w:t>
            </w:r>
          </w:p>
        </w:tc>
      </w:tr>
      <w:tr w:rsidR="0070496D" w:rsidRPr="00EB5EDA" w14:paraId="51AF78F3" w14:textId="77777777" w:rsidTr="00A81F6C">
        <w:trPr>
          <w:cantSplit/>
          <w:trHeight w:val="57"/>
          <w:jc w:val="right"/>
        </w:trPr>
        <w:tc>
          <w:tcPr>
            <w:tcW w:w="1476" w:type="dxa"/>
            <w:tcBorders>
              <w:top w:val="nil"/>
              <w:left w:val="nil"/>
              <w:bottom w:val="nil"/>
              <w:right w:val="nil"/>
            </w:tcBorders>
            <w:shd w:val="clear" w:color="auto" w:fill="auto"/>
            <w:noWrap/>
            <w:hideMark/>
          </w:tcPr>
          <w:p w14:paraId="20C8F73D"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58C1B2C7"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8536.41.99.10</w:t>
            </w:r>
          </w:p>
        </w:tc>
        <w:tc>
          <w:tcPr>
            <w:tcW w:w="4621" w:type="dxa"/>
            <w:tcBorders>
              <w:top w:val="nil"/>
              <w:left w:val="nil"/>
              <w:bottom w:val="nil"/>
              <w:right w:val="nil"/>
            </w:tcBorders>
            <w:shd w:val="clear" w:color="auto" w:fill="E7E6E6" w:themeFill="background2"/>
            <w:hideMark/>
          </w:tcPr>
          <w:p w14:paraId="19F47169" w14:textId="77777777" w:rsidR="0070496D" w:rsidRPr="00EB5EDA" w:rsidRDefault="0070496D" w:rsidP="00A81F6C">
            <w:pPr>
              <w:pStyle w:val="Normal-pool"/>
              <w:spacing w:before="40" w:after="40"/>
              <w:rPr>
                <w:sz w:val="18"/>
                <w:szCs w:val="18"/>
                <w:lang w:val="en-GB"/>
              </w:rPr>
            </w:pPr>
            <w:r w:rsidRPr="00EB5EDA">
              <w:rPr>
                <w:sz w:val="18"/>
                <w:szCs w:val="18"/>
                <w:lang w:val="en-GB"/>
              </w:rPr>
              <w:t>With added mercury</w:t>
            </w:r>
          </w:p>
        </w:tc>
      </w:tr>
      <w:tr w:rsidR="0070496D" w:rsidRPr="00EB5EDA" w14:paraId="7253CC6D" w14:textId="77777777" w:rsidTr="00A81F6C">
        <w:trPr>
          <w:cantSplit/>
          <w:trHeight w:val="57"/>
          <w:jc w:val="right"/>
        </w:trPr>
        <w:tc>
          <w:tcPr>
            <w:tcW w:w="1476" w:type="dxa"/>
            <w:tcBorders>
              <w:top w:val="nil"/>
              <w:left w:val="nil"/>
              <w:bottom w:val="nil"/>
              <w:right w:val="nil"/>
            </w:tcBorders>
            <w:shd w:val="clear" w:color="auto" w:fill="auto"/>
            <w:noWrap/>
            <w:hideMark/>
          </w:tcPr>
          <w:p w14:paraId="53BFD7C5"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01C58413"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8536.41.99.90</w:t>
            </w:r>
          </w:p>
        </w:tc>
        <w:tc>
          <w:tcPr>
            <w:tcW w:w="4621" w:type="dxa"/>
            <w:tcBorders>
              <w:top w:val="nil"/>
              <w:left w:val="nil"/>
              <w:bottom w:val="nil"/>
              <w:right w:val="nil"/>
            </w:tcBorders>
            <w:shd w:val="clear" w:color="auto" w:fill="E7E6E6" w:themeFill="background2"/>
            <w:hideMark/>
          </w:tcPr>
          <w:p w14:paraId="116888C6" w14:textId="77777777" w:rsidR="0070496D" w:rsidRPr="00EB5EDA" w:rsidRDefault="0070496D" w:rsidP="00A81F6C">
            <w:pPr>
              <w:pStyle w:val="Normal-pool"/>
              <w:spacing w:before="40" w:after="40"/>
              <w:rPr>
                <w:sz w:val="18"/>
                <w:szCs w:val="18"/>
                <w:lang w:val="en-GB"/>
              </w:rPr>
            </w:pPr>
            <w:r w:rsidRPr="00EB5EDA">
              <w:rPr>
                <w:sz w:val="18"/>
                <w:szCs w:val="18"/>
                <w:lang w:val="en-GB"/>
              </w:rPr>
              <w:t>Others</w:t>
            </w:r>
          </w:p>
        </w:tc>
      </w:tr>
      <w:tr w:rsidR="0070496D" w:rsidRPr="00EB5EDA" w14:paraId="3D917E94" w14:textId="77777777" w:rsidTr="00A81F6C">
        <w:trPr>
          <w:cantSplit/>
          <w:trHeight w:val="57"/>
          <w:jc w:val="right"/>
        </w:trPr>
        <w:tc>
          <w:tcPr>
            <w:tcW w:w="1476" w:type="dxa"/>
            <w:tcBorders>
              <w:top w:val="nil"/>
              <w:left w:val="nil"/>
              <w:bottom w:val="nil"/>
              <w:right w:val="nil"/>
            </w:tcBorders>
            <w:shd w:val="clear" w:color="auto" w:fill="000000" w:themeFill="text1"/>
            <w:noWrap/>
            <w:hideMark/>
          </w:tcPr>
          <w:p w14:paraId="13D660CB"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000000" w:themeFill="text1"/>
            <w:noWrap/>
            <w:hideMark/>
          </w:tcPr>
          <w:p w14:paraId="224C1481"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000000" w:themeFill="text1"/>
            <w:hideMark/>
          </w:tcPr>
          <w:p w14:paraId="5BBB5AA6" w14:textId="6527498C" w:rsidR="0070496D" w:rsidRPr="00EB5EDA" w:rsidRDefault="0070496D" w:rsidP="00A81F6C">
            <w:pPr>
              <w:pStyle w:val="Normal-pool"/>
              <w:spacing w:before="40" w:after="40"/>
              <w:rPr>
                <w:sz w:val="18"/>
                <w:szCs w:val="18"/>
                <w:lang w:val="en-GB"/>
              </w:rPr>
            </w:pPr>
            <w:r w:rsidRPr="00EB5EDA">
              <w:rPr>
                <w:sz w:val="18"/>
                <w:szCs w:val="18"/>
                <w:lang w:val="en-GB"/>
              </w:rPr>
              <w:t xml:space="preserve">Relays for a voltage greater than 60 </w:t>
            </w:r>
            <w:r w:rsidR="00741321" w:rsidRPr="00EB5EDA">
              <w:rPr>
                <w:sz w:val="18"/>
                <w:szCs w:val="18"/>
                <w:lang w:val="en-GB"/>
              </w:rPr>
              <w:t>volts</w:t>
            </w:r>
            <w:r w:rsidRPr="00EB5EDA">
              <w:rPr>
                <w:sz w:val="18"/>
                <w:szCs w:val="18"/>
                <w:lang w:val="en-GB"/>
              </w:rPr>
              <w:t xml:space="preserve"> and not exceeding 1</w:t>
            </w:r>
            <w:r w:rsidR="00741321" w:rsidRPr="00EB5EDA">
              <w:rPr>
                <w:sz w:val="18"/>
                <w:szCs w:val="18"/>
                <w:lang w:val="en-GB"/>
              </w:rPr>
              <w:t>,</w:t>
            </w:r>
            <w:r w:rsidRPr="00EB5EDA">
              <w:rPr>
                <w:sz w:val="18"/>
                <w:szCs w:val="18"/>
                <w:lang w:val="en-GB"/>
              </w:rPr>
              <w:t xml:space="preserve">000 </w:t>
            </w:r>
            <w:r w:rsidR="00741321" w:rsidRPr="00EB5EDA">
              <w:rPr>
                <w:sz w:val="18"/>
                <w:szCs w:val="18"/>
                <w:lang w:val="en-GB"/>
              </w:rPr>
              <w:t>volts</w:t>
            </w:r>
          </w:p>
        </w:tc>
      </w:tr>
      <w:tr w:rsidR="0070496D" w:rsidRPr="00EB5EDA" w14:paraId="543F70AD" w14:textId="77777777" w:rsidTr="00A81F6C">
        <w:trPr>
          <w:cantSplit/>
          <w:trHeight w:val="57"/>
          <w:jc w:val="right"/>
        </w:trPr>
        <w:tc>
          <w:tcPr>
            <w:tcW w:w="1476" w:type="dxa"/>
            <w:tcBorders>
              <w:top w:val="nil"/>
              <w:left w:val="nil"/>
              <w:bottom w:val="nil"/>
              <w:right w:val="nil"/>
            </w:tcBorders>
            <w:shd w:val="clear" w:color="auto" w:fill="auto"/>
            <w:noWrap/>
            <w:hideMark/>
          </w:tcPr>
          <w:p w14:paraId="11B1B94D"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8536.49.01</w:t>
            </w:r>
          </w:p>
        </w:tc>
        <w:tc>
          <w:tcPr>
            <w:tcW w:w="2210" w:type="dxa"/>
            <w:tcBorders>
              <w:top w:val="nil"/>
              <w:left w:val="nil"/>
              <w:bottom w:val="nil"/>
              <w:right w:val="nil"/>
            </w:tcBorders>
            <w:shd w:val="clear" w:color="auto" w:fill="auto"/>
            <w:noWrap/>
            <w:hideMark/>
          </w:tcPr>
          <w:p w14:paraId="6A1E8807"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30555234" w14:textId="77777777" w:rsidR="0070496D" w:rsidRPr="00EB5EDA" w:rsidRDefault="0070496D" w:rsidP="00A81F6C">
            <w:pPr>
              <w:pStyle w:val="Normal-pool"/>
              <w:spacing w:before="40" w:after="40"/>
              <w:rPr>
                <w:sz w:val="18"/>
                <w:szCs w:val="18"/>
                <w:lang w:val="en-GB"/>
              </w:rPr>
            </w:pPr>
            <w:r w:rsidRPr="00EB5EDA">
              <w:rPr>
                <w:sz w:val="18"/>
                <w:szCs w:val="18"/>
                <w:lang w:val="en-GB"/>
              </w:rPr>
              <w:t>For start-up functions</w:t>
            </w:r>
          </w:p>
        </w:tc>
      </w:tr>
      <w:tr w:rsidR="0070496D" w:rsidRPr="00EB5EDA" w14:paraId="56E0D1F5" w14:textId="77777777" w:rsidTr="00A81F6C">
        <w:trPr>
          <w:cantSplit/>
          <w:trHeight w:val="57"/>
          <w:jc w:val="right"/>
        </w:trPr>
        <w:tc>
          <w:tcPr>
            <w:tcW w:w="1476" w:type="dxa"/>
            <w:tcBorders>
              <w:top w:val="nil"/>
              <w:left w:val="nil"/>
              <w:bottom w:val="nil"/>
              <w:right w:val="nil"/>
            </w:tcBorders>
            <w:shd w:val="clear" w:color="auto" w:fill="auto"/>
            <w:noWrap/>
            <w:hideMark/>
          </w:tcPr>
          <w:p w14:paraId="20D28A3F"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480E4DDB"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8536.49.01.10</w:t>
            </w:r>
          </w:p>
        </w:tc>
        <w:tc>
          <w:tcPr>
            <w:tcW w:w="4621" w:type="dxa"/>
            <w:tcBorders>
              <w:top w:val="nil"/>
              <w:left w:val="nil"/>
              <w:bottom w:val="nil"/>
              <w:right w:val="nil"/>
            </w:tcBorders>
            <w:shd w:val="clear" w:color="auto" w:fill="E7E6E6" w:themeFill="background2"/>
            <w:hideMark/>
          </w:tcPr>
          <w:p w14:paraId="67CDA286" w14:textId="77777777" w:rsidR="0070496D" w:rsidRPr="00EB5EDA" w:rsidRDefault="0070496D" w:rsidP="00A81F6C">
            <w:pPr>
              <w:pStyle w:val="Normal-pool"/>
              <w:spacing w:before="40" w:after="40"/>
              <w:rPr>
                <w:sz w:val="18"/>
                <w:szCs w:val="18"/>
                <w:lang w:val="en-GB"/>
              </w:rPr>
            </w:pPr>
            <w:r w:rsidRPr="00EB5EDA">
              <w:rPr>
                <w:sz w:val="18"/>
                <w:szCs w:val="18"/>
                <w:lang w:val="en-GB"/>
              </w:rPr>
              <w:t>With added mercury</w:t>
            </w:r>
          </w:p>
        </w:tc>
      </w:tr>
      <w:tr w:rsidR="0070496D" w:rsidRPr="00EB5EDA" w14:paraId="0CCF86ED" w14:textId="77777777" w:rsidTr="00A81F6C">
        <w:trPr>
          <w:cantSplit/>
          <w:trHeight w:val="57"/>
          <w:jc w:val="right"/>
        </w:trPr>
        <w:tc>
          <w:tcPr>
            <w:tcW w:w="1476" w:type="dxa"/>
            <w:tcBorders>
              <w:top w:val="nil"/>
              <w:left w:val="nil"/>
              <w:bottom w:val="nil"/>
              <w:right w:val="nil"/>
            </w:tcBorders>
            <w:shd w:val="clear" w:color="auto" w:fill="auto"/>
            <w:noWrap/>
            <w:hideMark/>
          </w:tcPr>
          <w:p w14:paraId="09E397B2"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7B3F4C85"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8536.49.01.90</w:t>
            </w:r>
          </w:p>
        </w:tc>
        <w:tc>
          <w:tcPr>
            <w:tcW w:w="4621" w:type="dxa"/>
            <w:tcBorders>
              <w:top w:val="nil"/>
              <w:left w:val="nil"/>
              <w:bottom w:val="nil"/>
              <w:right w:val="nil"/>
            </w:tcBorders>
            <w:shd w:val="clear" w:color="auto" w:fill="E7E6E6" w:themeFill="background2"/>
            <w:hideMark/>
          </w:tcPr>
          <w:p w14:paraId="466787BF" w14:textId="77777777" w:rsidR="0070496D" w:rsidRPr="00EB5EDA" w:rsidRDefault="0070496D" w:rsidP="00A81F6C">
            <w:pPr>
              <w:pStyle w:val="Normal-pool"/>
              <w:spacing w:before="40" w:after="40"/>
              <w:rPr>
                <w:sz w:val="18"/>
                <w:szCs w:val="18"/>
                <w:lang w:val="en-GB"/>
              </w:rPr>
            </w:pPr>
            <w:r w:rsidRPr="00EB5EDA">
              <w:rPr>
                <w:sz w:val="18"/>
                <w:szCs w:val="18"/>
                <w:lang w:val="en-GB"/>
              </w:rPr>
              <w:t>Others</w:t>
            </w:r>
          </w:p>
        </w:tc>
      </w:tr>
      <w:tr w:rsidR="0070496D" w:rsidRPr="00EB5EDA" w14:paraId="16D0E156" w14:textId="77777777" w:rsidTr="00A81F6C">
        <w:trPr>
          <w:cantSplit/>
          <w:trHeight w:val="57"/>
          <w:jc w:val="right"/>
        </w:trPr>
        <w:tc>
          <w:tcPr>
            <w:tcW w:w="1476" w:type="dxa"/>
            <w:tcBorders>
              <w:top w:val="nil"/>
              <w:left w:val="nil"/>
              <w:bottom w:val="nil"/>
              <w:right w:val="nil"/>
            </w:tcBorders>
            <w:shd w:val="clear" w:color="auto" w:fill="auto"/>
            <w:noWrap/>
            <w:hideMark/>
          </w:tcPr>
          <w:p w14:paraId="1077F217"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lastRenderedPageBreak/>
              <w:t>8536.49.02</w:t>
            </w:r>
          </w:p>
        </w:tc>
        <w:tc>
          <w:tcPr>
            <w:tcW w:w="2210" w:type="dxa"/>
            <w:tcBorders>
              <w:top w:val="nil"/>
              <w:left w:val="nil"/>
              <w:bottom w:val="nil"/>
              <w:right w:val="nil"/>
            </w:tcBorders>
            <w:shd w:val="clear" w:color="auto" w:fill="auto"/>
            <w:noWrap/>
            <w:hideMark/>
          </w:tcPr>
          <w:p w14:paraId="648F147A"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60116808" w14:textId="77777777" w:rsidR="0070496D" w:rsidRPr="00EB5EDA" w:rsidRDefault="0070496D" w:rsidP="00A81F6C">
            <w:pPr>
              <w:pStyle w:val="Normal-pool"/>
              <w:spacing w:before="40" w:after="40"/>
              <w:rPr>
                <w:sz w:val="18"/>
                <w:szCs w:val="18"/>
                <w:lang w:val="en-GB"/>
              </w:rPr>
            </w:pPr>
            <w:r w:rsidRPr="00EB5EDA">
              <w:rPr>
                <w:sz w:val="18"/>
                <w:szCs w:val="18"/>
                <w:lang w:val="en-GB"/>
              </w:rPr>
              <w:t>Thermal or induction</w:t>
            </w:r>
          </w:p>
        </w:tc>
      </w:tr>
      <w:tr w:rsidR="0070496D" w:rsidRPr="00EB5EDA" w14:paraId="7F582D9F" w14:textId="77777777" w:rsidTr="00A81F6C">
        <w:trPr>
          <w:cantSplit/>
          <w:trHeight w:val="57"/>
          <w:jc w:val="right"/>
        </w:trPr>
        <w:tc>
          <w:tcPr>
            <w:tcW w:w="1476" w:type="dxa"/>
            <w:tcBorders>
              <w:top w:val="nil"/>
              <w:left w:val="nil"/>
              <w:bottom w:val="nil"/>
              <w:right w:val="nil"/>
            </w:tcBorders>
            <w:shd w:val="clear" w:color="auto" w:fill="auto"/>
            <w:noWrap/>
            <w:hideMark/>
          </w:tcPr>
          <w:p w14:paraId="66615F54"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40931778"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8536.49.02.10</w:t>
            </w:r>
          </w:p>
        </w:tc>
        <w:tc>
          <w:tcPr>
            <w:tcW w:w="4621" w:type="dxa"/>
            <w:tcBorders>
              <w:top w:val="nil"/>
              <w:left w:val="nil"/>
              <w:bottom w:val="nil"/>
              <w:right w:val="nil"/>
            </w:tcBorders>
            <w:shd w:val="clear" w:color="auto" w:fill="E7E6E6" w:themeFill="background2"/>
            <w:hideMark/>
          </w:tcPr>
          <w:p w14:paraId="65F83D65" w14:textId="77777777" w:rsidR="0070496D" w:rsidRPr="00EB5EDA" w:rsidRDefault="0070496D" w:rsidP="00A81F6C">
            <w:pPr>
              <w:pStyle w:val="Normal-pool"/>
              <w:spacing w:before="40" w:after="40"/>
              <w:rPr>
                <w:sz w:val="18"/>
                <w:szCs w:val="18"/>
                <w:lang w:val="en-GB"/>
              </w:rPr>
            </w:pPr>
            <w:r w:rsidRPr="00EB5EDA">
              <w:rPr>
                <w:sz w:val="18"/>
                <w:szCs w:val="18"/>
                <w:lang w:val="en-GB"/>
              </w:rPr>
              <w:t>With added mercury</w:t>
            </w:r>
          </w:p>
        </w:tc>
      </w:tr>
      <w:tr w:rsidR="0070496D" w:rsidRPr="00EB5EDA" w14:paraId="6BCF3A3B" w14:textId="77777777" w:rsidTr="00A81F6C">
        <w:trPr>
          <w:cantSplit/>
          <w:trHeight w:val="57"/>
          <w:jc w:val="right"/>
        </w:trPr>
        <w:tc>
          <w:tcPr>
            <w:tcW w:w="1476" w:type="dxa"/>
            <w:tcBorders>
              <w:top w:val="nil"/>
              <w:left w:val="nil"/>
              <w:bottom w:val="nil"/>
              <w:right w:val="nil"/>
            </w:tcBorders>
            <w:shd w:val="clear" w:color="auto" w:fill="auto"/>
            <w:noWrap/>
            <w:hideMark/>
          </w:tcPr>
          <w:p w14:paraId="74DB161C"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13EC1900"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8536.49.02.90</w:t>
            </w:r>
          </w:p>
        </w:tc>
        <w:tc>
          <w:tcPr>
            <w:tcW w:w="4621" w:type="dxa"/>
            <w:tcBorders>
              <w:top w:val="nil"/>
              <w:left w:val="nil"/>
              <w:bottom w:val="nil"/>
              <w:right w:val="nil"/>
            </w:tcBorders>
            <w:shd w:val="clear" w:color="auto" w:fill="E7E6E6" w:themeFill="background2"/>
            <w:hideMark/>
          </w:tcPr>
          <w:p w14:paraId="6387CCF8" w14:textId="77777777" w:rsidR="0070496D" w:rsidRPr="00EB5EDA" w:rsidRDefault="0070496D" w:rsidP="00A81F6C">
            <w:pPr>
              <w:pStyle w:val="Normal-pool"/>
              <w:spacing w:before="40" w:after="40"/>
              <w:rPr>
                <w:sz w:val="18"/>
                <w:szCs w:val="18"/>
                <w:lang w:val="en-GB"/>
              </w:rPr>
            </w:pPr>
            <w:r w:rsidRPr="00EB5EDA">
              <w:rPr>
                <w:sz w:val="18"/>
                <w:szCs w:val="18"/>
                <w:lang w:val="en-GB"/>
              </w:rPr>
              <w:t>Others</w:t>
            </w:r>
          </w:p>
        </w:tc>
      </w:tr>
      <w:tr w:rsidR="0070496D" w:rsidRPr="00EB5EDA" w14:paraId="5C743E3A" w14:textId="77777777" w:rsidTr="00A81F6C">
        <w:trPr>
          <w:cantSplit/>
          <w:trHeight w:val="57"/>
          <w:jc w:val="right"/>
        </w:trPr>
        <w:tc>
          <w:tcPr>
            <w:tcW w:w="1476" w:type="dxa"/>
            <w:tcBorders>
              <w:top w:val="nil"/>
              <w:left w:val="nil"/>
              <w:bottom w:val="nil"/>
              <w:right w:val="nil"/>
            </w:tcBorders>
            <w:shd w:val="clear" w:color="auto" w:fill="auto"/>
            <w:noWrap/>
            <w:hideMark/>
          </w:tcPr>
          <w:p w14:paraId="07F9D81B"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8536.49.03</w:t>
            </w:r>
          </w:p>
        </w:tc>
        <w:tc>
          <w:tcPr>
            <w:tcW w:w="2210" w:type="dxa"/>
            <w:tcBorders>
              <w:top w:val="nil"/>
              <w:left w:val="nil"/>
              <w:bottom w:val="nil"/>
              <w:right w:val="nil"/>
            </w:tcBorders>
            <w:shd w:val="clear" w:color="auto" w:fill="auto"/>
            <w:noWrap/>
            <w:hideMark/>
          </w:tcPr>
          <w:p w14:paraId="16E4423A"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4DCD6A4F" w14:textId="2F3D5F4E" w:rsidR="0070496D" w:rsidRPr="00EB5EDA" w:rsidRDefault="0070496D" w:rsidP="00A81F6C">
            <w:pPr>
              <w:pStyle w:val="Normal-pool"/>
              <w:spacing w:before="40" w:after="40"/>
              <w:rPr>
                <w:sz w:val="18"/>
                <w:szCs w:val="18"/>
                <w:lang w:val="en-GB"/>
              </w:rPr>
            </w:pPr>
            <w:r w:rsidRPr="00EB5EDA">
              <w:rPr>
                <w:sz w:val="18"/>
                <w:szCs w:val="18"/>
                <w:lang w:val="en-GB"/>
              </w:rPr>
              <w:t>Electromagnetic secondaries, powered exclusively through current and / or voltage transformers</w:t>
            </w:r>
          </w:p>
        </w:tc>
      </w:tr>
      <w:tr w:rsidR="0070496D" w:rsidRPr="00EB5EDA" w14:paraId="6BCD34CB" w14:textId="77777777" w:rsidTr="00A81F6C">
        <w:trPr>
          <w:cantSplit/>
          <w:trHeight w:val="57"/>
          <w:jc w:val="right"/>
        </w:trPr>
        <w:tc>
          <w:tcPr>
            <w:tcW w:w="1476" w:type="dxa"/>
            <w:tcBorders>
              <w:top w:val="nil"/>
              <w:left w:val="nil"/>
              <w:bottom w:val="nil"/>
              <w:right w:val="nil"/>
            </w:tcBorders>
            <w:shd w:val="clear" w:color="auto" w:fill="auto"/>
            <w:noWrap/>
            <w:hideMark/>
          </w:tcPr>
          <w:p w14:paraId="728415A1"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503EA42B"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8536.49.03.10</w:t>
            </w:r>
          </w:p>
        </w:tc>
        <w:tc>
          <w:tcPr>
            <w:tcW w:w="4621" w:type="dxa"/>
            <w:tcBorders>
              <w:top w:val="nil"/>
              <w:left w:val="nil"/>
              <w:bottom w:val="nil"/>
              <w:right w:val="nil"/>
            </w:tcBorders>
            <w:shd w:val="clear" w:color="auto" w:fill="E7E6E6" w:themeFill="background2"/>
            <w:hideMark/>
          </w:tcPr>
          <w:p w14:paraId="0E2CE801" w14:textId="77777777" w:rsidR="0070496D" w:rsidRPr="00EB5EDA" w:rsidRDefault="0070496D" w:rsidP="00A81F6C">
            <w:pPr>
              <w:pStyle w:val="Normal-pool"/>
              <w:spacing w:before="40" w:after="40"/>
              <w:rPr>
                <w:sz w:val="18"/>
                <w:szCs w:val="18"/>
                <w:lang w:val="en-GB"/>
              </w:rPr>
            </w:pPr>
            <w:r w:rsidRPr="00EB5EDA">
              <w:rPr>
                <w:sz w:val="18"/>
                <w:szCs w:val="18"/>
                <w:lang w:val="en-GB"/>
              </w:rPr>
              <w:t>With added mercury</w:t>
            </w:r>
          </w:p>
        </w:tc>
      </w:tr>
      <w:tr w:rsidR="0070496D" w:rsidRPr="00EB5EDA" w14:paraId="7505B278" w14:textId="77777777" w:rsidTr="00A81F6C">
        <w:trPr>
          <w:cantSplit/>
          <w:trHeight w:val="57"/>
          <w:jc w:val="right"/>
        </w:trPr>
        <w:tc>
          <w:tcPr>
            <w:tcW w:w="1476" w:type="dxa"/>
            <w:tcBorders>
              <w:top w:val="nil"/>
              <w:left w:val="nil"/>
              <w:bottom w:val="nil"/>
              <w:right w:val="nil"/>
            </w:tcBorders>
            <w:shd w:val="clear" w:color="auto" w:fill="auto"/>
            <w:noWrap/>
            <w:hideMark/>
          </w:tcPr>
          <w:p w14:paraId="3A6F460F"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59DF8018"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8536.49.03.90</w:t>
            </w:r>
          </w:p>
        </w:tc>
        <w:tc>
          <w:tcPr>
            <w:tcW w:w="4621" w:type="dxa"/>
            <w:tcBorders>
              <w:top w:val="nil"/>
              <w:left w:val="nil"/>
              <w:bottom w:val="nil"/>
              <w:right w:val="nil"/>
            </w:tcBorders>
            <w:shd w:val="clear" w:color="auto" w:fill="E7E6E6" w:themeFill="background2"/>
            <w:hideMark/>
          </w:tcPr>
          <w:p w14:paraId="6E41FFF8" w14:textId="77777777" w:rsidR="0070496D" w:rsidRPr="00EB5EDA" w:rsidRDefault="0070496D" w:rsidP="00A81F6C">
            <w:pPr>
              <w:pStyle w:val="Normal-pool"/>
              <w:spacing w:before="40" w:after="40"/>
              <w:rPr>
                <w:sz w:val="18"/>
                <w:szCs w:val="18"/>
                <w:lang w:val="en-GB"/>
              </w:rPr>
            </w:pPr>
            <w:r w:rsidRPr="00EB5EDA">
              <w:rPr>
                <w:sz w:val="18"/>
                <w:szCs w:val="18"/>
                <w:lang w:val="en-GB"/>
              </w:rPr>
              <w:t>Others</w:t>
            </w:r>
          </w:p>
        </w:tc>
      </w:tr>
      <w:tr w:rsidR="0070496D" w:rsidRPr="00EB5EDA" w14:paraId="1BD2E9B0" w14:textId="77777777" w:rsidTr="00A81F6C">
        <w:trPr>
          <w:cantSplit/>
          <w:trHeight w:val="57"/>
          <w:jc w:val="right"/>
        </w:trPr>
        <w:tc>
          <w:tcPr>
            <w:tcW w:w="1476" w:type="dxa"/>
            <w:tcBorders>
              <w:top w:val="nil"/>
              <w:left w:val="nil"/>
              <w:bottom w:val="nil"/>
              <w:right w:val="nil"/>
            </w:tcBorders>
            <w:shd w:val="clear" w:color="auto" w:fill="auto"/>
            <w:noWrap/>
            <w:hideMark/>
          </w:tcPr>
          <w:p w14:paraId="769C9CA7"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8536.49.04</w:t>
            </w:r>
          </w:p>
        </w:tc>
        <w:tc>
          <w:tcPr>
            <w:tcW w:w="2210" w:type="dxa"/>
            <w:tcBorders>
              <w:top w:val="nil"/>
              <w:left w:val="nil"/>
              <w:bottom w:val="nil"/>
              <w:right w:val="nil"/>
            </w:tcBorders>
            <w:shd w:val="clear" w:color="auto" w:fill="auto"/>
            <w:noWrap/>
            <w:hideMark/>
          </w:tcPr>
          <w:p w14:paraId="7132A4A2"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3EE2BF55" w14:textId="77777777" w:rsidR="0070496D" w:rsidRPr="00EB5EDA" w:rsidRDefault="0070496D" w:rsidP="00A81F6C">
            <w:pPr>
              <w:pStyle w:val="Normal-pool"/>
              <w:spacing w:before="40" w:after="40"/>
              <w:rPr>
                <w:sz w:val="18"/>
                <w:szCs w:val="18"/>
                <w:lang w:val="en-GB"/>
              </w:rPr>
            </w:pPr>
            <w:r w:rsidRPr="00EB5EDA">
              <w:rPr>
                <w:sz w:val="18"/>
                <w:szCs w:val="18"/>
                <w:lang w:val="en-GB"/>
              </w:rPr>
              <w:t>Automatic differential, up to 60 amps with differential protection up to 300 milliamps</w:t>
            </w:r>
          </w:p>
        </w:tc>
      </w:tr>
      <w:tr w:rsidR="0070496D" w:rsidRPr="00EB5EDA" w14:paraId="02972CF5" w14:textId="77777777" w:rsidTr="00A81F6C">
        <w:trPr>
          <w:cantSplit/>
          <w:trHeight w:val="57"/>
          <w:jc w:val="right"/>
        </w:trPr>
        <w:tc>
          <w:tcPr>
            <w:tcW w:w="1476" w:type="dxa"/>
            <w:tcBorders>
              <w:top w:val="nil"/>
              <w:left w:val="nil"/>
              <w:bottom w:val="nil"/>
              <w:right w:val="nil"/>
            </w:tcBorders>
            <w:shd w:val="clear" w:color="auto" w:fill="auto"/>
            <w:noWrap/>
            <w:hideMark/>
          </w:tcPr>
          <w:p w14:paraId="055BB532"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2A42F1BE"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8536.49.04.10</w:t>
            </w:r>
          </w:p>
        </w:tc>
        <w:tc>
          <w:tcPr>
            <w:tcW w:w="4621" w:type="dxa"/>
            <w:tcBorders>
              <w:top w:val="nil"/>
              <w:left w:val="nil"/>
              <w:bottom w:val="nil"/>
              <w:right w:val="nil"/>
            </w:tcBorders>
            <w:shd w:val="clear" w:color="auto" w:fill="E7E6E6" w:themeFill="background2"/>
            <w:hideMark/>
          </w:tcPr>
          <w:p w14:paraId="6540D0CD" w14:textId="77777777" w:rsidR="0070496D" w:rsidRPr="00EB5EDA" w:rsidRDefault="0070496D" w:rsidP="00A81F6C">
            <w:pPr>
              <w:pStyle w:val="Normal-pool"/>
              <w:spacing w:before="40" w:after="40"/>
              <w:rPr>
                <w:sz w:val="18"/>
                <w:szCs w:val="18"/>
                <w:lang w:val="en-GB"/>
              </w:rPr>
            </w:pPr>
            <w:r w:rsidRPr="00EB5EDA">
              <w:rPr>
                <w:sz w:val="18"/>
                <w:szCs w:val="18"/>
                <w:lang w:val="en-GB"/>
              </w:rPr>
              <w:t>With added mercury</w:t>
            </w:r>
          </w:p>
        </w:tc>
      </w:tr>
      <w:tr w:rsidR="0070496D" w:rsidRPr="00EB5EDA" w14:paraId="2F2F70B5" w14:textId="77777777" w:rsidTr="00A81F6C">
        <w:trPr>
          <w:cantSplit/>
          <w:trHeight w:val="57"/>
          <w:jc w:val="right"/>
        </w:trPr>
        <w:tc>
          <w:tcPr>
            <w:tcW w:w="1476" w:type="dxa"/>
            <w:tcBorders>
              <w:top w:val="nil"/>
              <w:left w:val="nil"/>
              <w:bottom w:val="nil"/>
              <w:right w:val="nil"/>
            </w:tcBorders>
            <w:shd w:val="clear" w:color="auto" w:fill="auto"/>
            <w:noWrap/>
            <w:hideMark/>
          </w:tcPr>
          <w:p w14:paraId="7CA4565E"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47924A2A"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8536.49.04.90</w:t>
            </w:r>
          </w:p>
        </w:tc>
        <w:tc>
          <w:tcPr>
            <w:tcW w:w="4621" w:type="dxa"/>
            <w:tcBorders>
              <w:top w:val="nil"/>
              <w:left w:val="nil"/>
              <w:bottom w:val="nil"/>
              <w:right w:val="nil"/>
            </w:tcBorders>
            <w:shd w:val="clear" w:color="auto" w:fill="E7E6E6" w:themeFill="background2"/>
            <w:hideMark/>
          </w:tcPr>
          <w:p w14:paraId="5233FAF5" w14:textId="77777777" w:rsidR="0070496D" w:rsidRPr="00EB5EDA" w:rsidRDefault="0070496D" w:rsidP="00A81F6C">
            <w:pPr>
              <w:pStyle w:val="Normal-pool"/>
              <w:spacing w:before="40" w:after="40"/>
              <w:rPr>
                <w:sz w:val="18"/>
                <w:szCs w:val="18"/>
                <w:lang w:val="en-GB"/>
              </w:rPr>
            </w:pPr>
            <w:r w:rsidRPr="00EB5EDA">
              <w:rPr>
                <w:sz w:val="18"/>
                <w:szCs w:val="18"/>
                <w:lang w:val="en-GB"/>
              </w:rPr>
              <w:t>Others</w:t>
            </w:r>
          </w:p>
        </w:tc>
      </w:tr>
      <w:tr w:rsidR="0070496D" w:rsidRPr="00EB5EDA" w14:paraId="08048C4F" w14:textId="77777777" w:rsidTr="00A81F6C">
        <w:trPr>
          <w:cantSplit/>
          <w:trHeight w:val="57"/>
          <w:jc w:val="right"/>
        </w:trPr>
        <w:tc>
          <w:tcPr>
            <w:tcW w:w="1476" w:type="dxa"/>
            <w:tcBorders>
              <w:top w:val="nil"/>
              <w:left w:val="nil"/>
              <w:bottom w:val="nil"/>
              <w:right w:val="nil"/>
            </w:tcBorders>
            <w:shd w:val="clear" w:color="auto" w:fill="auto"/>
            <w:noWrap/>
            <w:hideMark/>
          </w:tcPr>
          <w:p w14:paraId="4A039237"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8536.49.05</w:t>
            </w:r>
          </w:p>
        </w:tc>
        <w:tc>
          <w:tcPr>
            <w:tcW w:w="2210" w:type="dxa"/>
            <w:tcBorders>
              <w:top w:val="nil"/>
              <w:left w:val="nil"/>
              <w:bottom w:val="nil"/>
              <w:right w:val="nil"/>
            </w:tcBorders>
            <w:shd w:val="clear" w:color="auto" w:fill="auto"/>
            <w:noWrap/>
            <w:hideMark/>
          </w:tcPr>
          <w:p w14:paraId="060D263E"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4180DF55" w14:textId="607E1185" w:rsidR="0070496D" w:rsidRPr="00EB5EDA" w:rsidRDefault="0070496D" w:rsidP="00A81F6C">
            <w:pPr>
              <w:pStyle w:val="Normal-pool"/>
              <w:spacing w:before="40" w:after="40"/>
              <w:rPr>
                <w:sz w:val="18"/>
                <w:szCs w:val="18"/>
                <w:lang w:val="en-GB"/>
              </w:rPr>
            </w:pPr>
            <w:r w:rsidRPr="00EB5EDA">
              <w:rPr>
                <w:sz w:val="18"/>
                <w:szCs w:val="18"/>
                <w:lang w:val="en-GB"/>
              </w:rPr>
              <w:t>Multi-contact block auxiliary relays, manual or electrical reset, rated less than or equal to 60 amps and 480</w:t>
            </w:r>
            <w:r w:rsidR="00741321" w:rsidRPr="00EB5EDA">
              <w:rPr>
                <w:sz w:val="18"/>
                <w:szCs w:val="18"/>
                <w:lang w:val="en-GB"/>
              </w:rPr>
              <w:t xml:space="preserve"> volts</w:t>
            </w:r>
            <w:r w:rsidRPr="00EB5EDA">
              <w:rPr>
                <w:sz w:val="18"/>
                <w:szCs w:val="18"/>
                <w:lang w:val="en-GB"/>
              </w:rPr>
              <w:t xml:space="preserve"> maximum voltage</w:t>
            </w:r>
          </w:p>
        </w:tc>
      </w:tr>
      <w:tr w:rsidR="0070496D" w:rsidRPr="00EB5EDA" w14:paraId="36783EDE" w14:textId="77777777" w:rsidTr="00A81F6C">
        <w:trPr>
          <w:cantSplit/>
          <w:trHeight w:val="57"/>
          <w:jc w:val="right"/>
        </w:trPr>
        <w:tc>
          <w:tcPr>
            <w:tcW w:w="1476" w:type="dxa"/>
            <w:tcBorders>
              <w:top w:val="nil"/>
              <w:left w:val="nil"/>
              <w:bottom w:val="nil"/>
              <w:right w:val="nil"/>
            </w:tcBorders>
            <w:shd w:val="clear" w:color="auto" w:fill="auto"/>
            <w:noWrap/>
            <w:hideMark/>
          </w:tcPr>
          <w:p w14:paraId="318770AB"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33FA0BEA"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8536.49.05.10</w:t>
            </w:r>
          </w:p>
        </w:tc>
        <w:tc>
          <w:tcPr>
            <w:tcW w:w="4621" w:type="dxa"/>
            <w:tcBorders>
              <w:top w:val="nil"/>
              <w:left w:val="nil"/>
              <w:bottom w:val="nil"/>
              <w:right w:val="nil"/>
            </w:tcBorders>
            <w:shd w:val="clear" w:color="auto" w:fill="E7E6E6" w:themeFill="background2"/>
            <w:hideMark/>
          </w:tcPr>
          <w:p w14:paraId="1AA7E7E7" w14:textId="77777777" w:rsidR="0070496D" w:rsidRPr="00EB5EDA" w:rsidRDefault="0070496D" w:rsidP="00A81F6C">
            <w:pPr>
              <w:pStyle w:val="Normal-pool"/>
              <w:spacing w:before="40" w:after="40"/>
              <w:rPr>
                <w:sz w:val="18"/>
                <w:szCs w:val="18"/>
                <w:lang w:val="en-GB"/>
              </w:rPr>
            </w:pPr>
            <w:r w:rsidRPr="00EB5EDA">
              <w:rPr>
                <w:sz w:val="18"/>
                <w:szCs w:val="18"/>
                <w:lang w:val="en-GB"/>
              </w:rPr>
              <w:t>With added mercury</w:t>
            </w:r>
          </w:p>
        </w:tc>
      </w:tr>
      <w:tr w:rsidR="0070496D" w:rsidRPr="00EB5EDA" w14:paraId="0AA60356" w14:textId="77777777" w:rsidTr="00A81F6C">
        <w:trPr>
          <w:cantSplit/>
          <w:trHeight w:val="57"/>
          <w:jc w:val="right"/>
        </w:trPr>
        <w:tc>
          <w:tcPr>
            <w:tcW w:w="1476" w:type="dxa"/>
            <w:tcBorders>
              <w:top w:val="nil"/>
              <w:left w:val="nil"/>
              <w:bottom w:val="nil"/>
              <w:right w:val="nil"/>
            </w:tcBorders>
            <w:shd w:val="clear" w:color="auto" w:fill="auto"/>
            <w:noWrap/>
            <w:hideMark/>
          </w:tcPr>
          <w:p w14:paraId="3E109C19"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1E412F92"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8536.49.05.90</w:t>
            </w:r>
          </w:p>
        </w:tc>
        <w:tc>
          <w:tcPr>
            <w:tcW w:w="4621" w:type="dxa"/>
            <w:tcBorders>
              <w:top w:val="nil"/>
              <w:left w:val="nil"/>
              <w:bottom w:val="nil"/>
              <w:right w:val="nil"/>
            </w:tcBorders>
            <w:shd w:val="clear" w:color="auto" w:fill="E7E6E6" w:themeFill="background2"/>
            <w:hideMark/>
          </w:tcPr>
          <w:p w14:paraId="45CAA844" w14:textId="77777777" w:rsidR="0070496D" w:rsidRPr="00EB5EDA" w:rsidRDefault="0070496D" w:rsidP="00A81F6C">
            <w:pPr>
              <w:pStyle w:val="Normal-pool"/>
              <w:spacing w:before="40" w:after="40"/>
              <w:rPr>
                <w:sz w:val="18"/>
                <w:szCs w:val="18"/>
                <w:lang w:val="en-GB"/>
              </w:rPr>
            </w:pPr>
            <w:r w:rsidRPr="00EB5EDA">
              <w:rPr>
                <w:sz w:val="18"/>
                <w:szCs w:val="18"/>
                <w:lang w:val="en-GB"/>
              </w:rPr>
              <w:t>Others</w:t>
            </w:r>
          </w:p>
        </w:tc>
      </w:tr>
      <w:tr w:rsidR="0070496D" w:rsidRPr="00EB5EDA" w14:paraId="00B49747" w14:textId="77777777" w:rsidTr="00A81F6C">
        <w:trPr>
          <w:cantSplit/>
          <w:trHeight w:val="57"/>
          <w:jc w:val="right"/>
        </w:trPr>
        <w:tc>
          <w:tcPr>
            <w:tcW w:w="1476" w:type="dxa"/>
            <w:tcBorders>
              <w:top w:val="nil"/>
              <w:left w:val="nil"/>
              <w:bottom w:val="nil"/>
              <w:right w:val="nil"/>
            </w:tcBorders>
            <w:shd w:val="clear" w:color="auto" w:fill="auto"/>
            <w:noWrap/>
            <w:hideMark/>
          </w:tcPr>
          <w:p w14:paraId="1DDAAA6C"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8536.49.99</w:t>
            </w:r>
          </w:p>
        </w:tc>
        <w:tc>
          <w:tcPr>
            <w:tcW w:w="2210" w:type="dxa"/>
            <w:tcBorders>
              <w:top w:val="nil"/>
              <w:left w:val="nil"/>
              <w:bottom w:val="nil"/>
              <w:right w:val="nil"/>
            </w:tcBorders>
            <w:shd w:val="clear" w:color="auto" w:fill="auto"/>
            <w:noWrap/>
            <w:hideMark/>
          </w:tcPr>
          <w:p w14:paraId="68C8C334"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78F59726" w14:textId="77777777" w:rsidR="0070496D" w:rsidRPr="00EB5EDA" w:rsidRDefault="0070496D" w:rsidP="00A81F6C">
            <w:pPr>
              <w:pStyle w:val="Normal-pool"/>
              <w:spacing w:before="40" w:after="40"/>
              <w:rPr>
                <w:sz w:val="18"/>
                <w:szCs w:val="18"/>
                <w:lang w:val="en-GB"/>
              </w:rPr>
            </w:pPr>
            <w:r w:rsidRPr="00EB5EDA">
              <w:rPr>
                <w:sz w:val="18"/>
                <w:szCs w:val="18"/>
                <w:lang w:val="en-GB"/>
              </w:rPr>
              <w:t>Other</w:t>
            </w:r>
          </w:p>
        </w:tc>
      </w:tr>
      <w:tr w:rsidR="0070496D" w:rsidRPr="00EB5EDA" w14:paraId="3783B925" w14:textId="77777777" w:rsidTr="00A81F6C">
        <w:trPr>
          <w:cantSplit/>
          <w:trHeight w:val="57"/>
          <w:jc w:val="right"/>
        </w:trPr>
        <w:tc>
          <w:tcPr>
            <w:tcW w:w="1476" w:type="dxa"/>
            <w:tcBorders>
              <w:top w:val="nil"/>
              <w:left w:val="nil"/>
              <w:bottom w:val="nil"/>
              <w:right w:val="nil"/>
            </w:tcBorders>
            <w:shd w:val="clear" w:color="auto" w:fill="auto"/>
            <w:noWrap/>
            <w:hideMark/>
          </w:tcPr>
          <w:p w14:paraId="2B1C25AF"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71DE6877"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8536.49.99.10</w:t>
            </w:r>
          </w:p>
        </w:tc>
        <w:tc>
          <w:tcPr>
            <w:tcW w:w="4621" w:type="dxa"/>
            <w:tcBorders>
              <w:top w:val="nil"/>
              <w:left w:val="nil"/>
              <w:bottom w:val="nil"/>
              <w:right w:val="nil"/>
            </w:tcBorders>
            <w:shd w:val="clear" w:color="auto" w:fill="E7E6E6" w:themeFill="background2"/>
            <w:hideMark/>
          </w:tcPr>
          <w:p w14:paraId="7C5A83EB" w14:textId="77777777" w:rsidR="0070496D" w:rsidRPr="00EB5EDA" w:rsidRDefault="0070496D" w:rsidP="00A81F6C">
            <w:pPr>
              <w:pStyle w:val="Normal-pool"/>
              <w:spacing w:before="40" w:after="40"/>
              <w:rPr>
                <w:sz w:val="18"/>
                <w:szCs w:val="18"/>
                <w:lang w:val="en-GB"/>
              </w:rPr>
            </w:pPr>
            <w:r w:rsidRPr="00EB5EDA">
              <w:rPr>
                <w:sz w:val="18"/>
                <w:szCs w:val="18"/>
                <w:lang w:val="en-GB"/>
              </w:rPr>
              <w:t>With added mercury</w:t>
            </w:r>
          </w:p>
        </w:tc>
      </w:tr>
      <w:tr w:rsidR="0070496D" w:rsidRPr="00EB5EDA" w14:paraId="7A88CE60" w14:textId="77777777" w:rsidTr="00A81F6C">
        <w:trPr>
          <w:cantSplit/>
          <w:trHeight w:val="57"/>
          <w:jc w:val="right"/>
        </w:trPr>
        <w:tc>
          <w:tcPr>
            <w:tcW w:w="1476" w:type="dxa"/>
            <w:tcBorders>
              <w:top w:val="nil"/>
              <w:left w:val="nil"/>
              <w:bottom w:val="nil"/>
              <w:right w:val="nil"/>
            </w:tcBorders>
            <w:shd w:val="clear" w:color="auto" w:fill="auto"/>
            <w:noWrap/>
            <w:hideMark/>
          </w:tcPr>
          <w:p w14:paraId="53629423"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07D9D870"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8536.49.99.90</w:t>
            </w:r>
          </w:p>
        </w:tc>
        <w:tc>
          <w:tcPr>
            <w:tcW w:w="4621" w:type="dxa"/>
            <w:tcBorders>
              <w:top w:val="nil"/>
              <w:left w:val="nil"/>
              <w:bottom w:val="nil"/>
              <w:right w:val="nil"/>
            </w:tcBorders>
            <w:shd w:val="clear" w:color="auto" w:fill="E7E6E6" w:themeFill="background2"/>
            <w:hideMark/>
          </w:tcPr>
          <w:p w14:paraId="4B50EC5F" w14:textId="77777777" w:rsidR="0070496D" w:rsidRPr="00EB5EDA" w:rsidRDefault="0070496D" w:rsidP="00A81F6C">
            <w:pPr>
              <w:pStyle w:val="Normal-pool"/>
              <w:spacing w:before="40" w:after="40"/>
              <w:rPr>
                <w:sz w:val="18"/>
                <w:szCs w:val="18"/>
                <w:lang w:val="en-GB"/>
              </w:rPr>
            </w:pPr>
            <w:r w:rsidRPr="00EB5EDA">
              <w:rPr>
                <w:sz w:val="18"/>
                <w:szCs w:val="18"/>
                <w:lang w:val="en-GB"/>
              </w:rPr>
              <w:t>Others</w:t>
            </w:r>
          </w:p>
        </w:tc>
      </w:tr>
      <w:tr w:rsidR="0070496D" w:rsidRPr="00EB5EDA" w14:paraId="2DE6F375" w14:textId="77777777" w:rsidTr="00A81F6C">
        <w:trPr>
          <w:cantSplit/>
          <w:trHeight w:val="57"/>
          <w:jc w:val="right"/>
        </w:trPr>
        <w:tc>
          <w:tcPr>
            <w:tcW w:w="1476" w:type="dxa"/>
            <w:tcBorders>
              <w:top w:val="nil"/>
              <w:left w:val="nil"/>
              <w:bottom w:val="nil"/>
              <w:right w:val="nil"/>
            </w:tcBorders>
            <w:shd w:val="clear" w:color="auto" w:fill="000000" w:themeFill="text1"/>
            <w:noWrap/>
            <w:hideMark/>
          </w:tcPr>
          <w:p w14:paraId="6D623F38"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000000" w:themeFill="text1"/>
            <w:noWrap/>
            <w:hideMark/>
          </w:tcPr>
          <w:p w14:paraId="6D203B68"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000000" w:themeFill="text1"/>
            <w:hideMark/>
          </w:tcPr>
          <w:p w14:paraId="0893EC90" w14:textId="5F730184" w:rsidR="0070496D" w:rsidRPr="00EB5EDA" w:rsidRDefault="0070496D" w:rsidP="00A81F6C">
            <w:pPr>
              <w:pStyle w:val="Normal-pool"/>
              <w:spacing w:before="40" w:after="40"/>
              <w:rPr>
                <w:sz w:val="18"/>
                <w:szCs w:val="18"/>
                <w:lang w:val="en-GB"/>
              </w:rPr>
            </w:pPr>
            <w:r w:rsidRPr="00EB5EDA">
              <w:rPr>
                <w:sz w:val="18"/>
                <w:szCs w:val="18"/>
                <w:lang w:val="en-GB"/>
              </w:rPr>
              <w:t xml:space="preserve">Switches, for a voltage not exceeding 1,000 </w:t>
            </w:r>
            <w:r w:rsidR="00741321" w:rsidRPr="00EB5EDA">
              <w:rPr>
                <w:sz w:val="18"/>
                <w:szCs w:val="18"/>
                <w:lang w:val="en-GB"/>
              </w:rPr>
              <w:t>volts</w:t>
            </w:r>
          </w:p>
        </w:tc>
      </w:tr>
      <w:tr w:rsidR="0070496D" w:rsidRPr="00EB5EDA" w14:paraId="35BD462C" w14:textId="77777777" w:rsidTr="00A81F6C">
        <w:trPr>
          <w:cantSplit/>
          <w:trHeight w:val="57"/>
          <w:jc w:val="right"/>
        </w:trPr>
        <w:tc>
          <w:tcPr>
            <w:tcW w:w="1476" w:type="dxa"/>
            <w:tcBorders>
              <w:top w:val="nil"/>
              <w:left w:val="nil"/>
              <w:bottom w:val="nil"/>
              <w:right w:val="nil"/>
            </w:tcBorders>
            <w:shd w:val="clear" w:color="auto" w:fill="auto"/>
            <w:noWrap/>
            <w:hideMark/>
          </w:tcPr>
          <w:p w14:paraId="10168A40"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8536.50.01</w:t>
            </w:r>
          </w:p>
        </w:tc>
        <w:tc>
          <w:tcPr>
            <w:tcW w:w="2210" w:type="dxa"/>
            <w:tcBorders>
              <w:top w:val="nil"/>
              <w:left w:val="nil"/>
              <w:bottom w:val="nil"/>
              <w:right w:val="nil"/>
            </w:tcBorders>
            <w:shd w:val="clear" w:color="auto" w:fill="auto"/>
            <w:noWrap/>
            <w:hideMark/>
          </w:tcPr>
          <w:p w14:paraId="4BC27C4F"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7F27D257" w14:textId="32882A7C" w:rsidR="0070496D" w:rsidRPr="00EB5EDA" w:rsidRDefault="0070496D" w:rsidP="00A81F6C">
            <w:pPr>
              <w:pStyle w:val="Normal-pool"/>
              <w:spacing w:before="40" w:after="40"/>
              <w:rPr>
                <w:sz w:val="18"/>
                <w:szCs w:val="18"/>
                <w:lang w:val="en-GB"/>
              </w:rPr>
            </w:pPr>
            <w:r w:rsidRPr="00EB5EDA">
              <w:rPr>
                <w:sz w:val="18"/>
                <w:szCs w:val="18"/>
                <w:lang w:val="en-GB"/>
              </w:rPr>
              <w:t>Switches other than those included in subheadings 8536.50.05,</w:t>
            </w:r>
            <w:r w:rsidR="00E3066B" w:rsidRPr="00EB5EDA">
              <w:rPr>
                <w:sz w:val="18"/>
                <w:szCs w:val="18"/>
                <w:lang w:val="en-GB"/>
              </w:rPr>
              <w:t xml:space="preserve"> </w:t>
            </w:r>
            <w:r w:rsidRPr="00EB5EDA">
              <w:rPr>
                <w:sz w:val="18"/>
                <w:szCs w:val="18"/>
                <w:lang w:val="en-GB"/>
              </w:rPr>
              <w:t>8536.50.06, 8536.50.07, 8536.50.10, 8536.50.11 and 8536.50.15</w:t>
            </w:r>
          </w:p>
        </w:tc>
      </w:tr>
      <w:tr w:rsidR="0070496D" w:rsidRPr="00EB5EDA" w14:paraId="42F136D1" w14:textId="77777777" w:rsidTr="00A81F6C">
        <w:trPr>
          <w:cantSplit/>
          <w:trHeight w:val="57"/>
          <w:jc w:val="right"/>
        </w:trPr>
        <w:tc>
          <w:tcPr>
            <w:tcW w:w="1476" w:type="dxa"/>
            <w:tcBorders>
              <w:top w:val="nil"/>
              <w:left w:val="nil"/>
              <w:bottom w:val="nil"/>
              <w:right w:val="nil"/>
            </w:tcBorders>
            <w:shd w:val="clear" w:color="auto" w:fill="auto"/>
            <w:noWrap/>
            <w:hideMark/>
          </w:tcPr>
          <w:p w14:paraId="3939D57C"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7ABFC52B"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8536.50.01.10</w:t>
            </w:r>
          </w:p>
        </w:tc>
        <w:tc>
          <w:tcPr>
            <w:tcW w:w="4621" w:type="dxa"/>
            <w:tcBorders>
              <w:top w:val="nil"/>
              <w:left w:val="nil"/>
              <w:bottom w:val="nil"/>
              <w:right w:val="nil"/>
            </w:tcBorders>
            <w:shd w:val="clear" w:color="auto" w:fill="E7E6E6" w:themeFill="background2"/>
            <w:hideMark/>
          </w:tcPr>
          <w:p w14:paraId="29FBFBA2" w14:textId="77777777" w:rsidR="0070496D" w:rsidRPr="00EB5EDA" w:rsidRDefault="0070496D" w:rsidP="00A81F6C">
            <w:pPr>
              <w:pStyle w:val="Normal-pool"/>
              <w:spacing w:before="40" w:after="40"/>
              <w:rPr>
                <w:sz w:val="18"/>
                <w:szCs w:val="18"/>
                <w:lang w:val="en-GB"/>
              </w:rPr>
            </w:pPr>
            <w:r w:rsidRPr="00EB5EDA">
              <w:rPr>
                <w:sz w:val="18"/>
                <w:szCs w:val="18"/>
                <w:lang w:val="en-GB"/>
              </w:rPr>
              <w:t>With added mercury</w:t>
            </w:r>
          </w:p>
        </w:tc>
      </w:tr>
      <w:tr w:rsidR="0070496D" w:rsidRPr="00EB5EDA" w14:paraId="2C6F46B2" w14:textId="77777777" w:rsidTr="00A81F6C">
        <w:trPr>
          <w:cantSplit/>
          <w:trHeight w:val="57"/>
          <w:jc w:val="right"/>
        </w:trPr>
        <w:tc>
          <w:tcPr>
            <w:tcW w:w="1476" w:type="dxa"/>
            <w:tcBorders>
              <w:top w:val="nil"/>
              <w:left w:val="nil"/>
              <w:bottom w:val="nil"/>
              <w:right w:val="nil"/>
            </w:tcBorders>
            <w:shd w:val="clear" w:color="auto" w:fill="auto"/>
            <w:noWrap/>
            <w:hideMark/>
          </w:tcPr>
          <w:p w14:paraId="3AD0B5E9"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73DF7825"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8536.50.01.90</w:t>
            </w:r>
          </w:p>
        </w:tc>
        <w:tc>
          <w:tcPr>
            <w:tcW w:w="4621" w:type="dxa"/>
            <w:tcBorders>
              <w:top w:val="nil"/>
              <w:left w:val="nil"/>
              <w:bottom w:val="nil"/>
              <w:right w:val="nil"/>
            </w:tcBorders>
            <w:shd w:val="clear" w:color="auto" w:fill="E7E6E6" w:themeFill="background2"/>
            <w:hideMark/>
          </w:tcPr>
          <w:p w14:paraId="5F110EBD" w14:textId="77777777" w:rsidR="0070496D" w:rsidRPr="00EB5EDA" w:rsidRDefault="0070496D" w:rsidP="00A81F6C">
            <w:pPr>
              <w:pStyle w:val="Normal-pool"/>
              <w:spacing w:before="40" w:after="40"/>
              <w:rPr>
                <w:sz w:val="18"/>
                <w:szCs w:val="18"/>
                <w:lang w:val="en-GB"/>
              </w:rPr>
            </w:pPr>
            <w:r w:rsidRPr="00EB5EDA">
              <w:rPr>
                <w:sz w:val="18"/>
                <w:szCs w:val="18"/>
                <w:lang w:val="en-GB"/>
              </w:rPr>
              <w:t>Others</w:t>
            </w:r>
          </w:p>
        </w:tc>
      </w:tr>
      <w:tr w:rsidR="0070496D" w:rsidRPr="00EB5EDA" w14:paraId="2E1A35DD" w14:textId="77777777" w:rsidTr="00A81F6C">
        <w:trPr>
          <w:cantSplit/>
          <w:trHeight w:val="57"/>
          <w:jc w:val="right"/>
        </w:trPr>
        <w:tc>
          <w:tcPr>
            <w:tcW w:w="1476" w:type="dxa"/>
            <w:tcBorders>
              <w:top w:val="nil"/>
              <w:left w:val="nil"/>
              <w:bottom w:val="nil"/>
              <w:right w:val="nil"/>
            </w:tcBorders>
            <w:shd w:val="clear" w:color="auto" w:fill="auto"/>
            <w:noWrap/>
            <w:hideMark/>
          </w:tcPr>
          <w:p w14:paraId="43F7F2EE"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8536.50.05</w:t>
            </w:r>
          </w:p>
        </w:tc>
        <w:tc>
          <w:tcPr>
            <w:tcW w:w="2210" w:type="dxa"/>
            <w:tcBorders>
              <w:top w:val="nil"/>
              <w:left w:val="nil"/>
              <w:bottom w:val="nil"/>
              <w:right w:val="nil"/>
            </w:tcBorders>
            <w:shd w:val="clear" w:color="auto" w:fill="auto"/>
            <w:noWrap/>
            <w:hideMark/>
          </w:tcPr>
          <w:p w14:paraId="1A2F6D41"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287F1375" w14:textId="77777777" w:rsidR="0070496D" w:rsidRPr="00EB5EDA" w:rsidRDefault="0070496D" w:rsidP="00A81F6C">
            <w:pPr>
              <w:pStyle w:val="Normal-pool"/>
              <w:spacing w:before="40" w:after="40"/>
              <w:rPr>
                <w:sz w:val="18"/>
                <w:szCs w:val="18"/>
                <w:lang w:val="en-GB"/>
              </w:rPr>
            </w:pPr>
            <w:r w:rsidRPr="00EB5EDA">
              <w:rPr>
                <w:sz w:val="18"/>
                <w:szCs w:val="18"/>
                <w:lang w:val="en-GB"/>
              </w:rPr>
              <w:t>Certified for aircraft</w:t>
            </w:r>
          </w:p>
        </w:tc>
      </w:tr>
      <w:tr w:rsidR="0070496D" w:rsidRPr="00EB5EDA" w14:paraId="32F1DB9B" w14:textId="77777777" w:rsidTr="00A81F6C">
        <w:trPr>
          <w:cantSplit/>
          <w:trHeight w:val="57"/>
          <w:jc w:val="right"/>
        </w:trPr>
        <w:tc>
          <w:tcPr>
            <w:tcW w:w="1476" w:type="dxa"/>
            <w:tcBorders>
              <w:top w:val="nil"/>
              <w:left w:val="nil"/>
              <w:bottom w:val="nil"/>
              <w:right w:val="nil"/>
            </w:tcBorders>
            <w:shd w:val="clear" w:color="auto" w:fill="auto"/>
            <w:noWrap/>
            <w:hideMark/>
          </w:tcPr>
          <w:p w14:paraId="3E912844"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61C28F65"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8536.50.05.10</w:t>
            </w:r>
          </w:p>
        </w:tc>
        <w:tc>
          <w:tcPr>
            <w:tcW w:w="4621" w:type="dxa"/>
            <w:tcBorders>
              <w:top w:val="nil"/>
              <w:left w:val="nil"/>
              <w:bottom w:val="nil"/>
              <w:right w:val="nil"/>
            </w:tcBorders>
            <w:shd w:val="clear" w:color="auto" w:fill="E7E6E6" w:themeFill="background2"/>
            <w:hideMark/>
          </w:tcPr>
          <w:p w14:paraId="0003F59B" w14:textId="77777777" w:rsidR="0070496D" w:rsidRPr="00EB5EDA" w:rsidRDefault="0070496D" w:rsidP="00A81F6C">
            <w:pPr>
              <w:pStyle w:val="Normal-pool"/>
              <w:spacing w:before="40" w:after="40"/>
              <w:rPr>
                <w:sz w:val="18"/>
                <w:szCs w:val="18"/>
                <w:lang w:val="en-GB"/>
              </w:rPr>
            </w:pPr>
            <w:r w:rsidRPr="00EB5EDA">
              <w:rPr>
                <w:sz w:val="18"/>
                <w:szCs w:val="18"/>
                <w:lang w:val="en-GB"/>
              </w:rPr>
              <w:t>With added mercury</w:t>
            </w:r>
          </w:p>
        </w:tc>
      </w:tr>
      <w:tr w:rsidR="0070496D" w:rsidRPr="00EB5EDA" w14:paraId="7D731232" w14:textId="77777777" w:rsidTr="00A81F6C">
        <w:trPr>
          <w:cantSplit/>
          <w:trHeight w:val="57"/>
          <w:jc w:val="right"/>
        </w:trPr>
        <w:tc>
          <w:tcPr>
            <w:tcW w:w="1476" w:type="dxa"/>
            <w:tcBorders>
              <w:top w:val="nil"/>
              <w:left w:val="nil"/>
              <w:bottom w:val="nil"/>
              <w:right w:val="nil"/>
            </w:tcBorders>
            <w:shd w:val="clear" w:color="auto" w:fill="auto"/>
            <w:noWrap/>
            <w:hideMark/>
          </w:tcPr>
          <w:p w14:paraId="038287CE"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41A09781"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8536.50.05.90</w:t>
            </w:r>
          </w:p>
        </w:tc>
        <w:tc>
          <w:tcPr>
            <w:tcW w:w="4621" w:type="dxa"/>
            <w:tcBorders>
              <w:top w:val="nil"/>
              <w:left w:val="nil"/>
              <w:bottom w:val="nil"/>
              <w:right w:val="nil"/>
            </w:tcBorders>
            <w:shd w:val="clear" w:color="auto" w:fill="E7E6E6" w:themeFill="background2"/>
            <w:hideMark/>
          </w:tcPr>
          <w:p w14:paraId="48E111C2" w14:textId="77777777" w:rsidR="0070496D" w:rsidRPr="00EB5EDA" w:rsidRDefault="0070496D" w:rsidP="00A81F6C">
            <w:pPr>
              <w:pStyle w:val="Normal-pool"/>
              <w:spacing w:before="40" w:after="40"/>
              <w:rPr>
                <w:sz w:val="18"/>
                <w:szCs w:val="18"/>
                <w:lang w:val="en-GB"/>
              </w:rPr>
            </w:pPr>
            <w:r w:rsidRPr="00EB5EDA">
              <w:rPr>
                <w:sz w:val="18"/>
                <w:szCs w:val="18"/>
                <w:lang w:val="en-GB"/>
              </w:rPr>
              <w:t>Others</w:t>
            </w:r>
          </w:p>
        </w:tc>
      </w:tr>
      <w:tr w:rsidR="0070496D" w:rsidRPr="00EB5EDA" w14:paraId="3DB20EAA" w14:textId="77777777" w:rsidTr="00A81F6C">
        <w:trPr>
          <w:cantSplit/>
          <w:trHeight w:val="57"/>
          <w:jc w:val="right"/>
        </w:trPr>
        <w:tc>
          <w:tcPr>
            <w:tcW w:w="1476" w:type="dxa"/>
            <w:tcBorders>
              <w:top w:val="nil"/>
              <w:left w:val="nil"/>
              <w:bottom w:val="nil"/>
              <w:right w:val="nil"/>
            </w:tcBorders>
            <w:shd w:val="clear" w:color="auto" w:fill="auto"/>
            <w:noWrap/>
            <w:hideMark/>
          </w:tcPr>
          <w:p w14:paraId="428DF662"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8536.50.06</w:t>
            </w:r>
          </w:p>
        </w:tc>
        <w:tc>
          <w:tcPr>
            <w:tcW w:w="2210" w:type="dxa"/>
            <w:tcBorders>
              <w:top w:val="nil"/>
              <w:left w:val="nil"/>
              <w:bottom w:val="nil"/>
              <w:right w:val="nil"/>
            </w:tcBorders>
            <w:shd w:val="clear" w:color="auto" w:fill="auto"/>
            <w:noWrap/>
            <w:hideMark/>
          </w:tcPr>
          <w:p w14:paraId="5B31EEEF"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25A81ECB" w14:textId="77777777" w:rsidR="0070496D" w:rsidRPr="00EB5EDA" w:rsidRDefault="0070496D" w:rsidP="00A81F6C">
            <w:pPr>
              <w:pStyle w:val="Normal-pool"/>
              <w:spacing w:before="40" w:after="40"/>
              <w:rPr>
                <w:sz w:val="18"/>
                <w:szCs w:val="18"/>
                <w:lang w:val="en-GB"/>
              </w:rPr>
            </w:pPr>
            <w:r w:rsidRPr="00EB5EDA">
              <w:rPr>
                <w:sz w:val="18"/>
                <w:szCs w:val="18"/>
                <w:lang w:val="en-GB"/>
              </w:rPr>
              <w:t>Switches, by pressure of liquids for level controls in washing machines for domestic use</w:t>
            </w:r>
          </w:p>
        </w:tc>
      </w:tr>
      <w:tr w:rsidR="0070496D" w:rsidRPr="00EB5EDA" w14:paraId="7D9161AB" w14:textId="77777777" w:rsidTr="00A81F6C">
        <w:trPr>
          <w:cantSplit/>
          <w:trHeight w:val="57"/>
          <w:jc w:val="right"/>
        </w:trPr>
        <w:tc>
          <w:tcPr>
            <w:tcW w:w="1476" w:type="dxa"/>
            <w:tcBorders>
              <w:top w:val="nil"/>
              <w:left w:val="nil"/>
              <w:bottom w:val="nil"/>
              <w:right w:val="nil"/>
            </w:tcBorders>
            <w:shd w:val="clear" w:color="auto" w:fill="auto"/>
            <w:noWrap/>
            <w:hideMark/>
          </w:tcPr>
          <w:p w14:paraId="72E95D15"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7DA4D9D9"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8536.50.06.10</w:t>
            </w:r>
          </w:p>
        </w:tc>
        <w:tc>
          <w:tcPr>
            <w:tcW w:w="4621" w:type="dxa"/>
            <w:tcBorders>
              <w:top w:val="nil"/>
              <w:left w:val="nil"/>
              <w:bottom w:val="nil"/>
              <w:right w:val="nil"/>
            </w:tcBorders>
            <w:shd w:val="clear" w:color="auto" w:fill="E7E6E6" w:themeFill="background2"/>
            <w:hideMark/>
          </w:tcPr>
          <w:p w14:paraId="38465756" w14:textId="77777777" w:rsidR="0070496D" w:rsidRPr="00EB5EDA" w:rsidRDefault="0070496D" w:rsidP="00A81F6C">
            <w:pPr>
              <w:pStyle w:val="Normal-pool"/>
              <w:spacing w:before="40" w:after="40"/>
              <w:rPr>
                <w:sz w:val="18"/>
                <w:szCs w:val="18"/>
                <w:lang w:val="en-GB"/>
              </w:rPr>
            </w:pPr>
            <w:r w:rsidRPr="00EB5EDA">
              <w:rPr>
                <w:sz w:val="18"/>
                <w:szCs w:val="18"/>
                <w:lang w:val="en-GB"/>
              </w:rPr>
              <w:t>With added mercury</w:t>
            </w:r>
          </w:p>
        </w:tc>
      </w:tr>
      <w:tr w:rsidR="0070496D" w:rsidRPr="00EB5EDA" w14:paraId="50862E01" w14:textId="77777777" w:rsidTr="00A81F6C">
        <w:trPr>
          <w:cantSplit/>
          <w:trHeight w:val="57"/>
          <w:jc w:val="right"/>
        </w:trPr>
        <w:tc>
          <w:tcPr>
            <w:tcW w:w="1476" w:type="dxa"/>
            <w:tcBorders>
              <w:top w:val="nil"/>
              <w:left w:val="nil"/>
              <w:bottom w:val="nil"/>
              <w:right w:val="nil"/>
            </w:tcBorders>
            <w:shd w:val="clear" w:color="auto" w:fill="auto"/>
            <w:noWrap/>
            <w:hideMark/>
          </w:tcPr>
          <w:p w14:paraId="4D5CDEBF"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7EDA2883"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8536.50.06.90</w:t>
            </w:r>
          </w:p>
        </w:tc>
        <w:tc>
          <w:tcPr>
            <w:tcW w:w="4621" w:type="dxa"/>
            <w:tcBorders>
              <w:top w:val="nil"/>
              <w:left w:val="nil"/>
              <w:bottom w:val="nil"/>
              <w:right w:val="nil"/>
            </w:tcBorders>
            <w:shd w:val="clear" w:color="auto" w:fill="E7E6E6" w:themeFill="background2"/>
            <w:hideMark/>
          </w:tcPr>
          <w:p w14:paraId="125135B5" w14:textId="77777777" w:rsidR="0070496D" w:rsidRPr="00EB5EDA" w:rsidRDefault="0070496D" w:rsidP="00A81F6C">
            <w:pPr>
              <w:pStyle w:val="Normal-pool"/>
              <w:spacing w:before="40" w:after="40"/>
              <w:rPr>
                <w:sz w:val="18"/>
                <w:szCs w:val="18"/>
                <w:lang w:val="en-GB"/>
              </w:rPr>
            </w:pPr>
            <w:r w:rsidRPr="00EB5EDA">
              <w:rPr>
                <w:sz w:val="18"/>
                <w:szCs w:val="18"/>
                <w:lang w:val="en-GB"/>
              </w:rPr>
              <w:t>Others</w:t>
            </w:r>
          </w:p>
        </w:tc>
      </w:tr>
      <w:tr w:rsidR="0070496D" w:rsidRPr="00EB5EDA" w14:paraId="64EFF6CC" w14:textId="77777777" w:rsidTr="00A81F6C">
        <w:trPr>
          <w:cantSplit/>
          <w:trHeight w:val="57"/>
          <w:jc w:val="right"/>
        </w:trPr>
        <w:tc>
          <w:tcPr>
            <w:tcW w:w="1476" w:type="dxa"/>
            <w:tcBorders>
              <w:top w:val="nil"/>
              <w:left w:val="nil"/>
              <w:bottom w:val="nil"/>
              <w:right w:val="nil"/>
            </w:tcBorders>
            <w:shd w:val="clear" w:color="auto" w:fill="auto"/>
            <w:noWrap/>
            <w:hideMark/>
          </w:tcPr>
          <w:p w14:paraId="469FC09E"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8536.50.07</w:t>
            </w:r>
          </w:p>
        </w:tc>
        <w:tc>
          <w:tcPr>
            <w:tcW w:w="2210" w:type="dxa"/>
            <w:tcBorders>
              <w:top w:val="nil"/>
              <w:left w:val="nil"/>
              <w:bottom w:val="nil"/>
              <w:right w:val="nil"/>
            </w:tcBorders>
            <w:shd w:val="clear" w:color="auto" w:fill="auto"/>
            <w:noWrap/>
            <w:hideMark/>
          </w:tcPr>
          <w:p w14:paraId="79AD4895"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07C67E82" w14:textId="77777777" w:rsidR="0070496D" w:rsidRPr="00EB5EDA" w:rsidRDefault="0070496D" w:rsidP="00A81F6C">
            <w:pPr>
              <w:pStyle w:val="Normal-pool"/>
              <w:spacing w:before="40" w:after="40"/>
              <w:rPr>
                <w:sz w:val="18"/>
                <w:szCs w:val="18"/>
                <w:lang w:val="en-GB"/>
              </w:rPr>
            </w:pPr>
            <w:r w:rsidRPr="00EB5EDA">
              <w:rPr>
                <w:sz w:val="18"/>
                <w:szCs w:val="18"/>
                <w:lang w:val="en-GB"/>
              </w:rPr>
              <w:t>Thermoelectric automatic switches for priming the discharge in fluorescent lamps or tubes</w:t>
            </w:r>
          </w:p>
        </w:tc>
      </w:tr>
      <w:tr w:rsidR="0070496D" w:rsidRPr="00EB5EDA" w14:paraId="1DC70FFC" w14:textId="77777777" w:rsidTr="00A81F6C">
        <w:trPr>
          <w:cantSplit/>
          <w:trHeight w:val="57"/>
          <w:jc w:val="right"/>
        </w:trPr>
        <w:tc>
          <w:tcPr>
            <w:tcW w:w="1476" w:type="dxa"/>
            <w:tcBorders>
              <w:top w:val="nil"/>
              <w:left w:val="nil"/>
              <w:bottom w:val="nil"/>
              <w:right w:val="nil"/>
            </w:tcBorders>
            <w:shd w:val="clear" w:color="auto" w:fill="auto"/>
            <w:noWrap/>
            <w:hideMark/>
          </w:tcPr>
          <w:p w14:paraId="64DBEB70"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63E42723"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8536.50.07.10</w:t>
            </w:r>
          </w:p>
        </w:tc>
        <w:tc>
          <w:tcPr>
            <w:tcW w:w="4621" w:type="dxa"/>
            <w:tcBorders>
              <w:top w:val="nil"/>
              <w:left w:val="nil"/>
              <w:bottom w:val="nil"/>
              <w:right w:val="nil"/>
            </w:tcBorders>
            <w:shd w:val="clear" w:color="auto" w:fill="E7E6E6" w:themeFill="background2"/>
            <w:hideMark/>
          </w:tcPr>
          <w:p w14:paraId="42BE68CB" w14:textId="77777777" w:rsidR="0070496D" w:rsidRPr="00EB5EDA" w:rsidRDefault="0070496D" w:rsidP="00A81F6C">
            <w:pPr>
              <w:pStyle w:val="Normal-pool"/>
              <w:spacing w:before="40" w:after="40"/>
              <w:rPr>
                <w:sz w:val="18"/>
                <w:szCs w:val="18"/>
                <w:lang w:val="en-GB"/>
              </w:rPr>
            </w:pPr>
            <w:r w:rsidRPr="00EB5EDA">
              <w:rPr>
                <w:sz w:val="18"/>
                <w:szCs w:val="18"/>
                <w:lang w:val="en-GB"/>
              </w:rPr>
              <w:t>With added mercury</w:t>
            </w:r>
          </w:p>
        </w:tc>
      </w:tr>
      <w:tr w:rsidR="0070496D" w:rsidRPr="00EB5EDA" w14:paraId="682B8BD6" w14:textId="77777777" w:rsidTr="00A81F6C">
        <w:trPr>
          <w:cantSplit/>
          <w:trHeight w:val="57"/>
          <w:jc w:val="right"/>
        </w:trPr>
        <w:tc>
          <w:tcPr>
            <w:tcW w:w="1476" w:type="dxa"/>
            <w:tcBorders>
              <w:top w:val="nil"/>
              <w:left w:val="nil"/>
              <w:bottom w:val="nil"/>
              <w:right w:val="nil"/>
            </w:tcBorders>
            <w:shd w:val="clear" w:color="auto" w:fill="auto"/>
            <w:noWrap/>
            <w:hideMark/>
          </w:tcPr>
          <w:p w14:paraId="78BD0106"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05DD3227"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8536.50.07.90</w:t>
            </w:r>
          </w:p>
        </w:tc>
        <w:tc>
          <w:tcPr>
            <w:tcW w:w="4621" w:type="dxa"/>
            <w:tcBorders>
              <w:top w:val="nil"/>
              <w:left w:val="nil"/>
              <w:bottom w:val="nil"/>
              <w:right w:val="nil"/>
            </w:tcBorders>
            <w:shd w:val="clear" w:color="auto" w:fill="E7E6E6" w:themeFill="background2"/>
            <w:hideMark/>
          </w:tcPr>
          <w:p w14:paraId="11D9B619" w14:textId="77777777" w:rsidR="0070496D" w:rsidRPr="00EB5EDA" w:rsidRDefault="0070496D" w:rsidP="00A81F6C">
            <w:pPr>
              <w:pStyle w:val="Normal-pool"/>
              <w:spacing w:before="40" w:after="40"/>
              <w:rPr>
                <w:sz w:val="18"/>
                <w:szCs w:val="18"/>
                <w:lang w:val="en-GB"/>
              </w:rPr>
            </w:pPr>
            <w:r w:rsidRPr="00EB5EDA">
              <w:rPr>
                <w:sz w:val="18"/>
                <w:szCs w:val="18"/>
                <w:lang w:val="en-GB"/>
              </w:rPr>
              <w:t>Others</w:t>
            </w:r>
          </w:p>
        </w:tc>
      </w:tr>
      <w:tr w:rsidR="0070496D" w:rsidRPr="00EB5EDA" w14:paraId="52D9DC32" w14:textId="77777777" w:rsidTr="00A81F6C">
        <w:trPr>
          <w:cantSplit/>
          <w:trHeight w:val="57"/>
          <w:jc w:val="right"/>
        </w:trPr>
        <w:tc>
          <w:tcPr>
            <w:tcW w:w="1476" w:type="dxa"/>
            <w:tcBorders>
              <w:top w:val="nil"/>
              <w:left w:val="nil"/>
              <w:bottom w:val="nil"/>
              <w:right w:val="nil"/>
            </w:tcBorders>
            <w:shd w:val="clear" w:color="auto" w:fill="auto"/>
            <w:noWrap/>
            <w:hideMark/>
          </w:tcPr>
          <w:p w14:paraId="69A077C4"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8536.50.10</w:t>
            </w:r>
          </w:p>
        </w:tc>
        <w:tc>
          <w:tcPr>
            <w:tcW w:w="2210" w:type="dxa"/>
            <w:tcBorders>
              <w:top w:val="nil"/>
              <w:left w:val="nil"/>
              <w:bottom w:val="nil"/>
              <w:right w:val="nil"/>
            </w:tcBorders>
            <w:shd w:val="clear" w:color="auto" w:fill="auto"/>
            <w:noWrap/>
            <w:hideMark/>
          </w:tcPr>
          <w:p w14:paraId="4C1F910A"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720C099E" w14:textId="77777777" w:rsidR="0070496D" w:rsidRPr="00EB5EDA" w:rsidRDefault="0070496D" w:rsidP="00A81F6C">
            <w:pPr>
              <w:pStyle w:val="Normal-pool"/>
              <w:spacing w:before="40" w:after="40"/>
              <w:rPr>
                <w:sz w:val="18"/>
                <w:szCs w:val="18"/>
                <w:lang w:val="en-GB"/>
              </w:rPr>
            </w:pPr>
            <w:r w:rsidRPr="00EB5EDA">
              <w:rPr>
                <w:sz w:val="18"/>
                <w:szCs w:val="18"/>
                <w:lang w:val="en-GB"/>
              </w:rPr>
              <w:t>Switches designed and certified exclusively for radio or television, other than those included in section 8536.50.15</w:t>
            </w:r>
          </w:p>
        </w:tc>
      </w:tr>
      <w:tr w:rsidR="0070496D" w:rsidRPr="00EB5EDA" w14:paraId="4743C919" w14:textId="77777777" w:rsidTr="00A81F6C">
        <w:trPr>
          <w:cantSplit/>
          <w:trHeight w:val="57"/>
          <w:jc w:val="right"/>
        </w:trPr>
        <w:tc>
          <w:tcPr>
            <w:tcW w:w="1476" w:type="dxa"/>
            <w:tcBorders>
              <w:top w:val="nil"/>
              <w:left w:val="nil"/>
              <w:bottom w:val="nil"/>
              <w:right w:val="nil"/>
            </w:tcBorders>
            <w:shd w:val="clear" w:color="auto" w:fill="auto"/>
            <w:noWrap/>
            <w:hideMark/>
          </w:tcPr>
          <w:p w14:paraId="0AE1564A"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01B80C7C"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8536.50.10.10</w:t>
            </w:r>
          </w:p>
        </w:tc>
        <w:tc>
          <w:tcPr>
            <w:tcW w:w="4621" w:type="dxa"/>
            <w:tcBorders>
              <w:top w:val="nil"/>
              <w:left w:val="nil"/>
              <w:bottom w:val="nil"/>
              <w:right w:val="nil"/>
            </w:tcBorders>
            <w:shd w:val="clear" w:color="auto" w:fill="E7E6E6" w:themeFill="background2"/>
            <w:hideMark/>
          </w:tcPr>
          <w:p w14:paraId="0CC39BFC" w14:textId="77777777" w:rsidR="0070496D" w:rsidRPr="00EB5EDA" w:rsidRDefault="0070496D" w:rsidP="00A81F6C">
            <w:pPr>
              <w:pStyle w:val="Normal-pool"/>
              <w:spacing w:before="40" w:after="40"/>
              <w:rPr>
                <w:sz w:val="18"/>
                <w:szCs w:val="18"/>
                <w:lang w:val="en-GB"/>
              </w:rPr>
            </w:pPr>
            <w:r w:rsidRPr="00EB5EDA">
              <w:rPr>
                <w:sz w:val="18"/>
                <w:szCs w:val="18"/>
                <w:lang w:val="en-GB"/>
              </w:rPr>
              <w:t>With added mercury</w:t>
            </w:r>
          </w:p>
        </w:tc>
      </w:tr>
      <w:tr w:rsidR="0070496D" w:rsidRPr="00EB5EDA" w14:paraId="71981E3D" w14:textId="77777777" w:rsidTr="00A81F6C">
        <w:trPr>
          <w:cantSplit/>
          <w:trHeight w:val="57"/>
          <w:jc w:val="right"/>
        </w:trPr>
        <w:tc>
          <w:tcPr>
            <w:tcW w:w="1476" w:type="dxa"/>
            <w:tcBorders>
              <w:top w:val="nil"/>
              <w:left w:val="nil"/>
              <w:bottom w:val="nil"/>
              <w:right w:val="nil"/>
            </w:tcBorders>
            <w:shd w:val="clear" w:color="auto" w:fill="auto"/>
            <w:noWrap/>
            <w:hideMark/>
          </w:tcPr>
          <w:p w14:paraId="0E86978C"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5C708763"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8536.50.10.90</w:t>
            </w:r>
          </w:p>
        </w:tc>
        <w:tc>
          <w:tcPr>
            <w:tcW w:w="4621" w:type="dxa"/>
            <w:tcBorders>
              <w:top w:val="nil"/>
              <w:left w:val="nil"/>
              <w:bottom w:val="nil"/>
              <w:right w:val="nil"/>
            </w:tcBorders>
            <w:shd w:val="clear" w:color="auto" w:fill="E7E6E6" w:themeFill="background2"/>
            <w:hideMark/>
          </w:tcPr>
          <w:p w14:paraId="6406BD46" w14:textId="77777777" w:rsidR="0070496D" w:rsidRPr="00EB5EDA" w:rsidRDefault="0070496D" w:rsidP="00A81F6C">
            <w:pPr>
              <w:pStyle w:val="Normal-pool"/>
              <w:spacing w:before="40" w:after="40"/>
              <w:rPr>
                <w:sz w:val="18"/>
                <w:szCs w:val="18"/>
                <w:lang w:val="en-GB"/>
              </w:rPr>
            </w:pPr>
            <w:r w:rsidRPr="00EB5EDA">
              <w:rPr>
                <w:sz w:val="18"/>
                <w:szCs w:val="18"/>
                <w:lang w:val="en-GB"/>
              </w:rPr>
              <w:t>Others</w:t>
            </w:r>
          </w:p>
        </w:tc>
      </w:tr>
      <w:tr w:rsidR="0070496D" w:rsidRPr="00EB5EDA" w14:paraId="60888147" w14:textId="77777777" w:rsidTr="00A81F6C">
        <w:trPr>
          <w:cantSplit/>
          <w:trHeight w:val="57"/>
          <w:jc w:val="right"/>
        </w:trPr>
        <w:tc>
          <w:tcPr>
            <w:tcW w:w="1476" w:type="dxa"/>
            <w:tcBorders>
              <w:top w:val="nil"/>
              <w:left w:val="nil"/>
              <w:bottom w:val="nil"/>
              <w:right w:val="nil"/>
            </w:tcBorders>
            <w:shd w:val="clear" w:color="auto" w:fill="auto"/>
            <w:noWrap/>
            <w:hideMark/>
          </w:tcPr>
          <w:p w14:paraId="73CCF501"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8536.50.11</w:t>
            </w:r>
          </w:p>
        </w:tc>
        <w:tc>
          <w:tcPr>
            <w:tcW w:w="2210" w:type="dxa"/>
            <w:tcBorders>
              <w:top w:val="nil"/>
              <w:left w:val="nil"/>
              <w:bottom w:val="nil"/>
              <w:right w:val="nil"/>
            </w:tcBorders>
            <w:shd w:val="clear" w:color="auto" w:fill="auto"/>
            <w:noWrap/>
            <w:hideMark/>
          </w:tcPr>
          <w:p w14:paraId="18E02878"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6A7D35DE" w14:textId="0A524C24" w:rsidR="0070496D" w:rsidRPr="00EB5EDA" w:rsidRDefault="0070496D" w:rsidP="00A81F6C">
            <w:pPr>
              <w:pStyle w:val="Normal-pool"/>
              <w:spacing w:before="40" w:after="40"/>
              <w:rPr>
                <w:sz w:val="18"/>
                <w:szCs w:val="18"/>
                <w:lang w:val="en-GB"/>
              </w:rPr>
            </w:pPr>
            <w:r w:rsidRPr="00EB5EDA">
              <w:rPr>
                <w:sz w:val="18"/>
                <w:szCs w:val="18"/>
                <w:lang w:val="en-GB"/>
              </w:rPr>
              <w:t>Loose or grouped switches, actuated by buttons, weighing up to 250 g</w:t>
            </w:r>
            <w:r w:rsidR="00741321" w:rsidRPr="00EB5EDA">
              <w:rPr>
                <w:sz w:val="18"/>
                <w:szCs w:val="18"/>
                <w:lang w:val="en-GB"/>
              </w:rPr>
              <w:t>rams</w:t>
            </w:r>
            <w:r w:rsidRPr="00EB5EDA">
              <w:rPr>
                <w:sz w:val="18"/>
                <w:szCs w:val="18"/>
                <w:lang w:val="en-GB"/>
              </w:rPr>
              <w:t>, or single or multiple push-button or keyboard switches, designed and certified exclusively for electronics, other than those included in section 8536.50.15</w:t>
            </w:r>
          </w:p>
        </w:tc>
      </w:tr>
      <w:tr w:rsidR="0070496D" w:rsidRPr="00EB5EDA" w14:paraId="6190FA2A" w14:textId="77777777" w:rsidTr="00A81F6C">
        <w:trPr>
          <w:cantSplit/>
          <w:trHeight w:val="57"/>
          <w:jc w:val="right"/>
        </w:trPr>
        <w:tc>
          <w:tcPr>
            <w:tcW w:w="1476" w:type="dxa"/>
            <w:tcBorders>
              <w:top w:val="nil"/>
              <w:left w:val="nil"/>
              <w:bottom w:val="nil"/>
              <w:right w:val="nil"/>
            </w:tcBorders>
            <w:shd w:val="clear" w:color="auto" w:fill="auto"/>
            <w:noWrap/>
            <w:hideMark/>
          </w:tcPr>
          <w:p w14:paraId="6FD475C1"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44B65BB5"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8536.50.11.10</w:t>
            </w:r>
          </w:p>
        </w:tc>
        <w:tc>
          <w:tcPr>
            <w:tcW w:w="4621" w:type="dxa"/>
            <w:tcBorders>
              <w:top w:val="nil"/>
              <w:left w:val="nil"/>
              <w:bottom w:val="nil"/>
              <w:right w:val="nil"/>
            </w:tcBorders>
            <w:shd w:val="clear" w:color="auto" w:fill="E7E6E6" w:themeFill="background2"/>
            <w:hideMark/>
          </w:tcPr>
          <w:p w14:paraId="22E90C7E" w14:textId="77777777" w:rsidR="0070496D" w:rsidRPr="00EB5EDA" w:rsidRDefault="0070496D" w:rsidP="00A81F6C">
            <w:pPr>
              <w:pStyle w:val="Normal-pool"/>
              <w:spacing w:before="40" w:after="40"/>
              <w:rPr>
                <w:sz w:val="18"/>
                <w:szCs w:val="18"/>
                <w:lang w:val="en-GB"/>
              </w:rPr>
            </w:pPr>
            <w:r w:rsidRPr="00EB5EDA">
              <w:rPr>
                <w:sz w:val="18"/>
                <w:szCs w:val="18"/>
                <w:lang w:val="en-GB"/>
              </w:rPr>
              <w:t>With added mercury</w:t>
            </w:r>
          </w:p>
        </w:tc>
      </w:tr>
      <w:tr w:rsidR="0070496D" w:rsidRPr="00EB5EDA" w14:paraId="757E20EE" w14:textId="77777777" w:rsidTr="00A81F6C">
        <w:trPr>
          <w:cantSplit/>
          <w:trHeight w:val="57"/>
          <w:jc w:val="right"/>
        </w:trPr>
        <w:tc>
          <w:tcPr>
            <w:tcW w:w="1476" w:type="dxa"/>
            <w:tcBorders>
              <w:top w:val="nil"/>
              <w:left w:val="nil"/>
              <w:bottom w:val="nil"/>
              <w:right w:val="nil"/>
            </w:tcBorders>
            <w:shd w:val="clear" w:color="auto" w:fill="auto"/>
            <w:noWrap/>
            <w:hideMark/>
          </w:tcPr>
          <w:p w14:paraId="11DA0689"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nil"/>
              <w:right w:val="nil"/>
            </w:tcBorders>
            <w:shd w:val="clear" w:color="auto" w:fill="E7E6E6" w:themeFill="background2"/>
            <w:noWrap/>
            <w:hideMark/>
          </w:tcPr>
          <w:p w14:paraId="7439711C"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8536.50.11.90</w:t>
            </w:r>
          </w:p>
        </w:tc>
        <w:tc>
          <w:tcPr>
            <w:tcW w:w="4621" w:type="dxa"/>
            <w:tcBorders>
              <w:top w:val="nil"/>
              <w:left w:val="nil"/>
              <w:bottom w:val="nil"/>
              <w:right w:val="nil"/>
            </w:tcBorders>
            <w:shd w:val="clear" w:color="auto" w:fill="E7E6E6" w:themeFill="background2"/>
            <w:hideMark/>
          </w:tcPr>
          <w:p w14:paraId="5AB539FA" w14:textId="77777777" w:rsidR="0070496D" w:rsidRPr="00EB5EDA" w:rsidRDefault="0070496D" w:rsidP="00A81F6C">
            <w:pPr>
              <w:pStyle w:val="Normal-pool"/>
              <w:spacing w:before="40" w:after="40"/>
              <w:rPr>
                <w:sz w:val="18"/>
                <w:szCs w:val="18"/>
                <w:lang w:val="en-GB"/>
              </w:rPr>
            </w:pPr>
            <w:r w:rsidRPr="00EB5EDA">
              <w:rPr>
                <w:sz w:val="18"/>
                <w:szCs w:val="18"/>
                <w:lang w:val="en-GB"/>
              </w:rPr>
              <w:t>Others</w:t>
            </w:r>
          </w:p>
        </w:tc>
      </w:tr>
      <w:tr w:rsidR="0070496D" w:rsidRPr="00EB5EDA" w14:paraId="6B5D11D8" w14:textId="77777777" w:rsidTr="00A81F6C">
        <w:trPr>
          <w:cantSplit/>
          <w:trHeight w:val="57"/>
          <w:jc w:val="right"/>
        </w:trPr>
        <w:tc>
          <w:tcPr>
            <w:tcW w:w="1476" w:type="dxa"/>
            <w:tcBorders>
              <w:top w:val="nil"/>
              <w:left w:val="nil"/>
              <w:bottom w:val="nil"/>
              <w:right w:val="nil"/>
            </w:tcBorders>
            <w:shd w:val="clear" w:color="auto" w:fill="auto"/>
            <w:noWrap/>
            <w:hideMark/>
          </w:tcPr>
          <w:p w14:paraId="02C246FF"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8536.50.15</w:t>
            </w:r>
          </w:p>
        </w:tc>
        <w:tc>
          <w:tcPr>
            <w:tcW w:w="2210" w:type="dxa"/>
            <w:tcBorders>
              <w:top w:val="nil"/>
              <w:left w:val="nil"/>
              <w:bottom w:val="nil"/>
              <w:right w:val="nil"/>
            </w:tcBorders>
            <w:shd w:val="clear" w:color="auto" w:fill="auto"/>
            <w:noWrap/>
            <w:hideMark/>
          </w:tcPr>
          <w:p w14:paraId="722A53EA" w14:textId="77777777" w:rsidR="0070496D" w:rsidRPr="00EB5EDA" w:rsidRDefault="0070496D" w:rsidP="00A81F6C">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5CE22973" w14:textId="77777777" w:rsidR="0070496D" w:rsidRPr="00EB5EDA" w:rsidRDefault="0070496D" w:rsidP="00A81F6C">
            <w:pPr>
              <w:pStyle w:val="Normal-pool"/>
              <w:spacing w:before="40" w:after="40"/>
              <w:rPr>
                <w:sz w:val="18"/>
                <w:szCs w:val="18"/>
                <w:lang w:val="en-GB"/>
              </w:rPr>
            </w:pPr>
            <w:r w:rsidRPr="00EB5EDA">
              <w:rPr>
                <w:sz w:val="18"/>
                <w:szCs w:val="18"/>
                <w:lang w:val="en-GB"/>
              </w:rPr>
              <w:t>Dual, foot or pull-type light switches; start button; designed and certified exclusively for automotive use</w:t>
            </w:r>
          </w:p>
        </w:tc>
      </w:tr>
      <w:tr w:rsidR="0070496D" w:rsidRPr="00EB5EDA" w14:paraId="299A27F3" w14:textId="77777777" w:rsidTr="002A72A8">
        <w:trPr>
          <w:cantSplit/>
          <w:trHeight w:val="57"/>
          <w:jc w:val="right"/>
        </w:trPr>
        <w:tc>
          <w:tcPr>
            <w:tcW w:w="1476" w:type="dxa"/>
            <w:tcBorders>
              <w:top w:val="nil"/>
              <w:left w:val="nil"/>
              <w:right w:val="nil"/>
            </w:tcBorders>
            <w:shd w:val="clear" w:color="auto" w:fill="auto"/>
            <w:noWrap/>
            <w:hideMark/>
          </w:tcPr>
          <w:p w14:paraId="6C8268FA"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right w:val="nil"/>
            </w:tcBorders>
            <w:shd w:val="clear" w:color="auto" w:fill="E7E6E6" w:themeFill="background2"/>
            <w:noWrap/>
            <w:hideMark/>
          </w:tcPr>
          <w:p w14:paraId="62023308"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8536.50.15.10</w:t>
            </w:r>
          </w:p>
        </w:tc>
        <w:tc>
          <w:tcPr>
            <w:tcW w:w="4621" w:type="dxa"/>
            <w:tcBorders>
              <w:top w:val="nil"/>
              <w:left w:val="nil"/>
              <w:right w:val="nil"/>
            </w:tcBorders>
            <w:shd w:val="clear" w:color="auto" w:fill="E7E6E6" w:themeFill="background2"/>
            <w:hideMark/>
          </w:tcPr>
          <w:p w14:paraId="096CAF9F" w14:textId="77777777" w:rsidR="0070496D" w:rsidRPr="00EB5EDA" w:rsidRDefault="0070496D" w:rsidP="00A81F6C">
            <w:pPr>
              <w:pStyle w:val="Normal-pool"/>
              <w:spacing w:before="40" w:after="40"/>
              <w:rPr>
                <w:sz w:val="18"/>
                <w:szCs w:val="18"/>
                <w:lang w:val="en-GB"/>
              </w:rPr>
            </w:pPr>
            <w:r w:rsidRPr="00EB5EDA">
              <w:rPr>
                <w:sz w:val="18"/>
                <w:szCs w:val="18"/>
                <w:lang w:val="en-GB"/>
              </w:rPr>
              <w:t>With added mercury</w:t>
            </w:r>
          </w:p>
        </w:tc>
      </w:tr>
      <w:tr w:rsidR="0070496D" w:rsidRPr="00EB5EDA" w14:paraId="72CC3A06" w14:textId="77777777" w:rsidTr="002A72A8">
        <w:trPr>
          <w:cantSplit/>
          <w:trHeight w:val="57"/>
          <w:jc w:val="right"/>
        </w:trPr>
        <w:tc>
          <w:tcPr>
            <w:tcW w:w="1476" w:type="dxa"/>
            <w:tcBorders>
              <w:top w:val="nil"/>
              <w:left w:val="nil"/>
              <w:bottom w:val="single" w:sz="12" w:space="0" w:color="auto"/>
              <w:right w:val="nil"/>
            </w:tcBorders>
            <w:shd w:val="clear" w:color="auto" w:fill="auto"/>
            <w:noWrap/>
            <w:hideMark/>
          </w:tcPr>
          <w:p w14:paraId="19FB702B" w14:textId="77777777" w:rsidR="0070496D" w:rsidRPr="00EB5EDA" w:rsidRDefault="0070496D" w:rsidP="00A81F6C">
            <w:pPr>
              <w:pStyle w:val="Normal-pool"/>
              <w:spacing w:before="40" w:after="40"/>
              <w:jc w:val="right"/>
              <w:rPr>
                <w:sz w:val="18"/>
                <w:szCs w:val="18"/>
                <w:lang w:val="en-GB"/>
              </w:rPr>
            </w:pPr>
          </w:p>
        </w:tc>
        <w:tc>
          <w:tcPr>
            <w:tcW w:w="2210" w:type="dxa"/>
            <w:tcBorders>
              <w:top w:val="nil"/>
              <w:left w:val="nil"/>
              <w:bottom w:val="single" w:sz="12" w:space="0" w:color="auto"/>
              <w:right w:val="nil"/>
            </w:tcBorders>
            <w:shd w:val="clear" w:color="auto" w:fill="E7E6E6" w:themeFill="background2"/>
            <w:noWrap/>
            <w:hideMark/>
          </w:tcPr>
          <w:p w14:paraId="5E0AE1C2" w14:textId="77777777" w:rsidR="0070496D" w:rsidRPr="00EB5EDA" w:rsidRDefault="0070496D" w:rsidP="00A81F6C">
            <w:pPr>
              <w:pStyle w:val="Normal-pool"/>
              <w:spacing w:before="40" w:after="40"/>
              <w:jc w:val="right"/>
              <w:rPr>
                <w:sz w:val="18"/>
                <w:szCs w:val="18"/>
                <w:lang w:val="en-GB"/>
              </w:rPr>
            </w:pPr>
            <w:r w:rsidRPr="00EB5EDA">
              <w:rPr>
                <w:sz w:val="18"/>
                <w:szCs w:val="18"/>
                <w:lang w:val="en-GB"/>
              </w:rPr>
              <w:t>8536.50.15.90</w:t>
            </w:r>
          </w:p>
        </w:tc>
        <w:tc>
          <w:tcPr>
            <w:tcW w:w="4621" w:type="dxa"/>
            <w:tcBorders>
              <w:top w:val="nil"/>
              <w:left w:val="nil"/>
              <w:bottom w:val="single" w:sz="12" w:space="0" w:color="auto"/>
              <w:right w:val="nil"/>
            </w:tcBorders>
            <w:shd w:val="clear" w:color="auto" w:fill="E7E6E6" w:themeFill="background2"/>
            <w:hideMark/>
          </w:tcPr>
          <w:p w14:paraId="6283BBE5" w14:textId="77777777" w:rsidR="0070496D" w:rsidRPr="00EB5EDA" w:rsidRDefault="0070496D" w:rsidP="00A81F6C">
            <w:pPr>
              <w:pStyle w:val="Normal-pool"/>
              <w:spacing w:before="40" w:after="40"/>
              <w:rPr>
                <w:sz w:val="18"/>
                <w:szCs w:val="18"/>
                <w:lang w:val="en-GB"/>
              </w:rPr>
            </w:pPr>
            <w:r w:rsidRPr="00EB5EDA">
              <w:rPr>
                <w:sz w:val="18"/>
                <w:szCs w:val="18"/>
                <w:lang w:val="en-GB"/>
              </w:rPr>
              <w:t>Others</w:t>
            </w:r>
          </w:p>
        </w:tc>
      </w:tr>
    </w:tbl>
    <w:p w14:paraId="1FDADF5C" w14:textId="5A0E1BDD" w:rsidR="0070496D" w:rsidRPr="00EB5EDA" w:rsidRDefault="0070496D" w:rsidP="003B2AD6">
      <w:pPr>
        <w:pStyle w:val="Titletable"/>
        <w:spacing w:before="240"/>
        <w:rPr>
          <w:lang w:val="en-GB"/>
        </w:rPr>
      </w:pPr>
      <w:r w:rsidRPr="00EB5EDA">
        <w:rPr>
          <w:lang w:val="en-GB"/>
        </w:rPr>
        <w:lastRenderedPageBreak/>
        <w:t>Thermostats</w:t>
      </w:r>
      <w:r w:rsidR="00571121" w:rsidRPr="00EB5EDA">
        <w:rPr>
          <w:b w:val="0"/>
          <w:bCs w:val="0"/>
          <w:i/>
          <w:iCs/>
          <w:vertAlign w:val="superscript"/>
          <w:lang w:val="en-GB"/>
        </w:rPr>
        <w:t>a</w:t>
      </w:r>
    </w:p>
    <w:tbl>
      <w:tblPr>
        <w:tblW w:w="8307" w:type="dxa"/>
        <w:jc w:val="right"/>
        <w:tblLook w:val="04A0" w:firstRow="1" w:lastRow="0" w:firstColumn="1" w:lastColumn="0" w:noHBand="0" w:noVBand="1"/>
      </w:tblPr>
      <w:tblGrid>
        <w:gridCol w:w="1476"/>
        <w:gridCol w:w="2210"/>
        <w:gridCol w:w="4621"/>
      </w:tblGrid>
      <w:tr w:rsidR="0070496D" w:rsidRPr="00EB5EDA" w14:paraId="06BBD7AB" w14:textId="77777777" w:rsidTr="002A72A8">
        <w:trPr>
          <w:cantSplit/>
          <w:trHeight w:val="57"/>
          <w:tblHeader/>
          <w:jc w:val="right"/>
        </w:trPr>
        <w:tc>
          <w:tcPr>
            <w:tcW w:w="1476" w:type="dxa"/>
            <w:tcBorders>
              <w:top w:val="single" w:sz="4" w:space="0" w:color="auto"/>
              <w:left w:val="nil"/>
              <w:bottom w:val="single" w:sz="12" w:space="0" w:color="auto"/>
              <w:right w:val="nil"/>
            </w:tcBorders>
            <w:shd w:val="clear" w:color="auto" w:fill="auto"/>
            <w:noWrap/>
          </w:tcPr>
          <w:p w14:paraId="2AB7848B" w14:textId="77777777" w:rsidR="0070496D" w:rsidRPr="00EB5EDA" w:rsidRDefault="0070496D" w:rsidP="00A81F6C">
            <w:pPr>
              <w:spacing w:before="40" w:after="40"/>
              <w:jc w:val="right"/>
              <w:rPr>
                <w:rFonts w:eastAsia="Times New Roman"/>
                <w:i/>
                <w:iCs/>
                <w:sz w:val="18"/>
                <w:szCs w:val="18"/>
                <w:lang w:val="en-GB"/>
              </w:rPr>
            </w:pPr>
            <w:r w:rsidRPr="00EB5EDA">
              <w:rPr>
                <w:rFonts w:eastAsia="Times New Roman"/>
                <w:i/>
                <w:iCs/>
                <w:sz w:val="18"/>
                <w:szCs w:val="18"/>
                <w:lang w:val="en-GB"/>
              </w:rPr>
              <w:t>HS reference</w:t>
            </w:r>
          </w:p>
        </w:tc>
        <w:tc>
          <w:tcPr>
            <w:tcW w:w="2210" w:type="dxa"/>
            <w:tcBorders>
              <w:top w:val="single" w:sz="4" w:space="0" w:color="auto"/>
              <w:left w:val="nil"/>
              <w:bottom w:val="single" w:sz="12" w:space="0" w:color="auto"/>
              <w:right w:val="nil"/>
            </w:tcBorders>
            <w:shd w:val="clear" w:color="auto" w:fill="auto"/>
            <w:noWrap/>
          </w:tcPr>
          <w:p w14:paraId="5D64A435" w14:textId="77777777" w:rsidR="0070496D" w:rsidRPr="00EB5EDA" w:rsidRDefault="0070496D" w:rsidP="00A81F6C">
            <w:pPr>
              <w:spacing w:before="40" w:after="40"/>
              <w:jc w:val="right"/>
              <w:rPr>
                <w:rFonts w:eastAsia="Times New Roman"/>
                <w:i/>
                <w:iCs/>
                <w:sz w:val="18"/>
                <w:szCs w:val="18"/>
                <w:lang w:val="en-GB"/>
              </w:rPr>
            </w:pPr>
            <w:r w:rsidRPr="00EB5EDA">
              <w:rPr>
                <w:rFonts w:eastAsia="Times New Roman"/>
                <w:i/>
                <w:iCs/>
                <w:sz w:val="18"/>
                <w:szCs w:val="18"/>
                <w:lang w:val="en-GB"/>
              </w:rPr>
              <w:t>Proposed statistical codes</w:t>
            </w:r>
          </w:p>
        </w:tc>
        <w:tc>
          <w:tcPr>
            <w:tcW w:w="4621" w:type="dxa"/>
            <w:tcBorders>
              <w:top w:val="single" w:sz="4" w:space="0" w:color="auto"/>
              <w:left w:val="nil"/>
              <w:bottom w:val="single" w:sz="12" w:space="0" w:color="auto"/>
              <w:right w:val="nil"/>
            </w:tcBorders>
            <w:shd w:val="clear" w:color="auto" w:fill="auto"/>
          </w:tcPr>
          <w:p w14:paraId="78FC6BAD" w14:textId="77777777" w:rsidR="0070496D" w:rsidRPr="00EB5EDA" w:rsidRDefault="0070496D" w:rsidP="00A81F6C">
            <w:pPr>
              <w:spacing w:before="40" w:after="40"/>
              <w:rPr>
                <w:rFonts w:eastAsia="Times New Roman"/>
                <w:i/>
                <w:iCs/>
                <w:sz w:val="18"/>
                <w:szCs w:val="18"/>
                <w:lang w:val="en-GB"/>
              </w:rPr>
            </w:pPr>
            <w:r w:rsidRPr="00EB5EDA">
              <w:rPr>
                <w:rFonts w:eastAsia="Times New Roman"/>
                <w:i/>
                <w:iCs/>
                <w:sz w:val="18"/>
                <w:szCs w:val="18"/>
                <w:lang w:val="en-GB"/>
              </w:rPr>
              <w:t>Description</w:t>
            </w:r>
          </w:p>
        </w:tc>
      </w:tr>
      <w:tr w:rsidR="0070496D" w:rsidRPr="00EB5EDA" w14:paraId="78DFE6A6" w14:textId="77777777" w:rsidTr="002A72A8">
        <w:trPr>
          <w:cantSplit/>
          <w:trHeight w:val="57"/>
          <w:jc w:val="right"/>
        </w:trPr>
        <w:tc>
          <w:tcPr>
            <w:tcW w:w="1476" w:type="dxa"/>
            <w:tcBorders>
              <w:top w:val="single" w:sz="12" w:space="0" w:color="auto"/>
              <w:left w:val="nil"/>
              <w:bottom w:val="nil"/>
              <w:right w:val="nil"/>
            </w:tcBorders>
            <w:shd w:val="clear" w:color="auto" w:fill="auto"/>
            <w:noWrap/>
            <w:hideMark/>
          </w:tcPr>
          <w:p w14:paraId="6F4D6C7F" w14:textId="77777777" w:rsidR="0070496D" w:rsidRPr="00EB5EDA" w:rsidRDefault="0070496D" w:rsidP="00A81F6C">
            <w:pPr>
              <w:spacing w:before="40" w:after="40"/>
              <w:jc w:val="right"/>
              <w:rPr>
                <w:rFonts w:eastAsia="Times New Roman"/>
                <w:sz w:val="18"/>
                <w:szCs w:val="18"/>
                <w:lang w:val="en-GB"/>
              </w:rPr>
            </w:pPr>
            <w:r w:rsidRPr="00EB5EDA">
              <w:rPr>
                <w:rFonts w:eastAsia="Times New Roman"/>
                <w:sz w:val="18"/>
                <w:szCs w:val="18"/>
                <w:lang w:val="en-GB"/>
              </w:rPr>
              <w:t>9032.10.20</w:t>
            </w:r>
          </w:p>
        </w:tc>
        <w:tc>
          <w:tcPr>
            <w:tcW w:w="2210" w:type="dxa"/>
            <w:tcBorders>
              <w:top w:val="single" w:sz="12" w:space="0" w:color="auto"/>
              <w:left w:val="nil"/>
              <w:bottom w:val="nil"/>
              <w:right w:val="nil"/>
            </w:tcBorders>
            <w:shd w:val="clear" w:color="auto" w:fill="auto"/>
            <w:noWrap/>
            <w:hideMark/>
          </w:tcPr>
          <w:p w14:paraId="084838E1" w14:textId="77777777" w:rsidR="0070496D" w:rsidRPr="00EB5EDA" w:rsidRDefault="0070496D" w:rsidP="00A81F6C">
            <w:pPr>
              <w:spacing w:before="40" w:after="40"/>
              <w:jc w:val="right"/>
              <w:rPr>
                <w:rFonts w:eastAsia="Times New Roman"/>
                <w:sz w:val="18"/>
                <w:szCs w:val="18"/>
                <w:lang w:val="en-GB"/>
              </w:rPr>
            </w:pPr>
          </w:p>
        </w:tc>
        <w:tc>
          <w:tcPr>
            <w:tcW w:w="4621" w:type="dxa"/>
            <w:tcBorders>
              <w:top w:val="single" w:sz="12" w:space="0" w:color="auto"/>
              <w:left w:val="nil"/>
              <w:bottom w:val="nil"/>
              <w:right w:val="nil"/>
            </w:tcBorders>
            <w:shd w:val="clear" w:color="auto" w:fill="auto"/>
            <w:hideMark/>
          </w:tcPr>
          <w:p w14:paraId="55BAC337" w14:textId="77777777" w:rsidR="0070496D" w:rsidRPr="00EB5EDA" w:rsidRDefault="0070496D" w:rsidP="00A81F6C">
            <w:pPr>
              <w:spacing w:before="40" w:after="40"/>
              <w:rPr>
                <w:rFonts w:eastAsia="Times New Roman"/>
                <w:sz w:val="18"/>
                <w:szCs w:val="18"/>
                <w:lang w:val="en-GB"/>
              </w:rPr>
            </w:pPr>
            <w:r w:rsidRPr="00EB5EDA">
              <w:rPr>
                <w:rFonts w:eastAsia="Times New Roman"/>
                <w:sz w:val="18"/>
                <w:szCs w:val="18"/>
                <w:lang w:val="en-GB"/>
              </w:rPr>
              <w:t>Electronic thermostats</w:t>
            </w:r>
          </w:p>
        </w:tc>
      </w:tr>
      <w:tr w:rsidR="0070496D" w:rsidRPr="00EB5EDA" w14:paraId="77477CCF" w14:textId="77777777" w:rsidTr="00A81F6C">
        <w:trPr>
          <w:cantSplit/>
          <w:trHeight w:val="57"/>
          <w:jc w:val="right"/>
        </w:trPr>
        <w:tc>
          <w:tcPr>
            <w:tcW w:w="1476" w:type="dxa"/>
            <w:tcBorders>
              <w:top w:val="nil"/>
              <w:left w:val="nil"/>
              <w:bottom w:val="nil"/>
              <w:right w:val="nil"/>
            </w:tcBorders>
            <w:shd w:val="clear" w:color="auto" w:fill="auto"/>
            <w:noWrap/>
            <w:hideMark/>
          </w:tcPr>
          <w:p w14:paraId="40A06E0F" w14:textId="77777777" w:rsidR="0070496D" w:rsidRPr="00EB5EDA" w:rsidRDefault="0070496D" w:rsidP="00A81F6C">
            <w:pPr>
              <w:spacing w:before="40" w:after="40"/>
              <w:jc w:val="right"/>
              <w:rPr>
                <w:rFonts w:eastAsia="Times New Roman"/>
                <w:sz w:val="18"/>
                <w:szCs w:val="18"/>
                <w:lang w:val="en-GB"/>
              </w:rPr>
            </w:pPr>
            <w:r w:rsidRPr="00EB5EDA">
              <w:rPr>
                <w:rFonts w:eastAsia="Times New Roman"/>
                <w:sz w:val="18"/>
                <w:szCs w:val="18"/>
                <w:lang w:val="en-GB"/>
              </w:rPr>
              <w:t>9032.10.80</w:t>
            </w:r>
          </w:p>
        </w:tc>
        <w:tc>
          <w:tcPr>
            <w:tcW w:w="2210" w:type="dxa"/>
            <w:tcBorders>
              <w:top w:val="nil"/>
              <w:left w:val="nil"/>
              <w:bottom w:val="nil"/>
              <w:right w:val="nil"/>
            </w:tcBorders>
            <w:shd w:val="clear" w:color="auto" w:fill="auto"/>
            <w:noWrap/>
            <w:hideMark/>
          </w:tcPr>
          <w:p w14:paraId="65AB03BF" w14:textId="77777777" w:rsidR="0070496D" w:rsidRPr="00EB5EDA" w:rsidRDefault="0070496D" w:rsidP="00A81F6C">
            <w:pPr>
              <w:spacing w:before="40" w:after="40"/>
              <w:jc w:val="right"/>
              <w:rPr>
                <w:rFonts w:eastAsia="Times New Roman"/>
                <w:sz w:val="18"/>
                <w:szCs w:val="18"/>
                <w:lang w:val="en-GB"/>
              </w:rPr>
            </w:pPr>
          </w:p>
        </w:tc>
        <w:tc>
          <w:tcPr>
            <w:tcW w:w="4621" w:type="dxa"/>
            <w:tcBorders>
              <w:top w:val="nil"/>
              <w:left w:val="nil"/>
              <w:bottom w:val="nil"/>
              <w:right w:val="nil"/>
            </w:tcBorders>
            <w:shd w:val="clear" w:color="auto" w:fill="auto"/>
            <w:hideMark/>
          </w:tcPr>
          <w:p w14:paraId="6CBBAF78" w14:textId="77777777" w:rsidR="0070496D" w:rsidRPr="00EB5EDA" w:rsidRDefault="0070496D" w:rsidP="00A81F6C">
            <w:pPr>
              <w:spacing w:before="40" w:after="40"/>
              <w:rPr>
                <w:rFonts w:eastAsia="Times New Roman"/>
                <w:sz w:val="18"/>
                <w:szCs w:val="18"/>
                <w:lang w:val="en-GB"/>
              </w:rPr>
            </w:pPr>
            <w:r w:rsidRPr="00EB5EDA">
              <w:rPr>
                <w:rFonts w:eastAsia="Times New Roman"/>
                <w:sz w:val="18"/>
                <w:szCs w:val="18"/>
                <w:lang w:val="en-GB"/>
              </w:rPr>
              <w:t>Other thermostats</w:t>
            </w:r>
          </w:p>
        </w:tc>
      </w:tr>
      <w:tr w:rsidR="0070496D" w:rsidRPr="00EB5EDA" w14:paraId="667CC8ED" w14:textId="77777777" w:rsidTr="002A72A8">
        <w:trPr>
          <w:cantSplit/>
          <w:trHeight w:val="57"/>
          <w:jc w:val="right"/>
        </w:trPr>
        <w:tc>
          <w:tcPr>
            <w:tcW w:w="1476" w:type="dxa"/>
            <w:tcBorders>
              <w:top w:val="nil"/>
              <w:left w:val="nil"/>
              <w:right w:val="nil"/>
            </w:tcBorders>
            <w:shd w:val="clear" w:color="auto" w:fill="auto"/>
            <w:noWrap/>
            <w:hideMark/>
          </w:tcPr>
          <w:p w14:paraId="0C8C18E6" w14:textId="77777777" w:rsidR="0070496D" w:rsidRPr="00EB5EDA" w:rsidRDefault="0070496D" w:rsidP="00A81F6C">
            <w:pPr>
              <w:spacing w:before="40" w:after="40"/>
              <w:jc w:val="right"/>
              <w:rPr>
                <w:rFonts w:eastAsia="Times New Roman"/>
                <w:sz w:val="18"/>
                <w:szCs w:val="18"/>
                <w:lang w:val="en-GB"/>
              </w:rPr>
            </w:pPr>
          </w:p>
        </w:tc>
        <w:tc>
          <w:tcPr>
            <w:tcW w:w="2210" w:type="dxa"/>
            <w:tcBorders>
              <w:top w:val="nil"/>
              <w:left w:val="nil"/>
              <w:right w:val="nil"/>
            </w:tcBorders>
            <w:shd w:val="clear" w:color="auto" w:fill="E7E6E6" w:themeFill="background2"/>
            <w:noWrap/>
            <w:hideMark/>
          </w:tcPr>
          <w:p w14:paraId="75A3E13B" w14:textId="77777777" w:rsidR="0070496D" w:rsidRPr="00EB5EDA" w:rsidRDefault="0070496D" w:rsidP="00A81F6C">
            <w:pPr>
              <w:spacing w:before="40" w:after="40"/>
              <w:jc w:val="right"/>
              <w:rPr>
                <w:rFonts w:eastAsia="Times New Roman"/>
                <w:sz w:val="18"/>
                <w:szCs w:val="18"/>
                <w:lang w:val="en-GB"/>
              </w:rPr>
            </w:pPr>
            <w:r w:rsidRPr="00EB5EDA">
              <w:rPr>
                <w:rFonts w:eastAsia="Times New Roman"/>
                <w:sz w:val="18"/>
                <w:szCs w:val="18"/>
                <w:lang w:val="en-GB"/>
              </w:rPr>
              <w:t>9032.10.80.10</w:t>
            </w:r>
          </w:p>
        </w:tc>
        <w:tc>
          <w:tcPr>
            <w:tcW w:w="4621" w:type="dxa"/>
            <w:tcBorders>
              <w:top w:val="nil"/>
              <w:left w:val="nil"/>
              <w:right w:val="nil"/>
            </w:tcBorders>
            <w:shd w:val="clear" w:color="auto" w:fill="E7E6E6" w:themeFill="background2"/>
            <w:hideMark/>
          </w:tcPr>
          <w:p w14:paraId="2B047EAF" w14:textId="77777777" w:rsidR="0070496D" w:rsidRPr="00EB5EDA" w:rsidRDefault="0070496D" w:rsidP="00A81F6C">
            <w:pPr>
              <w:spacing w:before="40" w:after="40"/>
              <w:rPr>
                <w:rFonts w:eastAsia="Times New Roman"/>
                <w:sz w:val="18"/>
                <w:szCs w:val="18"/>
                <w:lang w:val="en-GB"/>
              </w:rPr>
            </w:pPr>
            <w:r w:rsidRPr="00EB5EDA">
              <w:rPr>
                <w:rFonts w:eastAsia="Times New Roman"/>
                <w:sz w:val="18"/>
                <w:szCs w:val="18"/>
                <w:lang w:val="en-GB"/>
              </w:rPr>
              <w:t>Containing mercury</w:t>
            </w:r>
          </w:p>
        </w:tc>
      </w:tr>
      <w:tr w:rsidR="0070496D" w:rsidRPr="00EB5EDA" w14:paraId="27C25F0F" w14:textId="77777777" w:rsidTr="002A72A8">
        <w:trPr>
          <w:cantSplit/>
          <w:trHeight w:val="57"/>
          <w:jc w:val="right"/>
        </w:trPr>
        <w:tc>
          <w:tcPr>
            <w:tcW w:w="1476" w:type="dxa"/>
            <w:tcBorders>
              <w:top w:val="nil"/>
              <w:left w:val="nil"/>
              <w:bottom w:val="single" w:sz="12" w:space="0" w:color="auto"/>
              <w:right w:val="nil"/>
            </w:tcBorders>
            <w:shd w:val="clear" w:color="auto" w:fill="auto"/>
            <w:noWrap/>
            <w:hideMark/>
          </w:tcPr>
          <w:p w14:paraId="5C3525A1" w14:textId="77777777" w:rsidR="0070496D" w:rsidRPr="00EB5EDA" w:rsidRDefault="0070496D" w:rsidP="00A81F6C">
            <w:pPr>
              <w:spacing w:before="40" w:after="40"/>
              <w:jc w:val="right"/>
              <w:rPr>
                <w:rFonts w:eastAsia="Times New Roman"/>
                <w:sz w:val="18"/>
                <w:szCs w:val="18"/>
                <w:lang w:val="en-GB"/>
              </w:rPr>
            </w:pPr>
          </w:p>
        </w:tc>
        <w:tc>
          <w:tcPr>
            <w:tcW w:w="2210" w:type="dxa"/>
            <w:tcBorders>
              <w:top w:val="nil"/>
              <w:left w:val="nil"/>
              <w:bottom w:val="single" w:sz="12" w:space="0" w:color="auto"/>
              <w:right w:val="nil"/>
            </w:tcBorders>
            <w:shd w:val="clear" w:color="auto" w:fill="E7E6E6" w:themeFill="background2"/>
            <w:noWrap/>
            <w:hideMark/>
          </w:tcPr>
          <w:p w14:paraId="7DF18327" w14:textId="77777777" w:rsidR="0070496D" w:rsidRPr="00EB5EDA" w:rsidRDefault="0070496D" w:rsidP="00A81F6C">
            <w:pPr>
              <w:spacing w:before="40" w:after="40"/>
              <w:jc w:val="right"/>
              <w:rPr>
                <w:rFonts w:eastAsia="Times New Roman"/>
                <w:sz w:val="18"/>
                <w:szCs w:val="18"/>
                <w:lang w:val="en-GB"/>
              </w:rPr>
            </w:pPr>
            <w:r w:rsidRPr="00EB5EDA">
              <w:rPr>
                <w:rFonts w:eastAsia="Times New Roman"/>
                <w:sz w:val="18"/>
                <w:szCs w:val="18"/>
                <w:lang w:val="en-GB"/>
              </w:rPr>
              <w:t>9032.10.80.90</w:t>
            </w:r>
          </w:p>
        </w:tc>
        <w:tc>
          <w:tcPr>
            <w:tcW w:w="4621" w:type="dxa"/>
            <w:tcBorders>
              <w:top w:val="nil"/>
              <w:left w:val="nil"/>
              <w:bottom w:val="single" w:sz="12" w:space="0" w:color="auto"/>
              <w:right w:val="nil"/>
            </w:tcBorders>
            <w:shd w:val="clear" w:color="auto" w:fill="E7E6E6" w:themeFill="background2"/>
            <w:hideMark/>
          </w:tcPr>
          <w:p w14:paraId="35415E10" w14:textId="77777777" w:rsidR="0070496D" w:rsidRPr="00EB5EDA" w:rsidRDefault="0070496D" w:rsidP="00A81F6C">
            <w:pPr>
              <w:spacing w:before="40" w:after="40"/>
              <w:rPr>
                <w:rFonts w:eastAsia="Times New Roman"/>
                <w:sz w:val="18"/>
                <w:szCs w:val="18"/>
                <w:lang w:val="en-GB"/>
              </w:rPr>
            </w:pPr>
            <w:r w:rsidRPr="00EB5EDA">
              <w:rPr>
                <w:rFonts w:eastAsia="Times New Roman"/>
                <w:sz w:val="18"/>
                <w:szCs w:val="18"/>
                <w:lang w:val="en-GB"/>
              </w:rPr>
              <w:t>Others</w:t>
            </w:r>
          </w:p>
        </w:tc>
      </w:tr>
    </w:tbl>
    <w:p w14:paraId="66C594B8" w14:textId="77777777" w:rsidR="0070496D" w:rsidRPr="00EB5EDA" w:rsidRDefault="0070496D" w:rsidP="003B2AD6">
      <w:pPr>
        <w:pStyle w:val="Titletable"/>
        <w:spacing w:before="240"/>
        <w:rPr>
          <w:lang w:val="en-GB"/>
        </w:rPr>
      </w:pPr>
      <w:r w:rsidRPr="00EB5EDA">
        <w:rPr>
          <w:lang w:val="en-GB"/>
        </w:rPr>
        <w:t>Linear fluorescent lamps</w:t>
      </w:r>
    </w:p>
    <w:tbl>
      <w:tblPr>
        <w:tblW w:w="8307" w:type="dxa"/>
        <w:jc w:val="right"/>
        <w:tblLook w:val="04A0" w:firstRow="1" w:lastRow="0" w:firstColumn="1" w:lastColumn="0" w:noHBand="0" w:noVBand="1"/>
      </w:tblPr>
      <w:tblGrid>
        <w:gridCol w:w="1460"/>
        <w:gridCol w:w="2226"/>
        <w:gridCol w:w="4621"/>
      </w:tblGrid>
      <w:tr w:rsidR="0070496D" w:rsidRPr="00EB5EDA" w14:paraId="0A55B4EC" w14:textId="77777777" w:rsidTr="002A72A8">
        <w:trPr>
          <w:cantSplit/>
          <w:trHeight w:val="57"/>
          <w:jc w:val="right"/>
        </w:trPr>
        <w:tc>
          <w:tcPr>
            <w:tcW w:w="1460" w:type="dxa"/>
            <w:tcBorders>
              <w:left w:val="nil"/>
              <w:right w:val="nil"/>
            </w:tcBorders>
            <w:shd w:val="clear" w:color="auto" w:fill="auto"/>
            <w:vAlign w:val="bottom"/>
            <w:hideMark/>
          </w:tcPr>
          <w:p w14:paraId="44E7419E" w14:textId="6A4FD13D" w:rsidR="0070496D" w:rsidRPr="00EB5EDA" w:rsidRDefault="0070496D" w:rsidP="00A81F6C">
            <w:pPr>
              <w:spacing w:before="40" w:after="40"/>
              <w:jc w:val="right"/>
              <w:rPr>
                <w:rFonts w:eastAsia="Times New Roman"/>
                <w:i/>
                <w:iCs/>
                <w:sz w:val="18"/>
                <w:szCs w:val="18"/>
                <w:lang w:val="en-GB"/>
              </w:rPr>
            </w:pPr>
            <w:r w:rsidRPr="00EB5EDA">
              <w:rPr>
                <w:rFonts w:eastAsia="Times New Roman"/>
                <w:i/>
                <w:iCs/>
                <w:color w:val="000000"/>
                <w:sz w:val="18"/>
                <w:szCs w:val="18"/>
                <w:lang w:val="en-GB"/>
              </w:rPr>
              <w:t>Existing code</w:t>
            </w:r>
          </w:p>
        </w:tc>
        <w:tc>
          <w:tcPr>
            <w:tcW w:w="2226" w:type="dxa"/>
            <w:tcBorders>
              <w:left w:val="nil"/>
              <w:right w:val="nil"/>
            </w:tcBorders>
            <w:shd w:val="clear" w:color="auto" w:fill="auto"/>
            <w:vAlign w:val="bottom"/>
            <w:hideMark/>
          </w:tcPr>
          <w:p w14:paraId="76CD1E04" w14:textId="77777777" w:rsidR="0070496D" w:rsidRPr="00EB5EDA" w:rsidRDefault="0070496D" w:rsidP="00A81F6C">
            <w:pPr>
              <w:spacing w:before="40" w:after="40"/>
              <w:jc w:val="right"/>
              <w:rPr>
                <w:rFonts w:eastAsia="Times New Roman"/>
                <w:i/>
                <w:iCs/>
                <w:sz w:val="18"/>
                <w:szCs w:val="18"/>
                <w:lang w:val="en-GB"/>
              </w:rPr>
            </w:pPr>
            <w:r w:rsidRPr="00EB5EDA">
              <w:rPr>
                <w:rFonts w:eastAsia="Times New Roman"/>
                <w:i/>
                <w:iCs/>
                <w:sz w:val="18"/>
                <w:szCs w:val="18"/>
                <w:lang w:val="en-GB"/>
              </w:rPr>
              <w:t>Proposed statistical codes</w:t>
            </w:r>
          </w:p>
        </w:tc>
        <w:tc>
          <w:tcPr>
            <w:tcW w:w="4621" w:type="dxa"/>
            <w:tcBorders>
              <w:left w:val="nil"/>
              <w:right w:val="nil"/>
            </w:tcBorders>
            <w:shd w:val="clear" w:color="auto" w:fill="auto"/>
            <w:vAlign w:val="bottom"/>
            <w:hideMark/>
          </w:tcPr>
          <w:p w14:paraId="36057491" w14:textId="77777777" w:rsidR="0070496D" w:rsidRPr="00EB5EDA" w:rsidRDefault="0070496D" w:rsidP="00A81F6C">
            <w:pPr>
              <w:spacing w:before="40" w:after="40"/>
              <w:rPr>
                <w:rFonts w:eastAsia="Times New Roman"/>
                <w:i/>
                <w:iCs/>
                <w:sz w:val="18"/>
                <w:szCs w:val="18"/>
                <w:lang w:val="en-GB"/>
              </w:rPr>
            </w:pPr>
            <w:r w:rsidRPr="00EB5EDA">
              <w:rPr>
                <w:rFonts w:eastAsia="Times New Roman"/>
                <w:i/>
                <w:iCs/>
                <w:sz w:val="18"/>
                <w:szCs w:val="18"/>
                <w:lang w:val="en-GB"/>
              </w:rPr>
              <w:t>Description</w:t>
            </w:r>
          </w:p>
        </w:tc>
      </w:tr>
      <w:tr w:rsidR="0070496D" w:rsidRPr="00EB5EDA" w14:paraId="01E4ACC1" w14:textId="77777777" w:rsidTr="002A72A8">
        <w:trPr>
          <w:cantSplit/>
          <w:trHeight w:val="57"/>
          <w:jc w:val="right"/>
        </w:trPr>
        <w:tc>
          <w:tcPr>
            <w:tcW w:w="1460" w:type="dxa"/>
            <w:tcBorders>
              <w:left w:val="nil"/>
              <w:bottom w:val="nil"/>
              <w:right w:val="nil"/>
            </w:tcBorders>
            <w:shd w:val="clear" w:color="auto" w:fill="000000" w:themeFill="text1"/>
            <w:noWrap/>
            <w:hideMark/>
          </w:tcPr>
          <w:p w14:paraId="150A77D6" w14:textId="77777777" w:rsidR="0070496D" w:rsidRPr="00EB5EDA" w:rsidRDefault="0070496D" w:rsidP="00A81F6C">
            <w:pPr>
              <w:spacing w:before="40" w:after="40"/>
              <w:jc w:val="right"/>
              <w:rPr>
                <w:rFonts w:eastAsia="Times New Roman"/>
                <w:b/>
                <w:bCs/>
                <w:sz w:val="18"/>
                <w:szCs w:val="18"/>
                <w:lang w:val="en-GB"/>
              </w:rPr>
            </w:pPr>
          </w:p>
        </w:tc>
        <w:tc>
          <w:tcPr>
            <w:tcW w:w="2226" w:type="dxa"/>
            <w:tcBorders>
              <w:left w:val="nil"/>
              <w:bottom w:val="nil"/>
              <w:right w:val="nil"/>
            </w:tcBorders>
            <w:shd w:val="clear" w:color="auto" w:fill="000000" w:themeFill="text1"/>
            <w:noWrap/>
            <w:hideMark/>
          </w:tcPr>
          <w:p w14:paraId="4DA405C3" w14:textId="77777777" w:rsidR="0070496D" w:rsidRPr="00EB5EDA" w:rsidRDefault="0070496D" w:rsidP="00A81F6C">
            <w:pPr>
              <w:spacing w:before="40" w:after="40"/>
              <w:jc w:val="right"/>
              <w:rPr>
                <w:b/>
                <w:sz w:val="18"/>
                <w:szCs w:val="18"/>
                <w:lang w:val="en-GB"/>
              </w:rPr>
            </w:pPr>
          </w:p>
        </w:tc>
        <w:tc>
          <w:tcPr>
            <w:tcW w:w="4621" w:type="dxa"/>
            <w:tcBorders>
              <w:left w:val="nil"/>
              <w:bottom w:val="nil"/>
              <w:right w:val="nil"/>
            </w:tcBorders>
            <w:shd w:val="clear" w:color="auto" w:fill="000000" w:themeFill="text1"/>
            <w:hideMark/>
          </w:tcPr>
          <w:p w14:paraId="287DEC72" w14:textId="77777777" w:rsidR="0070496D" w:rsidRPr="00EB5EDA" w:rsidRDefault="0070496D" w:rsidP="00A81F6C">
            <w:pPr>
              <w:spacing w:before="40" w:after="40"/>
              <w:rPr>
                <w:b/>
                <w:sz w:val="18"/>
                <w:szCs w:val="18"/>
                <w:lang w:val="en-GB"/>
              </w:rPr>
            </w:pPr>
            <w:r w:rsidRPr="00EB5EDA">
              <w:rPr>
                <w:b/>
                <w:sz w:val="18"/>
                <w:szCs w:val="18"/>
                <w:lang w:val="en-GB"/>
              </w:rPr>
              <w:t>Fluorescent, hot cathode discharge lamps, other than ultraviolet lamps</w:t>
            </w:r>
          </w:p>
        </w:tc>
      </w:tr>
      <w:tr w:rsidR="0070496D" w:rsidRPr="00EB5EDA" w14:paraId="558E9171" w14:textId="77777777" w:rsidTr="00A81F6C">
        <w:trPr>
          <w:cantSplit/>
          <w:trHeight w:val="57"/>
          <w:jc w:val="right"/>
        </w:trPr>
        <w:tc>
          <w:tcPr>
            <w:tcW w:w="1460" w:type="dxa"/>
            <w:tcBorders>
              <w:top w:val="nil"/>
              <w:left w:val="nil"/>
              <w:bottom w:val="nil"/>
              <w:right w:val="nil"/>
            </w:tcBorders>
            <w:shd w:val="clear" w:color="auto" w:fill="auto"/>
            <w:noWrap/>
            <w:hideMark/>
          </w:tcPr>
          <w:p w14:paraId="3CC42BB3" w14:textId="77777777" w:rsidR="0070496D" w:rsidRPr="00EB5EDA" w:rsidRDefault="0070496D" w:rsidP="00A81F6C">
            <w:pPr>
              <w:spacing w:before="40" w:after="40"/>
              <w:jc w:val="right"/>
              <w:rPr>
                <w:rFonts w:eastAsia="Times New Roman"/>
                <w:sz w:val="18"/>
                <w:szCs w:val="18"/>
                <w:lang w:val="en-GB"/>
              </w:rPr>
            </w:pPr>
            <w:r w:rsidRPr="00EB5EDA">
              <w:rPr>
                <w:rFonts w:eastAsia="Times New Roman"/>
                <w:sz w:val="18"/>
                <w:szCs w:val="18"/>
                <w:lang w:val="en-GB"/>
              </w:rPr>
              <w:t>8539.31.00.10</w:t>
            </w:r>
          </w:p>
        </w:tc>
        <w:tc>
          <w:tcPr>
            <w:tcW w:w="2226" w:type="dxa"/>
            <w:tcBorders>
              <w:top w:val="nil"/>
              <w:left w:val="nil"/>
              <w:bottom w:val="nil"/>
              <w:right w:val="nil"/>
            </w:tcBorders>
            <w:shd w:val="clear" w:color="auto" w:fill="auto"/>
            <w:noWrap/>
            <w:hideMark/>
          </w:tcPr>
          <w:p w14:paraId="4CCD45B9" w14:textId="77777777" w:rsidR="0070496D" w:rsidRPr="00EB5EDA" w:rsidRDefault="0070496D" w:rsidP="00A81F6C">
            <w:pPr>
              <w:spacing w:before="40" w:after="40"/>
              <w:jc w:val="right"/>
              <w:rPr>
                <w:rFonts w:eastAsia="Times New Roman"/>
                <w:sz w:val="18"/>
                <w:szCs w:val="18"/>
                <w:lang w:val="en-GB"/>
              </w:rPr>
            </w:pPr>
          </w:p>
        </w:tc>
        <w:tc>
          <w:tcPr>
            <w:tcW w:w="4621" w:type="dxa"/>
            <w:tcBorders>
              <w:top w:val="nil"/>
              <w:left w:val="nil"/>
              <w:bottom w:val="nil"/>
              <w:right w:val="nil"/>
            </w:tcBorders>
            <w:shd w:val="clear" w:color="auto" w:fill="auto"/>
            <w:hideMark/>
          </w:tcPr>
          <w:p w14:paraId="79F8B6ED" w14:textId="77777777" w:rsidR="0070496D" w:rsidRPr="00EB5EDA" w:rsidRDefault="0070496D" w:rsidP="00A81F6C">
            <w:pPr>
              <w:spacing w:before="40" w:after="40"/>
              <w:rPr>
                <w:rFonts w:eastAsia="Times New Roman"/>
                <w:sz w:val="18"/>
                <w:szCs w:val="18"/>
                <w:lang w:val="en-GB"/>
              </w:rPr>
            </w:pPr>
            <w:r w:rsidRPr="00EB5EDA">
              <w:rPr>
                <w:rFonts w:eastAsia="Times New Roman"/>
                <w:sz w:val="18"/>
                <w:szCs w:val="18"/>
                <w:lang w:val="en-GB"/>
              </w:rPr>
              <w:t>Linear fluorescent lamps (LFLs) for general lighting purposes</w:t>
            </w:r>
          </w:p>
        </w:tc>
      </w:tr>
      <w:tr w:rsidR="0070496D" w:rsidRPr="00EB5EDA" w14:paraId="386F2105" w14:textId="77777777" w:rsidTr="00A81F6C">
        <w:trPr>
          <w:cantSplit/>
          <w:trHeight w:val="57"/>
          <w:jc w:val="right"/>
        </w:trPr>
        <w:tc>
          <w:tcPr>
            <w:tcW w:w="1460" w:type="dxa"/>
            <w:tcBorders>
              <w:top w:val="nil"/>
              <w:left w:val="nil"/>
              <w:bottom w:val="nil"/>
              <w:right w:val="nil"/>
            </w:tcBorders>
            <w:shd w:val="clear" w:color="auto" w:fill="E7E6E6" w:themeFill="background2"/>
            <w:noWrap/>
            <w:hideMark/>
          </w:tcPr>
          <w:p w14:paraId="596E72E4" w14:textId="77777777" w:rsidR="0070496D" w:rsidRPr="00EB5EDA" w:rsidRDefault="0070496D" w:rsidP="00A81F6C">
            <w:pPr>
              <w:spacing w:before="40" w:after="40"/>
              <w:jc w:val="right"/>
              <w:rPr>
                <w:rFonts w:eastAsia="Times New Roman"/>
                <w:sz w:val="18"/>
                <w:szCs w:val="18"/>
                <w:lang w:val="en-GB"/>
              </w:rPr>
            </w:pPr>
          </w:p>
        </w:tc>
        <w:tc>
          <w:tcPr>
            <w:tcW w:w="2226" w:type="dxa"/>
            <w:tcBorders>
              <w:top w:val="nil"/>
              <w:left w:val="nil"/>
              <w:bottom w:val="nil"/>
              <w:right w:val="nil"/>
            </w:tcBorders>
            <w:shd w:val="clear" w:color="auto" w:fill="E7E6E6" w:themeFill="background2"/>
            <w:noWrap/>
            <w:hideMark/>
          </w:tcPr>
          <w:p w14:paraId="7D3A82AB" w14:textId="77777777" w:rsidR="0070496D" w:rsidRPr="00EB5EDA" w:rsidRDefault="0070496D" w:rsidP="00A81F6C">
            <w:pPr>
              <w:spacing w:before="40" w:after="40"/>
              <w:jc w:val="right"/>
              <w:rPr>
                <w:rFonts w:eastAsia="Times New Roman"/>
                <w:sz w:val="18"/>
                <w:szCs w:val="18"/>
                <w:lang w:val="en-GB"/>
              </w:rPr>
            </w:pPr>
            <w:r w:rsidRPr="00EB5EDA">
              <w:rPr>
                <w:rFonts w:eastAsia="Times New Roman"/>
                <w:sz w:val="18"/>
                <w:szCs w:val="18"/>
                <w:lang w:val="en-GB"/>
              </w:rPr>
              <w:t>8539.31.00.11</w:t>
            </w:r>
          </w:p>
        </w:tc>
        <w:tc>
          <w:tcPr>
            <w:tcW w:w="4621" w:type="dxa"/>
            <w:tcBorders>
              <w:top w:val="nil"/>
              <w:left w:val="nil"/>
              <w:bottom w:val="nil"/>
              <w:right w:val="nil"/>
            </w:tcBorders>
            <w:shd w:val="clear" w:color="auto" w:fill="E7E6E6" w:themeFill="background2"/>
            <w:hideMark/>
          </w:tcPr>
          <w:p w14:paraId="48B3E543" w14:textId="776552A2" w:rsidR="0070496D" w:rsidRPr="00EB5EDA" w:rsidRDefault="0070496D" w:rsidP="00A81F6C">
            <w:pPr>
              <w:spacing w:before="40" w:after="40"/>
              <w:rPr>
                <w:rFonts w:eastAsia="Times New Roman"/>
                <w:sz w:val="18"/>
                <w:szCs w:val="18"/>
                <w:lang w:val="en-GB"/>
              </w:rPr>
            </w:pPr>
            <w:r w:rsidRPr="00EB5EDA">
              <w:rPr>
                <w:rFonts w:eastAsia="Times New Roman"/>
                <w:sz w:val="18"/>
                <w:szCs w:val="18"/>
                <w:lang w:val="en-GB"/>
              </w:rPr>
              <w:t xml:space="preserve">Triband phosphor </w:t>
            </w:r>
            <w:r w:rsidR="009A03E0" w:rsidRPr="00EB5EDA">
              <w:rPr>
                <w:rFonts w:eastAsia="Times New Roman"/>
                <w:sz w:val="18"/>
                <w:szCs w:val="18"/>
                <w:lang w:val="en-GB"/>
              </w:rPr>
              <w:t xml:space="preserve">less than </w:t>
            </w:r>
            <w:r w:rsidRPr="00EB5EDA">
              <w:rPr>
                <w:rFonts w:eastAsia="Times New Roman"/>
                <w:sz w:val="18"/>
                <w:szCs w:val="18"/>
                <w:lang w:val="en-GB"/>
              </w:rPr>
              <w:t xml:space="preserve">60 watts with a mercury content </w:t>
            </w:r>
            <w:r w:rsidR="005C0340" w:rsidRPr="00EB5EDA">
              <w:rPr>
                <w:rFonts w:eastAsia="Times New Roman"/>
                <w:sz w:val="18"/>
                <w:szCs w:val="18"/>
                <w:lang w:val="en-GB"/>
              </w:rPr>
              <w:t>not exceeding</w:t>
            </w:r>
            <w:r w:rsidRPr="00EB5EDA">
              <w:rPr>
                <w:rFonts w:eastAsia="Times New Roman"/>
                <w:sz w:val="18"/>
                <w:szCs w:val="18"/>
                <w:lang w:val="en-GB"/>
              </w:rPr>
              <w:t xml:space="preserve"> 5 mg per lamp</w:t>
            </w:r>
          </w:p>
        </w:tc>
      </w:tr>
      <w:tr w:rsidR="0070496D" w:rsidRPr="00EB5EDA" w14:paraId="088F078F" w14:textId="77777777" w:rsidTr="00A81F6C">
        <w:trPr>
          <w:cantSplit/>
          <w:trHeight w:val="57"/>
          <w:jc w:val="right"/>
        </w:trPr>
        <w:tc>
          <w:tcPr>
            <w:tcW w:w="1460" w:type="dxa"/>
            <w:tcBorders>
              <w:top w:val="nil"/>
              <w:left w:val="nil"/>
              <w:right w:val="nil"/>
            </w:tcBorders>
            <w:shd w:val="clear" w:color="auto" w:fill="E7E6E6" w:themeFill="background2"/>
            <w:noWrap/>
            <w:hideMark/>
          </w:tcPr>
          <w:p w14:paraId="1A5282F4" w14:textId="77777777" w:rsidR="0070496D" w:rsidRPr="00EB5EDA" w:rsidRDefault="0070496D" w:rsidP="00A81F6C">
            <w:pPr>
              <w:spacing w:before="40" w:after="40"/>
              <w:jc w:val="right"/>
              <w:rPr>
                <w:rFonts w:eastAsia="Times New Roman"/>
                <w:sz w:val="18"/>
                <w:szCs w:val="18"/>
                <w:lang w:val="en-GB"/>
              </w:rPr>
            </w:pPr>
          </w:p>
        </w:tc>
        <w:tc>
          <w:tcPr>
            <w:tcW w:w="2226" w:type="dxa"/>
            <w:tcBorders>
              <w:top w:val="nil"/>
              <w:left w:val="nil"/>
              <w:right w:val="nil"/>
            </w:tcBorders>
            <w:shd w:val="clear" w:color="auto" w:fill="E7E6E6" w:themeFill="background2"/>
            <w:noWrap/>
            <w:hideMark/>
          </w:tcPr>
          <w:p w14:paraId="6A767EB7" w14:textId="77777777" w:rsidR="0070496D" w:rsidRPr="00EB5EDA" w:rsidRDefault="0070496D" w:rsidP="00A81F6C">
            <w:pPr>
              <w:spacing w:before="40" w:after="40"/>
              <w:jc w:val="right"/>
              <w:rPr>
                <w:rFonts w:eastAsia="Times New Roman"/>
                <w:sz w:val="18"/>
                <w:szCs w:val="18"/>
                <w:lang w:val="en-GB"/>
              </w:rPr>
            </w:pPr>
            <w:r w:rsidRPr="00EB5EDA">
              <w:rPr>
                <w:rFonts w:eastAsia="Times New Roman"/>
                <w:sz w:val="18"/>
                <w:szCs w:val="18"/>
                <w:lang w:val="en-GB"/>
              </w:rPr>
              <w:t>8539.31.00.12</w:t>
            </w:r>
          </w:p>
        </w:tc>
        <w:tc>
          <w:tcPr>
            <w:tcW w:w="4621" w:type="dxa"/>
            <w:tcBorders>
              <w:top w:val="nil"/>
              <w:left w:val="nil"/>
              <w:right w:val="nil"/>
            </w:tcBorders>
            <w:shd w:val="clear" w:color="auto" w:fill="E7E6E6" w:themeFill="background2"/>
            <w:hideMark/>
          </w:tcPr>
          <w:p w14:paraId="5EE81589" w14:textId="3AF8CF4C" w:rsidR="0070496D" w:rsidRPr="00EB5EDA" w:rsidRDefault="0070496D" w:rsidP="00A81F6C">
            <w:pPr>
              <w:spacing w:before="40" w:after="40"/>
              <w:rPr>
                <w:rFonts w:eastAsia="Times New Roman"/>
                <w:sz w:val="18"/>
                <w:szCs w:val="18"/>
                <w:lang w:val="en-GB"/>
              </w:rPr>
            </w:pPr>
            <w:r w:rsidRPr="00EB5EDA">
              <w:rPr>
                <w:rFonts w:eastAsia="Times New Roman"/>
                <w:sz w:val="18"/>
                <w:szCs w:val="18"/>
                <w:lang w:val="en-GB"/>
              </w:rPr>
              <w:t xml:space="preserve">Halophosphate phosphor </w:t>
            </w:r>
            <w:r w:rsidR="009A03E0" w:rsidRPr="00EB5EDA">
              <w:rPr>
                <w:rFonts w:eastAsia="Times New Roman"/>
                <w:sz w:val="18"/>
                <w:szCs w:val="18"/>
                <w:lang w:val="en-GB"/>
              </w:rPr>
              <w:t xml:space="preserve">less than </w:t>
            </w:r>
            <w:r w:rsidRPr="00EB5EDA">
              <w:rPr>
                <w:rFonts w:eastAsia="Times New Roman"/>
                <w:sz w:val="18"/>
                <w:szCs w:val="18"/>
                <w:lang w:val="en-GB"/>
              </w:rPr>
              <w:t xml:space="preserve">40 watts with a mercury content </w:t>
            </w:r>
            <w:r w:rsidR="005C0340" w:rsidRPr="00EB5EDA">
              <w:rPr>
                <w:rFonts w:eastAsia="Times New Roman"/>
                <w:sz w:val="18"/>
                <w:szCs w:val="18"/>
                <w:lang w:val="en-GB"/>
              </w:rPr>
              <w:t>not exceeding</w:t>
            </w:r>
            <w:r w:rsidRPr="00EB5EDA">
              <w:rPr>
                <w:rFonts w:eastAsia="Times New Roman"/>
                <w:sz w:val="18"/>
                <w:szCs w:val="18"/>
                <w:lang w:val="en-GB"/>
              </w:rPr>
              <w:t xml:space="preserve"> 10 mg per lamp</w:t>
            </w:r>
          </w:p>
        </w:tc>
      </w:tr>
      <w:tr w:rsidR="0070496D" w:rsidRPr="00EB5EDA" w14:paraId="1E1C9A49" w14:textId="77777777" w:rsidTr="00A81F6C">
        <w:trPr>
          <w:cantSplit/>
          <w:trHeight w:val="57"/>
          <w:jc w:val="right"/>
        </w:trPr>
        <w:tc>
          <w:tcPr>
            <w:tcW w:w="1460" w:type="dxa"/>
            <w:tcBorders>
              <w:top w:val="nil"/>
              <w:left w:val="nil"/>
              <w:bottom w:val="single" w:sz="12" w:space="0" w:color="auto"/>
              <w:right w:val="nil"/>
            </w:tcBorders>
            <w:shd w:val="clear" w:color="auto" w:fill="auto"/>
            <w:noWrap/>
            <w:hideMark/>
          </w:tcPr>
          <w:p w14:paraId="7221A3CE" w14:textId="77777777" w:rsidR="0070496D" w:rsidRPr="00EB5EDA" w:rsidRDefault="0070496D" w:rsidP="00A81F6C">
            <w:pPr>
              <w:spacing w:before="40" w:after="40"/>
              <w:jc w:val="right"/>
              <w:rPr>
                <w:rFonts w:eastAsia="Times New Roman"/>
                <w:sz w:val="18"/>
                <w:szCs w:val="18"/>
                <w:lang w:val="en-GB"/>
              </w:rPr>
            </w:pPr>
            <w:r w:rsidRPr="00EB5EDA">
              <w:rPr>
                <w:rFonts w:eastAsia="Times New Roman"/>
                <w:sz w:val="18"/>
                <w:szCs w:val="18"/>
                <w:lang w:val="en-GB"/>
              </w:rPr>
              <w:t>8539.31.00.90</w:t>
            </w:r>
          </w:p>
        </w:tc>
        <w:tc>
          <w:tcPr>
            <w:tcW w:w="2226" w:type="dxa"/>
            <w:tcBorders>
              <w:top w:val="nil"/>
              <w:left w:val="nil"/>
              <w:bottom w:val="single" w:sz="12" w:space="0" w:color="auto"/>
              <w:right w:val="nil"/>
            </w:tcBorders>
            <w:shd w:val="clear" w:color="auto" w:fill="FFFFFF" w:themeFill="background1"/>
            <w:noWrap/>
            <w:hideMark/>
          </w:tcPr>
          <w:p w14:paraId="0F961225" w14:textId="77777777" w:rsidR="0070496D" w:rsidRPr="00EB5EDA" w:rsidRDefault="0070496D" w:rsidP="00A81F6C">
            <w:pPr>
              <w:spacing w:before="40" w:after="40"/>
              <w:jc w:val="right"/>
              <w:rPr>
                <w:rFonts w:eastAsia="Times New Roman"/>
                <w:sz w:val="18"/>
                <w:szCs w:val="18"/>
                <w:lang w:val="en-GB"/>
              </w:rPr>
            </w:pPr>
          </w:p>
        </w:tc>
        <w:tc>
          <w:tcPr>
            <w:tcW w:w="4621" w:type="dxa"/>
            <w:tcBorders>
              <w:top w:val="nil"/>
              <w:left w:val="nil"/>
              <w:bottom w:val="single" w:sz="12" w:space="0" w:color="auto"/>
              <w:right w:val="nil"/>
            </w:tcBorders>
            <w:shd w:val="clear" w:color="auto" w:fill="FFFFFF" w:themeFill="background1"/>
            <w:hideMark/>
          </w:tcPr>
          <w:p w14:paraId="0B42D61C" w14:textId="77777777" w:rsidR="0070496D" w:rsidRPr="00EB5EDA" w:rsidRDefault="0070496D" w:rsidP="00A81F6C">
            <w:pPr>
              <w:spacing w:before="40" w:after="40"/>
              <w:rPr>
                <w:rFonts w:eastAsia="Times New Roman"/>
                <w:sz w:val="18"/>
                <w:szCs w:val="18"/>
                <w:lang w:val="en-GB"/>
              </w:rPr>
            </w:pPr>
            <w:r w:rsidRPr="00EB5EDA">
              <w:rPr>
                <w:rFonts w:eastAsia="Times New Roman"/>
                <w:sz w:val="18"/>
                <w:szCs w:val="18"/>
                <w:lang w:val="en-GB"/>
              </w:rPr>
              <w:t>Other</w:t>
            </w:r>
          </w:p>
        </w:tc>
      </w:tr>
    </w:tbl>
    <w:p w14:paraId="4A579924" w14:textId="77777777" w:rsidR="0070496D" w:rsidRPr="00EB5EDA" w:rsidRDefault="0070496D" w:rsidP="003B2AD6">
      <w:pPr>
        <w:pStyle w:val="Titletable"/>
        <w:spacing w:before="240"/>
        <w:rPr>
          <w:lang w:val="en-GB"/>
        </w:rPr>
      </w:pPr>
      <w:r w:rsidRPr="00EB5EDA">
        <w:rPr>
          <w:lang w:val="en-GB"/>
        </w:rPr>
        <w:t>Compact fluorescent lamps</w:t>
      </w:r>
    </w:p>
    <w:tbl>
      <w:tblPr>
        <w:tblW w:w="8307" w:type="dxa"/>
        <w:jc w:val="right"/>
        <w:tblLook w:val="04A0" w:firstRow="1" w:lastRow="0" w:firstColumn="1" w:lastColumn="0" w:noHBand="0" w:noVBand="1"/>
      </w:tblPr>
      <w:tblGrid>
        <w:gridCol w:w="1460"/>
        <w:gridCol w:w="2226"/>
        <w:gridCol w:w="4621"/>
      </w:tblGrid>
      <w:tr w:rsidR="0070496D" w:rsidRPr="00EB5EDA" w14:paraId="4CF2B261" w14:textId="77777777" w:rsidTr="00A81F6C">
        <w:trPr>
          <w:cantSplit/>
          <w:trHeight w:val="57"/>
          <w:jc w:val="right"/>
        </w:trPr>
        <w:tc>
          <w:tcPr>
            <w:tcW w:w="1460" w:type="dxa"/>
            <w:tcBorders>
              <w:top w:val="single" w:sz="4" w:space="0" w:color="auto"/>
              <w:left w:val="nil"/>
              <w:bottom w:val="single" w:sz="12" w:space="0" w:color="auto"/>
              <w:right w:val="nil"/>
            </w:tcBorders>
            <w:shd w:val="clear" w:color="auto" w:fill="auto"/>
            <w:vAlign w:val="bottom"/>
            <w:hideMark/>
          </w:tcPr>
          <w:p w14:paraId="1D9AE3E1" w14:textId="76357384" w:rsidR="0070496D" w:rsidRPr="00EB5EDA" w:rsidRDefault="0070496D" w:rsidP="00571121">
            <w:pPr>
              <w:pStyle w:val="Normal-pool"/>
              <w:spacing w:before="20" w:after="20"/>
              <w:jc w:val="right"/>
              <w:rPr>
                <w:i/>
                <w:iCs/>
                <w:sz w:val="18"/>
                <w:szCs w:val="18"/>
                <w:lang w:val="en-GB"/>
              </w:rPr>
            </w:pPr>
            <w:r w:rsidRPr="00EB5EDA">
              <w:rPr>
                <w:i/>
                <w:iCs/>
                <w:sz w:val="18"/>
                <w:szCs w:val="18"/>
                <w:lang w:val="en-GB"/>
              </w:rPr>
              <w:t>Existing code</w:t>
            </w:r>
          </w:p>
        </w:tc>
        <w:tc>
          <w:tcPr>
            <w:tcW w:w="2226" w:type="dxa"/>
            <w:tcBorders>
              <w:top w:val="single" w:sz="4" w:space="0" w:color="auto"/>
              <w:left w:val="nil"/>
              <w:bottom w:val="single" w:sz="12" w:space="0" w:color="auto"/>
              <w:right w:val="nil"/>
            </w:tcBorders>
            <w:shd w:val="clear" w:color="auto" w:fill="auto"/>
            <w:vAlign w:val="bottom"/>
            <w:hideMark/>
          </w:tcPr>
          <w:p w14:paraId="5A24F47F" w14:textId="77777777" w:rsidR="0070496D" w:rsidRPr="00EB5EDA" w:rsidRDefault="0070496D" w:rsidP="00571121">
            <w:pPr>
              <w:pStyle w:val="Normal-pool"/>
              <w:spacing w:before="20" w:after="20"/>
              <w:jc w:val="right"/>
              <w:rPr>
                <w:i/>
                <w:iCs/>
                <w:sz w:val="18"/>
                <w:szCs w:val="18"/>
                <w:lang w:val="en-GB"/>
              </w:rPr>
            </w:pPr>
            <w:r w:rsidRPr="00EB5EDA">
              <w:rPr>
                <w:i/>
                <w:iCs/>
                <w:sz w:val="18"/>
                <w:szCs w:val="18"/>
                <w:lang w:val="en-GB"/>
              </w:rPr>
              <w:t>Proposed statistical codes</w:t>
            </w:r>
          </w:p>
        </w:tc>
        <w:tc>
          <w:tcPr>
            <w:tcW w:w="4621" w:type="dxa"/>
            <w:tcBorders>
              <w:top w:val="single" w:sz="4" w:space="0" w:color="auto"/>
              <w:left w:val="nil"/>
              <w:bottom w:val="single" w:sz="12" w:space="0" w:color="auto"/>
              <w:right w:val="nil"/>
            </w:tcBorders>
            <w:shd w:val="clear" w:color="auto" w:fill="auto"/>
            <w:vAlign w:val="bottom"/>
            <w:hideMark/>
          </w:tcPr>
          <w:p w14:paraId="56C48A19" w14:textId="77777777" w:rsidR="0070496D" w:rsidRPr="00EB5EDA" w:rsidRDefault="0070496D" w:rsidP="002A72A8">
            <w:pPr>
              <w:pStyle w:val="Normal-pool"/>
              <w:spacing w:before="20" w:after="20"/>
              <w:rPr>
                <w:i/>
                <w:iCs/>
                <w:sz w:val="18"/>
                <w:szCs w:val="18"/>
                <w:lang w:val="en-GB"/>
              </w:rPr>
            </w:pPr>
            <w:r w:rsidRPr="00EB5EDA">
              <w:rPr>
                <w:i/>
                <w:iCs/>
                <w:sz w:val="18"/>
                <w:szCs w:val="18"/>
                <w:lang w:val="en-GB"/>
              </w:rPr>
              <w:t>Description</w:t>
            </w:r>
          </w:p>
        </w:tc>
      </w:tr>
      <w:tr w:rsidR="0070496D" w:rsidRPr="00EB5EDA" w14:paraId="1B93F575" w14:textId="77777777" w:rsidTr="00A81F6C">
        <w:trPr>
          <w:cantSplit/>
          <w:trHeight w:val="57"/>
          <w:jc w:val="right"/>
        </w:trPr>
        <w:tc>
          <w:tcPr>
            <w:tcW w:w="1460" w:type="dxa"/>
            <w:tcBorders>
              <w:top w:val="single" w:sz="12" w:space="0" w:color="auto"/>
              <w:left w:val="nil"/>
              <w:bottom w:val="nil"/>
              <w:right w:val="nil"/>
            </w:tcBorders>
            <w:shd w:val="clear" w:color="auto" w:fill="auto"/>
            <w:noWrap/>
            <w:hideMark/>
          </w:tcPr>
          <w:p w14:paraId="15B21027" w14:textId="77777777" w:rsidR="0070496D" w:rsidRPr="00EB5EDA" w:rsidRDefault="0070496D" w:rsidP="002A72A8">
            <w:pPr>
              <w:pStyle w:val="Normal-pool"/>
              <w:spacing w:before="20" w:after="20"/>
              <w:jc w:val="right"/>
              <w:rPr>
                <w:sz w:val="18"/>
                <w:szCs w:val="18"/>
                <w:lang w:val="en-GB"/>
              </w:rPr>
            </w:pPr>
            <w:r w:rsidRPr="00EB5EDA">
              <w:rPr>
                <w:sz w:val="18"/>
                <w:szCs w:val="18"/>
                <w:lang w:val="en-GB"/>
              </w:rPr>
              <w:t>8539.31.00</w:t>
            </w:r>
          </w:p>
        </w:tc>
        <w:tc>
          <w:tcPr>
            <w:tcW w:w="2226" w:type="dxa"/>
            <w:tcBorders>
              <w:top w:val="single" w:sz="12" w:space="0" w:color="auto"/>
              <w:left w:val="nil"/>
              <w:bottom w:val="nil"/>
              <w:right w:val="nil"/>
            </w:tcBorders>
            <w:shd w:val="clear" w:color="auto" w:fill="auto"/>
            <w:noWrap/>
            <w:hideMark/>
          </w:tcPr>
          <w:p w14:paraId="6B2264A2" w14:textId="77777777" w:rsidR="0070496D" w:rsidRPr="00EB5EDA" w:rsidRDefault="0070496D" w:rsidP="002A72A8">
            <w:pPr>
              <w:pStyle w:val="Normal-pool"/>
              <w:spacing w:before="20" w:after="20"/>
              <w:jc w:val="right"/>
              <w:rPr>
                <w:sz w:val="18"/>
                <w:szCs w:val="18"/>
                <w:lang w:val="en-GB"/>
              </w:rPr>
            </w:pPr>
          </w:p>
        </w:tc>
        <w:tc>
          <w:tcPr>
            <w:tcW w:w="4621" w:type="dxa"/>
            <w:tcBorders>
              <w:top w:val="single" w:sz="12" w:space="0" w:color="auto"/>
              <w:left w:val="nil"/>
              <w:bottom w:val="nil"/>
              <w:right w:val="nil"/>
            </w:tcBorders>
            <w:shd w:val="clear" w:color="auto" w:fill="auto"/>
            <w:hideMark/>
          </w:tcPr>
          <w:p w14:paraId="217B8B19" w14:textId="77777777" w:rsidR="0070496D" w:rsidRPr="00EB5EDA" w:rsidRDefault="0070496D" w:rsidP="002A72A8">
            <w:pPr>
              <w:pStyle w:val="Normal-pool"/>
              <w:spacing w:before="20" w:after="20"/>
              <w:rPr>
                <w:sz w:val="18"/>
                <w:szCs w:val="18"/>
                <w:lang w:val="en-GB"/>
              </w:rPr>
            </w:pPr>
            <w:r w:rsidRPr="00EB5EDA">
              <w:rPr>
                <w:sz w:val="18"/>
                <w:szCs w:val="18"/>
                <w:lang w:val="en-GB"/>
              </w:rPr>
              <w:t>Discharge lamps, fluorescent and hot cathode</w:t>
            </w:r>
          </w:p>
        </w:tc>
      </w:tr>
      <w:tr w:rsidR="0070496D" w:rsidRPr="00EB5EDA" w14:paraId="6458CCA1" w14:textId="77777777" w:rsidTr="00A81F6C">
        <w:trPr>
          <w:cantSplit/>
          <w:trHeight w:val="57"/>
          <w:jc w:val="right"/>
        </w:trPr>
        <w:tc>
          <w:tcPr>
            <w:tcW w:w="1460" w:type="dxa"/>
            <w:tcBorders>
              <w:top w:val="nil"/>
              <w:left w:val="nil"/>
              <w:bottom w:val="nil"/>
              <w:right w:val="nil"/>
            </w:tcBorders>
            <w:shd w:val="clear" w:color="auto" w:fill="auto"/>
            <w:noWrap/>
            <w:hideMark/>
          </w:tcPr>
          <w:p w14:paraId="163C45E6" w14:textId="77777777" w:rsidR="0070496D" w:rsidRPr="00EB5EDA" w:rsidRDefault="0070496D" w:rsidP="002A72A8">
            <w:pPr>
              <w:pStyle w:val="Normal-pool"/>
              <w:spacing w:before="20" w:after="20"/>
              <w:jc w:val="right"/>
              <w:rPr>
                <w:sz w:val="18"/>
                <w:szCs w:val="18"/>
                <w:lang w:val="en-GB"/>
              </w:rPr>
            </w:pPr>
            <w:r w:rsidRPr="00EB5EDA">
              <w:rPr>
                <w:sz w:val="18"/>
                <w:szCs w:val="18"/>
                <w:lang w:val="en-GB"/>
              </w:rPr>
              <w:t>8539.31.10</w:t>
            </w:r>
          </w:p>
        </w:tc>
        <w:tc>
          <w:tcPr>
            <w:tcW w:w="2226" w:type="dxa"/>
            <w:tcBorders>
              <w:top w:val="nil"/>
              <w:left w:val="nil"/>
              <w:bottom w:val="nil"/>
              <w:right w:val="nil"/>
            </w:tcBorders>
            <w:shd w:val="clear" w:color="auto" w:fill="auto"/>
            <w:noWrap/>
            <w:hideMark/>
          </w:tcPr>
          <w:p w14:paraId="21524B78" w14:textId="77777777" w:rsidR="0070496D" w:rsidRPr="00EB5EDA" w:rsidRDefault="0070496D" w:rsidP="002A72A8">
            <w:pPr>
              <w:pStyle w:val="Normal-pool"/>
              <w:spacing w:before="20" w:after="20"/>
              <w:jc w:val="right"/>
              <w:rPr>
                <w:sz w:val="18"/>
                <w:szCs w:val="18"/>
                <w:lang w:val="en-GB"/>
              </w:rPr>
            </w:pPr>
          </w:p>
        </w:tc>
        <w:tc>
          <w:tcPr>
            <w:tcW w:w="4621" w:type="dxa"/>
            <w:tcBorders>
              <w:top w:val="nil"/>
              <w:left w:val="nil"/>
              <w:bottom w:val="nil"/>
              <w:right w:val="nil"/>
            </w:tcBorders>
            <w:shd w:val="clear" w:color="auto" w:fill="auto"/>
            <w:hideMark/>
          </w:tcPr>
          <w:p w14:paraId="6D25F5EF" w14:textId="77777777" w:rsidR="0070496D" w:rsidRPr="00EB5EDA" w:rsidRDefault="0070496D" w:rsidP="002A72A8">
            <w:pPr>
              <w:pStyle w:val="Normal-pool"/>
              <w:spacing w:before="20" w:after="20"/>
              <w:rPr>
                <w:sz w:val="18"/>
                <w:szCs w:val="18"/>
                <w:lang w:val="en-GB"/>
              </w:rPr>
            </w:pPr>
            <w:r w:rsidRPr="00EB5EDA">
              <w:rPr>
                <w:sz w:val="18"/>
                <w:szCs w:val="18"/>
                <w:lang w:val="en-GB"/>
              </w:rPr>
              <w:t>Compact fluorescent lamps (CFLs) for general lighting purposes</w:t>
            </w:r>
          </w:p>
        </w:tc>
      </w:tr>
      <w:tr w:rsidR="0070496D" w:rsidRPr="00EB5EDA" w14:paraId="5BC8550C" w14:textId="77777777" w:rsidTr="00A81F6C">
        <w:trPr>
          <w:cantSplit/>
          <w:trHeight w:val="57"/>
          <w:jc w:val="right"/>
        </w:trPr>
        <w:tc>
          <w:tcPr>
            <w:tcW w:w="1460" w:type="dxa"/>
            <w:tcBorders>
              <w:top w:val="nil"/>
              <w:left w:val="nil"/>
              <w:right w:val="nil"/>
            </w:tcBorders>
            <w:shd w:val="clear" w:color="auto" w:fill="auto"/>
            <w:noWrap/>
            <w:hideMark/>
          </w:tcPr>
          <w:p w14:paraId="3DAF319A" w14:textId="77777777" w:rsidR="0070496D" w:rsidRPr="00EB5EDA" w:rsidRDefault="0070496D" w:rsidP="002A72A8">
            <w:pPr>
              <w:pStyle w:val="Normal-pool"/>
              <w:spacing w:before="20" w:after="20"/>
              <w:jc w:val="right"/>
              <w:rPr>
                <w:sz w:val="18"/>
                <w:szCs w:val="18"/>
                <w:lang w:val="en-GB"/>
              </w:rPr>
            </w:pPr>
          </w:p>
        </w:tc>
        <w:tc>
          <w:tcPr>
            <w:tcW w:w="2226" w:type="dxa"/>
            <w:tcBorders>
              <w:top w:val="nil"/>
              <w:left w:val="nil"/>
              <w:right w:val="nil"/>
            </w:tcBorders>
            <w:shd w:val="clear" w:color="auto" w:fill="E7E6E6" w:themeFill="background2"/>
            <w:noWrap/>
            <w:hideMark/>
          </w:tcPr>
          <w:p w14:paraId="050EB71E" w14:textId="77777777" w:rsidR="0070496D" w:rsidRPr="00EB5EDA" w:rsidRDefault="0070496D" w:rsidP="002A72A8">
            <w:pPr>
              <w:pStyle w:val="Normal-pool"/>
              <w:spacing w:before="20" w:after="20"/>
              <w:jc w:val="right"/>
              <w:rPr>
                <w:sz w:val="18"/>
                <w:szCs w:val="18"/>
                <w:lang w:val="en-GB"/>
              </w:rPr>
            </w:pPr>
            <w:r w:rsidRPr="00EB5EDA">
              <w:rPr>
                <w:sz w:val="18"/>
                <w:szCs w:val="18"/>
                <w:lang w:val="en-GB"/>
              </w:rPr>
              <w:t>8539.31.10.10</w:t>
            </w:r>
          </w:p>
        </w:tc>
        <w:tc>
          <w:tcPr>
            <w:tcW w:w="4621" w:type="dxa"/>
            <w:tcBorders>
              <w:top w:val="nil"/>
              <w:left w:val="nil"/>
              <w:right w:val="nil"/>
            </w:tcBorders>
            <w:shd w:val="clear" w:color="auto" w:fill="E7E6E6" w:themeFill="background2"/>
            <w:hideMark/>
          </w:tcPr>
          <w:p w14:paraId="2093A908" w14:textId="67E2B3C2" w:rsidR="0070496D" w:rsidRPr="00EB5EDA" w:rsidRDefault="0070496D" w:rsidP="002A72A8">
            <w:pPr>
              <w:pStyle w:val="Normal-pool"/>
              <w:spacing w:before="20" w:after="20"/>
              <w:rPr>
                <w:sz w:val="18"/>
                <w:szCs w:val="18"/>
                <w:lang w:val="en-GB"/>
              </w:rPr>
            </w:pPr>
            <w:r w:rsidRPr="00EB5EDA">
              <w:rPr>
                <w:sz w:val="18"/>
                <w:szCs w:val="18"/>
                <w:lang w:val="en-GB"/>
              </w:rPr>
              <w:t xml:space="preserve">CFLs </w:t>
            </w:r>
            <w:r w:rsidR="00BF4BD0" w:rsidRPr="00EB5EDA">
              <w:rPr>
                <w:sz w:val="18"/>
                <w:szCs w:val="18"/>
                <w:lang w:val="en-GB"/>
              </w:rPr>
              <w:t xml:space="preserve">less than </w:t>
            </w:r>
            <w:r w:rsidRPr="00EB5EDA">
              <w:rPr>
                <w:sz w:val="18"/>
                <w:szCs w:val="18"/>
                <w:lang w:val="en-GB"/>
              </w:rPr>
              <w:t xml:space="preserve">30 watts with a mercury content </w:t>
            </w:r>
            <w:r w:rsidR="00BF4BD0" w:rsidRPr="00EB5EDA">
              <w:rPr>
                <w:sz w:val="18"/>
                <w:szCs w:val="18"/>
                <w:lang w:val="en-GB"/>
              </w:rPr>
              <w:t>not exceeding</w:t>
            </w:r>
            <w:r w:rsidRPr="00EB5EDA">
              <w:rPr>
                <w:sz w:val="18"/>
                <w:szCs w:val="18"/>
                <w:lang w:val="en-GB"/>
              </w:rPr>
              <w:t xml:space="preserve"> 5 mg per lamp</w:t>
            </w:r>
          </w:p>
        </w:tc>
      </w:tr>
      <w:tr w:rsidR="0070496D" w:rsidRPr="00EB5EDA" w14:paraId="497ACE61" w14:textId="77777777" w:rsidTr="00A81F6C">
        <w:trPr>
          <w:cantSplit/>
          <w:trHeight w:val="57"/>
          <w:jc w:val="right"/>
        </w:trPr>
        <w:tc>
          <w:tcPr>
            <w:tcW w:w="1460" w:type="dxa"/>
            <w:tcBorders>
              <w:top w:val="nil"/>
              <w:left w:val="nil"/>
              <w:bottom w:val="single" w:sz="12" w:space="0" w:color="auto"/>
              <w:right w:val="nil"/>
            </w:tcBorders>
            <w:shd w:val="clear" w:color="auto" w:fill="auto"/>
            <w:noWrap/>
            <w:hideMark/>
          </w:tcPr>
          <w:p w14:paraId="2F738F97" w14:textId="77777777" w:rsidR="0070496D" w:rsidRPr="00EB5EDA" w:rsidRDefault="0070496D" w:rsidP="002A72A8">
            <w:pPr>
              <w:pStyle w:val="Normal-pool"/>
              <w:spacing w:before="20" w:after="20"/>
              <w:jc w:val="right"/>
              <w:rPr>
                <w:sz w:val="18"/>
                <w:szCs w:val="18"/>
                <w:lang w:val="en-GB"/>
              </w:rPr>
            </w:pPr>
          </w:p>
        </w:tc>
        <w:tc>
          <w:tcPr>
            <w:tcW w:w="2226" w:type="dxa"/>
            <w:tcBorders>
              <w:top w:val="nil"/>
              <w:left w:val="nil"/>
              <w:bottom w:val="single" w:sz="12" w:space="0" w:color="auto"/>
              <w:right w:val="nil"/>
            </w:tcBorders>
            <w:shd w:val="clear" w:color="auto" w:fill="E7E6E6" w:themeFill="background2"/>
            <w:noWrap/>
            <w:hideMark/>
          </w:tcPr>
          <w:p w14:paraId="7F5872B6" w14:textId="77777777" w:rsidR="0070496D" w:rsidRPr="00EB5EDA" w:rsidRDefault="0070496D" w:rsidP="002A72A8">
            <w:pPr>
              <w:pStyle w:val="Normal-pool"/>
              <w:spacing w:before="20" w:after="20"/>
              <w:jc w:val="right"/>
              <w:rPr>
                <w:sz w:val="18"/>
                <w:szCs w:val="18"/>
                <w:lang w:val="en-GB"/>
              </w:rPr>
            </w:pPr>
            <w:r w:rsidRPr="00EB5EDA">
              <w:rPr>
                <w:sz w:val="18"/>
                <w:szCs w:val="18"/>
                <w:lang w:val="en-GB"/>
              </w:rPr>
              <w:t>8539.31.10.90</w:t>
            </w:r>
          </w:p>
        </w:tc>
        <w:tc>
          <w:tcPr>
            <w:tcW w:w="4621" w:type="dxa"/>
            <w:tcBorders>
              <w:top w:val="nil"/>
              <w:left w:val="nil"/>
              <w:bottom w:val="single" w:sz="12" w:space="0" w:color="auto"/>
              <w:right w:val="nil"/>
            </w:tcBorders>
            <w:shd w:val="clear" w:color="auto" w:fill="E7E6E6" w:themeFill="background2"/>
            <w:hideMark/>
          </w:tcPr>
          <w:p w14:paraId="7F35AEAB" w14:textId="77777777" w:rsidR="0070496D" w:rsidRPr="00EB5EDA" w:rsidRDefault="0070496D" w:rsidP="002A72A8">
            <w:pPr>
              <w:pStyle w:val="Normal-pool"/>
              <w:spacing w:before="20" w:after="20"/>
              <w:rPr>
                <w:sz w:val="18"/>
                <w:szCs w:val="18"/>
                <w:lang w:val="en-GB"/>
              </w:rPr>
            </w:pPr>
            <w:r w:rsidRPr="00EB5EDA">
              <w:rPr>
                <w:sz w:val="18"/>
                <w:szCs w:val="18"/>
                <w:lang w:val="en-GB"/>
              </w:rPr>
              <w:t>Other CFLs</w:t>
            </w:r>
          </w:p>
        </w:tc>
      </w:tr>
    </w:tbl>
    <w:p w14:paraId="074C4D9D" w14:textId="77777777" w:rsidR="0070496D" w:rsidRPr="00EB5EDA" w:rsidRDefault="0070496D" w:rsidP="003B2AD6">
      <w:pPr>
        <w:pStyle w:val="Titletable"/>
        <w:spacing w:before="240"/>
        <w:rPr>
          <w:lang w:val="en-GB"/>
        </w:rPr>
      </w:pPr>
      <w:r w:rsidRPr="00EB5EDA">
        <w:rPr>
          <w:lang w:val="en-GB"/>
        </w:rPr>
        <w:t>High-pressure mercury vapour lamps</w:t>
      </w:r>
    </w:p>
    <w:tbl>
      <w:tblPr>
        <w:tblW w:w="8307" w:type="dxa"/>
        <w:jc w:val="right"/>
        <w:tblLook w:val="04A0" w:firstRow="1" w:lastRow="0" w:firstColumn="1" w:lastColumn="0" w:noHBand="0" w:noVBand="1"/>
      </w:tblPr>
      <w:tblGrid>
        <w:gridCol w:w="1498"/>
        <w:gridCol w:w="2188"/>
        <w:gridCol w:w="4621"/>
      </w:tblGrid>
      <w:tr w:rsidR="0070496D" w:rsidRPr="00EB5EDA" w14:paraId="652C7721" w14:textId="77777777" w:rsidTr="00A81F6C">
        <w:trPr>
          <w:cantSplit/>
          <w:trHeight w:val="57"/>
          <w:jc w:val="right"/>
        </w:trPr>
        <w:tc>
          <w:tcPr>
            <w:tcW w:w="1498" w:type="dxa"/>
            <w:tcBorders>
              <w:top w:val="single" w:sz="4" w:space="0" w:color="auto"/>
              <w:left w:val="nil"/>
              <w:bottom w:val="single" w:sz="12" w:space="0" w:color="auto"/>
              <w:right w:val="nil"/>
            </w:tcBorders>
            <w:shd w:val="clear" w:color="auto" w:fill="auto"/>
            <w:vAlign w:val="bottom"/>
            <w:hideMark/>
          </w:tcPr>
          <w:p w14:paraId="154A2281" w14:textId="7F16FE1A" w:rsidR="0070496D" w:rsidRPr="00EB5EDA" w:rsidRDefault="0070496D" w:rsidP="00571121">
            <w:pPr>
              <w:pStyle w:val="Normal-pool"/>
              <w:spacing w:before="40" w:after="40"/>
              <w:jc w:val="right"/>
              <w:rPr>
                <w:i/>
                <w:iCs/>
                <w:sz w:val="18"/>
                <w:szCs w:val="18"/>
                <w:lang w:val="en-GB"/>
              </w:rPr>
            </w:pPr>
            <w:r w:rsidRPr="00EB5EDA">
              <w:rPr>
                <w:i/>
                <w:iCs/>
                <w:sz w:val="18"/>
                <w:szCs w:val="18"/>
                <w:lang w:val="en-GB"/>
              </w:rPr>
              <w:t>Existing code</w:t>
            </w:r>
          </w:p>
        </w:tc>
        <w:tc>
          <w:tcPr>
            <w:tcW w:w="2188" w:type="dxa"/>
            <w:tcBorders>
              <w:top w:val="single" w:sz="4" w:space="0" w:color="auto"/>
              <w:left w:val="nil"/>
              <w:bottom w:val="single" w:sz="12" w:space="0" w:color="auto"/>
              <w:right w:val="nil"/>
            </w:tcBorders>
            <w:shd w:val="clear" w:color="auto" w:fill="auto"/>
            <w:vAlign w:val="bottom"/>
            <w:hideMark/>
          </w:tcPr>
          <w:p w14:paraId="581A779E" w14:textId="77777777" w:rsidR="0070496D" w:rsidRPr="00EB5EDA" w:rsidRDefault="0070496D" w:rsidP="00571121">
            <w:pPr>
              <w:pStyle w:val="Normal-pool"/>
              <w:spacing w:before="40" w:after="40"/>
              <w:jc w:val="right"/>
              <w:rPr>
                <w:i/>
                <w:iCs/>
                <w:sz w:val="18"/>
                <w:szCs w:val="18"/>
                <w:lang w:val="en-GB"/>
              </w:rPr>
            </w:pPr>
            <w:r w:rsidRPr="00EB5EDA">
              <w:rPr>
                <w:i/>
                <w:iCs/>
                <w:sz w:val="18"/>
                <w:szCs w:val="18"/>
                <w:lang w:val="en-GB"/>
              </w:rPr>
              <w:t>Proposed statistical codes</w:t>
            </w:r>
          </w:p>
        </w:tc>
        <w:tc>
          <w:tcPr>
            <w:tcW w:w="4621" w:type="dxa"/>
            <w:tcBorders>
              <w:top w:val="single" w:sz="4" w:space="0" w:color="auto"/>
              <w:left w:val="nil"/>
              <w:bottom w:val="single" w:sz="12" w:space="0" w:color="auto"/>
              <w:right w:val="nil"/>
            </w:tcBorders>
            <w:shd w:val="clear" w:color="auto" w:fill="auto"/>
            <w:vAlign w:val="bottom"/>
            <w:hideMark/>
          </w:tcPr>
          <w:p w14:paraId="0A6BD08D" w14:textId="77777777" w:rsidR="0070496D" w:rsidRPr="00EB5EDA" w:rsidRDefault="0070496D" w:rsidP="00A81F6C">
            <w:pPr>
              <w:pStyle w:val="Normal-pool"/>
              <w:spacing w:before="40" w:after="40"/>
              <w:rPr>
                <w:i/>
                <w:iCs/>
                <w:sz w:val="18"/>
                <w:szCs w:val="18"/>
                <w:lang w:val="en-GB"/>
              </w:rPr>
            </w:pPr>
            <w:r w:rsidRPr="00EB5EDA">
              <w:rPr>
                <w:i/>
                <w:iCs/>
                <w:sz w:val="18"/>
                <w:szCs w:val="18"/>
                <w:lang w:val="en-GB"/>
              </w:rPr>
              <w:t>Description</w:t>
            </w:r>
          </w:p>
        </w:tc>
      </w:tr>
      <w:tr w:rsidR="0070496D" w:rsidRPr="00EB5EDA" w14:paraId="2C885E7B" w14:textId="77777777" w:rsidTr="00A81F6C">
        <w:trPr>
          <w:cantSplit/>
          <w:trHeight w:val="57"/>
          <w:jc w:val="right"/>
        </w:trPr>
        <w:tc>
          <w:tcPr>
            <w:tcW w:w="1498" w:type="dxa"/>
            <w:tcBorders>
              <w:top w:val="single" w:sz="12" w:space="0" w:color="auto"/>
              <w:left w:val="nil"/>
              <w:right w:val="nil"/>
            </w:tcBorders>
            <w:shd w:val="clear" w:color="auto" w:fill="auto"/>
            <w:noWrap/>
            <w:hideMark/>
          </w:tcPr>
          <w:p w14:paraId="75E318E2" w14:textId="77777777" w:rsidR="0070496D" w:rsidRPr="00EB5EDA" w:rsidRDefault="0070496D" w:rsidP="00887237">
            <w:pPr>
              <w:pStyle w:val="Normal-pool"/>
              <w:spacing w:before="40" w:after="40"/>
              <w:jc w:val="right"/>
              <w:rPr>
                <w:sz w:val="18"/>
                <w:szCs w:val="18"/>
                <w:lang w:val="en-GB"/>
              </w:rPr>
            </w:pPr>
            <w:r w:rsidRPr="00EB5EDA">
              <w:rPr>
                <w:sz w:val="18"/>
                <w:szCs w:val="18"/>
                <w:lang w:val="en-GB"/>
              </w:rPr>
              <w:t>8539.32.00</w:t>
            </w:r>
          </w:p>
        </w:tc>
        <w:tc>
          <w:tcPr>
            <w:tcW w:w="2188" w:type="dxa"/>
            <w:tcBorders>
              <w:top w:val="single" w:sz="12" w:space="0" w:color="auto"/>
              <w:left w:val="nil"/>
              <w:right w:val="nil"/>
            </w:tcBorders>
            <w:shd w:val="clear" w:color="auto" w:fill="auto"/>
            <w:noWrap/>
            <w:hideMark/>
          </w:tcPr>
          <w:p w14:paraId="243E8586" w14:textId="77777777" w:rsidR="0070496D" w:rsidRPr="00EB5EDA" w:rsidRDefault="0070496D" w:rsidP="00A81F6C">
            <w:pPr>
              <w:pStyle w:val="Normal-pool"/>
              <w:spacing w:before="40" w:after="40"/>
              <w:rPr>
                <w:sz w:val="18"/>
                <w:szCs w:val="18"/>
                <w:lang w:val="en-GB"/>
              </w:rPr>
            </w:pPr>
          </w:p>
        </w:tc>
        <w:tc>
          <w:tcPr>
            <w:tcW w:w="4621" w:type="dxa"/>
            <w:tcBorders>
              <w:top w:val="single" w:sz="12" w:space="0" w:color="auto"/>
              <w:left w:val="nil"/>
              <w:right w:val="nil"/>
            </w:tcBorders>
            <w:shd w:val="clear" w:color="auto" w:fill="auto"/>
            <w:hideMark/>
          </w:tcPr>
          <w:p w14:paraId="0D951D0E" w14:textId="6597335E" w:rsidR="0070496D" w:rsidRPr="00EB5EDA" w:rsidRDefault="0070496D" w:rsidP="00A81F6C">
            <w:pPr>
              <w:pStyle w:val="Normal-pool"/>
              <w:spacing w:before="40" w:after="40"/>
              <w:rPr>
                <w:sz w:val="18"/>
                <w:szCs w:val="18"/>
                <w:lang w:val="en-GB"/>
              </w:rPr>
            </w:pPr>
            <w:r w:rsidRPr="00EB5EDA">
              <w:rPr>
                <w:sz w:val="18"/>
                <w:szCs w:val="18"/>
                <w:lang w:val="en-GB"/>
              </w:rPr>
              <w:t>Mercury or sodium vapo</w:t>
            </w:r>
            <w:r w:rsidR="00741321" w:rsidRPr="00EB5EDA">
              <w:rPr>
                <w:sz w:val="18"/>
                <w:szCs w:val="18"/>
                <w:lang w:val="en-GB"/>
              </w:rPr>
              <w:t>u</w:t>
            </w:r>
            <w:r w:rsidRPr="00EB5EDA">
              <w:rPr>
                <w:sz w:val="18"/>
                <w:szCs w:val="18"/>
                <w:lang w:val="en-GB"/>
              </w:rPr>
              <w:t>r lamps; metal halide lamps</w:t>
            </w:r>
          </w:p>
        </w:tc>
      </w:tr>
      <w:tr w:rsidR="0070496D" w:rsidRPr="00EB5EDA" w14:paraId="64D3362B" w14:textId="77777777" w:rsidTr="00A81F6C">
        <w:trPr>
          <w:cantSplit/>
          <w:trHeight w:val="57"/>
          <w:jc w:val="right"/>
        </w:trPr>
        <w:tc>
          <w:tcPr>
            <w:tcW w:w="1498" w:type="dxa"/>
            <w:tcBorders>
              <w:top w:val="nil"/>
              <w:left w:val="nil"/>
              <w:bottom w:val="single" w:sz="12" w:space="0" w:color="auto"/>
              <w:right w:val="nil"/>
            </w:tcBorders>
            <w:shd w:val="clear" w:color="auto" w:fill="auto"/>
            <w:noWrap/>
            <w:hideMark/>
          </w:tcPr>
          <w:p w14:paraId="069D5799" w14:textId="77777777" w:rsidR="0070496D" w:rsidRPr="00EB5EDA" w:rsidRDefault="0070496D" w:rsidP="00A81F6C">
            <w:pPr>
              <w:pStyle w:val="Normal-pool"/>
              <w:spacing w:before="40" w:after="40"/>
              <w:rPr>
                <w:sz w:val="18"/>
                <w:szCs w:val="18"/>
                <w:lang w:val="en-GB"/>
              </w:rPr>
            </w:pPr>
          </w:p>
        </w:tc>
        <w:tc>
          <w:tcPr>
            <w:tcW w:w="2188" w:type="dxa"/>
            <w:tcBorders>
              <w:top w:val="nil"/>
              <w:left w:val="nil"/>
              <w:bottom w:val="single" w:sz="12" w:space="0" w:color="auto"/>
              <w:right w:val="nil"/>
            </w:tcBorders>
            <w:shd w:val="clear" w:color="auto" w:fill="E7E6E6" w:themeFill="background2"/>
            <w:noWrap/>
            <w:hideMark/>
          </w:tcPr>
          <w:p w14:paraId="5D3643EC" w14:textId="77777777" w:rsidR="0070496D" w:rsidRPr="00EB5EDA" w:rsidRDefault="0070496D" w:rsidP="00A81F6C">
            <w:pPr>
              <w:pStyle w:val="Normal-pool"/>
              <w:spacing w:before="40" w:after="40"/>
              <w:rPr>
                <w:sz w:val="18"/>
                <w:szCs w:val="18"/>
                <w:lang w:val="en-GB"/>
              </w:rPr>
            </w:pPr>
            <w:r w:rsidRPr="00EB5EDA">
              <w:rPr>
                <w:sz w:val="18"/>
                <w:szCs w:val="18"/>
                <w:lang w:val="en-GB"/>
              </w:rPr>
              <w:t>8539.32.00.10</w:t>
            </w:r>
          </w:p>
        </w:tc>
        <w:tc>
          <w:tcPr>
            <w:tcW w:w="4621" w:type="dxa"/>
            <w:tcBorders>
              <w:top w:val="nil"/>
              <w:left w:val="nil"/>
              <w:bottom w:val="single" w:sz="12" w:space="0" w:color="auto"/>
              <w:right w:val="nil"/>
            </w:tcBorders>
            <w:shd w:val="clear" w:color="auto" w:fill="E7E6E6" w:themeFill="background2"/>
            <w:hideMark/>
          </w:tcPr>
          <w:p w14:paraId="05D8AF8C" w14:textId="301F297A" w:rsidR="0070496D" w:rsidRPr="00EB5EDA" w:rsidRDefault="0070496D" w:rsidP="00A81F6C">
            <w:pPr>
              <w:pStyle w:val="Normal-pool"/>
              <w:spacing w:before="40" w:after="40"/>
              <w:rPr>
                <w:sz w:val="18"/>
                <w:szCs w:val="18"/>
                <w:lang w:val="en-GB"/>
              </w:rPr>
            </w:pPr>
            <w:r w:rsidRPr="00EB5EDA">
              <w:rPr>
                <w:sz w:val="18"/>
                <w:szCs w:val="18"/>
                <w:lang w:val="en-GB"/>
              </w:rPr>
              <w:t>High</w:t>
            </w:r>
            <w:r w:rsidR="00F35E0E" w:rsidRPr="00EB5EDA">
              <w:rPr>
                <w:sz w:val="18"/>
                <w:szCs w:val="18"/>
                <w:lang w:val="en-GB"/>
              </w:rPr>
              <w:t>-</w:t>
            </w:r>
            <w:r w:rsidRPr="00EB5EDA">
              <w:rPr>
                <w:sz w:val="18"/>
                <w:szCs w:val="18"/>
                <w:lang w:val="en-GB"/>
              </w:rPr>
              <w:t>pressure mercury vapour lamps for general lighting purposes</w:t>
            </w:r>
          </w:p>
        </w:tc>
      </w:tr>
    </w:tbl>
    <w:p w14:paraId="15D20530" w14:textId="77777777" w:rsidR="0070496D" w:rsidRPr="00EB5EDA" w:rsidRDefault="0070496D" w:rsidP="003B2AD6">
      <w:pPr>
        <w:pStyle w:val="Titletable"/>
        <w:spacing w:before="240"/>
        <w:rPr>
          <w:lang w:val="en-GB"/>
        </w:rPr>
      </w:pPr>
      <w:r w:rsidRPr="00EB5EDA">
        <w:rPr>
          <w:lang w:val="en-GB"/>
        </w:rPr>
        <w:t>Cold cathode and external electrode fluorescent lamps</w:t>
      </w:r>
    </w:p>
    <w:tbl>
      <w:tblPr>
        <w:tblW w:w="8307" w:type="dxa"/>
        <w:jc w:val="right"/>
        <w:tblLook w:val="04A0" w:firstRow="1" w:lastRow="0" w:firstColumn="1" w:lastColumn="0" w:noHBand="0" w:noVBand="1"/>
      </w:tblPr>
      <w:tblGrid>
        <w:gridCol w:w="1498"/>
        <w:gridCol w:w="2188"/>
        <w:gridCol w:w="4621"/>
      </w:tblGrid>
      <w:tr w:rsidR="0070496D" w:rsidRPr="00EB5EDA" w14:paraId="73D9A88F" w14:textId="77777777" w:rsidTr="009E5CEE">
        <w:trPr>
          <w:cantSplit/>
          <w:trHeight w:val="312"/>
          <w:jc w:val="right"/>
        </w:trPr>
        <w:tc>
          <w:tcPr>
            <w:tcW w:w="1498" w:type="dxa"/>
            <w:tcBorders>
              <w:top w:val="single" w:sz="4" w:space="0" w:color="auto"/>
              <w:left w:val="nil"/>
              <w:bottom w:val="single" w:sz="12" w:space="0" w:color="auto"/>
              <w:right w:val="nil"/>
            </w:tcBorders>
            <w:shd w:val="clear" w:color="auto" w:fill="auto"/>
            <w:vAlign w:val="bottom"/>
            <w:hideMark/>
          </w:tcPr>
          <w:p w14:paraId="351DB5B0" w14:textId="3686F4E1" w:rsidR="0070496D" w:rsidRPr="00EB5EDA" w:rsidRDefault="0070496D" w:rsidP="002A72A8">
            <w:pPr>
              <w:pStyle w:val="Normal-pool"/>
              <w:spacing w:before="20" w:after="20"/>
              <w:jc w:val="right"/>
              <w:rPr>
                <w:i/>
                <w:iCs/>
                <w:sz w:val="18"/>
                <w:szCs w:val="18"/>
                <w:lang w:val="en-GB"/>
              </w:rPr>
            </w:pPr>
            <w:r w:rsidRPr="00EB5EDA">
              <w:rPr>
                <w:i/>
                <w:iCs/>
                <w:sz w:val="18"/>
                <w:szCs w:val="18"/>
                <w:lang w:val="en-GB"/>
              </w:rPr>
              <w:t>Existing code</w:t>
            </w:r>
          </w:p>
        </w:tc>
        <w:tc>
          <w:tcPr>
            <w:tcW w:w="2188" w:type="dxa"/>
            <w:tcBorders>
              <w:top w:val="single" w:sz="4" w:space="0" w:color="auto"/>
              <w:left w:val="nil"/>
              <w:bottom w:val="single" w:sz="12" w:space="0" w:color="auto"/>
              <w:right w:val="nil"/>
            </w:tcBorders>
            <w:shd w:val="clear" w:color="auto" w:fill="auto"/>
            <w:vAlign w:val="bottom"/>
            <w:hideMark/>
          </w:tcPr>
          <w:p w14:paraId="4FD00411" w14:textId="77777777" w:rsidR="0070496D" w:rsidRPr="00EB5EDA" w:rsidRDefault="0070496D" w:rsidP="002A72A8">
            <w:pPr>
              <w:pStyle w:val="Normal-pool"/>
              <w:spacing w:before="20" w:after="20"/>
              <w:jc w:val="right"/>
              <w:rPr>
                <w:i/>
                <w:iCs/>
                <w:sz w:val="18"/>
                <w:szCs w:val="18"/>
                <w:lang w:val="en-GB"/>
              </w:rPr>
            </w:pPr>
            <w:r w:rsidRPr="00EB5EDA">
              <w:rPr>
                <w:i/>
                <w:iCs/>
                <w:sz w:val="18"/>
                <w:szCs w:val="18"/>
                <w:lang w:val="en-GB"/>
              </w:rPr>
              <w:t>Proposed statistical codes</w:t>
            </w:r>
          </w:p>
        </w:tc>
        <w:tc>
          <w:tcPr>
            <w:tcW w:w="4621" w:type="dxa"/>
            <w:tcBorders>
              <w:top w:val="single" w:sz="4" w:space="0" w:color="auto"/>
              <w:left w:val="nil"/>
              <w:bottom w:val="single" w:sz="12" w:space="0" w:color="auto"/>
              <w:right w:val="nil"/>
            </w:tcBorders>
            <w:shd w:val="clear" w:color="auto" w:fill="auto"/>
            <w:vAlign w:val="bottom"/>
            <w:hideMark/>
          </w:tcPr>
          <w:p w14:paraId="7A38E5ED" w14:textId="77777777" w:rsidR="0070496D" w:rsidRPr="00EB5EDA" w:rsidRDefault="0070496D" w:rsidP="002A72A8">
            <w:pPr>
              <w:pStyle w:val="Normal-pool"/>
              <w:spacing w:before="20" w:after="20"/>
              <w:rPr>
                <w:i/>
                <w:iCs/>
                <w:sz w:val="18"/>
                <w:szCs w:val="18"/>
                <w:lang w:val="en-GB"/>
              </w:rPr>
            </w:pPr>
            <w:r w:rsidRPr="00EB5EDA">
              <w:rPr>
                <w:i/>
                <w:iCs/>
                <w:sz w:val="18"/>
                <w:szCs w:val="18"/>
                <w:lang w:val="en-GB"/>
              </w:rPr>
              <w:t>Description</w:t>
            </w:r>
          </w:p>
        </w:tc>
      </w:tr>
      <w:tr w:rsidR="0070496D" w:rsidRPr="00EB5EDA" w14:paraId="5FE7114B" w14:textId="77777777" w:rsidTr="009E5CEE">
        <w:trPr>
          <w:cantSplit/>
          <w:trHeight w:val="312"/>
          <w:jc w:val="right"/>
        </w:trPr>
        <w:tc>
          <w:tcPr>
            <w:tcW w:w="1498" w:type="dxa"/>
            <w:tcBorders>
              <w:top w:val="single" w:sz="12" w:space="0" w:color="auto"/>
              <w:left w:val="nil"/>
              <w:bottom w:val="nil"/>
              <w:right w:val="nil"/>
            </w:tcBorders>
            <w:shd w:val="clear" w:color="auto" w:fill="auto"/>
            <w:noWrap/>
            <w:hideMark/>
          </w:tcPr>
          <w:p w14:paraId="002472B6" w14:textId="77777777" w:rsidR="0070496D" w:rsidRPr="00EB5EDA" w:rsidRDefault="0070496D" w:rsidP="002A72A8">
            <w:pPr>
              <w:pStyle w:val="Normal-pool"/>
              <w:spacing w:before="20" w:after="20"/>
              <w:jc w:val="right"/>
              <w:rPr>
                <w:sz w:val="18"/>
                <w:szCs w:val="18"/>
                <w:lang w:val="en-GB"/>
              </w:rPr>
            </w:pPr>
            <w:r w:rsidRPr="00EB5EDA">
              <w:rPr>
                <w:sz w:val="18"/>
                <w:szCs w:val="18"/>
                <w:lang w:val="en-GB"/>
              </w:rPr>
              <w:t>8539.39.00</w:t>
            </w:r>
          </w:p>
        </w:tc>
        <w:tc>
          <w:tcPr>
            <w:tcW w:w="2188" w:type="dxa"/>
            <w:tcBorders>
              <w:top w:val="single" w:sz="12" w:space="0" w:color="auto"/>
              <w:left w:val="nil"/>
              <w:bottom w:val="nil"/>
              <w:right w:val="nil"/>
            </w:tcBorders>
            <w:shd w:val="clear" w:color="auto" w:fill="auto"/>
            <w:noWrap/>
            <w:hideMark/>
          </w:tcPr>
          <w:p w14:paraId="11514DDE" w14:textId="77777777" w:rsidR="0070496D" w:rsidRPr="00EB5EDA" w:rsidRDefault="0070496D" w:rsidP="002A72A8">
            <w:pPr>
              <w:pStyle w:val="Normal-pool"/>
              <w:spacing w:before="20" w:after="20"/>
              <w:jc w:val="right"/>
              <w:rPr>
                <w:sz w:val="18"/>
                <w:szCs w:val="18"/>
                <w:lang w:val="en-GB"/>
              </w:rPr>
            </w:pPr>
          </w:p>
        </w:tc>
        <w:tc>
          <w:tcPr>
            <w:tcW w:w="4621" w:type="dxa"/>
            <w:tcBorders>
              <w:top w:val="single" w:sz="12" w:space="0" w:color="auto"/>
              <w:left w:val="nil"/>
              <w:bottom w:val="nil"/>
              <w:right w:val="nil"/>
            </w:tcBorders>
            <w:shd w:val="clear" w:color="auto" w:fill="auto"/>
            <w:hideMark/>
          </w:tcPr>
          <w:p w14:paraId="7724F565" w14:textId="2BD59728" w:rsidR="0070496D" w:rsidRPr="00EB5EDA" w:rsidRDefault="0070496D" w:rsidP="002A72A8">
            <w:pPr>
              <w:pStyle w:val="Normal-pool"/>
              <w:spacing w:before="20" w:after="20"/>
              <w:rPr>
                <w:sz w:val="18"/>
                <w:szCs w:val="18"/>
                <w:lang w:val="en-GB"/>
              </w:rPr>
            </w:pPr>
            <w:r w:rsidRPr="00EB5EDA">
              <w:rPr>
                <w:sz w:val="18"/>
                <w:szCs w:val="18"/>
                <w:lang w:val="en-GB"/>
              </w:rPr>
              <w:t>Electrical discharge lamps, other than fluorescent (hot cathode), mercury or sodium vapo</w:t>
            </w:r>
            <w:r w:rsidR="00741321" w:rsidRPr="00EB5EDA">
              <w:rPr>
                <w:sz w:val="18"/>
                <w:szCs w:val="18"/>
                <w:lang w:val="en-GB"/>
              </w:rPr>
              <w:t>u</w:t>
            </w:r>
            <w:r w:rsidRPr="00EB5EDA">
              <w:rPr>
                <w:sz w:val="18"/>
                <w:szCs w:val="18"/>
                <w:lang w:val="en-GB"/>
              </w:rPr>
              <w:t>r, metal halide or ultraviolet lamps</w:t>
            </w:r>
          </w:p>
        </w:tc>
      </w:tr>
      <w:tr w:rsidR="0070496D" w:rsidRPr="00EB5EDA" w14:paraId="45F3FA5A" w14:textId="77777777" w:rsidTr="009E5CEE">
        <w:trPr>
          <w:cantSplit/>
          <w:trHeight w:val="312"/>
          <w:jc w:val="right"/>
        </w:trPr>
        <w:tc>
          <w:tcPr>
            <w:tcW w:w="1498" w:type="dxa"/>
            <w:tcBorders>
              <w:top w:val="nil"/>
              <w:left w:val="nil"/>
              <w:bottom w:val="nil"/>
              <w:right w:val="nil"/>
            </w:tcBorders>
            <w:shd w:val="clear" w:color="auto" w:fill="auto"/>
            <w:noWrap/>
          </w:tcPr>
          <w:p w14:paraId="3E8F41FD" w14:textId="77777777" w:rsidR="0070496D" w:rsidRPr="00EB5EDA" w:rsidRDefault="0070496D" w:rsidP="002A72A8">
            <w:pPr>
              <w:pStyle w:val="Normal-pool"/>
              <w:spacing w:before="20" w:after="20"/>
              <w:jc w:val="right"/>
              <w:rPr>
                <w:sz w:val="18"/>
                <w:szCs w:val="18"/>
                <w:lang w:val="en-GB"/>
              </w:rPr>
            </w:pPr>
          </w:p>
        </w:tc>
        <w:tc>
          <w:tcPr>
            <w:tcW w:w="2188" w:type="dxa"/>
            <w:tcBorders>
              <w:top w:val="nil"/>
              <w:left w:val="nil"/>
              <w:bottom w:val="nil"/>
              <w:right w:val="nil"/>
            </w:tcBorders>
            <w:shd w:val="clear" w:color="auto" w:fill="E7E6E6" w:themeFill="background2"/>
            <w:noWrap/>
            <w:hideMark/>
          </w:tcPr>
          <w:p w14:paraId="18E3554A" w14:textId="77777777" w:rsidR="0070496D" w:rsidRPr="00EB5EDA" w:rsidRDefault="0070496D" w:rsidP="002A72A8">
            <w:pPr>
              <w:pStyle w:val="Normal-pool"/>
              <w:spacing w:before="20" w:after="20"/>
              <w:jc w:val="right"/>
              <w:rPr>
                <w:sz w:val="18"/>
                <w:szCs w:val="18"/>
                <w:lang w:val="en-GB"/>
              </w:rPr>
            </w:pPr>
            <w:r w:rsidRPr="00EB5EDA">
              <w:rPr>
                <w:sz w:val="18"/>
                <w:szCs w:val="18"/>
                <w:lang w:val="en-GB"/>
              </w:rPr>
              <w:t>8539.39.00.10</w:t>
            </w:r>
          </w:p>
        </w:tc>
        <w:tc>
          <w:tcPr>
            <w:tcW w:w="4621" w:type="dxa"/>
            <w:tcBorders>
              <w:top w:val="nil"/>
              <w:left w:val="nil"/>
              <w:bottom w:val="nil"/>
              <w:right w:val="nil"/>
            </w:tcBorders>
            <w:shd w:val="clear" w:color="auto" w:fill="E7E6E6" w:themeFill="background2"/>
            <w:hideMark/>
          </w:tcPr>
          <w:p w14:paraId="644BAB35" w14:textId="726D211E" w:rsidR="0070496D" w:rsidRPr="00EB5EDA" w:rsidRDefault="0070496D" w:rsidP="002A72A8">
            <w:pPr>
              <w:pStyle w:val="Normal-pool"/>
              <w:spacing w:before="20" w:after="20"/>
              <w:rPr>
                <w:sz w:val="18"/>
                <w:szCs w:val="18"/>
                <w:lang w:val="en-GB"/>
              </w:rPr>
            </w:pPr>
            <w:r w:rsidRPr="00EB5EDA">
              <w:rPr>
                <w:sz w:val="18"/>
                <w:szCs w:val="18"/>
                <w:lang w:val="en-GB"/>
              </w:rPr>
              <w:t xml:space="preserve">Cold cathode fluorescent lamps and external electrode fluorescent lamps (CCFL and EEFL) for electronic displays: short length </w:t>
            </w:r>
            <w:r w:rsidR="00BF4BD0" w:rsidRPr="00EB5EDA">
              <w:rPr>
                <w:sz w:val="18"/>
                <w:szCs w:val="18"/>
                <w:lang w:val="en-GB"/>
              </w:rPr>
              <w:t xml:space="preserve">(less than </w:t>
            </w:r>
            <w:r w:rsidRPr="00EB5EDA">
              <w:rPr>
                <w:sz w:val="18"/>
                <w:szCs w:val="18"/>
                <w:lang w:val="en-GB"/>
              </w:rPr>
              <w:t>500 mm) with mercury content no more than 3.5 mg per lamp</w:t>
            </w:r>
          </w:p>
        </w:tc>
      </w:tr>
      <w:tr w:rsidR="0070496D" w:rsidRPr="00EB5EDA" w14:paraId="0CFCA371" w14:textId="77777777" w:rsidTr="009E5CEE">
        <w:trPr>
          <w:cantSplit/>
          <w:trHeight w:val="312"/>
          <w:jc w:val="right"/>
        </w:trPr>
        <w:tc>
          <w:tcPr>
            <w:tcW w:w="1498" w:type="dxa"/>
            <w:tcBorders>
              <w:top w:val="nil"/>
              <w:left w:val="nil"/>
              <w:right w:val="nil"/>
            </w:tcBorders>
            <w:shd w:val="clear" w:color="auto" w:fill="auto"/>
            <w:noWrap/>
          </w:tcPr>
          <w:p w14:paraId="3BD83054" w14:textId="77777777" w:rsidR="0070496D" w:rsidRPr="00EB5EDA" w:rsidRDefault="0070496D" w:rsidP="002A72A8">
            <w:pPr>
              <w:pStyle w:val="Normal-pool"/>
              <w:spacing w:before="20" w:after="20"/>
              <w:jc w:val="right"/>
              <w:rPr>
                <w:sz w:val="18"/>
                <w:szCs w:val="18"/>
                <w:lang w:val="en-GB"/>
              </w:rPr>
            </w:pPr>
          </w:p>
        </w:tc>
        <w:tc>
          <w:tcPr>
            <w:tcW w:w="2188" w:type="dxa"/>
            <w:tcBorders>
              <w:top w:val="nil"/>
              <w:left w:val="nil"/>
              <w:right w:val="nil"/>
            </w:tcBorders>
            <w:shd w:val="clear" w:color="auto" w:fill="E7E6E6" w:themeFill="background2"/>
            <w:noWrap/>
            <w:hideMark/>
          </w:tcPr>
          <w:p w14:paraId="6FC2D3FD" w14:textId="77777777" w:rsidR="0070496D" w:rsidRPr="00EB5EDA" w:rsidRDefault="0070496D" w:rsidP="002A72A8">
            <w:pPr>
              <w:pStyle w:val="Normal-pool"/>
              <w:spacing w:before="20" w:after="20"/>
              <w:jc w:val="right"/>
              <w:rPr>
                <w:sz w:val="18"/>
                <w:szCs w:val="18"/>
                <w:lang w:val="en-GB"/>
              </w:rPr>
            </w:pPr>
            <w:r w:rsidRPr="00EB5EDA">
              <w:rPr>
                <w:sz w:val="18"/>
                <w:szCs w:val="18"/>
                <w:lang w:val="en-GB"/>
              </w:rPr>
              <w:t>8539.39.00.20</w:t>
            </w:r>
          </w:p>
        </w:tc>
        <w:tc>
          <w:tcPr>
            <w:tcW w:w="4621" w:type="dxa"/>
            <w:tcBorders>
              <w:top w:val="nil"/>
              <w:left w:val="nil"/>
              <w:right w:val="nil"/>
            </w:tcBorders>
            <w:shd w:val="clear" w:color="auto" w:fill="E7E6E6" w:themeFill="background2"/>
            <w:hideMark/>
          </w:tcPr>
          <w:p w14:paraId="204B8A12" w14:textId="6ED15A45" w:rsidR="0070496D" w:rsidRPr="00EB5EDA" w:rsidRDefault="0070496D" w:rsidP="002A72A8">
            <w:pPr>
              <w:pStyle w:val="Normal-pool"/>
              <w:spacing w:before="20" w:after="20"/>
              <w:rPr>
                <w:sz w:val="18"/>
                <w:szCs w:val="18"/>
                <w:lang w:val="en-GB"/>
              </w:rPr>
            </w:pPr>
            <w:r w:rsidRPr="00EB5EDA">
              <w:rPr>
                <w:sz w:val="18"/>
                <w:szCs w:val="18"/>
                <w:lang w:val="en-GB"/>
              </w:rPr>
              <w:t xml:space="preserve">Cold cathode fluorescent lamps and external electrode fluorescent lamps (CCFL and EEFL) for electronic displays: medium length </w:t>
            </w:r>
            <w:r w:rsidR="00BF4BD0" w:rsidRPr="00EB5EDA">
              <w:rPr>
                <w:sz w:val="18"/>
                <w:szCs w:val="18"/>
                <w:lang w:val="en-GB"/>
              </w:rPr>
              <w:t xml:space="preserve">(greater than </w:t>
            </w:r>
            <w:r w:rsidRPr="00EB5EDA">
              <w:rPr>
                <w:sz w:val="18"/>
                <w:szCs w:val="18"/>
                <w:lang w:val="en-GB"/>
              </w:rPr>
              <w:t xml:space="preserve">500 mm and </w:t>
            </w:r>
            <w:r w:rsidR="00BF4BD0" w:rsidRPr="00EB5EDA">
              <w:rPr>
                <w:sz w:val="18"/>
                <w:szCs w:val="18"/>
                <w:lang w:val="en-GB"/>
              </w:rPr>
              <w:t xml:space="preserve">less than </w:t>
            </w:r>
            <w:r w:rsidRPr="00EB5EDA">
              <w:rPr>
                <w:sz w:val="18"/>
                <w:szCs w:val="18"/>
                <w:lang w:val="en-GB"/>
              </w:rPr>
              <w:t>1</w:t>
            </w:r>
            <w:r w:rsidR="00BF6A92" w:rsidRPr="00EB5EDA">
              <w:rPr>
                <w:sz w:val="18"/>
                <w:szCs w:val="18"/>
                <w:lang w:val="en-GB"/>
              </w:rPr>
              <w:t>,</w:t>
            </w:r>
            <w:r w:rsidRPr="00EB5EDA">
              <w:rPr>
                <w:sz w:val="18"/>
                <w:szCs w:val="18"/>
                <w:lang w:val="en-GB"/>
              </w:rPr>
              <w:t>500</w:t>
            </w:r>
            <w:r w:rsidR="00B04E22" w:rsidRPr="00EB5EDA">
              <w:rPr>
                <w:sz w:val="18"/>
                <w:szCs w:val="18"/>
                <w:lang w:val="en-GB"/>
              </w:rPr>
              <w:t> </w:t>
            </w:r>
            <w:r w:rsidRPr="00EB5EDA">
              <w:rPr>
                <w:sz w:val="18"/>
                <w:szCs w:val="18"/>
                <w:lang w:val="en-GB"/>
              </w:rPr>
              <w:t>mm) with mercury content no more than 5 mg per</w:t>
            </w:r>
            <w:r w:rsidR="00B04E22" w:rsidRPr="00EB5EDA">
              <w:rPr>
                <w:sz w:val="18"/>
                <w:szCs w:val="18"/>
                <w:lang w:val="en-GB"/>
              </w:rPr>
              <w:t> </w:t>
            </w:r>
            <w:r w:rsidRPr="00EB5EDA">
              <w:rPr>
                <w:sz w:val="18"/>
                <w:szCs w:val="18"/>
                <w:lang w:val="en-GB"/>
              </w:rPr>
              <w:t>lamp</w:t>
            </w:r>
          </w:p>
        </w:tc>
      </w:tr>
      <w:tr w:rsidR="0070496D" w:rsidRPr="00EB5EDA" w14:paraId="31ACDF04" w14:textId="77777777" w:rsidTr="009E5CEE">
        <w:trPr>
          <w:cantSplit/>
          <w:trHeight w:val="312"/>
          <w:jc w:val="right"/>
        </w:trPr>
        <w:tc>
          <w:tcPr>
            <w:tcW w:w="1498" w:type="dxa"/>
            <w:tcBorders>
              <w:top w:val="nil"/>
              <w:left w:val="nil"/>
              <w:bottom w:val="single" w:sz="12" w:space="0" w:color="auto"/>
              <w:right w:val="nil"/>
            </w:tcBorders>
            <w:shd w:val="clear" w:color="auto" w:fill="auto"/>
            <w:noWrap/>
          </w:tcPr>
          <w:p w14:paraId="5316E3CA" w14:textId="77777777" w:rsidR="0070496D" w:rsidRPr="00EB5EDA" w:rsidRDefault="0070496D" w:rsidP="002A72A8">
            <w:pPr>
              <w:pStyle w:val="Normal-pool"/>
              <w:spacing w:before="20" w:after="20"/>
              <w:jc w:val="right"/>
              <w:rPr>
                <w:sz w:val="18"/>
                <w:szCs w:val="18"/>
                <w:lang w:val="en-GB"/>
              </w:rPr>
            </w:pPr>
          </w:p>
        </w:tc>
        <w:tc>
          <w:tcPr>
            <w:tcW w:w="2188" w:type="dxa"/>
            <w:tcBorders>
              <w:top w:val="nil"/>
              <w:left w:val="nil"/>
              <w:bottom w:val="single" w:sz="12" w:space="0" w:color="auto"/>
              <w:right w:val="nil"/>
            </w:tcBorders>
            <w:shd w:val="clear" w:color="auto" w:fill="E7E6E6" w:themeFill="background2"/>
            <w:noWrap/>
            <w:hideMark/>
          </w:tcPr>
          <w:p w14:paraId="302DB000" w14:textId="77777777" w:rsidR="0070496D" w:rsidRPr="00EB5EDA" w:rsidRDefault="0070496D" w:rsidP="002A72A8">
            <w:pPr>
              <w:pStyle w:val="Normal-pool"/>
              <w:spacing w:before="20" w:after="20"/>
              <w:jc w:val="right"/>
              <w:rPr>
                <w:sz w:val="18"/>
                <w:szCs w:val="18"/>
                <w:lang w:val="en-GB"/>
              </w:rPr>
            </w:pPr>
            <w:r w:rsidRPr="00EB5EDA">
              <w:rPr>
                <w:sz w:val="18"/>
                <w:szCs w:val="18"/>
                <w:lang w:val="en-GB"/>
              </w:rPr>
              <w:t>8539.39.00.30</w:t>
            </w:r>
          </w:p>
        </w:tc>
        <w:tc>
          <w:tcPr>
            <w:tcW w:w="4621" w:type="dxa"/>
            <w:tcBorders>
              <w:top w:val="nil"/>
              <w:left w:val="nil"/>
              <w:bottom w:val="single" w:sz="12" w:space="0" w:color="auto"/>
              <w:right w:val="nil"/>
            </w:tcBorders>
            <w:shd w:val="clear" w:color="auto" w:fill="E7E6E6" w:themeFill="background2"/>
            <w:hideMark/>
          </w:tcPr>
          <w:p w14:paraId="63C5ADE4" w14:textId="4CA635D7" w:rsidR="0070496D" w:rsidRPr="00EB5EDA" w:rsidRDefault="0070496D" w:rsidP="002A72A8">
            <w:pPr>
              <w:pStyle w:val="Normal-pool"/>
              <w:spacing w:before="20" w:after="20"/>
              <w:rPr>
                <w:sz w:val="18"/>
                <w:szCs w:val="18"/>
                <w:lang w:val="en-GB"/>
              </w:rPr>
            </w:pPr>
            <w:r w:rsidRPr="00EB5EDA">
              <w:rPr>
                <w:sz w:val="18"/>
                <w:szCs w:val="18"/>
                <w:lang w:val="en-GB"/>
              </w:rPr>
              <w:t xml:space="preserve">Cold cathode fluorescent lamps and external electrode fluorescent lamps (CCFL and EEFL) for electronic displays: long length </w:t>
            </w:r>
            <w:r w:rsidR="00BF4BD0" w:rsidRPr="00EB5EDA">
              <w:rPr>
                <w:sz w:val="18"/>
                <w:szCs w:val="18"/>
                <w:lang w:val="en-GB"/>
              </w:rPr>
              <w:t xml:space="preserve">(greater than </w:t>
            </w:r>
            <w:r w:rsidRPr="00EB5EDA">
              <w:rPr>
                <w:sz w:val="18"/>
                <w:szCs w:val="18"/>
                <w:lang w:val="en-GB"/>
              </w:rPr>
              <w:t>1</w:t>
            </w:r>
            <w:r w:rsidR="00BF6A92" w:rsidRPr="00EB5EDA">
              <w:rPr>
                <w:sz w:val="18"/>
                <w:szCs w:val="18"/>
                <w:lang w:val="en-GB"/>
              </w:rPr>
              <w:t>,</w:t>
            </w:r>
            <w:r w:rsidRPr="00EB5EDA">
              <w:rPr>
                <w:sz w:val="18"/>
                <w:szCs w:val="18"/>
                <w:lang w:val="en-GB"/>
              </w:rPr>
              <w:t>500 mm) with mercury content no more than 13 mg per lamp</w:t>
            </w:r>
          </w:p>
        </w:tc>
      </w:tr>
    </w:tbl>
    <w:p w14:paraId="4FF47877" w14:textId="77777777" w:rsidR="0070496D" w:rsidRPr="00EB5EDA" w:rsidRDefault="0070496D" w:rsidP="003B2AD6">
      <w:pPr>
        <w:pStyle w:val="Titletable"/>
        <w:spacing w:before="240"/>
        <w:rPr>
          <w:lang w:val="en-GB"/>
        </w:rPr>
      </w:pPr>
      <w:r w:rsidRPr="00EB5EDA">
        <w:rPr>
          <w:lang w:val="en-GB"/>
        </w:rPr>
        <w:lastRenderedPageBreak/>
        <w:t>Cosmetics</w:t>
      </w:r>
    </w:p>
    <w:tbl>
      <w:tblPr>
        <w:tblW w:w="8307" w:type="dxa"/>
        <w:jc w:val="right"/>
        <w:tblLook w:val="04A0" w:firstRow="1" w:lastRow="0" w:firstColumn="1" w:lastColumn="0" w:noHBand="0" w:noVBand="1"/>
      </w:tblPr>
      <w:tblGrid>
        <w:gridCol w:w="1460"/>
        <w:gridCol w:w="2226"/>
        <w:gridCol w:w="4621"/>
      </w:tblGrid>
      <w:tr w:rsidR="0070496D" w:rsidRPr="00EB5EDA" w14:paraId="799F345E" w14:textId="77777777" w:rsidTr="009E5CEE">
        <w:trPr>
          <w:cantSplit/>
          <w:trHeight w:val="57"/>
          <w:tblHeader/>
          <w:jc w:val="right"/>
        </w:trPr>
        <w:tc>
          <w:tcPr>
            <w:tcW w:w="1460" w:type="dxa"/>
            <w:tcBorders>
              <w:top w:val="single" w:sz="4" w:space="0" w:color="auto"/>
              <w:left w:val="nil"/>
              <w:bottom w:val="single" w:sz="12" w:space="0" w:color="auto"/>
              <w:right w:val="nil"/>
            </w:tcBorders>
            <w:shd w:val="clear" w:color="auto" w:fill="auto"/>
            <w:vAlign w:val="bottom"/>
            <w:hideMark/>
          </w:tcPr>
          <w:p w14:paraId="70BE492A" w14:textId="1F6C50C6" w:rsidR="0070496D" w:rsidRPr="00EB5EDA" w:rsidRDefault="0070496D" w:rsidP="00EB5EDA">
            <w:pPr>
              <w:pStyle w:val="Normal-pool"/>
              <w:keepNext/>
              <w:keepLines/>
              <w:spacing w:before="40" w:after="40"/>
              <w:jc w:val="right"/>
              <w:rPr>
                <w:i/>
                <w:iCs/>
                <w:sz w:val="18"/>
                <w:szCs w:val="18"/>
                <w:lang w:val="en-GB"/>
              </w:rPr>
            </w:pPr>
            <w:r w:rsidRPr="00EB5EDA">
              <w:rPr>
                <w:i/>
                <w:iCs/>
                <w:sz w:val="18"/>
                <w:szCs w:val="18"/>
                <w:lang w:val="en-GB"/>
              </w:rPr>
              <w:t>Existing code</w:t>
            </w:r>
          </w:p>
        </w:tc>
        <w:tc>
          <w:tcPr>
            <w:tcW w:w="2226" w:type="dxa"/>
            <w:tcBorders>
              <w:top w:val="single" w:sz="4" w:space="0" w:color="auto"/>
              <w:left w:val="nil"/>
              <w:bottom w:val="single" w:sz="12" w:space="0" w:color="auto"/>
              <w:right w:val="nil"/>
            </w:tcBorders>
            <w:shd w:val="clear" w:color="auto" w:fill="auto"/>
            <w:vAlign w:val="bottom"/>
            <w:hideMark/>
          </w:tcPr>
          <w:p w14:paraId="4F09CB97" w14:textId="77777777" w:rsidR="0070496D" w:rsidRPr="00EB5EDA" w:rsidRDefault="0070496D" w:rsidP="00EB5EDA">
            <w:pPr>
              <w:pStyle w:val="Normal-pool"/>
              <w:keepNext/>
              <w:keepLines/>
              <w:spacing w:before="40" w:after="40"/>
              <w:jc w:val="right"/>
              <w:rPr>
                <w:i/>
                <w:iCs/>
                <w:sz w:val="18"/>
                <w:szCs w:val="18"/>
                <w:lang w:val="en-GB"/>
              </w:rPr>
            </w:pPr>
            <w:r w:rsidRPr="00EB5EDA">
              <w:rPr>
                <w:i/>
                <w:iCs/>
                <w:sz w:val="18"/>
                <w:szCs w:val="18"/>
                <w:lang w:val="en-GB"/>
              </w:rPr>
              <w:t>Proposed statistical codes</w:t>
            </w:r>
          </w:p>
        </w:tc>
        <w:tc>
          <w:tcPr>
            <w:tcW w:w="4621" w:type="dxa"/>
            <w:tcBorders>
              <w:top w:val="single" w:sz="4" w:space="0" w:color="auto"/>
              <w:left w:val="nil"/>
              <w:bottom w:val="single" w:sz="12" w:space="0" w:color="auto"/>
              <w:right w:val="nil"/>
            </w:tcBorders>
            <w:shd w:val="clear" w:color="auto" w:fill="auto"/>
            <w:vAlign w:val="bottom"/>
            <w:hideMark/>
          </w:tcPr>
          <w:p w14:paraId="45D43918" w14:textId="77777777" w:rsidR="0070496D" w:rsidRPr="00EB5EDA" w:rsidRDefault="0070496D" w:rsidP="00EB5EDA">
            <w:pPr>
              <w:pStyle w:val="Normal-pool"/>
              <w:keepNext/>
              <w:keepLines/>
              <w:spacing w:before="40" w:after="40"/>
              <w:rPr>
                <w:i/>
                <w:iCs/>
                <w:sz w:val="18"/>
                <w:szCs w:val="18"/>
                <w:lang w:val="en-GB"/>
              </w:rPr>
            </w:pPr>
            <w:r w:rsidRPr="00EB5EDA">
              <w:rPr>
                <w:i/>
                <w:iCs/>
                <w:sz w:val="18"/>
                <w:szCs w:val="18"/>
                <w:lang w:val="en-GB"/>
              </w:rPr>
              <w:t>Description</w:t>
            </w:r>
          </w:p>
        </w:tc>
      </w:tr>
      <w:tr w:rsidR="0070496D" w:rsidRPr="00EB5EDA" w14:paraId="7147494D" w14:textId="77777777" w:rsidTr="009E5CEE">
        <w:trPr>
          <w:cantSplit/>
          <w:trHeight w:val="57"/>
          <w:jc w:val="right"/>
        </w:trPr>
        <w:tc>
          <w:tcPr>
            <w:tcW w:w="1460" w:type="dxa"/>
            <w:tcBorders>
              <w:top w:val="single" w:sz="12" w:space="0" w:color="auto"/>
              <w:left w:val="nil"/>
              <w:bottom w:val="nil"/>
              <w:right w:val="nil"/>
            </w:tcBorders>
            <w:shd w:val="clear" w:color="auto" w:fill="auto"/>
            <w:noWrap/>
            <w:hideMark/>
          </w:tcPr>
          <w:p w14:paraId="6BA8F481" w14:textId="77777777" w:rsidR="0070496D" w:rsidRPr="00EB5EDA" w:rsidRDefault="0070496D" w:rsidP="00EB5EDA">
            <w:pPr>
              <w:pStyle w:val="Normal-pool"/>
              <w:keepNext/>
              <w:keepLines/>
              <w:spacing w:before="40" w:after="40"/>
              <w:jc w:val="right"/>
              <w:rPr>
                <w:sz w:val="18"/>
                <w:szCs w:val="18"/>
                <w:lang w:val="en-GB"/>
              </w:rPr>
            </w:pPr>
            <w:r w:rsidRPr="00EB5EDA">
              <w:rPr>
                <w:sz w:val="18"/>
                <w:szCs w:val="18"/>
                <w:lang w:val="en-GB"/>
              </w:rPr>
              <w:t>3304.10.01</w:t>
            </w:r>
          </w:p>
        </w:tc>
        <w:tc>
          <w:tcPr>
            <w:tcW w:w="2226" w:type="dxa"/>
            <w:tcBorders>
              <w:top w:val="single" w:sz="12" w:space="0" w:color="auto"/>
              <w:left w:val="nil"/>
              <w:bottom w:val="nil"/>
              <w:right w:val="nil"/>
            </w:tcBorders>
            <w:shd w:val="clear" w:color="auto" w:fill="auto"/>
            <w:noWrap/>
            <w:hideMark/>
          </w:tcPr>
          <w:p w14:paraId="4BB8EA87" w14:textId="77777777" w:rsidR="0070496D" w:rsidRPr="00EB5EDA" w:rsidRDefault="0070496D" w:rsidP="00EB5EDA">
            <w:pPr>
              <w:pStyle w:val="Normal-pool"/>
              <w:keepNext/>
              <w:keepLines/>
              <w:spacing w:before="40" w:after="40"/>
              <w:jc w:val="right"/>
              <w:rPr>
                <w:sz w:val="18"/>
                <w:szCs w:val="18"/>
                <w:lang w:val="en-GB"/>
              </w:rPr>
            </w:pPr>
          </w:p>
        </w:tc>
        <w:tc>
          <w:tcPr>
            <w:tcW w:w="4621" w:type="dxa"/>
            <w:tcBorders>
              <w:top w:val="single" w:sz="12" w:space="0" w:color="auto"/>
              <w:left w:val="nil"/>
              <w:bottom w:val="nil"/>
              <w:right w:val="nil"/>
            </w:tcBorders>
            <w:shd w:val="clear" w:color="auto" w:fill="auto"/>
            <w:hideMark/>
          </w:tcPr>
          <w:p w14:paraId="100A2C04" w14:textId="77777777" w:rsidR="0070496D" w:rsidRPr="00EB5EDA" w:rsidRDefault="0070496D" w:rsidP="00EB5EDA">
            <w:pPr>
              <w:pStyle w:val="Normal-pool"/>
              <w:keepNext/>
              <w:keepLines/>
              <w:spacing w:before="40" w:after="40"/>
              <w:rPr>
                <w:sz w:val="18"/>
                <w:szCs w:val="18"/>
                <w:lang w:val="en-GB"/>
              </w:rPr>
            </w:pPr>
            <w:r w:rsidRPr="00EB5EDA">
              <w:rPr>
                <w:sz w:val="18"/>
                <w:szCs w:val="18"/>
                <w:lang w:val="en-GB"/>
              </w:rPr>
              <w:t>Lip make-up preparations</w:t>
            </w:r>
          </w:p>
        </w:tc>
      </w:tr>
      <w:tr w:rsidR="0070496D" w:rsidRPr="00EB5EDA" w14:paraId="3E0939BD" w14:textId="77777777" w:rsidTr="009E5CEE">
        <w:trPr>
          <w:cantSplit/>
          <w:trHeight w:val="57"/>
          <w:jc w:val="right"/>
        </w:trPr>
        <w:tc>
          <w:tcPr>
            <w:tcW w:w="1460" w:type="dxa"/>
            <w:tcBorders>
              <w:top w:val="nil"/>
              <w:left w:val="nil"/>
              <w:bottom w:val="nil"/>
              <w:right w:val="nil"/>
            </w:tcBorders>
            <w:shd w:val="clear" w:color="auto" w:fill="auto"/>
            <w:noWrap/>
            <w:hideMark/>
          </w:tcPr>
          <w:p w14:paraId="56D4037C" w14:textId="77777777" w:rsidR="0070496D" w:rsidRPr="00EB5EDA" w:rsidRDefault="0070496D" w:rsidP="00EB5EDA">
            <w:pPr>
              <w:pStyle w:val="Normal-pool"/>
              <w:keepNext/>
              <w:keepLines/>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1E969746" w14:textId="77777777" w:rsidR="0070496D" w:rsidRPr="00EB5EDA" w:rsidRDefault="0070496D" w:rsidP="00EB5EDA">
            <w:pPr>
              <w:pStyle w:val="Normal-pool"/>
              <w:keepNext/>
              <w:keepLines/>
              <w:spacing w:before="40" w:after="40"/>
              <w:jc w:val="right"/>
              <w:rPr>
                <w:sz w:val="18"/>
                <w:szCs w:val="18"/>
                <w:lang w:val="en-GB"/>
              </w:rPr>
            </w:pPr>
            <w:r w:rsidRPr="00EB5EDA">
              <w:rPr>
                <w:sz w:val="18"/>
                <w:szCs w:val="18"/>
                <w:lang w:val="en-GB"/>
              </w:rPr>
              <w:t>3304.10.01.10</w:t>
            </w:r>
          </w:p>
        </w:tc>
        <w:tc>
          <w:tcPr>
            <w:tcW w:w="4621" w:type="dxa"/>
            <w:tcBorders>
              <w:top w:val="nil"/>
              <w:left w:val="nil"/>
              <w:bottom w:val="nil"/>
              <w:right w:val="nil"/>
            </w:tcBorders>
            <w:shd w:val="clear" w:color="auto" w:fill="E7E6E6" w:themeFill="background2"/>
            <w:hideMark/>
          </w:tcPr>
          <w:p w14:paraId="12360923" w14:textId="6CDE8B19" w:rsidR="0070496D" w:rsidRPr="00EB5EDA" w:rsidRDefault="0070496D" w:rsidP="00EB5EDA">
            <w:pPr>
              <w:pStyle w:val="Normal-pool"/>
              <w:keepNext/>
              <w:keepLines/>
              <w:spacing w:before="40" w:after="40"/>
              <w:rPr>
                <w:sz w:val="18"/>
                <w:szCs w:val="18"/>
                <w:lang w:val="en-GB"/>
              </w:rPr>
            </w:pPr>
            <w:r w:rsidRPr="00EB5EDA">
              <w:rPr>
                <w:sz w:val="18"/>
                <w:szCs w:val="18"/>
                <w:lang w:val="en-GB"/>
              </w:rPr>
              <w:t>With mercury content less than or equal to 1</w:t>
            </w:r>
            <w:r w:rsidR="000128B4" w:rsidRPr="00EB5EDA">
              <w:rPr>
                <w:sz w:val="18"/>
                <w:szCs w:val="18"/>
                <w:lang w:val="en-GB"/>
              </w:rPr>
              <w:t xml:space="preserve"> </w:t>
            </w:r>
            <w:r w:rsidRPr="00EB5EDA">
              <w:rPr>
                <w:sz w:val="18"/>
                <w:szCs w:val="18"/>
                <w:lang w:val="en-GB"/>
              </w:rPr>
              <w:t>ppm</w:t>
            </w:r>
          </w:p>
        </w:tc>
      </w:tr>
      <w:tr w:rsidR="0070496D" w:rsidRPr="00EB5EDA" w14:paraId="730BC63F" w14:textId="77777777" w:rsidTr="009E5CEE">
        <w:trPr>
          <w:cantSplit/>
          <w:trHeight w:val="57"/>
          <w:jc w:val="right"/>
        </w:trPr>
        <w:tc>
          <w:tcPr>
            <w:tcW w:w="1460" w:type="dxa"/>
            <w:tcBorders>
              <w:top w:val="nil"/>
              <w:left w:val="nil"/>
              <w:bottom w:val="nil"/>
              <w:right w:val="nil"/>
            </w:tcBorders>
            <w:shd w:val="clear" w:color="auto" w:fill="auto"/>
            <w:noWrap/>
            <w:hideMark/>
          </w:tcPr>
          <w:p w14:paraId="02F8E014" w14:textId="77777777" w:rsidR="0070496D" w:rsidRPr="00EB5EDA" w:rsidRDefault="0070496D" w:rsidP="00EB5EDA">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20B91FA2" w14:textId="77777777" w:rsidR="0070496D" w:rsidRPr="00EB5EDA" w:rsidRDefault="0070496D" w:rsidP="00EB5EDA">
            <w:pPr>
              <w:pStyle w:val="Normal-pool"/>
              <w:spacing w:before="40" w:after="40"/>
              <w:jc w:val="right"/>
              <w:rPr>
                <w:sz w:val="18"/>
                <w:szCs w:val="18"/>
                <w:lang w:val="en-GB"/>
              </w:rPr>
            </w:pPr>
            <w:r w:rsidRPr="00EB5EDA">
              <w:rPr>
                <w:sz w:val="18"/>
                <w:szCs w:val="18"/>
                <w:lang w:val="en-GB"/>
              </w:rPr>
              <w:t>3304.10.01.20</w:t>
            </w:r>
          </w:p>
        </w:tc>
        <w:tc>
          <w:tcPr>
            <w:tcW w:w="4621" w:type="dxa"/>
            <w:tcBorders>
              <w:top w:val="nil"/>
              <w:left w:val="nil"/>
              <w:bottom w:val="nil"/>
              <w:right w:val="nil"/>
            </w:tcBorders>
            <w:shd w:val="clear" w:color="auto" w:fill="E7E6E6" w:themeFill="background2"/>
            <w:hideMark/>
          </w:tcPr>
          <w:p w14:paraId="78FF3E73" w14:textId="717C9E9F" w:rsidR="0070496D" w:rsidRPr="00EB5EDA" w:rsidRDefault="0070496D" w:rsidP="00EB5EDA">
            <w:pPr>
              <w:pStyle w:val="Normal-pool"/>
              <w:spacing w:before="40" w:after="40"/>
              <w:rPr>
                <w:sz w:val="18"/>
                <w:szCs w:val="18"/>
                <w:lang w:val="en-GB"/>
              </w:rPr>
            </w:pPr>
            <w:r w:rsidRPr="00EB5EDA">
              <w:rPr>
                <w:sz w:val="18"/>
                <w:szCs w:val="18"/>
                <w:lang w:val="en-GB"/>
              </w:rPr>
              <w:t>With mercury content more than 1</w:t>
            </w:r>
            <w:r w:rsidR="00144001" w:rsidRPr="00EB5EDA">
              <w:rPr>
                <w:sz w:val="18"/>
                <w:szCs w:val="18"/>
                <w:lang w:val="en-GB"/>
              </w:rPr>
              <w:t> </w:t>
            </w:r>
            <w:r w:rsidRPr="00EB5EDA">
              <w:rPr>
                <w:sz w:val="18"/>
                <w:szCs w:val="18"/>
                <w:lang w:val="en-GB"/>
              </w:rPr>
              <w:t>ppm</w:t>
            </w:r>
          </w:p>
        </w:tc>
      </w:tr>
      <w:tr w:rsidR="0070496D" w:rsidRPr="00EB5EDA" w14:paraId="74F00789" w14:textId="77777777" w:rsidTr="009E5CEE">
        <w:trPr>
          <w:cantSplit/>
          <w:trHeight w:val="57"/>
          <w:jc w:val="right"/>
        </w:trPr>
        <w:tc>
          <w:tcPr>
            <w:tcW w:w="1460" w:type="dxa"/>
            <w:tcBorders>
              <w:top w:val="nil"/>
              <w:left w:val="nil"/>
              <w:bottom w:val="nil"/>
              <w:right w:val="nil"/>
            </w:tcBorders>
            <w:shd w:val="clear" w:color="auto" w:fill="auto"/>
            <w:noWrap/>
            <w:hideMark/>
          </w:tcPr>
          <w:p w14:paraId="25C1647C" w14:textId="77777777" w:rsidR="0070496D" w:rsidRPr="00EB5EDA" w:rsidRDefault="0070496D" w:rsidP="00EB5EDA">
            <w:pPr>
              <w:pStyle w:val="Normal-pool"/>
              <w:spacing w:before="40" w:after="40"/>
              <w:jc w:val="right"/>
              <w:rPr>
                <w:sz w:val="18"/>
                <w:szCs w:val="18"/>
                <w:lang w:val="en-GB"/>
              </w:rPr>
            </w:pPr>
            <w:r w:rsidRPr="00EB5EDA">
              <w:rPr>
                <w:sz w:val="18"/>
                <w:szCs w:val="18"/>
                <w:lang w:val="en-GB"/>
              </w:rPr>
              <w:t>3304.20.01</w:t>
            </w:r>
          </w:p>
        </w:tc>
        <w:tc>
          <w:tcPr>
            <w:tcW w:w="2226" w:type="dxa"/>
            <w:tcBorders>
              <w:top w:val="nil"/>
              <w:left w:val="nil"/>
              <w:bottom w:val="nil"/>
              <w:right w:val="nil"/>
            </w:tcBorders>
            <w:shd w:val="clear" w:color="auto" w:fill="auto"/>
            <w:noWrap/>
            <w:hideMark/>
          </w:tcPr>
          <w:p w14:paraId="0738BDCB" w14:textId="77777777" w:rsidR="0070496D" w:rsidRPr="00EB5EDA" w:rsidRDefault="0070496D" w:rsidP="00EB5EDA">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26D5D8EF" w14:textId="77777777" w:rsidR="0070496D" w:rsidRPr="00EB5EDA" w:rsidRDefault="0070496D" w:rsidP="00EB5EDA">
            <w:pPr>
              <w:pStyle w:val="Normal-pool"/>
              <w:spacing w:before="40" w:after="40"/>
              <w:rPr>
                <w:sz w:val="18"/>
                <w:szCs w:val="18"/>
                <w:lang w:val="en-GB"/>
              </w:rPr>
            </w:pPr>
            <w:r w:rsidRPr="00EB5EDA">
              <w:rPr>
                <w:sz w:val="18"/>
                <w:szCs w:val="18"/>
                <w:lang w:val="en-GB"/>
              </w:rPr>
              <w:t>Eye make-up preparations</w:t>
            </w:r>
          </w:p>
        </w:tc>
      </w:tr>
      <w:tr w:rsidR="0070496D" w:rsidRPr="00EB5EDA" w14:paraId="712275E8" w14:textId="77777777" w:rsidTr="009E5CEE">
        <w:trPr>
          <w:cantSplit/>
          <w:trHeight w:val="57"/>
          <w:jc w:val="right"/>
        </w:trPr>
        <w:tc>
          <w:tcPr>
            <w:tcW w:w="1460" w:type="dxa"/>
            <w:tcBorders>
              <w:top w:val="nil"/>
              <w:left w:val="nil"/>
              <w:bottom w:val="nil"/>
              <w:right w:val="nil"/>
            </w:tcBorders>
            <w:shd w:val="clear" w:color="auto" w:fill="auto"/>
            <w:noWrap/>
            <w:hideMark/>
          </w:tcPr>
          <w:p w14:paraId="375E143F" w14:textId="77777777" w:rsidR="0070496D" w:rsidRPr="00EB5EDA" w:rsidRDefault="0070496D" w:rsidP="00EB5EDA">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2F3B89EF" w14:textId="77777777" w:rsidR="0070496D" w:rsidRPr="00EB5EDA" w:rsidRDefault="0070496D" w:rsidP="00EB5EDA">
            <w:pPr>
              <w:pStyle w:val="Normal-pool"/>
              <w:spacing w:before="40" w:after="40"/>
              <w:jc w:val="right"/>
              <w:rPr>
                <w:sz w:val="18"/>
                <w:szCs w:val="18"/>
                <w:lang w:val="en-GB"/>
              </w:rPr>
            </w:pPr>
            <w:r w:rsidRPr="00EB5EDA">
              <w:rPr>
                <w:sz w:val="18"/>
                <w:szCs w:val="18"/>
                <w:lang w:val="en-GB"/>
              </w:rPr>
              <w:t>3304.20.01.10</w:t>
            </w:r>
          </w:p>
        </w:tc>
        <w:tc>
          <w:tcPr>
            <w:tcW w:w="4621" w:type="dxa"/>
            <w:tcBorders>
              <w:top w:val="nil"/>
              <w:left w:val="nil"/>
              <w:bottom w:val="nil"/>
              <w:right w:val="nil"/>
            </w:tcBorders>
            <w:shd w:val="clear" w:color="auto" w:fill="E7E6E6" w:themeFill="background2"/>
            <w:hideMark/>
          </w:tcPr>
          <w:p w14:paraId="1A274F86" w14:textId="24487078" w:rsidR="0070496D" w:rsidRPr="00EB5EDA" w:rsidRDefault="0070496D" w:rsidP="00EB5EDA">
            <w:pPr>
              <w:pStyle w:val="Normal-pool"/>
              <w:spacing w:before="40" w:after="40"/>
              <w:rPr>
                <w:sz w:val="18"/>
                <w:szCs w:val="18"/>
                <w:lang w:val="en-GB"/>
              </w:rPr>
            </w:pPr>
            <w:r w:rsidRPr="00EB5EDA">
              <w:rPr>
                <w:sz w:val="18"/>
                <w:szCs w:val="18"/>
                <w:lang w:val="en-GB"/>
              </w:rPr>
              <w:t>With mercury content less than or equal to 1</w:t>
            </w:r>
            <w:r w:rsidR="00144001" w:rsidRPr="00EB5EDA">
              <w:rPr>
                <w:sz w:val="18"/>
                <w:szCs w:val="18"/>
                <w:lang w:val="en-GB"/>
              </w:rPr>
              <w:t> </w:t>
            </w:r>
            <w:r w:rsidRPr="00EB5EDA">
              <w:rPr>
                <w:sz w:val="18"/>
                <w:szCs w:val="18"/>
                <w:lang w:val="en-GB"/>
              </w:rPr>
              <w:t>ppm</w:t>
            </w:r>
          </w:p>
        </w:tc>
      </w:tr>
      <w:tr w:rsidR="0070496D" w:rsidRPr="00EB5EDA" w14:paraId="460D0E86" w14:textId="77777777" w:rsidTr="009E5CEE">
        <w:trPr>
          <w:cantSplit/>
          <w:trHeight w:val="57"/>
          <w:jc w:val="right"/>
        </w:trPr>
        <w:tc>
          <w:tcPr>
            <w:tcW w:w="1460" w:type="dxa"/>
            <w:tcBorders>
              <w:top w:val="nil"/>
              <w:left w:val="nil"/>
              <w:bottom w:val="nil"/>
              <w:right w:val="nil"/>
            </w:tcBorders>
            <w:shd w:val="clear" w:color="auto" w:fill="auto"/>
            <w:noWrap/>
            <w:hideMark/>
          </w:tcPr>
          <w:p w14:paraId="52124841" w14:textId="77777777" w:rsidR="0070496D" w:rsidRPr="00EB5EDA" w:rsidRDefault="0070496D" w:rsidP="00EB5EDA">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226AD2F0" w14:textId="77777777" w:rsidR="0070496D" w:rsidRPr="00EB5EDA" w:rsidRDefault="0070496D" w:rsidP="00EB5EDA">
            <w:pPr>
              <w:pStyle w:val="Normal-pool"/>
              <w:spacing w:before="40" w:after="40"/>
              <w:jc w:val="right"/>
              <w:rPr>
                <w:sz w:val="18"/>
                <w:szCs w:val="18"/>
                <w:lang w:val="en-GB"/>
              </w:rPr>
            </w:pPr>
            <w:r w:rsidRPr="00EB5EDA">
              <w:rPr>
                <w:sz w:val="18"/>
                <w:szCs w:val="18"/>
                <w:lang w:val="en-GB"/>
              </w:rPr>
              <w:t>3304.20.01.20</w:t>
            </w:r>
          </w:p>
        </w:tc>
        <w:tc>
          <w:tcPr>
            <w:tcW w:w="4621" w:type="dxa"/>
            <w:tcBorders>
              <w:top w:val="nil"/>
              <w:left w:val="nil"/>
              <w:bottom w:val="nil"/>
              <w:right w:val="nil"/>
            </w:tcBorders>
            <w:shd w:val="clear" w:color="auto" w:fill="E7E6E6" w:themeFill="background2"/>
            <w:hideMark/>
          </w:tcPr>
          <w:p w14:paraId="772AF52F" w14:textId="100B4863" w:rsidR="0070496D" w:rsidRPr="00EB5EDA" w:rsidRDefault="0070496D" w:rsidP="00EB5EDA">
            <w:pPr>
              <w:pStyle w:val="Normal-pool"/>
              <w:spacing w:before="40" w:after="40"/>
              <w:rPr>
                <w:sz w:val="18"/>
                <w:szCs w:val="18"/>
                <w:lang w:val="en-GB"/>
              </w:rPr>
            </w:pPr>
            <w:r w:rsidRPr="00EB5EDA">
              <w:rPr>
                <w:sz w:val="18"/>
                <w:szCs w:val="18"/>
                <w:lang w:val="en-GB"/>
              </w:rPr>
              <w:t>With mercury content more than 1</w:t>
            </w:r>
            <w:r w:rsidR="00144001" w:rsidRPr="00EB5EDA">
              <w:rPr>
                <w:sz w:val="18"/>
                <w:szCs w:val="18"/>
                <w:lang w:val="en-GB"/>
              </w:rPr>
              <w:t> </w:t>
            </w:r>
            <w:r w:rsidRPr="00EB5EDA">
              <w:rPr>
                <w:sz w:val="18"/>
                <w:szCs w:val="18"/>
                <w:lang w:val="en-GB"/>
              </w:rPr>
              <w:t>ppm and mercury is used as a preservative</w:t>
            </w:r>
          </w:p>
        </w:tc>
      </w:tr>
      <w:tr w:rsidR="0070496D" w:rsidRPr="00EB5EDA" w14:paraId="2F717303" w14:textId="77777777" w:rsidTr="009E5CEE">
        <w:trPr>
          <w:cantSplit/>
          <w:trHeight w:val="57"/>
          <w:jc w:val="right"/>
        </w:trPr>
        <w:tc>
          <w:tcPr>
            <w:tcW w:w="1460" w:type="dxa"/>
            <w:tcBorders>
              <w:top w:val="nil"/>
              <w:left w:val="nil"/>
              <w:bottom w:val="nil"/>
              <w:right w:val="nil"/>
            </w:tcBorders>
            <w:shd w:val="clear" w:color="auto" w:fill="auto"/>
            <w:noWrap/>
            <w:hideMark/>
          </w:tcPr>
          <w:p w14:paraId="7DF30DA8" w14:textId="77777777" w:rsidR="0070496D" w:rsidRPr="00EB5EDA" w:rsidRDefault="0070496D" w:rsidP="00EB5EDA">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705FE435" w14:textId="77777777" w:rsidR="0070496D" w:rsidRPr="00EB5EDA" w:rsidRDefault="0070496D" w:rsidP="00EB5EDA">
            <w:pPr>
              <w:pStyle w:val="Normal-pool"/>
              <w:spacing w:before="40" w:after="40"/>
              <w:jc w:val="right"/>
              <w:rPr>
                <w:sz w:val="18"/>
                <w:szCs w:val="18"/>
                <w:lang w:val="en-GB"/>
              </w:rPr>
            </w:pPr>
            <w:r w:rsidRPr="00EB5EDA">
              <w:rPr>
                <w:sz w:val="18"/>
                <w:szCs w:val="18"/>
                <w:lang w:val="en-GB"/>
              </w:rPr>
              <w:t>3304.20.01.30</w:t>
            </w:r>
          </w:p>
        </w:tc>
        <w:tc>
          <w:tcPr>
            <w:tcW w:w="4621" w:type="dxa"/>
            <w:tcBorders>
              <w:top w:val="nil"/>
              <w:left w:val="nil"/>
              <w:bottom w:val="nil"/>
              <w:right w:val="nil"/>
            </w:tcBorders>
            <w:shd w:val="clear" w:color="auto" w:fill="E7E6E6" w:themeFill="background2"/>
            <w:hideMark/>
          </w:tcPr>
          <w:p w14:paraId="29C2C0F6" w14:textId="4931127A" w:rsidR="0070496D" w:rsidRPr="00EB5EDA" w:rsidRDefault="0070496D" w:rsidP="00EB5EDA">
            <w:pPr>
              <w:pStyle w:val="Normal-pool"/>
              <w:spacing w:before="40" w:after="40"/>
              <w:rPr>
                <w:sz w:val="18"/>
                <w:szCs w:val="18"/>
                <w:lang w:val="en-GB"/>
              </w:rPr>
            </w:pPr>
            <w:r w:rsidRPr="00EB5EDA">
              <w:rPr>
                <w:sz w:val="18"/>
                <w:szCs w:val="18"/>
                <w:lang w:val="en-GB"/>
              </w:rPr>
              <w:t>With mercury content more than 1</w:t>
            </w:r>
            <w:r w:rsidR="00144001" w:rsidRPr="00EB5EDA">
              <w:rPr>
                <w:sz w:val="18"/>
                <w:szCs w:val="18"/>
                <w:lang w:val="en-GB"/>
              </w:rPr>
              <w:t> </w:t>
            </w:r>
            <w:r w:rsidRPr="00EB5EDA">
              <w:rPr>
                <w:sz w:val="18"/>
                <w:szCs w:val="18"/>
                <w:lang w:val="en-GB"/>
              </w:rPr>
              <w:t>ppm and mercury is not used as a preservative</w:t>
            </w:r>
          </w:p>
        </w:tc>
      </w:tr>
      <w:tr w:rsidR="0070496D" w:rsidRPr="00EB5EDA" w14:paraId="08DDD74F" w14:textId="77777777" w:rsidTr="009E5CEE">
        <w:trPr>
          <w:cantSplit/>
          <w:trHeight w:val="57"/>
          <w:jc w:val="right"/>
        </w:trPr>
        <w:tc>
          <w:tcPr>
            <w:tcW w:w="1460" w:type="dxa"/>
            <w:tcBorders>
              <w:top w:val="nil"/>
              <w:left w:val="nil"/>
              <w:bottom w:val="nil"/>
              <w:right w:val="nil"/>
            </w:tcBorders>
            <w:shd w:val="clear" w:color="auto" w:fill="auto"/>
            <w:noWrap/>
            <w:hideMark/>
          </w:tcPr>
          <w:p w14:paraId="2E56052B" w14:textId="77777777" w:rsidR="0070496D" w:rsidRPr="00EB5EDA" w:rsidRDefault="0070496D" w:rsidP="00EB5EDA">
            <w:pPr>
              <w:pStyle w:val="Normal-pool"/>
              <w:spacing w:before="40" w:after="40"/>
              <w:jc w:val="right"/>
              <w:rPr>
                <w:sz w:val="18"/>
                <w:szCs w:val="18"/>
                <w:lang w:val="en-GB"/>
              </w:rPr>
            </w:pPr>
            <w:r w:rsidRPr="00EB5EDA">
              <w:rPr>
                <w:sz w:val="18"/>
                <w:szCs w:val="18"/>
                <w:lang w:val="en-GB"/>
              </w:rPr>
              <w:t>3304.30.00</w:t>
            </w:r>
          </w:p>
        </w:tc>
        <w:tc>
          <w:tcPr>
            <w:tcW w:w="2226" w:type="dxa"/>
            <w:tcBorders>
              <w:top w:val="nil"/>
              <w:left w:val="nil"/>
              <w:bottom w:val="nil"/>
              <w:right w:val="nil"/>
            </w:tcBorders>
            <w:shd w:val="clear" w:color="auto" w:fill="auto"/>
            <w:noWrap/>
            <w:hideMark/>
          </w:tcPr>
          <w:p w14:paraId="35111C9C" w14:textId="77777777" w:rsidR="0070496D" w:rsidRPr="00EB5EDA" w:rsidRDefault="0070496D" w:rsidP="00EB5EDA">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6C836C47" w14:textId="77777777" w:rsidR="0070496D" w:rsidRPr="00EB5EDA" w:rsidRDefault="0070496D" w:rsidP="00EB5EDA">
            <w:pPr>
              <w:pStyle w:val="Normal-pool"/>
              <w:spacing w:before="40" w:after="40"/>
              <w:rPr>
                <w:sz w:val="18"/>
                <w:szCs w:val="18"/>
                <w:lang w:val="en-GB"/>
              </w:rPr>
            </w:pPr>
            <w:r w:rsidRPr="00EB5EDA">
              <w:rPr>
                <w:sz w:val="18"/>
                <w:szCs w:val="18"/>
                <w:lang w:val="en-GB"/>
              </w:rPr>
              <w:t>Manicure or pedicure preparations</w:t>
            </w:r>
          </w:p>
        </w:tc>
      </w:tr>
      <w:tr w:rsidR="0070496D" w:rsidRPr="00EB5EDA" w14:paraId="0C628049" w14:textId="77777777" w:rsidTr="009E5CEE">
        <w:trPr>
          <w:cantSplit/>
          <w:trHeight w:val="57"/>
          <w:jc w:val="right"/>
        </w:trPr>
        <w:tc>
          <w:tcPr>
            <w:tcW w:w="1460" w:type="dxa"/>
            <w:tcBorders>
              <w:top w:val="nil"/>
              <w:left w:val="nil"/>
              <w:bottom w:val="nil"/>
              <w:right w:val="nil"/>
            </w:tcBorders>
            <w:shd w:val="clear" w:color="auto" w:fill="auto"/>
            <w:noWrap/>
            <w:hideMark/>
          </w:tcPr>
          <w:p w14:paraId="41999A63" w14:textId="77777777" w:rsidR="0070496D" w:rsidRPr="00EB5EDA" w:rsidRDefault="0070496D" w:rsidP="00EB5EDA">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3CC493A5" w14:textId="77777777" w:rsidR="0070496D" w:rsidRPr="00EB5EDA" w:rsidRDefault="0070496D" w:rsidP="00EB5EDA">
            <w:pPr>
              <w:pStyle w:val="Normal-pool"/>
              <w:spacing w:before="40" w:after="40"/>
              <w:jc w:val="right"/>
              <w:rPr>
                <w:sz w:val="18"/>
                <w:szCs w:val="18"/>
                <w:lang w:val="en-GB"/>
              </w:rPr>
            </w:pPr>
            <w:r w:rsidRPr="00EB5EDA">
              <w:rPr>
                <w:sz w:val="18"/>
                <w:szCs w:val="18"/>
                <w:lang w:val="en-GB"/>
              </w:rPr>
              <w:t>3304.30.00.10</w:t>
            </w:r>
          </w:p>
        </w:tc>
        <w:tc>
          <w:tcPr>
            <w:tcW w:w="4621" w:type="dxa"/>
            <w:tcBorders>
              <w:top w:val="nil"/>
              <w:left w:val="nil"/>
              <w:bottom w:val="nil"/>
              <w:right w:val="nil"/>
            </w:tcBorders>
            <w:shd w:val="clear" w:color="auto" w:fill="E7E6E6" w:themeFill="background2"/>
            <w:hideMark/>
          </w:tcPr>
          <w:p w14:paraId="5C60E5F3" w14:textId="0D8ABF74" w:rsidR="0070496D" w:rsidRPr="00EB5EDA" w:rsidRDefault="0070496D" w:rsidP="00EB5EDA">
            <w:pPr>
              <w:pStyle w:val="Normal-pool"/>
              <w:spacing w:before="40" w:after="40"/>
              <w:rPr>
                <w:sz w:val="18"/>
                <w:szCs w:val="18"/>
                <w:lang w:val="en-GB"/>
              </w:rPr>
            </w:pPr>
            <w:r w:rsidRPr="00EB5EDA">
              <w:rPr>
                <w:sz w:val="18"/>
                <w:szCs w:val="18"/>
                <w:lang w:val="en-GB"/>
              </w:rPr>
              <w:t>With mercury content less than or equal to 1</w:t>
            </w:r>
            <w:r w:rsidR="00144001" w:rsidRPr="00EB5EDA">
              <w:rPr>
                <w:sz w:val="18"/>
                <w:szCs w:val="18"/>
                <w:lang w:val="en-GB"/>
              </w:rPr>
              <w:t> </w:t>
            </w:r>
            <w:r w:rsidRPr="00EB5EDA">
              <w:rPr>
                <w:sz w:val="18"/>
                <w:szCs w:val="18"/>
                <w:lang w:val="en-GB"/>
              </w:rPr>
              <w:t>ppm</w:t>
            </w:r>
          </w:p>
        </w:tc>
      </w:tr>
      <w:tr w:rsidR="0070496D" w:rsidRPr="00EB5EDA" w14:paraId="3832582C" w14:textId="77777777" w:rsidTr="009E5CEE">
        <w:trPr>
          <w:cantSplit/>
          <w:trHeight w:val="57"/>
          <w:jc w:val="right"/>
        </w:trPr>
        <w:tc>
          <w:tcPr>
            <w:tcW w:w="1460" w:type="dxa"/>
            <w:tcBorders>
              <w:top w:val="nil"/>
              <w:left w:val="nil"/>
              <w:bottom w:val="nil"/>
              <w:right w:val="nil"/>
            </w:tcBorders>
            <w:shd w:val="clear" w:color="auto" w:fill="auto"/>
            <w:noWrap/>
            <w:hideMark/>
          </w:tcPr>
          <w:p w14:paraId="39E01E4D" w14:textId="77777777" w:rsidR="0070496D" w:rsidRPr="00EB5EDA" w:rsidRDefault="0070496D" w:rsidP="00EB5EDA">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65F74923" w14:textId="77777777" w:rsidR="0070496D" w:rsidRPr="00EB5EDA" w:rsidRDefault="0070496D" w:rsidP="00EB5EDA">
            <w:pPr>
              <w:pStyle w:val="Normal-pool"/>
              <w:spacing w:before="40" w:after="40"/>
              <w:jc w:val="right"/>
              <w:rPr>
                <w:sz w:val="18"/>
                <w:szCs w:val="18"/>
                <w:lang w:val="en-GB"/>
              </w:rPr>
            </w:pPr>
            <w:r w:rsidRPr="00EB5EDA">
              <w:rPr>
                <w:sz w:val="18"/>
                <w:szCs w:val="18"/>
                <w:lang w:val="en-GB"/>
              </w:rPr>
              <w:t>3304.30.00.20</w:t>
            </w:r>
          </w:p>
        </w:tc>
        <w:tc>
          <w:tcPr>
            <w:tcW w:w="4621" w:type="dxa"/>
            <w:tcBorders>
              <w:top w:val="nil"/>
              <w:left w:val="nil"/>
              <w:bottom w:val="nil"/>
              <w:right w:val="nil"/>
            </w:tcBorders>
            <w:shd w:val="clear" w:color="auto" w:fill="E7E6E6" w:themeFill="background2"/>
            <w:hideMark/>
          </w:tcPr>
          <w:p w14:paraId="5ABDA366" w14:textId="7F03C578" w:rsidR="0070496D" w:rsidRPr="00EB5EDA" w:rsidRDefault="0070496D" w:rsidP="00EB5EDA">
            <w:pPr>
              <w:pStyle w:val="Normal-pool"/>
              <w:spacing w:before="40" w:after="40"/>
              <w:rPr>
                <w:sz w:val="18"/>
                <w:szCs w:val="18"/>
                <w:lang w:val="en-GB"/>
              </w:rPr>
            </w:pPr>
            <w:r w:rsidRPr="00EB5EDA">
              <w:rPr>
                <w:sz w:val="18"/>
                <w:szCs w:val="18"/>
                <w:lang w:val="en-GB"/>
              </w:rPr>
              <w:t>With mercury content more than 1</w:t>
            </w:r>
            <w:r w:rsidR="00144001" w:rsidRPr="00EB5EDA">
              <w:rPr>
                <w:sz w:val="18"/>
                <w:szCs w:val="18"/>
                <w:lang w:val="en-GB"/>
              </w:rPr>
              <w:t> </w:t>
            </w:r>
            <w:r w:rsidRPr="00EB5EDA">
              <w:rPr>
                <w:sz w:val="18"/>
                <w:szCs w:val="18"/>
                <w:lang w:val="en-GB"/>
              </w:rPr>
              <w:t>ppm</w:t>
            </w:r>
          </w:p>
        </w:tc>
      </w:tr>
      <w:tr w:rsidR="0070496D" w:rsidRPr="00EB5EDA" w14:paraId="524D3BE9" w14:textId="77777777" w:rsidTr="009E5CEE">
        <w:trPr>
          <w:cantSplit/>
          <w:trHeight w:val="57"/>
          <w:jc w:val="right"/>
        </w:trPr>
        <w:tc>
          <w:tcPr>
            <w:tcW w:w="1460" w:type="dxa"/>
            <w:tcBorders>
              <w:top w:val="nil"/>
              <w:left w:val="nil"/>
              <w:bottom w:val="nil"/>
              <w:right w:val="nil"/>
            </w:tcBorders>
            <w:shd w:val="clear" w:color="auto" w:fill="auto"/>
            <w:noWrap/>
            <w:hideMark/>
          </w:tcPr>
          <w:p w14:paraId="7E6D5AD6" w14:textId="77777777" w:rsidR="0070496D" w:rsidRPr="00EB5EDA" w:rsidRDefault="0070496D" w:rsidP="00EB5EDA">
            <w:pPr>
              <w:pStyle w:val="Normal-pool"/>
              <w:spacing w:before="40" w:after="40"/>
              <w:jc w:val="right"/>
              <w:rPr>
                <w:sz w:val="18"/>
                <w:szCs w:val="18"/>
                <w:lang w:val="en-GB"/>
              </w:rPr>
            </w:pPr>
            <w:r w:rsidRPr="00EB5EDA">
              <w:rPr>
                <w:sz w:val="18"/>
                <w:szCs w:val="18"/>
                <w:lang w:val="en-GB"/>
              </w:rPr>
              <w:t>3304.90.00</w:t>
            </w:r>
          </w:p>
        </w:tc>
        <w:tc>
          <w:tcPr>
            <w:tcW w:w="2226" w:type="dxa"/>
            <w:tcBorders>
              <w:top w:val="nil"/>
              <w:left w:val="nil"/>
              <w:bottom w:val="nil"/>
              <w:right w:val="nil"/>
            </w:tcBorders>
            <w:shd w:val="clear" w:color="auto" w:fill="auto"/>
            <w:noWrap/>
            <w:hideMark/>
          </w:tcPr>
          <w:p w14:paraId="4442AF30" w14:textId="77777777" w:rsidR="0070496D" w:rsidRPr="00EB5EDA" w:rsidRDefault="0070496D" w:rsidP="00EB5EDA">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4D47B08F" w14:textId="77777777" w:rsidR="0070496D" w:rsidRPr="00EB5EDA" w:rsidRDefault="0070496D" w:rsidP="00EB5EDA">
            <w:pPr>
              <w:pStyle w:val="Normal-pool"/>
              <w:spacing w:before="40" w:after="40"/>
              <w:rPr>
                <w:sz w:val="18"/>
                <w:szCs w:val="18"/>
                <w:lang w:val="en-GB"/>
              </w:rPr>
            </w:pPr>
            <w:r w:rsidRPr="00EB5EDA">
              <w:rPr>
                <w:sz w:val="18"/>
                <w:szCs w:val="18"/>
                <w:lang w:val="en-GB"/>
              </w:rPr>
              <w:t>Other</w:t>
            </w:r>
          </w:p>
        </w:tc>
      </w:tr>
      <w:tr w:rsidR="0070496D" w:rsidRPr="00EB5EDA" w14:paraId="1D9F65E9" w14:textId="77777777" w:rsidTr="009E5CEE">
        <w:trPr>
          <w:cantSplit/>
          <w:trHeight w:val="57"/>
          <w:jc w:val="right"/>
        </w:trPr>
        <w:tc>
          <w:tcPr>
            <w:tcW w:w="1460" w:type="dxa"/>
            <w:tcBorders>
              <w:top w:val="nil"/>
              <w:left w:val="nil"/>
              <w:bottom w:val="nil"/>
              <w:right w:val="nil"/>
            </w:tcBorders>
            <w:shd w:val="clear" w:color="auto" w:fill="auto"/>
            <w:noWrap/>
            <w:hideMark/>
          </w:tcPr>
          <w:p w14:paraId="78002AF0" w14:textId="77777777" w:rsidR="0070496D" w:rsidRPr="00EB5EDA" w:rsidRDefault="0070496D" w:rsidP="00EB5EDA">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397C3C76" w14:textId="77777777" w:rsidR="0070496D" w:rsidRPr="00EB5EDA" w:rsidRDefault="0070496D" w:rsidP="00EB5EDA">
            <w:pPr>
              <w:pStyle w:val="Normal-pool"/>
              <w:spacing w:before="40" w:after="40"/>
              <w:jc w:val="right"/>
              <w:rPr>
                <w:sz w:val="18"/>
                <w:szCs w:val="18"/>
                <w:lang w:val="en-GB"/>
              </w:rPr>
            </w:pPr>
            <w:r w:rsidRPr="00EB5EDA">
              <w:rPr>
                <w:sz w:val="18"/>
                <w:szCs w:val="18"/>
                <w:lang w:val="en-GB"/>
              </w:rPr>
              <w:t>3304.90.00.10</w:t>
            </w:r>
          </w:p>
        </w:tc>
        <w:tc>
          <w:tcPr>
            <w:tcW w:w="4621" w:type="dxa"/>
            <w:tcBorders>
              <w:top w:val="nil"/>
              <w:left w:val="nil"/>
              <w:bottom w:val="nil"/>
              <w:right w:val="nil"/>
            </w:tcBorders>
            <w:shd w:val="clear" w:color="auto" w:fill="E7E6E6" w:themeFill="background2"/>
            <w:hideMark/>
          </w:tcPr>
          <w:p w14:paraId="6E285DB2" w14:textId="28560C46" w:rsidR="0070496D" w:rsidRPr="00EB5EDA" w:rsidRDefault="0070496D" w:rsidP="00EB5EDA">
            <w:pPr>
              <w:pStyle w:val="Normal-pool"/>
              <w:spacing w:before="40" w:after="40"/>
              <w:rPr>
                <w:sz w:val="18"/>
                <w:szCs w:val="18"/>
                <w:lang w:val="en-GB"/>
              </w:rPr>
            </w:pPr>
            <w:r w:rsidRPr="00EB5EDA">
              <w:rPr>
                <w:sz w:val="18"/>
                <w:szCs w:val="18"/>
                <w:lang w:val="en-GB"/>
              </w:rPr>
              <w:t>With mercury content less than or equal to 1</w:t>
            </w:r>
            <w:r w:rsidR="00144001" w:rsidRPr="00EB5EDA">
              <w:rPr>
                <w:sz w:val="18"/>
                <w:szCs w:val="18"/>
                <w:lang w:val="en-GB"/>
              </w:rPr>
              <w:t> </w:t>
            </w:r>
            <w:r w:rsidRPr="00EB5EDA">
              <w:rPr>
                <w:sz w:val="18"/>
                <w:szCs w:val="18"/>
                <w:lang w:val="en-GB"/>
              </w:rPr>
              <w:t>ppm</w:t>
            </w:r>
          </w:p>
        </w:tc>
      </w:tr>
      <w:tr w:rsidR="0070496D" w:rsidRPr="00EB5EDA" w14:paraId="757549BF" w14:textId="77777777" w:rsidTr="009E5CEE">
        <w:trPr>
          <w:cantSplit/>
          <w:trHeight w:val="57"/>
          <w:jc w:val="right"/>
        </w:trPr>
        <w:tc>
          <w:tcPr>
            <w:tcW w:w="1460" w:type="dxa"/>
            <w:tcBorders>
              <w:top w:val="nil"/>
              <w:left w:val="nil"/>
              <w:bottom w:val="nil"/>
              <w:right w:val="nil"/>
            </w:tcBorders>
            <w:shd w:val="clear" w:color="auto" w:fill="auto"/>
            <w:noWrap/>
            <w:hideMark/>
          </w:tcPr>
          <w:p w14:paraId="07155305" w14:textId="77777777" w:rsidR="0070496D" w:rsidRPr="00EB5EDA" w:rsidRDefault="0070496D" w:rsidP="00EB5EDA">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581EA335" w14:textId="77777777" w:rsidR="0070496D" w:rsidRPr="00EB5EDA" w:rsidRDefault="0070496D" w:rsidP="00EB5EDA">
            <w:pPr>
              <w:pStyle w:val="Normal-pool"/>
              <w:spacing w:before="40" w:after="40"/>
              <w:jc w:val="right"/>
              <w:rPr>
                <w:sz w:val="18"/>
                <w:szCs w:val="18"/>
                <w:lang w:val="en-GB"/>
              </w:rPr>
            </w:pPr>
            <w:r w:rsidRPr="00EB5EDA">
              <w:rPr>
                <w:sz w:val="18"/>
                <w:szCs w:val="18"/>
                <w:lang w:val="en-GB"/>
              </w:rPr>
              <w:t>3304.90.00.20</w:t>
            </w:r>
          </w:p>
        </w:tc>
        <w:tc>
          <w:tcPr>
            <w:tcW w:w="4621" w:type="dxa"/>
            <w:tcBorders>
              <w:top w:val="nil"/>
              <w:left w:val="nil"/>
              <w:bottom w:val="nil"/>
              <w:right w:val="nil"/>
            </w:tcBorders>
            <w:shd w:val="clear" w:color="auto" w:fill="E7E6E6" w:themeFill="background2"/>
            <w:hideMark/>
          </w:tcPr>
          <w:p w14:paraId="2A681188" w14:textId="21FA4668" w:rsidR="0070496D" w:rsidRPr="00EB5EDA" w:rsidRDefault="0070496D" w:rsidP="00EB5EDA">
            <w:pPr>
              <w:pStyle w:val="Normal-pool"/>
              <w:spacing w:before="40" w:after="40"/>
              <w:rPr>
                <w:sz w:val="18"/>
                <w:szCs w:val="18"/>
                <w:lang w:val="en-GB"/>
              </w:rPr>
            </w:pPr>
            <w:r w:rsidRPr="00EB5EDA">
              <w:rPr>
                <w:sz w:val="18"/>
                <w:szCs w:val="18"/>
                <w:lang w:val="en-GB"/>
              </w:rPr>
              <w:t>With mercury content more than 1</w:t>
            </w:r>
            <w:r w:rsidR="00144001" w:rsidRPr="00EB5EDA">
              <w:rPr>
                <w:sz w:val="18"/>
                <w:szCs w:val="18"/>
                <w:lang w:val="en-GB"/>
              </w:rPr>
              <w:t> </w:t>
            </w:r>
            <w:r w:rsidRPr="00EB5EDA">
              <w:rPr>
                <w:sz w:val="18"/>
                <w:szCs w:val="18"/>
                <w:lang w:val="en-GB"/>
              </w:rPr>
              <w:t>ppm</w:t>
            </w:r>
          </w:p>
        </w:tc>
      </w:tr>
      <w:tr w:rsidR="0070496D" w:rsidRPr="00EB5EDA" w14:paraId="360FC5FE" w14:textId="77777777" w:rsidTr="009E5CEE">
        <w:trPr>
          <w:cantSplit/>
          <w:trHeight w:val="57"/>
          <w:jc w:val="right"/>
        </w:trPr>
        <w:tc>
          <w:tcPr>
            <w:tcW w:w="1460" w:type="dxa"/>
            <w:tcBorders>
              <w:top w:val="nil"/>
              <w:left w:val="nil"/>
              <w:bottom w:val="nil"/>
              <w:right w:val="nil"/>
            </w:tcBorders>
            <w:shd w:val="clear" w:color="auto" w:fill="auto"/>
            <w:noWrap/>
            <w:hideMark/>
          </w:tcPr>
          <w:p w14:paraId="2F9B1F32" w14:textId="77777777" w:rsidR="0070496D" w:rsidRPr="00EB5EDA" w:rsidRDefault="0070496D" w:rsidP="00EB5EDA">
            <w:pPr>
              <w:pStyle w:val="Normal-pool"/>
              <w:spacing w:before="40" w:after="40"/>
              <w:jc w:val="right"/>
              <w:rPr>
                <w:sz w:val="18"/>
                <w:szCs w:val="18"/>
                <w:lang w:val="en-GB"/>
              </w:rPr>
            </w:pPr>
            <w:r w:rsidRPr="00EB5EDA">
              <w:rPr>
                <w:sz w:val="18"/>
                <w:szCs w:val="18"/>
                <w:lang w:val="en-GB"/>
              </w:rPr>
              <w:t>3304.91.01</w:t>
            </w:r>
          </w:p>
        </w:tc>
        <w:tc>
          <w:tcPr>
            <w:tcW w:w="2226" w:type="dxa"/>
            <w:tcBorders>
              <w:top w:val="nil"/>
              <w:left w:val="nil"/>
              <w:bottom w:val="nil"/>
              <w:right w:val="nil"/>
            </w:tcBorders>
            <w:shd w:val="clear" w:color="auto" w:fill="auto"/>
            <w:noWrap/>
            <w:hideMark/>
          </w:tcPr>
          <w:p w14:paraId="6D088FE9" w14:textId="77777777" w:rsidR="0070496D" w:rsidRPr="00EB5EDA" w:rsidRDefault="0070496D" w:rsidP="00EB5EDA">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7C85DA2C" w14:textId="77777777" w:rsidR="0070496D" w:rsidRPr="00EB5EDA" w:rsidRDefault="0070496D" w:rsidP="00EB5EDA">
            <w:pPr>
              <w:pStyle w:val="Normal-pool"/>
              <w:spacing w:before="40" w:after="40"/>
              <w:rPr>
                <w:sz w:val="18"/>
                <w:szCs w:val="18"/>
                <w:lang w:val="en-GB"/>
              </w:rPr>
            </w:pPr>
            <w:r w:rsidRPr="00EB5EDA">
              <w:rPr>
                <w:sz w:val="18"/>
                <w:szCs w:val="18"/>
                <w:lang w:val="en-GB"/>
              </w:rPr>
              <w:t>Powders, including compacts</w:t>
            </w:r>
          </w:p>
        </w:tc>
      </w:tr>
      <w:tr w:rsidR="0070496D" w:rsidRPr="00EB5EDA" w14:paraId="0BAEE36E" w14:textId="77777777" w:rsidTr="009E5CEE">
        <w:trPr>
          <w:cantSplit/>
          <w:trHeight w:val="57"/>
          <w:jc w:val="right"/>
        </w:trPr>
        <w:tc>
          <w:tcPr>
            <w:tcW w:w="1460" w:type="dxa"/>
            <w:tcBorders>
              <w:top w:val="nil"/>
              <w:left w:val="nil"/>
              <w:bottom w:val="nil"/>
              <w:right w:val="nil"/>
            </w:tcBorders>
            <w:shd w:val="clear" w:color="auto" w:fill="auto"/>
            <w:noWrap/>
            <w:hideMark/>
          </w:tcPr>
          <w:p w14:paraId="162B6C6E" w14:textId="77777777" w:rsidR="0070496D" w:rsidRPr="00EB5EDA" w:rsidRDefault="0070496D" w:rsidP="00EB5EDA">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1AEB728F" w14:textId="77777777" w:rsidR="0070496D" w:rsidRPr="00EB5EDA" w:rsidRDefault="0070496D" w:rsidP="00EB5EDA">
            <w:pPr>
              <w:pStyle w:val="Normal-pool"/>
              <w:spacing w:before="40" w:after="40"/>
              <w:jc w:val="right"/>
              <w:rPr>
                <w:sz w:val="18"/>
                <w:szCs w:val="18"/>
                <w:lang w:val="en-GB"/>
              </w:rPr>
            </w:pPr>
            <w:r w:rsidRPr="00EB5EDA">
              <w:rPr>
                <w:sz w:val="18"/>
                <w:szCs w:val="18"/>
                <w:lang w:val="en-GB"/>
              </w:rPr>
              <w:t>3304.91.01.10</w:t>
            </w:r>
          </w:p>
        </w:tc>
        <w:tc>
          <w:tcPr>
            <w:tcW w:w="4621" w:type="dxa"/>
            <w:tcBorders>
              <w:top w:val="nil"/>
              <w:left w:val="nil"/>
              <w:bottom w:val="nil"/>
              <w:right w:val="nil"/>
            </w:tcBorders>
            <w:shd w:val="clear" w:color="auto" w:fill="E7E6E6" w:themeFill="background2"/>
            <w:hideMark/>
          </w:tcPr>
          <w:p w14:paraId="55968D13" w14:textId="4610E064" w:rsidR="0070496D" w:rsidRPr="00EB5EDA" w:rsidRDefault="0070496D" w:rsidP="00EB5EDA">
            <w:pPr>
              <w:pStyle w:val="Normal-pool"/>
              <w:spacing w:before="40" w:after="40"/>
              <w:rPr>
                <w:sz w:val="18"/>
                <w:szCs w:val="18"/>
                <w:lang w:val="en-GB"/>
              </w:rPr>
            </w:pPr>
            <w:r w:rsidRPr="00EB5EDA">
              <w:rPr>
                <w:sz w:val="18"/>
                <w:szCs w:val="18"/>
                <w:lang w:val="en-GB"/>
              </w:rPr>
              <w:t>With mercury content less than or equal to 1</w:t>
            </w:r>
            <w:r w:rsidR="00144001" w:rsidRPr="00EB5EDA">
              <w:rPr>
                <w:sz w:val="18"/>
                <w:szCs w:val="18"/>
                <w:lang w:val="en-GB"/>
              </w:rPr>
              <w:t> </w:t>
            </w:r>
            <w:r w:rsidRPr="00EB5EDA">
              <w:rPr>
                <w:sz w:val="18"/>
                <w:szCs w:val="18"/>
                <w:lang w:val="en-GB"/>
              </w:rPr>
              <w:t>ppm</w:t>
            </w:r>
          </w:p>
        </w:tc>
      </w:tr>
      <w:tr w:rsidR="0070496D" w:rsidRPr="00EB5EDA" w14:paraId="51FED4EE" w14:textId="77777777" w:rsidTr="009E5CEE">
        <w:trPr>
          <w:cantSplit/>
          <w:trHeight w:val="57"/>
          <w:jc w:val="right"/>
        </w:trPr>
        <w:tc>
          <w:tcPr>
            <w:tcW w:w="1460" w:type="dxa"/>
            <w:tcBorders>
              <w:top w:val="nil"/>
              <w:left w:val="nil"/>
              <w:bottom w:val="nil"/>
              <w:right w:val="nil"/>
            </w:tcBorders>
            <w:shd w:val="clear" w:color="auto" w:fill="auto"/>
            <w:noWrap/>
            <w:hideMark/>
          </w:tcPr>
          <w:p w14:paraId="4F57980D" w14:textId="77777777" w:rsidR="0070496D" w:rsidRPr="00EB5EDA" w:rsidRDefault="0070496D" w:rsidP="00EB5EDA">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6E710130" w14:textId="77777777" w:rsidR="0070496D" w:rsidRPr="00EB5EDA" w:rsidRDefault="0070496D" w:rsidP="00EB5EDA">
            <w:pPr>
              <w:pStyle w:val="Normal-pool"/>
              <w:spacing w:before="40" w:after="40"/>
              <w:jc w:val="right"/>
              <w:rPr>
                <w:sz w:val="18"/>
                <w:szCs w:val="18"/>
                <w:lang w:val="en-GB"/>
              </w:rPr>
            </w:pPr>
            <w:r w:rsidRPr="00EB5EDA">
              <w:rPr>
                <w:sz w:val="18"/>
                <w:szCs w:val="18"/>
                <w:lang w:val="en-GB"/>
              </w:rPr>
              <w:t>3304.91.01.20</w:t>
            </w:r>
          </w:p>
        </w:tc>
        <w:tc>
          <w:tcPr>
            <w:tcW w:w="4621" w:type="dxa"/>
            <w:tcBorders>
              <w:top w:val="nil"/>
              <w:left w:val="nil"/>
              <w:bottom w:val="nil"/>
              <w:right w:val="nil"/>
            </w:tcBorders>
            <w:shd w:val="clear" w:color="auto" w:fill="E7E6E6" w:themeFill="background2"/>
            <w:hideMark/>
          </w:tcPr>
          <w:p w14:paraId="00477FCF" w14:textId="258FA3A9" w:rsidR="0070496D" w:rsidRPr="00EB5EDA" w:rsidRDefault="0070496D" w:rsidP="00EB5EDA">
            <w:pPr>
              <w:pStyle w:val="Normal-pool"/>
              <w:spacing w:before="40" w:after="40"/>
              <w:rPr>
                <w:sz w:val="18"/>
                <w:szCs w:val="18"/>
                <w:lang w:val="en-GB"/>
              </w:rPr>
            </w:pPr>
            <w:r w:rsidRPr="00EB5EDA">
              <w:rPr>
                <w:sz w:val="18"/>
                <w:szCs w:val="18"/>
                <w:lang w:val="en-GB"/>
              </w:rPr>
              <w:t>With mercury content more than 1</w:t>
            </w:r>
            <w:r w:rsidR="00144001" w:rsidRPr="00EB5EDA">
              <w:rPr>
                <w:sz w:val="18"/>
                <w:szCs w:val="18"/>
                <w:lang w:val="en-GB"/>
              </w:rPr>
              <w:t> </w:t>
            </w:r>
            <w:r w:rsidRPr="00EB5EDA">
              <w:rPr>
                <w:sz w:val="18"/>
                <w:szCs w:val="18"/>
                <w:lang w:val="en-GB"/>
              </w:rPr>
              <w:t>ppm</w:t>
            </w:r>
          </w:p>
        </w:tc>
      </w:tr>
      <w:tr w:rsidR="0070496D" w:rsidRPr="00EB5EDA" w14:paraId="002BF5BD" w14:textId="77777777" w:rsidTr="009E5CEE">
        <w:trPr>
          <w:cantSplit/>
          <w:trHeight w:val="57"/>
          <w:jc w:val="right"/>
        </w:trPr>
        <w:tc>
          <w:tcPr>
            <w:tcW w:w="1460" w:type="dxa"/>
            <w:tcBorders>
              <w:top w:val="nil"/>
              <w:left w:val="nil"/>
              <w:bottom w:val="nil"/>
              <w:right w:val="nil"/>
            </w:tcBorders>
            <w:shd w:val="clear" w:color="auto" w:fill="auto"/>
            <w:noWrap/>
            <w:hideMark/>
          </w:tcPr>
          <w:p w14:paraId="383B9929" w14:textId="77777777" w:rsidR="0070496D" w:rsidRPr="00EB5EDA" w:rsidRDefault="0070496D" w:rsidP="00EB5EDA">
            <w:pPr>
              <w:pStyle w:val="Normal-pool"/>
              <w:spacing w:before="40" w:after="40"/>
              <w:jc w:val="right"/>
              <w:rPr>
                <w:sz w:val="18"/>
                <w:szCs w:val="18"/>
                <w:lang w:val="en-GB"/>
              </w:rPr>
            </w:pPr>
            <w:r w:rsidRPr="00EB5EDA">
              <w:rPr>
                <w:sz w:val="18"/>
                <w:szCs w:val="18"/>
                <w:lang w:val="en-GB"/>
              </w:rPr>
              <w:t>3304.99.01</w:t>
            </w:r>
          </w:p>
        </w:tc>
        <w:tc>
          <w:tcPr>
            <w:tcW w:w="2226" w:type="dxa"/>
            <w:tcBorders>
              <w:top w:val="nil"/>
              <w:left w:val="nil"/>
              <w:bottom w:val="nil"/>
              <w:right w:val="nil"/>
            </w:tcBorders>
            <w:shd w:val="clear" w:color="auto" w:fill="auto"/>
            <w:noWrap/>
            <w:hideMark/>
          </w:tcPr>
          <w:p w14:paraId="616F94EE" w14:textId="77777777" w:rsidR="0070496D" w:rsidRPr="00EB5EDA" w:rsidRDefault="0070496D" w:rsidP="00EB5EDA">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10B162E7" w14:textId="77777777" w:rsidR="0070496D" w:rsidRPr="00EB5EDA" w:rsidRDefault="0070496D" w:rsidP="00EB5EDA">
            <w:pPr>
              <w:pStyle w:val="Normal-pool"/>
              <w:spacing w:before="40" w:after="40"/>
              <w:rPr>
                <w:sz w:val="18"/>
                <w:szCs w:val="18"/>
                <w:lang w:val="en-GB"/>
              </w:rPr>
            </w:pPr>
            <w:r w:rsidRPr="00EB5EDA">
              <w:rPr>
                <w:sz w:val="18"/>
                <w:szCs w:val="18"/>
                <w:lang w:val="en-GB"/>
              </w:rPr>
              <w:t>Skin creams</w:t>
            </w:r>
          </w:p>
        </w:tc>
      </w:tr>
      <w:tr w:rsidR="0070496D" w:rsidRPr="00EB5EDA" w14:paraId="1BE11F66" w14:textId="77777777" w:rsidTr="009E5CEE">
        <w:trPr>
          <w:cantSplit/>
          <w:trHeight w:val="57"/>
          <w:jc w:val="right"/>
        </w:trPr>
        <w:tc>
          <w:tcPr>
            <w:tcW w:w="1460" w:type="dxa"/>
            <w:tcBorders>
              <w:top w:val="nil"/>
              <w:left w:val="nil"/>
              <w:bottom w:val="nil"/>
              <w:right w:val="nil"/>
            </w:tcBorders>
            <w:shd w:val="clear" w:color="auto" w:fill="auto"/>
            <w:noWrap/>
            <w:hideMark/>
          </w:tcPr>
          <w:p w14:paraId="317F0184" w14:textId="77777777" w:rsidR="0070496D" w:rsidRPr="00EB5EDA" w:rsidRDefault="0070496D" w:rsidP="00EB5EDA">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706A0516" w14:textId="77777777" w:rsidR="0070496D" w:rsidRPr="00EB5EDA" w:rsidRDefault="0070496D" w:rsidP="00EB5EDA">
            <w:pPr>
              <w:pStyle w:val="Normal-pool"/>
              <w:spacing w:before="40" w:after="40"/>
              <w:jc w:val="right"/>
              <w:rPr>
                <w:sz w:val="18"/>
                <w:szCs w:val="18"/>
                <w:lang w:val="en-GB"/>
              </w:rPr>
            </w:pPr>
            <w:r w:rsidRPr="00EB5EDA">
              <w:rPr>
                <w:sz w:val="18"/>
                <w:szCs w:val="18"/>
                <w:lang w:val="en-GB"/>
              </w:rPr>
              <w:t>3304.99.01.10</w:t>
            </w:r>
          </w:p>
        </w:tc>
        <w:tc>
          <w:tcPr>
            <w:tcW w:w="4621" w:type="dxa"/>
            <w:tcBorders>
              <w:top w:val="nil"/>
              <w:left w:val="nil"/>
              <w:bottom w:val="nil"/>
              <w:right w:val="nil"/>
            </w:tcBorders>
            <w:shd w:val="clear" w:color="auto" w:fill="E7E6E6" w:themeFill="background2"/>
            <w:hideMark/>
          </w:tcPr>
          <w:p w14:paraId="2E5206F1" w14:textId="705DD269" w:rsidR="0070496D" w:rsidRPr="00EB5EDA" w:rsidRDefault="0070496D" w:rsidP="00EB5EDA">
            <w:pPr>
              <w:pStyle w:val="Normal-pool"/>
              <w:spacing w:before="40" w:after="40"/>
              <w:rPr>
                <w:sz w:val="18"/>
                <w:szCs w:val="18"/>
                <w:lang w:val="en-GB"/>
              </w:rPr>
            </w:pPr>
            <w:r w:rsidRPr="00EB5EDA">
              <w:rPr>
                <w:sz w:val="18"/>
                <w:szCs w:val="18"/>
                <w:lang w:val="en-GB"/>
              </w:rPr>
              <w:t>With mercury content less than or equal to 1</w:t>
            </w:r>
            <w:r w:rsidR="00144001" w:rsidRPr="00EB5EDA">
              <w:rPr>
                <w:sz w:val="18"/>
                <w:szCs w:val="18"/>
                <w:lang w:val="en-GB"/>
              </w:rPr>
              <w:t> </w:t>
            </w:r>
            <w:r w:rsidRPr="00EB5EDA">
              <w:rPr>
                <w:sz w:val="18"/>
                <w:szCs w:val="18"/>
                <w:lang w:val="en-GB"/>
              </w:rPr>
              <w:t>ppm</w:t>
            </w:r>
          </w:p>
        </w:tc>
      </w:tr>
      <w:tr w:rsidR="0070496D" w:rsidRPr="00EB5EDA" w14:paraId="256BC3D2" w14:textId="77777777" w:rsidTr="009E5CEE">
        <w:trPr>
          <w:cantSplit/>
          <w:trHeight w:val="57"/>
          <w:jc w:val="right"/>
        </w:trPr>
        <w:tc>
          <w:tcPr>
            <w:tcW w:w="1460" w:type="dxa"/>
            <w:tcBorders>
              <w:top w:val="nil"/>
              <w:left w:val="nil"/>
              <w:bottom w:val="nil"/>
              <w:right w:val="nil"/>
            </w:tcBorders>
            <w:shd w:val="clear" w:color="auto" w:fill="auto"/>
            <w:noWrap/>
            <w:hideMark/>
          </w:tcPr>
          <w:p w14:paraId="267E4959" w14:textId="77777777" w:rsidR="0070496D" w:rsidRPr="00EB5EDA" w:rsidRDefault="0070496D" w:rsidP="00EB5EDA">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55D0A523" w14:textId="77777777" w:rsidR="0070496D" w:rsidRPr="00EB5EDA" w:rsidRDefault="0070496D" w:rsidP="00EB5EDA">
            <w:pPr>
              <w:pStyle w:val="Normal-pool"/>
              <w:spacing w:before="40" w:after="40"/>
              <w:jc w:val="right"/>
              <w:rPr>
                <w:sz w:val="18"/>
                <w:szCs w:val="18"/>
                <w:lang w:val="en-GB"/>
              </w:rPr>
            </w:pPr>
            <w:r w:rsidRPr="00EB5EDA">
              <w:rPr>
                <w:sz w:val="18"/>
                <w:szCs w:val="18"/>
                <w:lang w:val="en-GB"/>
              </w:rPr>
              <w:t>3304.99.01.20</w:t>
            </w:r>
          </w:p>
        </w:tc>
        <w:tc>
          <w:tcPr>
            <w:tcW w:w="4621" w:type="dxa"/>
            <w:tcBorders>
              <w:top w:val="nil"/>
              <w:left w:val="nil"/>
              <w:bottom w:val="nil"/>
              <w:right w:val="nil"/>
            </w:tcBorders>
            <w:shd w:val="clear" w:color="auto" w:fill="E7E6E6" w:themeFill="background2"/>
            <w:hideMark/>
          </w:tcPr>
          <w:p w14:paraId="405C0655" w14:textId="3C5F81F1" w:rsidR="0070496D" w:rsidRPr="00EB5EDA" w:rsidRDefault="0070496D" w:rsidP="00EB5EDA">
            <w:pPr>
              <w:pStyle w:val="Normal-pool"/>
              <w:spacing w:before="40" w:after="40"/>
              <w:rPr>
                <w:sz w:val="18"/>
                <w:szCs w:val="18"/>
                <w:lang w:val="en-GB"/>
              </w:rPr>
            </w:pPr>
            <w:r w:rsidRPr="00EB5EDA">
              <w:rPr>
                <w:sz w:val="18"/>
                <w:szCs w:val="18"/>
                <w:lang w:val="en-GB"/>
              </w:rPr>
              <w:t>With mercury content more than 1</w:t>
            </w:r>
            <w:r w:rsidR="00144001" w:rsidRPr="00EB5EDA">
              <w:rPr>
                <w:sz w:val="18"/>
                <w:szCs w:val="18"/>
                <w:lang w:val="en-GB"/>
              </w:rPr>
              <w:t> </w:t>
            </w:r>
            <w:r w:rsidRPr="00EB5EDA">
              <w:rPr>
                <w:sz w:val="18"/>
                <w:szCs w:val="18"/>
                <w:lang w:val="en-GB"/>
              </w:rPr>
              <w:t>ppm</w:t>
            </w:r>
          </w:p>
        </w:tc>
      </w:tr>
      <w:tr w:rsidR="0070496D" w:rsidRPr="00EB5EDA" w14:paraId="6CEBD87C" w14:textId="77777777" w:rsidTr="009E5CEE">
        <w:trPr>
          <w:cantSplit/>
          <w:trHeight w:val="57"/>
          <w:jc w:val="right"/>
        </w:trPr>
        <w:tc>
          <w:tcPr>
            <w:tcW w:w="1460" w:type="dxa"/>
            <w:tcBorders>
              <w:top w:val="nil"/>
              <w:left w:val="nil"/>
              <w:bottom w:val="nil"/>
              <w:right w:val="nil"/>
            </w:tcBorders>
            <w:shd w:val="clear" w:color="auto" w:fill="auto"/>
            <w:noWrap/>
            <w:hideMark/>
          </w:tcPr>
          <w:p w14:paraId="32441A12" w14:textId="77777777" w:rsidR="0070496D" w:rsidRPr="00EB5EDA" w:rsidRDefault="0070496D" w:rsidP="00EB5EDA">
            <w:pPr>
              <w:pStyle w:val="Normal-pool"/>
              <w:spacing w:before="40" w:after="40"/>
              <w:jc w:val="right"/>
              <w:rPr>
                <w:sz w:val="18"/>
                <w:szCs w:val="18"/>
                <w:lang w:val="en-GB"/>
              </w:rPr>
            </w:pPr>
            <w:r w:rsidRPr="00EB5EDA">
              <w:rPr>
                <w:sz w:val="18"/>
                <w:szCs w:val="18"/>
                <w:lang w:val="en-GB"/>
              </w:rPr>
              <w:t>3304.99.99</w:t>
            </w:r>
          </w:p>
        </w:tc>
        <w:tc>
          <w:tcPr>
            <w:tcW w:w="2226" w:type="dxa"/>
            <w:tcBorders>
              <w:top w:val="nil"/>
              <w:left w:val="nil"/>
              <w:bottom w:val="nil"/>
              <w:right w:val="nil"/>
            </w:tcBorders>
            <w:shd w:val="clear" w:color="auto" w:fill="auto"/>
            <w:noWrap/>
            <w:hideMark/>
          </w:tcPr>
          <w:p w14:paraId="79A8E2A7" w14:textId="77777777" w:rsidR="0070496D" w:rsidRPr="00EB5EDA" w:rsidRDefault="0070496D" w:rsidP="00EB5EDA">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5F0C10C2" w14:textId="77777777" w:rsidR="0070496D" w:rsidRPr="00EB5EDA" w:rsidRDefault="0070496D" w:rsidP="00EB5EDA">
            <w:pPr>
              <w:pStyle w:val="Normal-pool"/>
              <w:spacing w:before="40" w:after="40"/>
              <w:rPr>
                <w:sz w:val="18"/>
                <w:szCs w:val="18"/>
                <w:lang w:val="en-GB"/>
              </w:rPr>
            </w:pPr>
            <w:r w:rsidRPr="00EB5EDA">
              <w:rPr>
                <w:sz w:val="18"/>
                <w:szCs w:val="18"/>
                <w:lang w:val="en-GB"/>
              </w:rPr>
              <w:t>Other</w:t>
            </w:r>
          </w:p>
        </w:tc>
      </w:tr>
      <w:tr w:rsidR="0070496D" w:rsidRPr="00EB5EDA" w14:paraId="48F6CA80" w14:textId="77777777" w:rsidTr="009E5CEE">
        <w:trPr>
          <w:cantSplit/>
          <w:trHeight w:val="57"/>
          <w:jc w:val="right"/>
        </w:trPr>
        <w:tc>
          <w:tcPr>
            <w:tcW w:w="1460" w:type="dxa"/>
            <w:tcBorders>
              <w:top w:val="nil"/>
              <w:left w:val="nil"/>
              <w:bottom w:val="nil"/>
              <w:right w:val="nil"/>
            </w:tcBorders>
            <w:shd w:val="clear" w:color="auto" w:fill="auto"/>
            <w:noWrap/>
            <w:hideMark/>
          </w:tcPr>
          <w:p w14:paraId="2EDD1079" w14:textId="77777777" w:rsidR="0070496D" w:rsidRPr="00EB5EDA" w:rsidRDefault="0070496D" w:rsidP="00EB5EDA">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71CDBC82" w14:textId="77777777" w:rsidR="0070496D" w:rsidRPr="00EB5EDA" w:rsidRDefault="0070496D" w:rsidP="00EB5EDA">
            <w:pPr>
              <w:pStyle w:val="Normal-pool"/>
              <w:spacing w:before="40" w:after="40"/>
              <w:jc w:val="right"/>
              <w:rPr>
                <w:sz w:val="18"/>
                <w:szCs w:val="18"/>
                <w:lang w:val="en-GB"/>
              </w:rPr>
            </w:pPr>
            <w:r w:rsidRPr="00EB5EDA">
              <w:rPr>
                <w:sz w:val="18"/>
                <w:szCs w:val="18"/>
                <w:lang w:val="en-GB"/>
              </w:rPr>
              <w:t>3304.99.99.10</w:t>
            </w:r>
          </w:p>
        </w:tc>
        <w:tc>
          <w:tcPr>
            <w:tcW w:w="4621" w:type="dxa"/>
            <w:tcBorders>
              <w:top w:val="nil"/>
              <w:left w:val="nil"/>
              <w:bottom w:val="nil"/>
              <w:right w:val="nil"/>
            </w:tcBorders>
            <w:shd w:val="clear" w:color="auto" w:fill="E7E6E6" w:themeFill="background2"/>
            <w:hideMark/>
          </w:tcPr>
          <w:p w14:paraId="7CC5BD29" w14:textId="2136C3F0" w:rsidR="0070496D" w:rsidRPr="00EB5EDA" w:rsidRDefault="0070496D" w:rsidP="00EB5EDA">
            <w:pPr>
              <w:pStyle w:val="Normal-pool"/>
              <w:spacing w:before="40" w:after="40"/>
              <w:rPr>
                <w:sz w:val="18"/>
                <w:szCs w:val="18"/>
                <w:lang w:val="en-GB"/>
              </w:rPr>
            </w:pPr>
            <w:r w:rsidRPr="00EB5EDA">
              <w:rPr>
                <w:sz w:val="18"/>
                <w:szCs w:val="18"/>
                <w:lang w:val="en-GB"/>
              </w:rPr>
              <w:t>With mercury content less than or equal to 1</w:t>
            </w:r>
            <w:r w:rsidR="00144001" w:rsidRPr="00EB5EDA">
              <w:rPr>
                <w:sz w:val="18"/>
                <w:szCs w:val="18"/>
                <w:lang w:val="en-GB"/>
              </w:rPr>
              <w:t> </w:t>
            </w:r>
            <w:r w:rsidRPr="00EB5EDA">
              <w:rPr>
                <w:sz w:val="18"/>
                <w:szCs w:val="18"/>
                <w:lang w:val="en-GB"/>
              </w:rPr>
              <w:t>ppm</w:t>
            </w:r>
          </w:p>
        </w:tc>
      </w:tr>
      <w:tr w:rsidR="0070496D" w:rsidRPr="00EB5EDA" w14:paraId="6B828E99" w14:textId="77777777" w:rsidTr="009E5CEE">
        <w:trPr>
          <w:cantSplit/>
          <w:trHeight w:val="57"/>
          <w:jc w:val="right"/>
        </w:trPr>
        <w:tc>
          <w:tcPr>
            <w:tcW w:w="1460" w:type="dxa"/>
            <w:tcBorders>
              <w:top w:val="nil"/>
              <w:left w:val="nil"/>
              <w:bottom w:val="nil"/>
              <w:right w:val="nil"/>
            </w:tcBorders>
            <w:shd w:val="clear" w:color="auto" w:fill="auto"/>
            <w:noWrap/>
            <w:hideMark/>
          </w:tcPr>
          <w:p w14:paraId="3EC36D09" w14:textId="77777777" w:rsidR="0070496D" w:rsidRPr="00EB5EDA" w:rsidRDefault="0070496D" w:rsidP="00EB5EDA">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6A3AD89F" w14:textId="77777777" w:rsidR="0070496D" w:rsidRPr="00EB5EDA" w:rsidRDefault="0070496D" w:rsidP="00EB5EDA">
            <w:pPr>
              <w:pStyle w:val="Normal-pool"/>
              <w:spacing w:before="40" w:after="40"/>
              <w:jc w:val="right"/>
              <w:rPr>
                <w:sz w:val="18"/>
                <w:szCs w:val="18"/>
                <w:lang w:val="en-GB"/>
              </w:rPr>
            </w:pPr>
            <w:r w:rsidRPr="00EB5EDA">
              <w:rPr>
                <w:sz w:val="18"/>
                <w:szCs w:val="18"/>
                <w:lang w:val="en-GB"/>
              </w:rPr>
              <w:t>3304.99.99.20</w:t>
            </w:r>
          </w:p>
        </w:tc>
        <w:tc>
          <w:tcPr>
            <w:tcW w:w="4621" w:type="dxa"/>
            <w:tcBorders>
              <w:top w:val="nil"/>
              <w:left w:val="nil"/>
              <w:bottom w:val="nil"/>
              <w:right w:val="nil"/>
            </w:tcBorders>
            <w:shd w:val="clear" w:color="auto" w:fill="E7E6E6" w:themeFill="background2"/>
            <w:hideMark/>
          </w:tcPr>
          <w:p w14:paraId="6E952A3E" w14:textId="09369563" w:rsidR="0070496D" w:rsidRPr="00EB5EDA" w:rsidRDefault="0070496D" w:rsidP="00EB5EDA">
            <w:pPr>
              <w:pStyle w:val="Normal-pool"/>
              <w:spacing w:before="40" w:after="40"/>
              <w:rPr>
                <w:sz w:val="18"/>
                <w:szCs w:val="18"/>
                <w:lang w:val="en-GB"/>
              </w:rPr>
            </w:pPr>
            <w:r w:rsidRPr="00EB5EDA">
              <w:rPr>
                <w:sz w:val="18"/>
                <w:szCs w:val="18"/>
                <w:lang w:val="en-GB"/>
              </w:rPr>
              <w:t>With mercury content more than 1</w:t>
            </w:r>
            <w:r w:rsidR="00144001" w:rsidRPr="00EB5EDA">
              <w:rPr>
                <w:sz w:val="18"/>
                <w:szCs w:val="18"/>
                <w:lang w:val="en-GB"/>
              </w:rPr>
              <w:t> </w:t>
            </w:r>
            <w:r w:rsidRPr="00EB5EDA">
              <w:rPr>
                <w:sz w:val="18"/>
                <w:szCs w:val="18"/>
                <w:lang w:val="en-GB"/>
              </w:rPr>
              <w:t>ppm</w:t>
            </w:r>
          </w:p>
        </w:tc>
      </w:tr>
      <w:tr w:rsidR="0070496D" w:rsidRPr="00EB5EDA" w14:paraId="64C37AAA" w14:textId="77777777" w:rsidTr="009E5CEE">
        <w:trPr>
          <w:cantSplit/>
          <w:trHeight w:val="57"/>
          <w:jc w:val="right"/>
        </w:trPr>
        <w:tc>
          <w:tcPr>
            <w:tcW w:w="1460" w:type="dxa"/>
            <w:tcBorders>
              <w:top w:val="nil"/>
              <w:left w:val="nil"/>
              <w:bottom w:val="nil"/>
              <w:right w:val="nil"/>
            </w:tcBorders>
            <w:shd w:val="clear" w:color="auto" w:fill="000000" w:themeFill="text1"/>
            <w:noWrap/>
            <w:hideMark/>
          </w:tcPr>
          <w:p w14:paraId="0AA56A03" w14:textId="77777777" w:rsidR="0070496D" w:rsidRPr="00EB5EDA" w:rsidRDefault="0070496D" w:rsidP="00EB5EDA">
            <w:pPr>
              <w:pStyle w:val="Normal-pool"/>
              <w:spacing w:before="40" w:after="40"/>
              <w:jc w:val="right"/>
              <w:rPr>
                <w:sz w:val="18"/>
                <w:szCs w:val="18"/>
                <w:lang w:val="en-GB"/>
              </w:rPr>
            </w:pPr>
          </w:p>
        </w:tc>
        <w:tc>
          <w:tcPr>
            <w:tcW w:w="2226" w:type="dxa"/>
            <w:tcBorders>
              <w:top w:val="nil"/>
              <w:left w:val="nil"/>
              <w:bottom w:val="nil"/>
              <w:right w:val="nil"/>
            </w:tcBorders>
            <w:shd w:val="clear" w:color="auto" w:fill="000000" w:themeFill="text1"/>
            <w:noWrap/>
            <w:hideMark/>
          </w:tcPr>
          <w:p w14:paraId="06E0B442" w14:textId="77777777" w:rsidR="0070496D" w:rsidRPr="00EB5EDA" w:rsidRDefault="0070496D" w:rsidP="00EB5EDA">
            <w:pPr>
              <w:pStyle w:val="Normal-pool"/>
              <w:spacing w:before="40" w:after="40"/>
              <w:jc w:val="right"/>
              <w:rPr>
                <w:sz w:val="18"/>
                <w:szCs w:val="18"/>
                <w:lang w:val="en-GB"/>
              </w:rPr>
            </w:pPr>
          </w:p>
        </w:tc>
        <w:tc>
          <w:tcPr>
            <w:tcW w:w="4621" w:type="dxa"/>
            <w:tcBorders>
              <w:top w:val="nil"/>
              <w:left w:val="nil"/>
              <w:bottom w:val="nil"/>
              <w:right w:val="nil"/>
            </w:tcBorders>
            <w:shd w:val="clear" w:color="auto" w:fill="000000" w:themeFill="text1"/>
            <w:hideMark/>
          </w:tcPr>
          <w:p w14:paraId="7570002B" w14:textId="1259C7AD" w:rsidR="0070496D" w:rsidRPr="00EB5EDA" w:rsidRDefault="0070496D" w:rsidP="00EB5EDA">
            <w:pPr>
              <w:pStyle w:val="Normal-pool"/>
              <w:spacing w:before="40" w:after="40"/>
              <w:rPr>
                <w:sz w:val="18"/>
                <w:szCs w:val="18"/>
                <w:lang w:val="en-GB"/>
              </w:rPr>
            </w:pPr>
            <w:r w:rsidRPr="00EB5EDA">
              <w:rPr>
                <w:sz w:val="18"/>
                <w:szCs w:val="18"/>
                <w:lang w:val="en-GB"/>
              </w:rPr>
              <w:t>Soap and organic surface-active products and preparations, in the form of bars, cakes, mo</w:t>
            </w:r>
            <w:r w:rsidR="008441F5" w:rsidRPr="00EB5EDA">
              <w:rPr>
                <w:sz w:val="18"/>
                <w:szCs w:val="18"/>
                <w:lang w:val="en-GB"/>
              </w:rPr>
              <w:t>u</w:t>
            </w:r>
            <w:r w:rsidRPr="00EB5EDA">
              <w:rPr>
                <w:sz w:val="18"/>
                <w:szCs w:val="18"/>
                <w:lang w:val="en-GB"/>
              </w:rPr>
              <w:t>lded pieces or shapes, and paper, wadding, felt and nonwovens, impregnated, coated or covered with soap or detergent</w:t>
            </w:r>
          </w:p>
        </w:tc>
      </w:tr>
      <w:tr w:rsidR="0070496D" w:rsidRPr="00EB5EDA" w14:paraId="03FFB6B5" w14:textId="77777777" w:rsidTr="009E5CEE">
        <w:trPr>
          <w:cantSplit/>
          <w:trHeight w:val="57"/>
          <w:jc w:val="right"/>
        </w:trPr>
        <w:tc>
          <w:tcPr>
            <w:tcW w:w="1460" w:type="dxa"/>
            <w:tcBorders>
              <w:top w:val="nil"/>
              <w:left w:val="nil"/>
              <w:bottom w:val="nil"/>
              <w:right w:val="nil"/>
            </w:tcBorders>
            <w:shd w:val="clear" w:color="auto" w:fill="auto"/>
            <w:noWrap/>
            <w:hideMark/>
          </w:tcPr>
          <w:p w14:paraId="3A45AE24" w14:textId="77777777" w:rsidR="0070496D" w:rsidRPr="00EB5EDA" w:rsidRDefault="0070496D" w:rsidP="00EB5EDA">
            <w:pPr>
              <w:pStyle w:val="Normal-pool"/>
              <w:spacing w:before="40" w:after="40"/>
              <w:jc w:val="right"/>
              <w:rPr>
                <w:sz w:val="18"/>
                <w:szCs w:val="18"/>
                <w:lang w:val="en-GB"/>
              </w:rPr>
            </w:pPr>
          </w:p>
        </w:tc>
        <w:tc>
          <w:tcPr>
            <w:tcW w:w="2226" w:type="dxa"/>
            <w:tcBorders>
              <w:top w:val="nil"/>
              <w:left w:val="nil"/>
              <w:bottom w:val="nil"/>
              <w:right w:val="nil"/>
            </w:tcBorders>
            <w:shd w:val="clear" w:color="auto" w:fill="auto"/>
            <w:noWrap/>
            <w:hideMark/>
          </w:tcPr>
          <w:p w14:paraId="1E366183" w14:textId="77777777" w:rsidR="0070496D" w:rsidRPr="00EB5EDA" w:rsidRDefault="0070496D" w:rsidP="00EB5EDA">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2747AE8A" w14:textId="77777777" w:rsidR="0070496D" w:rsidRPr="00EB5EDA" w:rsidRDefault="0070496D" w:rsidP="00EB5EDA">
            <w:pPr>
              <w:pStyle w:val="Normal-pool"/>
              <w:spacing w:before="40" w:after="40"/>
              <w:rPr>
                <w:sz w:val="18"/>
                <w:szCs w:val="18"/>
                <w:lang w:val="en-GB"/>
              </w:rPr>
            </w:pPr>
            <w:r w:rsidRPr="00EB5EDA">
              <w:rPr>
                <w:sz w:val="18"/>
                <w:szCs w:val="18"/>
                <w:lang w:val="en-GB"/>
              </w:rPr>
              <w:t>For toilet use (including medicated products)</w:t>
            </w:r>
          </w:p>
        </w:tc>
      </w:tr>
      <w:tr w:rsidR="0070496D" w:rsidRPr="00EB5EDA" w14:paraId="5A3BFB30" w14:textId="77777777" w:rsidTr="009E5CEE">
        <w:trPr>
          <w:cantSplit/>
          <w:trHeight w:val="57"/>
          <w:jc w:val="right"/>
        </w:trPr>
        <w:tc>
          <w:tcPr>
            <w:tcW w:w="1460" w:type="dxa"/>
            <w:tcBorders>
              <w:top w:val="nil"/>
              <w:left w:val="nil"/>
              <w:bottom w:val="nil"/>
              <w:right w:val="nil"/>
            </w:tcBorders>
            <w:shd w:val="clear" w:color="auto" w:fill="auto"/>
            <w:noWrap/>
            <w:hideMark/>
          </w:tcPr>
          <w:p w14:paraId="0410F7AD" w14:textId="77777777" w:rsidR="0070496D" w:rsidRPr="00EB5EDA" w:rsidRDefault="0070496D" w:rsidP="00EB5EDA">
            <w:pPr>
              <w:pStyle w:val="Normal-pool"/>
              <w:spacing w:before="40" w:after="40"/>
              <w:jc w:val="right"/>
              <w:rPr>
                <w:sz w:val="18"/>
                <w:szCs w:val="18"/>
                <w:lang w:val="en-GB"/>
              </w:rPr>
            </w:pPr>
            <w:r w:rsidRPr="00EB5EDA">
              <w:rPr>
                <w:sz w:val="18"/>
                <w:szCs w:val="18"/>
                <w:lang w:val="en-GB"/>
              </w:rPr>
              <w:t>3401.11.01</w:t>
            </w:r>
          </w:p>
        </w:tc>
        <w:tc>
          <w:tcPr>
            <w:tcW w:w="2226" w:type="dxa"/>
            <w:tcBorders>
              <w:top w:val="nil"/>
              <w:left w:val="nil"/>
              <w:bottom w:val="nil"/>
              <w:right w:val="nil"/>
            </w:tcBorders>
            <w:shd w:val="clear" w:color="auto" w:fill="auto"/>
            <w:noWrap/>
            <w:hideMark/>
          </w:tcPr>
          <w:p w14:paraId="19FA6AFC" w14:textId="77777777" w:rsidR="0070496D" w:rsidRPr="00EB5EDA" w:rsidRDefault="0070496D" w:rsidP="00EB5EDA">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36E715CC" w14:textId="77777777" w:rsidR="0070496D" w:rsidRPr="00EB5EDA" w:rsidRDefault="0070496D" w:rsidP="00EB5EDA">
            <w:pPr>
              <w:pStyle w:val="Normal-pool"/>
              <w:spacing w:before="40" w:after="40"/>
              <w:rPr>
                <w:sz w:val="18"/>
                <w:szCs w:val="18"/>
                <w:lang w:val="en-GB"/>
              </w:rPr>
            </w:pPr>
            <w:r w:rsidRPr="00EB5EDA">
              <w:rPr>
                <w:sz w:val="18"/>
                <w:szCs w:val="18"/>
                <w:lang w:val="en-GB"/>
              </w:rPr>
              <w:t>Soaps for toilet use (incl. medicated)</w:t>
            </w:r>
          </w:p>
        </w:tc>
      </w:tr>
      <w:tr w:rsidR="0070496D" w:rsidRPr="00EB5EDA" w14:paraId="318943A2" w14:textId="77777777" w:rsidTr="009E5CEE">
        <w:trPr>
          <w:cantSplit/>
          <w:trHeight w:val="57"/>
          <w:jc w:val="right"/>
        </w:trPr>
        <w:tc>
          <w:tcPr>
            <w:tcW w:w="1460" w:type="dxa"/>
            <w:tcBorders>
              <w:top w:val="nil"/>
              <w:left w:val="nil"/>
              <w:bottom w:val="nil"/>
              <w:right w:val="nil"/>
            </w:tcBorders>
            <w:shd w:val="clear" w:color="auto" w:fill="auto"/>
            <w:noWrap/>
            <w:hideMark/>
          </w:tcPr>
          <w:p w14:paraId="4A205699" w14:textId="77777777" w:rsidR="0070496D" w:rsidRPr="00EB5EDA" w:rsidRDefault="0070496D" w:rsidP="00EB5EDA">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55A71694" w14:textId="77777777" w:rsidR="0070496D" w:rsidRPr="00EB5EDA" w:rsidRDefault="0070496D" w:rsidP="00EB5EDA">
            <w:pPr>
              <w:pStyle w:val="Normal-pool"/>
              <w:spacing w:before="40" w:after="40"/>
              <w:jc w:val="right"/>
              <w:rPr>
                <w:sz w:val="18"/>
                <w:szCs w:val="18"/>
                <w:lang w:val="en-GB"/>
              </w:rPr>
            </w:pPr>
            <w:r w:rsidRPr="00EB5EDA">
              <w:rPr>
                <w:sz w:val="18"/>
                <w:szCs w:val="18"/>
                <w:lang w:val="en-GB"/>
              </w:rPr>
              <w:t>3401.11.01.10</w:t>
            </w:r>
          </w:p>
        </w:tc>
        <w:tc>
          <w:tcPr>
            <w:tcW w:w="4621" w:type="dxa"/>
            <w:tcBorders>
              <w:top w:val="nil"/>
              <w:left w:val="nil"/>
              <w:bottom w:val="nil"/>
              <w:right w:val="nil"/>
            </w:tcBorders>
            <w:shd w:val="clear" w:color="auto" w:fill="E7E6E6" w:themeFill="background2"/>
            <w:hideMark/>
          </w:tcPr>
          <w:p w14:paraId="061A144B" w14:textId="0D012865" w:rsidR="0070496D" w:rsidRPr="00EB5EDA" w:rsidRDefault="0070496D" w:rsidP="00EB5EDA">
            <w:pPr>
              <w:pStyle w:val="Normal-pool"/>
              <w:spacing w:before="40" w:after="40"/>
              <w:rPr>
                <w:sz w:val="18"/>
                <w:szCs w:val="18"/>
                <w:lang w:val="en-GB"/>
              </w:rPr>
            </w:pPr>
            <w:r w:rsidRPr="00EB5EDA">
              <w:rPr>
                <w:sz w:val="18"/>
                <w:szCs w:val="18"/>
                <w:lang w:val="en-GB"/>
              </w:rPr>
              <w:t>With mercury content less than or equal to 1</w:t>
            </w:r>
            <w:r w:rsidR="00144001" w:rsidRPr="00EB5EDA">
              <w:rPr>
                <w:sz w:val="18"/>
                <w:szCs w:val="18"/>
                <w:lang w:val="en-GB"/>
              </w:rPr>
              <w:t> </w:t>
            </w:r>
            <w:r w:rsidRPr="00EB5EDA">
              <w:rPr>
                <w:sz w:val="18"/>
                <w:szCs w:val="18"/>
                <w:lang w:val="en-GB"/>
              </w:rPr>
              <w:t>ppm</w:t>
            </w:r>
          </w:p>
        </w:tc>
      </w:tr>
      <w:tr w:rsidR="0070496D" w:rsidRPr="00EB5EDA" w14:paraId="3836332A" w14:textId="77777777" w:rsidTr="009E5CEE">
        <w:trPr>
          <w:cantSplit/>
          <w:trHeight w:val="57"/>
          <w:jc w:val="right"/>
        </w:trPr>
        <w:tc>
          <w:tcPr>
            <w:tcW w:w="1460" w:type="dxa"/>
            <w:tcBorders>
              <w:top w:val="nil"/>
              <w:left w:val="nil"/>
              <w:bottom w:val="nil"/>
              <w:right w:val="nil"/>
            </w:tcBorders>
            <w:shd w:val="clear" w:color="auto" w:fill="auto"/>
            <w:noWrap/>
            <w:hideMark/>
          </w:tcPr>
          <w:p w14:paraId="79F47524" w14:textId="77777777" w:rsidR="0070496D" w:rsidRPr="00EB5EDA" w:rsidRDefault="0070496D" w:rsidP="00EB5EDA">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323ED75F" w14:textId="77777777" w:rsidR="0070496D" w:rsidRPr="00EB5EDA" w:rsidRDefault="0070496D" w:rsidP="00EB5EDA">
            <w:pPr>
              <w:pStyle w:val="Normal-pool"/>
              <w:spacing w:before="40" w:after="40"/>
              <w:jc w:val="right"/>
              <w:rPr>
                <w:sz w:val="18"/>
                <w:szCs w:val="18"/>
                <w:lang w:val="en-GB"/>
              </w:rPr>
            </w:pPr>
            <w:r w:rsidRPr="00EB5EDA">
              <w:rPr>
                <w:sz w:val="18"/>
                <w:szCs w:val="18"/>
                <w:lang w:val="en-GB"/>
              </w:rPr>
              <w:t>3401.11.01.20</w:t>
            </w:r>
          </w:p>
        </w:tc>
        <w:tc>
          <w:tcPr>
            <w:tcW w:w="4621" w:type="dxa"/>
            <w:tcBorders>
              <w:top w:val="nil"/>
              <w:left w:val="nil"/>
              <w:bottom w:val="nil"/>
              <w:right w:val="nil"/>
            </w:tcBorders>
            <w:shd w:val="clear" w:color="auto" w:fill="E7E6E6" w:themeFill="background2"/>
            <w:hideMark/>
          </w:tcPr>
          <w:p w14:paraId="2FD92391" w14:textId="52A18B7A" w:rsidR="0070496D" w:rsidRPr="00EB5EDA" w:rsidRDefault="0070496D" w:rsidP="00EB5EDA">
            <w:pPr>
              <w:pStyle w:val="Normal-pool"/>
              <w:spacing w:before="40" w:after="40"/>
              <w:rPr>
                <w:sz w:val="18"/>
                <w:szCs w:val="18"/>
                <w:lang w:val="en-GB"/>
              </w:rPr>
            </w:pPr>
            <w:r w:rsidRPr="00EB5EDA">
              <w:rPr>
                <w:sz w:val="18"/>
                <w:szCs w:val="18"/>
                <w:lang w:val="en-GB"/>
              </w:rPr>
              <w:t>With mercury content more than 1</w:t>
            </w:r>
            <w:r w:rsidR="00144001" w:rsidRPr="00EB5EDA">
              <w:rPr>
                <w:sz w:val="18"/>
                <w:szCs w:val="18"/>
                <w:lang w:val="en-GB"/>
              </w:rPr>
              <w:t> </w:t>
            </w:r>
            <w:r w:rsidRPr="00EB5EDA">
              <w:rPr>
                <w:sz w:val="18"/>
                <w:szCs w:val="18"/>
                <w:lang w:val="en-GB"/>
              </w:rPr>
              <w:t>ppm</w:t>
            </w:r>
          </w:p>
        </w:tc>
      </w:tr>
      <w:tr w:rsidR="0070496D" w:rsidRPr="00EB5EDA" w14:paraId="0558A69E" w14:textId="77777777" w:rsidTr="009E5CEE">
        <w:trPr>
          <w:cantSplit/>
          <w:trHeight w:val="57"/>
          <w:jc w:val="right"/>
        </w:trPr>
        <w:tc>
          <w:tcPr>
            <w:tcW w:w="1460" w:type="dxa"/>
            <w:tcBorders>
              <w:top w:val="nil"/>
              <w:left w:val="nil"/>
              <w:bottom w:val="nil"/>
              <w:right w:val="nil"/>
            </w:tcBorders>
            <w:shd w:val="clear" w:color="auto" w:fill="auto"/>
            <w:noWrap/>
            <w:hideMark/>
          </w:tcPr>
          <w:p w14:paraId="1255A2A9" w14:textId="77777777" w:rsidR="0070496D" w:rsidRPr="00EB5EDA" w:rsidRDefault="0070496D" w:rsidP="00EB5EDA">
            <w:pPr>
              <w:pStyle w:val="Normal-pool"/>
              <w:spacing w:before="40" w:after="40"/>
              <w:jc w:val="right"/>
              <w:rPr>
                <w:sz w:val="18"/>
                <w:szCs w:val="18"/>
                <w:lang w:val="en-GB"/>
              </w:rPr>
            </w:pPr>
            <w:r w:rsidRPr="00EB5EDA">
              <w:rPr>
                <w:sz w:val="18"/>
                <w:szCs w:val="18"/>
                <w:lang w:val="en-GB"/>
              </w:rPr>
              <w:t>3401.19.00</w:t>
            </w:r>
          </w:p>
        </w:tc>
        <w:tc>
          <w:tcPr>
            <w:tcW w:w="2226" w:type="dxa"/>
            <w:tcBorders>
              <w:top w:val="nil"/>
              <w:left w:val="nil"/>
              <w:bottom w:val="nil"/>
              <w:right w:val="nil"/>
            </w:tcBorders>
            <w:shd w:val="clear" w:color="auto" w:fill="auto"/>
            <w:noWrap/>
            <w:hideMark/>
          </w:tcPr>
          <w:p w14:paraId="7A4DDD0C" w14:textId="77777777" w:rsidR="0070496D" w:rsidRPr="00EB5EDA" w:rsidRDefault="0070496D" w:rsidP="00EB5EDA">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18260348" w14:textId="77777777" w:rsidR="0070496D" w:rsidRPr="00EB5EDA" w:rsidRDefault="0070496D" w:rsidP="00EB5EDA">
            <w:pPr>
              <w:pStyle w:val="Normal-pool"/>
              <w:spacing w:before="40" w:after="40"/>
              <w:rPr>
                <w:sz w:val="18"/>
                <w:szCs w:val="18"/>
                <w:lang w:val="en-GB"/>
              </w:rPr>
            </w:pPr>
            <w:r w:rsidRPr="00EB5EDA">
              <w:rPr>
                <w:sz w:val="18"/>
                <w:szCs w:val="18"/>
                <w:lang w:val="en-GB"/>
              </w:rPr>
              <w:t xml:space="preserve">Other </w:t>
            </w:r>
          </w:p>
        </w:tc>
      </w:tr>
      <w:tr w:rsidR="0070496D" w:rsidRPr="00EB5EDA" w14:paraId="6D7CBD83" w14:textId="77777777" w:rsidTr="009E5CEE">
        <w:trPr>
          <w:cantSplit/>
          <w:trHeight w:val="57"/>
          <w:jc w:val="right"/>
        </w:trPr>
        <w:tc>
          <w:tcPr>
            <w:tcW w:w="1460" w:type="dxa"/>
            <w:tcBorders>
              <w:top w:val="nil"/>
              <w:left w:val="nil"/>
              <w:bottom w:val="nil"/>
              <w:right w:val="nil"/>
            </w:tcBorders>
            <w:shd w:val="clear" w:color="auto" w:fill="auto"/>
            <w:noWrap/>
            <w:hideMark/>
          </w:tcPr>
          <w:p w14:paraId="34FCBD7C" w14:textId="77777777" w:rsidR="0070496D" w:rsidRPr="00EB5EDA" w:rsidRDefault="0070496D" w:rsidP="00EB5EDA">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5EFE1FD4" w14:textId="77777777" w:rsidR="0070496D" w:rsidRPr="00EB5EDA" w:rsidRDefault="0070496D" w:rsidP="00EB5EDA">
            <w:pPr>
              <w:pStyle w:val="Normal-pool"/>
              <w:spacing w:before="40" w:after="40"/>
              <w:jc w:val="right"/>
              <w:rPr>
                <w:sz w:val="18"/>
                <w:szCs w:val="18"/>
                <w:lang w:val="en-GB"/>
              </w:rPr>
            </w:pPr>
            <w:r w:rsidRPr="00EB5EDA">
              <w:rPr>
                <w:sz w:val="18"/>
                <w:szCs w:val="18"/>
                <w:lang w:val="en-GB"/>
              </w:rPr>
              <w:t>3401.19.00.10</w:t>
            </w:r>
          </w:p>
        </w:tc>
        <w:tc>
          <w:tcPr>
            <w:tcW w:w="4621" w:type="dxa"/>
            <w:tcBorders>
              <w:top w:val="nil"/>
              <w:left w:val="nil"/>
              <w:bottom w:val="nil"/>
              <w:right w:val="nil"/>
            </w:tcBorders>
            <w:shd w:val="clear" w:color="auto" w:fill="E7E6E6" w:themeFill="background2"/>
            <w:hideMark/>
          </w:tcPr>
          <w:p w14:paraId="5617E36D" w14:textId="31F1B173" w:rsidR="0070496D" w:rsidRPr="00EB5EDA" w:rsidRDefault="0070496D" w:rsidP="00EB5EDA">
            <w:pPr>
              <w:pStyle w:val="Normal-pool"/>
              <w:spacing w:before="40" w:after="40"/>
              <w:rPr>
                <w:sz w:val="18"/>
                <w:szCs w:val="18"/>
                <w:lang w:val="en-GB"/>
              </w:rPr>
            </w:pPr>
            <w:r w:rsidRPr="00EB5EDA">
              <w:rPr>
                <w:sz w:val="18"/>
                <w:szCs w:val="18"/>
                <w:lang w:val="en-GB"/>
              </w:rPr>
              <w:t>With mercury content less than or equal to 1</w:t>
            </w:r>
            <w:r w:rsidR="00144001" w:rsidRPr="00EB5EDA">
              <w:rPr>
                <w:sz w:val="18"/>
                <w:szCs w:val="18"/>
                <w:lang w:val="en-GB"/>
              </w:rPr>
              <w:t> </w:t>
            </w:r>
            <w:r w:rsidRPr="00EB5EDA">
              <w:rPr>
                <w:sz w:val="18"/>
                <w:szCs w:val="18"/>
                <w:lang w:val="en-GB"/>
              </w:rPr>
              <w:t>ppm</w:t>
            </w:r>
          </w:p>
        </w:tc>
      </w:tr>
      <w:tr w:rsidR="0070496D" w:rsidRPr="00EB5EDA" w14:paraId="061F3192" w14:textId="77777777" w:rsidTr="009E5CEE">
        <w:trPr>
          <w:cantSplit/>
          <w:trHeight w:val="57"/>
          <w:jc w:val="right"/>
        </w:trPr>
        <w:tc>
          <w:tcPr>
            <w:tcW w:w="1460" w:type="dxa"/>
            <w:tcBorders>
              <w:top w:val="nil"/>
              <w:left w:val="nil"/>
              <w:bottom w:val="nil"/>
              <w:right w:val="nil"/>
            </w:tcBorders>
            <w:shd w:val="clear" w:color="auto" w:fill="auto"/>
            <w:noWrap/>
            <w:hideMark/>
          </w:tcPr>
          <w:p w14:paraId="657F4086" w14:textId="77777777" w:rsidR="0070496D" w:rsidRPr="00EB5EDA" w:rsidRDefault="0070496D" w:rsidP="00EB5EDA">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5DDB5149" w14:textId="77777777" w:rsidR="0070496D" w:rsidRPr="00EB5EDA" w:rsidRDefault="0070496D" w:rsidP="00EB5EDA">
            <w:pPr>
              <w:pStyle w:val="Normal-pool"/>
              <w:spacing w:before="40" w:after="40"/>
              <w:jc w:val="right"/>
              <w:rPr>
                <w:sz w:val="18"/>
                <w:szCs w:val="18"/>
                <w:lang w:val="en-GB"/>
              </w:rPr>
            </w:pPr>
            <w:r w:rsidRPr="00EB5EDA">
              <w:rPr>
                <w:sz w:val="18"/>
                <w:szCs w:val="18"/>
                <w:lang w:val="en-GB"/>
              </w:rPr>
              <w:t>3401.19.00.20</w:t>
            </w:r>
          </w:p>
        </w:tc>
        <w:tc>
          <w:tcPr>
            <w:tcW w:w="4621" w:type="dxa"/>
            <w:tcBorders>
              <w:top w:val="nil"/>
              <w:left w:val="nil"/>
              <w:bottom w:val="nil"/>
              <w:right w:val="nil"/>
            </w:tcBorders>
            <w:shd w:val="clear" w:color="auto" w:fill="E7E6E6" w:themeFill="background2"/>
            <w:hideMark/>
          </w:tcPr>
          <w:p w14:paraId="41CA39FB" w14:textId="0D756393" w:rsidR="0070496D" w:rsidRPr="00EB5EDA" w:rsidRDefault="0070496D" w:rsidP="00EB5EDA">
            <w:pPr>
              <w:pStyle w:val="Normal-pool"/>
              <w:spacing w:before="40" w:after="40"/>
              <w:rPr>
                <w:sz w:val="18"/>
                <w:szCs w:val="18"/>
                <w:lang w:val="en-GB"/>
              </w:rPr>
            </w:pPr>
            <w:r w:rsidRPr="00EB5EDA">
              <w:rPr>
                <w:sz w:val="18"/>
                <w:szCs w:val="18"/>
                <w:lang w:val="en-GB"/>
              </w:rPr>
              <w:t>With mercury content more than 1</w:t>
            </w:r>
            <w:r w:rsidR="00144001" w:rsidRPr="00EB5EDA">
              <w:rPr>
                <w:sz w:val="18"/>
                <w:szCs w:val="18"/>
                <w:lang w:val="en-GB"/>
              </w:rPr>
              <w:t> </w:t>
            </w:r>
            <w:r w:rsidRPr="00EB5EDA">
              <w:rPr>
                <w:sz w:val="18"/>
                <w:szCs w:val="18"/>
                <w:lang w:val="en-GB"/>
              </w:rPr>
              <w:t>ppm</w:t>
            </w:r>
          </w:p>
        </w:tc>
      </w:tr>
      <w:tr w:rsidR="0070496D" w:rsidRPr="00EB5EDA" w14:paraId="28BECAD9" w14:textId="77777777" w:rsidTr="009E5CEE">
        <w:trPr>
          <w:cantSplit/>
          <w:trHeight w:val="57"/>
          <w:jc w:val="right"/>
        </w:trPr>
        <w:tc>
          <w:tcPr>
            <w:tcW w:w="1460" w:type="dxa"/>
            <w:tcBorders>
              <w:top w:val="nil"/>
              <w:left w:val="nil"/>
              <w:bottom w:val="nil"/>
              <w:right w:val="nil"/>
            </w:tcBorders>
            <w:shd w:val="clear" w:color="auto" w:fill="auto"/>
            <w:noWrap/>
            <w:hideMark/>
          </w:tcPr>
          <w:p w14:paraId="75BD6A47" w14:textId="77777777" w:rsidR="0070496D" w:rsidRPr="00EB5EDA" w:rsidRDefault="0070496D" w:rsidP="00EB5EDA">
            <w:pPr>
              <w:pStyle w:val="Normal-pool"/>
              <w:spacing w:before="40" w:after="40"/>
              <w:jc w:val="right"/>
              <w:rPr>
                <w:sz w:val="18"/>
                <w:szCs w:val="18"/>
                <w:lang w:val="en-GB"/>
              </w:rPr>
            </w:pPr>
            <w:r w:rsidRPr="00EB5EDA">
              <w:rPr>
                <w:sz w:val="18"/>
                <w:szCs w:val="18"/>
                <w:lang w:val="en-GB"/>
              </w:rPr>
              <w:t>3401.20.01</w:t>
            </w:r>
          </w:p>
        </w:tc>
        <w:tc>
          <w:tcPr>
            <w:tcW w:w="2226" w:type="dxa"/>
            <w:tcBorders>
              <w:top w:val="nil"/>
              <w:left w:val="nil"/>
              <w:bottom w:val="nil"/>
              <w:right w:val="nil"/>
            </w:tcBorders>
            <w:shd w:val="clear" w:color="auto" w:fill="auto"/>
            <w:noWrap/>
            <w:hideMark/>
          </w:tcPr>
          <w:p w14:paraId="7EA3277E" w14:textId="77777777" w:rsidR="0070496D" w:rsidRPr="00EB5EDA" w:rsidRDefault="0070496D" w:rsidP="00EB5EDA">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542EF6CC" w14:textId="77777777" w:rsidR="0070496D" w:rsidRPr="00EB5EDA" w:rsidRDefault="0070496D" w:rsidP="00EB5EDA">
            <w:pPr>
              <w:pStyle w:val="Normal-pool"/>
              <w:spacing w:before="40" w:after="40"/>
              <w:rPr>
                <w:sz w:val="18"/>
                <w:szCs w:val="18"/>
                <w:lang w:val="en-GB"/>
              </w:rPr>
            </w:pPr>
            <w:r w:rsidRPr="00EB5EDA">
              <w:rPr>
                <w:sz w:val="18"/>
                <w:szCs w:val="18"/>
                <w:lang w:val="en-GB"/>
              </w:rPr>
              <w:t>Soap in other forms</w:t>
            </w:r>
          </w:p>
        </w:tc>
      </w:tr>
      <w:tr w:rsidR="0070496D" w:rsidRPr="00EB5EDA" w14:paraId="76C20B82" w14:textId="77777777" w:rsidTr="009E5CEE">
        <w:trPr>
          <w:cantSplit/>
          <w:trHeight w:val="57"/>
          <w:jc w:val="right"/>
        </w:trPr>
        <w:tc>
          <w:tcPr>
            <w:tcW w:w="1460" w:type="dxa"/>
            <w:tcBorders>
              <w:top w:val="nil"/>
              <w:left w:val="nil"/>
              <w:bottom w:val="nil"/>
              <w:right w:val="nil"/>
            </w:tcBorders>
            <w:shd w:val="clear" w:color="auto" w:fill="auto"/>
            <w:noWrap/>
            <w:hideMark/>
          </w:tcPr>
          <w:p w14:paraId="3A78BF66" w14:textId="77777777" w:rsidR="0070496D" w:rsidRPr="00EB5EDA" w:rsidRDefault="0070496D" w:rsidP="00EB5EDA">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45537A5B" w14:textId="77777777" w:rsidR="0070496D" w:rsidRPr="00EB5EDA" w:rsidRDefault="0070496D" w:rsidP="00EB5EDA">
            <w:pPr>
              <w:pStyle w:val="Normal-pool"/>
              <w:spacing w:before="40" w:after="40"/>
              <w:jc w:val="right"/>
              <w:rPr>
                <w:sz w:val="18"/>
                <w:szCs w:val="18"/>
                <w:lang w:val="en-GB"/>
              </w:rPr>
            </w:pPr>
            <w:r w:rsidRPr="00EB5EDA">
              <w:rPr>
                <w:sz w:val="18"/>
                <w:szCs w:val="18"/>
                <w:lang w:val="en-GB"/>
              </w:rPr>
              <w:t>3401.20.01.10</w:t>
            </w:r>
          </w:p>
        </w:tc>
        <w:tc>
          <w:tcPr>
            <w:tcW w:w="4621" w:type="dxa"/>
            <w:tcBorders>
              <w:top w:val="nil"/>
              <w:left w:val="nil"/>
              <w:bottom w:val="nil"/>
              <w:right w:val="nil"/>
            </w:tcBorders>
            <w:shd w:val="clear" w:color="auto" w:fill="E7E6E6" w:themeFill="background2"/>
            <w:hideMark/>
          </w:tcPr>
          <w:p w14:paraId="2E89C7C8" w14:textId="77395B55" w:rsidR="0070496D" w:rsidRPr="00EB5EDA" w:rsidRDefault="0070496D" w:rsidP="00EB5EDA">
            <w:pPr>
              <w:pStyle w:val="Normal-pool"/>
              <w:spacing w:before="40" w:after="40"/>
              <w:rPr>
                <w:sz w:val="18"/>
                <w:szCs w:val="18"/>
                <w:lang w:val="en-GB"/>
              </w:rPr>
            </w:pPr>
            <w:r w:rsidRPr="00EB5EDA">
              <w:rPr>
                <w:sz w:val="18"/>
                <w:szCs w:val="18"/>
                <w:lang w:val="en-GB"/>
              </w:rPr>
              <w:t>With mercury content less than or equal to 1</w:t>
            </w:r>
            <w:r w:rsidR="00144001" w:rsidRPr="00EB5EDA">
              <w:rPr>
                <w:sz w:val="18"/>
                <w:szCs w:val="18"/>
                <w:lang w:val="en-GB"/>
              </w:rPr>
              <w:t> </w:t>
            </w:r>
            <w:r w:rsidRPr="00EB5EDA">
              <w:rPr>
                <w:sz w:val="18"/>
                <w:szCs w:val="18"/>
                <w:lang w:val="en-GB"/>
              </w:rPr>
              <w:t>ppm</w:t>
            </w:r>
          </w:p>
        </w:tc>
      </w:tr>
      <w:tr w:rsidR="0070496D" w:rsidRPr="00EB5EDA" w14:paraId="2BCF67C1" w14:textId="77777777" w:rsidTr="009E5CEE">
        <w:trPr>
          <w:cantSplit/>
          <w:trHeight w:val="57"/>
          <w:jc w:val="right"/>
        </w:trPr>
        <w:tc>
          <w:tcPr>
            <w:tcW w:w="1460" w:type="dxa"/>
            <w:tcBorders>
              <w:top w:val="nil"/>
              <w:left w:val="nil"/>
              <w:bottom w:val="nil"/>
              <w:right w:val="nil"/>
            </w:tcBorders>
            <w:shd w:val="clear" w:color="auto" w:fill="auto"/>
            <w:noWrap/>
            <w:hideMark/>
          </w:tcPr>
          <w:p w14:paraId="0D4081DA" w14:textId="77777777" w:rsidR="0070496D" w:rsidRPr="00EB5EDA" w:rsidRDefault="0070496D" w:rsidP="00EB5EDA">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7EC232FA" w14:textId="77777777" w:rsidR="0070496D" w:rsidRPr="00EB5EDA" w:rsidRDefault="0070496D" w:rsidP="00EB5EDA">
            <w:pPr>
              <w:pStyle w:val="Normal-pool"/>
              <w:spacing w:before="40" w:after="40"/>
              <w:jc w:val="right"/>
              <w:rPr>
                <w:sz w:val="18"/>
                <w:szCs w:val="18"/>
                <w:lang w:val="en-GB"/>
              </w:rPr>
            </w:pPr>
            <w:r w:rsidRPr="00EB5EDA">
              <w:rPr>
                <w:sz w:val="18"/>
                <w:szCs w:val="18"/>
                <w:lang w:val="en-GB"/>
              </w:rPr>
              <w:t>3401.20.01.20</w:t>
            </w:r>
          </w:p>
        </w:tc>
        <w:tc>
          <w:tcPr>
            <w:tcW w:w="4621" w:type="dxa"/>
            <w:tcBorders>
              <w:top w:val="nil"/>
              <w:left w:val="nil"/>
              <w:bottom w:val="nil"/>
              <w:right w:val="nil"/>
            </w:tcBorders>
            <w:shd w:val="clear" w:color="auto" w:fill="E7E6E6" w:themeFill="background2"/>
            <w:hideMark/>
          </w:tcPr>
          <w:p w14:paraId="7B2A9628" w14:textId="63F999B7" w:rsidR="0070496D" w:rsidRPr="00EB5EDA" w:rsidRDefault="0070496D" w:rsidP="00EB5EDA">
            <w:pPr>
              <w:pStyle w:val="Normal-pool"/>
              <w:spacing w:before="40" w:after="40"/>
              <w:rPr>
                <w:sz w:val="18"/>
                <w:szCs w:val="18"/>
                <w:lang w:val="en-GB"/>
              </w:rPr>
            </w:pPr>
            <w:r w:rsidRPr="00EB5EDA">
              <w:rPr>
                <w:sz w:val="18"/>
                <w:szCs w:val="18"/>
                <w:lang w:val="en-GB"/>
              </w:rPr>
              <w:t>With mercury content more than 1</w:t>
            </w:r>
            <w:r w:rsidR="00144001" w:rsidRPr="00EB5EDA">
              <w:rPr>
                <w:sz w:val="18"/>
                <w:szCs w:val="18"/>
                <w:lang w:val="en-GB"/>
              </w:rPr>
              <w:t> </w:t>
            </w:r>
            <w:r w:rsidRPr="00EB5EDA">
              <w:rPr>
                <w:sz w:val="18"/>
                <w:szCs w:val="18"/>
                <w:lang w:val="en-GB"/>
              </w:rPr>
              <w:t>ppm</w:t>
            </w:r>
          </w:p>
        </w:tc>
      </w:tr>
      <w:tr w:rsidR="0070496D" w:rsidRPr="00EB5EDA" w14:paraId="38C98911" w14:textId="77777777" w:rsidTr="009E5CEE">
        <w:trPr>
          <w:cantSplit/>
          <w:trHeight w:val="57"/>
          <w:jc w:val="right"/>
        </w:trPr>
        <w:tc>
          <w:tcPr>
            <w:tcW w:w="1460" w:type="dxa"/>
            <w:tcBorders>
              <w:top w:val="nil"/>
              <w:left w:val="nil"/>
              <w:bottom w:val="nil"/>
              <w:right w:val="nil"/>
            </w:tcBorders>
            <w:shd w:val="clear" w:color="auto" w:fill="auto"/>
            <w:noWrap/>
            <w:hideMark/>
          </w:tcPr>
          <w:p w14:paraId="4ECC2E41" w14:textId="77777777" w:rsidR="0070496D" w:rsidRPr="00EB5EDA" w:rsidRDefault="0070496D" w:rsidP="00EB5EDA">
            <w:pPr>
              <w:pStyle w:val="Normal-pool"/>
              <w:spacing w:before="40" w:after="40"/>
              <w:jc w:val="right"/>
              <w:rPr>
                <w:sz w:val="18"/>
                <w:szCs w:val="18"/>
                <w:lang w:val="en-GB"/>
              </w:rPr>
            </w:pPr>
            <w:r w:rsidRPr="00EB5EDA">
              <w:rPr>
                <w:sz w:val="18"/>
                <w:szCs w:val="18"/>
                <w:lang w:val="en-GB"/>
              </w:rPr>
              <w:t>3401.30.01</w:t>
            </w:r>
          </w:p>
        </w:tc>
        <w:tc>
          <w:tcPr>
            <w:tcW w:w="2226" w:type="dxa"/>
            <w:tcBorders>
              <w:top w:val="nil"/>
              <w:left w:val="nil"/>
              <w:bottom w:val="nil"/>
              <w:right w:val="nil"/>
            </w:tcBorders>
            <w:shd w:val="clear" w:color="auto" w:fill="auto"/>
            <w:noWrap/>
            <w:hideMark/>
          </w:tcPr>
          <w:p w14:paraId="0A1756F9" w14:textId="77777777" w:rsidR="0070496D" w:rsidRPr="00EB5EDA" w:rsidRDefault="0070496D" w:rsidP="00EB5EDA">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3C703C63" w14:textId="77777777" w:rsidR="0070496D" w:rsidRPr="00EB5EDA" w:rsidRDefault="0070496D" w:rsidP="00EB5EDA">
            <w:pPr>
              <w:pStyle w:val="Normal-pool"/>
              <w:spacing w:before="40" w:after="40"/>
              <w:rPr>
                <w:sz w:val="18"/>
                <w:szCs w:val="18"/>
                <w:lang w:val="en-GB"/>
              </w:rPr>
            </w:pPr>
            <w:r w:rsidRPr="00EB5EDA">
              <w:rPr>
                <w:sz w:val="18"/>
                <w:szCs w:val="18"/>
                <w:lang w:val="en-GB"/>
              </w:rPr>
              <w:t xml:space="preserve">Organic surface-active products and preparations for washing the skin, in the form of liquid or cream and put up for retail sale, whether or not containing soap </w:t>
            </w:r>
          </w:p>
        </w:tc>
      </w:tr>
      <w:tr w:rsidR="0070496D" w:rsidRPr="00EB5EDA" w14:paraId="53972C30" w14:textId="77777777" w:rsidTr="009E5CEE">
        <w:trPr>
          <w:cantSplit/>
          <w:trHeight w:val="57"/>
          <w:jc w:val="right"/>
        </w:trPr>
        <w:tc>
          <w:tcPr>
            <w:tcW w:w="1460" w:type="dxa"/>
            <w:tcBorders>
              <w:top w:val="nil"/>
              <w:left w:val="nil"/>
              <w:right w:val="nil"/>
            </w:tcBorders>
            <w:shd w:val="clear" w:color="auto" w:fill="auto"/>
            <w:noWrap/>
            <w:hideMark/>
          </w:tcPr>
          <w:p w14:paraId="269C289E" w14:textId="77777777" w:rsidR="0070496D" w:rsidRPr="00EB5EDA" w:rsidRDefault="0070496D" w:rsidP="00EB5EDA">
            <w:pPr>
              <w:pStyle w:val="Normal-pool"/>
              <w:spacing w:before="40" w:after="40"/>
              <w:jc w:val="right"/>
              <w:rPr>
                <w:sz w:val="18"/>
                <w:szCs w:val="18"/>
                <w:lang w:val="en-GB"/>
              </w:rPr>
            </w:pPr>
          </w:p>
        </w:tc>
        <w:tc>
          <w:tcPr>
            <w:tcW w:w="2226" w:type="dxa"/>
            <w:tcBorders>
              <w:top w:val="nil"/>
              <w:left w:val="nil"/>
              <w:right w:val="nil"/>
            </w:tcBorders>
            <w:shd w:val="clear" w:color="auto" w:fill="E7E6E6" w:themeFill="background2"/>
            <w:noWrap/>
            <w:hideMark/>
          </w:tcPr>
          <w:p w14:paraId="4FCF0E43" w14:textId="77777777" w:rsidR="0070496D" w:rsidRPr="00EB5EDA" w:rsidRDefault="0070496D" w:rsidP="00EB5EDA">
            <w:pPr>
              <w:pStyle w:val="Normal-pool"/>
              <w:spacing w:before="40" w:after="40"/>
              <w:jc w:val="right"/>
              <w:rPr>
                <w:sz w:val="18"/>
                <w:szCs w:val="18"/>
                <w:lang w:val="en-GB"/>
              </w:rPr>
            </w:pPr>
            <w:r w:rsidRPr="00EB5EDA">
              <w:rPr>
                <w:sz w:val="18"/>
                <w:szCs w:val="18"/>
                <w:lang w:val="en-GB"/>
              </w:rPr>
              <w:t>3401.30.01.10</w:t>
            </w:r>
          </w:p>
        </w:tc>
        <w:tc>
          <w:tcPr>
            <w:tcW w:w="4621" w:type="dxa"/>
            <w:tcBorders>
              <w:top w:val="nil"/>
              <w:left w:val="nil"/>
              <w:right w:val="nil"/>
            </w:tcBorders>
            <w:shd w:val="clear" w:color="auto" w:fill="E7E6E6" w:themeFill="background2"/>
            <w:hideMark/>
          </w:tcPr>
          <w:p w14:paraId="55630A83" w14:textId="10885A6C" w:rsidR="0070496D" w:rsidRPr="00EB5EDA" w:rsidRDefault="0070496D" w:rsidP="00EB5EDA">
            <w:pPr>
              <w:pStyle w:val="Normal-pool"/>
              <w:spacing w:before="40" w:after="40"/>
              <w:rPr>
                <w:sz w:val="18"/>
                <w:szCs w:val="18"/>
                <w:lang w:val="en-GB"/>
              </w:rPr>
            </w:pPr>
            <w:r w:rsidRPr="00EB5EDA">
              <w:rPr>
                <w:sz w:val="18"/>
                <w:szCs w:val="18"/>
                <w:lang w:val="en-GB"/>
              </w:rPr>
              <w:t>With mercury content less than or equal to 1</w:t>
            </w:r>
            <w:r w:rsidR="00144001" w:rsidRPr="00EB5EDA">
              <w:rPr>
                <w:sz w:val="18"/>
                <w:szCs w:val="18"/>
                <w:lang w:val="en-GB"/>
              </w:rPr>
              <w:t> </w:t>
            </w:r>
            <w:r w:rsidRPr="00EB5EDA">
              <w:rPr>
                <w:sz w:val="18"/>
                <w:szCs w:val="18"/>
                <w:lang w:val="en-GB"/>
              </w:rPr>
              <w:t>ppm</w:t>
            </w:r>
          </w:p>
        </w:tc>
      </w:tr>
      <w:tr w:rsidR="0070496D" w:rsidRPr="00EB5EDA" w14:paraId="7A105344" w14:textId="77777777" w:rsidTr="009E5CEE">
        <w:trPr>
          <w:cantSplit/>
          <w:trHeight w:val="57"/>
          <w:jc w:val="right"/>
        </w:trPr>
        <w:tc>
          <w:tcPr>
            <w:tcW w:w="1460" w:type="dxa"/>
            <w:tcBorders>
              <w:top w:val="nil"/>
              <w:left w:val="nil"/>
              <w:bottom w:val="single" w:sz="12" w:space="0" w:color="auto"/>
              <w:right w:val="nil"/>
            </w:tcBorders>
            <w:shd w:val="clear" w:color="auto" w:fill="auto"/>
            <w:noWrap/>
            <w:hideMark/>
          </w:tcPr>
          <w:p w14:paraId="69871D27" w14:textId="77777777" w:rsidR="0070496D" w:rsidRPr="00EB5EDA" w:rsidRDefault="0070496D" w:rsidP="00EB5EDA">
            <w:pPr>
              <w:pStyle w:val="Normal-pool"/>
              <w:spacing w:before="40" w:after="40"/>
              <w:jc w:val="right"/>
              <w:rPr>
                <w:sz w:val="18"/>
                <w:szCs w:val="18"/>
                <w:lang w:val="en-GB"/>
              </w:rPr>
            </w:pPr>
          </w:p>
        </w:tc>
        <w:tc>
          <w:tcPr>
            <w:tcW w:w="2226" w:type="dxa"/>
            <w:tcBorders>
              <w:top w:val="nil"/>
              <w:left w:val="nil"/>
              <w:bottom w:val="single" w:sz="12" w:space="0" w:color="auto"/>
              <w:right w:val="nil"/>
            </w:tcBorders>
            <w:shd w:val="clear" w:color="auto" w:fill="E7E6E6" w:themeFill="background2"/>
            <w:noWrap/>
            <w:hideMark/>
          </w:tcPr>
          <w:p w14:paraId="7F765AB3" w14:textId="77777777" w:rsidR="0070496D" w:rsidRPr="00EB5EDA" w:rsidRDefault="0070496D" w:rsidP="00EB5EDA">
            <w:pPr>
              <w:pStyle w:val="Normal-pool"/>
              <w:spacing w:before="40" w:after="40"/>
              <w:jc w:val="right"/>
              <w:rPr>
                <w:sz w:val="18"/>
                <w:szCs w:val="18"/>
                <w:lang w:val="en-GB"/>
              </w:rPr>
            </w:pPr>
            <w:r w:rsidRPr="00EB5EDA">
              <w:rPr>
                <w:sz w:val="18"/>
                <w:szCs w:val="18"/>
                <w:lang w:val="en-GB"/>
              </w:rPr>
              <w:t>3401.30.01.20</w:t>
            </w:r>
          </w:p>
        </w:tc>
        <w:tc>
          <w:tcPr>
            <w:tcW w:w="4621" w:type="dxa"/>
            <w:tcBorders>
              <w:top w:val="nil"/>
              <w:left w:val="nil"/>
              <w:bottom w:val="single" w:sz="12" w:space="0" w:color="auto"/>
              <w:right w:val="nil"/>
            </w:tcBorders>
            <w:shd w:val="clear" w:color="auto" w:fill="E7E6E6" w:themeFill="background2"/>
            <w:hideMark/>
          </w:tcPr>
          <w:p w14:paraId="7A8276B1" w14:textId="730CE128" w:rsidR="0070496D" w:rsidRPr="00EB5EDA" w:rsidRDefault="0070496D" w:rsidP="00EB5EDA">
            <w:pPr>
              <w:pStyle w:val="Normal-pool"/>
              <w:spacing w:before="40" w:after="40"/>
              <w:rPr>
                <w:sz w:val="18"/>
                <w:szCs w:val="18"/>
                <w:lang w:val="en-GB"/>
              </w:rPr>
            </w:pPr>
            <w:r w:rsidRPr="00EB5EDA">
              <w:rPr>
                <w:sz w:val="18"/>
                <w:szCs w:val="18"/>
                <w:lang w:val="en-GB"/>
              </w:rPr>
              <w:t>With mercury content more than 1</w:t>
            </w:r>
            <w:r w:rsidR="00144001" w:rsidRPr="00EB5EDA">
              <w:rPr>
                <w:sz w:val="18"/>
                <w:szCs w:val="18"/>
                <w:lang w:val="en-GB"/>
              </w:rPr>
              <w:t> </w:t>
            </w:r>
            <w:r w:rsidRPr="00EB5EDA">
              <w:rPr>
                <w:sz w:val="18"/>
                <w:szCs w:val="18"/>
                <w:lang w:val="en-GB"/>
              </w:rPr>
              <w:t>ppm</w:t>
            </w:r>
          </w:p>
        </w:tc>
      </w:tr>
    </w:tbl>
    <w:p w14:paraId="6110353E" w14:textId="77777777" w:rsidR="0070496D" w:rsidRPr="00EB5EDA" w:rsidRDefault="0070496D" w:rsidP="003B2AD6">
      <w:pPr>
        <w:pStyle w:val="Titletable"/>
        <w:spacing w:before="240"/>
        <w:rPr>
          <w:lang w:val="en-GB"/>
        </w:rPr>
      </w:pPr>
      <w:r w:rsidRPr="00EB5EDA">
        <w:rPr>
          <w:lang w:val="en-GB"/>
        </w:rPr>
        <w:lastRenderedPageBreak/>
        <w:t>Pesticides, biocides and topical antiseptics</w:t>
      </w:r>
    </w:p>
    <w:tbl>
      <w:tblPr>
        <w:tblW w:w="8200" w:type="dxa"/>
        <w:jc w:val="right"/>
        <w:tblLook w:val="04A0" w:firstRow="1" w:lastRow="0" w:firstColumn="1" w:lastColumn="0" w:noHBand="0" w:noVBand="1"/>
      </w:tblPr>
      <w:tblGrid>
        <w:gridCol w:w="1701"/>
        <w:gridCol w:w="2268"/>
        <w:gridCol w:w="4231"/>
      </w:tblGrid>
      <w:tr w:rsidR="0070496D" w:rsidRPr="00EB5EDA" w14:paraId="2931E1D0" w14:textId="77777777" w:rsidTr="009E5CEE">
        <w:trPr>
          <w:cantSplit/>
          <w:trHeight w:val="57"/>
          <w:jc w:val="right"/>
        </w:trPr>
        <w:tc>
          <w:tcPr>
            <w:tcW w:w="1701" w:type="dxa"/>
            <w:tcBorders>
              <w:top w:val="single" w:sz="4" w:space="0" w:color="auto"/>
              <w:left w:val="nil"/>
              <w:bottom w:val="single" w:sz="12" w:space="0" w:color="auto"/>
              <w:right w:val="nil"/>
            </w:tcBorders>
            <w:shd w:val="clear" w:color="auto" w:fill="auto"/>
            <w:hideMark/>
          </w:tcPr>
          <w:p w14:paraId="45D77E3D" w14:textId="19638357" w:rsidR="0070496D" w:rsidRPr="00EB5EDA" w:rsidRDefault="0070496D" w:rsidP="00E3066B">
            <w:pPr>
              <w:pStyle w:val="Normal-pool"/>
              <w:keepNext/>
              <w:keepLines/>
              <w:spacing w:before="40" w:after="40"/>
              <w:jc w:val="right"/>
              <w:rPr>
                <w:i/>
                <w:iCs/>
                <w:sz w:val="18"/>
                <w:szCs w:val="18"/>
                <w:lang w:val="en-GB"/>
              </w:rPr>
            </w:pPr>
            <w:r w:rsidRPr="00EB5EDA">
              <w:rPr>
                <w:i/>
                <w:iCs/>
                <w:sz w:val="18"/>
                <w:szCs w:val="18"/>
                <w:lang w:val="en-GB"/>
              </w:rPr>
              <w:t>Existing code</w:t>
            </w:r>
          </w:p>
        </w:tc>
        <w:tc>
          <w:tcPr>
            <w:tcW w:w="2268" w:type="dxa"/>
            <w:tcBorders>
              <w:top w:val="single" w:sz="4" w:space="0" w:color="auto"/>
              <w:left w:val="nil"/>
              <w:bottom w:val="single" w:sz="12" w:space="0" w:color="auto"/>
              <w:right w:val="nil"/>
            </w:tcBorders>
            <w:shd w:val="clear" w:color="auto" w:fill="auto"/>
            <w:hideMark/>
          </w:tcPr>
          <w:p w14:paraId="7712C785" w14:textId="77777777" w:rsidR="0070496D" w:rsidRPr="00EB5EDA" w:rsidRDefault="0070496D" w:rsidP="00E3066B">
            <w:pPr>
              <w:pStyle w:val="Normal-pool"/>
              <w:keepNext/>
              <w:keepLines/>
              <w:spacing w:before="40" w:after="40"/>
              <w:jc w:val="right"/>
              <w:rPr>
                <w:i/>
                <w:iCs/>
                <w:sz w:val="18"/>
                <w:szCs w:val="18"/>
                <w:lang w:val="en-GB"/>
              </w:rPr>
            </w:pPr>
            <w:r w:rsidRPr="00EB5EDA">
              <w:rPr>
                <w:i/>
                <w:iCs/>
                <w:sz w:val="18"/>
                <w:szCs w:val="18"/>
                <w:lang w:val="en-GB"/>
              </w:rPr>
              <w:t>Proposed statistical codes</w:t>
            </w:r>
          </w:p>
        </w:tc>
        <w:tc>
          <w:tcPr>
            <w:tcW w:w="4231" w:type="dxa"/>
            <w:tcBorders>
              <w:top w:val="single" w:sz="4" w:space="0" w:color="auto"/>
              <w:left w:val="nil"/>
              <w:bottom w:val="single" w:sz="12" w:space="0" w:color="auto"/>
              <w:right w:val="nil"/>
            </w:tcBorders>
            <w:shd w:val="clear" w:color="auto" w:fill="auto"/>
            <w:hideMark/>
          </w:tcPr>
          <w:p w14:paraId="267D1F98" w14:textId="77777777" w:rsidR="0070496D" w:rsidRPr="00EB5EDA" w:rsidRDefault="0070496D" w:rsidP="00E3066B">
            <w:pPr>
              <w:pStyle w:val="Normal-pool"/>
              <w:keepNext/>
              <w:keepLines/>
              <w:spacing w:before="40" w:after="40"/>
              <w:rPr>
                <w:i/>
                <w:iCs/>
                <w:sz w:val="18"/>
                <w:szCs w:val="18"/>
                <w:lang w:val="en-GB"/>
              </w:rPr>
            </w:pPr>
            <w:r w:rsidRPr="00EB5EDA">
              <w:rPr>
                <w:i/>
                <w:iCs/>
                <w:sz w:val="18"/>
                <w:szCs w:val="18"/>
                <w:lang w:val="en-GB"/>
              </w:rPr>
              <w:t>Description</w:t>
            </w:r>
          </w:p>
        </w:tc>
      </w:tr>
      <w:tr w:rsidR="0070496D" w:rsidRPr="00EB5EDA" w14:paraId="7F5B2ABE" w14:textId="77777777" w:rsidTr="009E5CEE">
        <w:trPr>
          <w:cantSplit/>
          <w:trHeight w:val="57"/>
          <w:jc w:val="right"/>
        </w:trPr>
        <w:tc>
          <w:tcPr>
            <w:tcW w:w="1701" w:type="dxa"/>
            <w:tcBorders>
              <w:top w:val="single" w:sz="12" w:space="0" w:color="auto"/>
              <w:left w:val="nil"/>
              <w:bottom w:val="nil"/>
              <w:right w:val="nil"/>
            </w:tcBorders>
            <w:shd w:val="clear" w:color="auto" w:fill="000000" w:themeFill="text1"/>
            <w:noWrap/>
            <w:hideMark/>
          </w:tcPr>
          <w:p w14:paraId="79B0A8FF" w14:textId="77777777" w:rsidR="0070496D" w:rsidRPr="00EB5EDA" w:rsidRDefault="0070496D" w:rsidP="00E3066B">
            <w:pPr>
              <w:pStyle w:val="Normal-pool"/>
              <w:keepNext/>
              <w:keepLines/>
              <w:spacing w:before="40" w:after="40"/>
              <w:jc w:val="right"/>
              <w:rPr>
                <w:sz w:val="18"/>
                <w:szCs w:val="18"/>
                <w:lang w:val="en-GB"/>
              </w:rPr>
            </w:pPr>
          </w:p>
        </w:tc>
        <w:tc>
          <w:tcPr>
            <w:tcW w:w="2268" w:type="dxa"/>
            <w:tcBorders>
              <w:top w:val="single" w:sz="12" w:space="0" w:color="auto"/>
              <w:left w:val="nil"/>
              <w:bottom w:val="nil"/>
              <w:right w:val="nil"/>
            </w:tcBorders>
            <w:shd w:val="clear" w:color="auto" w:fill="000000" w:themeFill="text1"/>
            <w:hideMark/>
          </w:tcPr>
          <w:p w14:paraId="095046EF" w14:textId="77777777" w:rsidR="0070496D" w:rsidRPr="00EB5EDA" w:rsidRDefault="0070496D" w:rsidP="00E3066B">
            <w:pPr>
              <w:pStyle w:val="Normal-pool"/>
              <w:keepNext/>
              <w:keepLines/>
              <w:spacing w:before="40" w:after="40"/>
              <w:jc w:val="right"/>
              <w:rPr>
                <w:sz w:val="18"/>
                <w:szCs w:val="18"/>
                <w:lang w:val="en-GB"/>
              </w:rPr>
            </w:pPr>
          </w:p>
        </w:tc>
        <w:tc>
          <w:tcPr>
            <w:tcW w:w="4231" w:type="dxa"/>
            <w:tcBorders>
              <w:top w:val="single" w:sz="12" w:space="0" w:color="auto"/>
              <w:left w:val="nil"/>
              <w:bottom w:val="nil"/>
              <w:right w:val="nil"/>
            </w:tcBorders>
            <w:shd w:val="clear" w:color="auto" w:fill="000000" w:themeFill="text1"/>
            <w:hideMark/>
          </w:tcPr>
          <w:p w14:paraId="67BE01E2" w14:textId="77777777" w:rsidR="0070496D" w:rsidRPr="00EB5EDA" w:rsidRDefault="0070496D" w:rsidP="00E3066B">
            <w:pPr>
              <w:pStyle w:val="Normal-pool"/>
              <w:keepNext/>
              <w:keepLines/>
              <w:spacing w:before="40" w:after="40"/>
              <w:rPr>
                <w:sz w:val="18"/>
                <w:szCs w:val="18"/>
                <w:lang w:val="en-GB"/>
              </w:rPr>
            </w:pPr>
            <w:r w:rsidRPr="00EB5EDA">
              <w:rPr>
                <w:sz w:val="18"/>
                <w:szCs w:val="18"/>
                <w:lang w:val="en-GB"/>
              </w:rPr>
              <w:t>Other medicaments consisting of mixed or unmixed products for therapeutic or prophylactic uses, for retail sale</w:t>
            </w:r>
          </w:p>
        </w:tc>
      </w:tr>
      <w:tr w:rsidR="0070496D" w:rsidRPr="00EB5EDA" w14:paraId="64D898B8" w14:textId="77777777" w:rsidTr="009E5CEE">
        <w:trPr>
          <w:cantSplit/>
          <w:trHeight w:val="57"/>
          <w:jc w:val="right"/>
        </w:trPr>
        <w:tc>
          <w:tcPr>
            <w:tcW w:w="1701" w:type="dxa"/>
            <w:tcBorders>
              <w:top w:val="nil"/>
              <w:left w:val="nil"/>
              <w:bottom w:val="nil"/>
              <w:right w:val="nil"/>
            </w:tcBorders>
            <w:shd w:val="clear" w:color="auto" w:fill="auto"/>
            <w:noWrap/>
            <w:hideMark/>
          </w:tcPr>
          <w:p w14:paraId="6783AD96" w14:textId="77777777" w:rsidR="0070496D" w:rsidRPr="00EB5EDA" w:rsidRDefault="0070496D" w:rsidP="00E3066B">
            <w:pPr>
              <w:pStyle w:val="Normal-pool"/>
              <w:keepNext/>
              <w:keepLines/>
              <w:spacing w:before="40" w:after="40"/>
              <w:jc w:val="right"/>
              <w:rPr>
                <w:sz w:val="18"/>
                <w:szCs w:val="18"/>
                <w:lang w:val="en-GB"/>
              </w:rPr>
            </w:pPr>
            <w:r w:rsidRPr="00EB5EDA">
              <w:rPr>
                <w:sz w:val="18"/>
                <w:szCs w:val="18"/>
                <w:lang w:val="en-GB"/>
              </w:rPr>
              <w:t>3004.90.1000</w:t>
            </w:r>
          </w:p>
        </w:tc>
        <w:tc>
          <w:tcPr>
            <w:tcW w:w="2268" w:type="dxa"/>
            <w:tcBorders>
              <w:top w:val="nil"/>
              <w:left w:val="nil"/>
              <w:bottom w:val="nil"/>
              <w:right w:val="nil"/>
            </w:tcBorders>
            <w:shd w:val="clear" w:color="auto" w:fill="auto"/>
            <w:noWrap/>
            <w:hideMark/>
          </w:tcPr>
          <w:p w14:paraId="41A7495B" w14:textId="77777777" w:rsidR="0070496D" w:rsidRPr="00EB5EDA" w:rsidRDefault="0070496D" w:rsidP="00E3066B">
            <w:pPr>
              <w:pStyle w:val="Normal-pool"/>
              <w:keepNext/>
              <w:keepLines/>
              <w:spacing w:before="40" w:after="40"/>
              <w:jc w:val="right"/>
              <w:rPr>
                <w:sz w:val="18"/>
                <w:szCs w:val="18"/>
                <w:lang w:val="en-GB"/>
              </w:rPr>
            </w:pPr>
          </w:p>
        </w:tc>
        <w:tc>
          <w:tcPr>
            <w:tcW w:w="4231" w:type="dxa"/>
            <w:tcBorders>
              <w:top w:val="nil"/>
              <w:left w:val="nil"/>
              <w:bottom w:val="nil"/>
              <w:right w:val="nil"/>
            </w:tcBorders>
            <w:shd w:val="clear" w:color="auto" w:fill="auto"/>
            <w:hideMark/>
          </w:tcPr>
          <w:p w14:paraId="49B5F72F" w14:textId="77777777" w:rsidR="0070496D" w:rsidRPr="00EB5EDA" w:rsidRDefault="0070496D" w:rsidP="00E3066B">
            <w:pPr>
              <w:pStyle w:val="Normal-pool"/>
              <w:keepNext/>
              <w:keepLines/>
              <w:spacing w:before="40" w:after="40"/>
              <w:rPr>
                <w:sz w:val="18"/>
                <w:szCs w:val="18"/>
                <w:lang w:val="en-GB"/>
              </w:rPr>
            </w:pPr>
            <w:r w:rsidRPr="00EB5EDA">
              <w:rPr>
                <w:sz w:val="18"/>
                <w:szCs w:val="18"/>
                <w:lang w:val="en-GB"/>
              </w:rPr>
              <w:t>Containing antigens or hyaluronic acid or its sodium salt</w:t>
            </w:r>
          </w:p>
        </w:tc>
      </w:tr>
      <w:tr w:rsidR="0070496D" w:rsidRPr="00EB5EDA" w14:paraId="03753F51" w14:textId="77777777" w:rsidTr="009E5CEE">
        <w:trPr>
          <w:cantSplit/>
          <w:trHeight w:val="57"/>
          <w:jc w:val="right"/>
        </w:trPr>
        <w:tc>
          <w:tcPr>
            <w:tcW w:w="1701" w:type="dxa"/>
            <w:tcBorders>
              <w:top w:val="nil"/>
              <w:left w:val="nil"/>
              <w:bottom w:val="nil"/>
              <w:right w:val="nil"/>
            </w:tcBorders>
            <w:shd w:val="clear" w:color="auto" w:fill="auto"/>
            <w:noWrap/>
            <w:hideMark/>
          </w:tcPr>
          <w:p w14:paraId="6467B218" w14:textId="77777777" w:rsidR="0070496D" w:rsidRPr="00EB5EDA" w:rsidRDefault="0070496D" w:rsidP="002A72A8">
            <w:pPr>
              <w:pStyle w:val="Normal-pool"/>
              <w:spacing w:before="40" w:after="40"/>
              <w:jc w:val="right"/>
              <w:rPr>
                <w:sz w:val="18"/>
                <w:szCs w:val="18"/>
                <w:lang w:val="en-GB"/>
              </w:rPr>
            </w:pPr>
          </w:p>
        </w:tc>
        <w:tc>
          <w:tcPr>
            <w:tcW w:w="2268" w:type="dxa"/>
            <w:tcBorders>
              <w:top w:val="nil"/>
              <w:left w:val="nil"/>
              <w:bottom w:val="nil"/>
              <w:right w:val="nil"/>
            </w:tcBorders>
            <w:shd w:val="clear" w:color="auto" w:fill="E7E6E6" w:themeFill="background2"/>
            <w:noWrap/>
            <w:hideMark/>
          </w:tcPr>
          <w:p w14:paraId="79282818" w14:textId="77777777" w:rsidR="0070496D" w:rsidRPr="00EB5EDA" w:rsidRDefault="0070496D" w:rsidP="002A72A8">
            <w:pPr>
              <w:pStyle w:val="Normal-pool"/>
              <w:spacing w:before="40" w:after="40"/>
              <w:jc w:val="right"/>
              <w:rPr>
                <w:sz w:val="18"/>
                <w:szCs w:val="18"/>
                <w:lang w:val="en-GB"/>
              </w:rPr>
            </w:pPr>
            <w:r w:rsidRPr="00EB5EDA">
              <w:rPr>
                <w:sz w:val="18"/>
                <w:szCs w:val="18"/>
                <w:lang w:val="en-GB"/>
              </w:rPr>
              <w:t>3004.90.2000</w:t>
            </w:r>
          </w:p>
        </w:tc>
        <w:tc>
          <w:tcPr>
            <w:tcW w:w="4231" w:type="dxa"/>
            <w:tcBorders>
              <w:top w:val="nil"/>
              <w:left w:val="nil"/>
              <w:bottom w:val="nil"/>
              <w:right w:val="nil"/>
            </w:tcBorders>
            <w:shd w:val="clear" w:color="auto" w:fill="E7E6E6" w:themeFill="background2"/>
            <w:noWrap/>
            <w:hideMark/>
          </w:tcPr>
          <w:p w14:paraId="149717B5" w14:textId="77777777" w:rsidR="0070496D" w:rsidRPr="00EB5EDA" w:rsidRDefault="0070496D" w:rsidP="009E5CEE">
            <w:pPr>
              <w:pStyle w:val="Normal-pool"/>
              <w:spacing w:before="40" w:after="40"/>
              <w:rPr>
                <w:sz w:val="18"/>
                <w:szCs w:val="18"/>
                <w:lang w:val="en-GB"/>
              </w:rPr>
            </w:pPr>
            <w:r w:rsidRPr="00EB5EDA">
              <w:rPr>
                <w:sz w:val="18"/>
                <w:szCs w:val="18"/>
                <w:lang w:val="en-GB"/>
              </w:rPr>
              <w:t>[Topical antiseptics] containing mercury compounds</w:t>
            </w:r>
          </w:p>
        </w:tc>
      </w:tr>
      <w:tr w:rsidR="0070496D" w:rsidRPr="00EB5EDA" w14:paraId="6CB899FF" w14:textId="77777777" w:rsidTr="009E5CEE">
        <w:trPr>
          <w:cantSplit/>
          <w:trHeight w:val="57"/>
          <w:jc w:val="right"/>
        </w:trPr>
        <w:tc>
          <w:tcPr>
            <w:tcW w:w="1701" w:type="dxa"/>
            <w:tcBorders>
              <w:top w:val="nil"/>
              <w:left w:val="nil"/>
              <w:bottom w:val="nil"/>
              <w:right w:val="nil"/>
            </w:tcBorders>
            <w:shd w:val="clear" w:color="auto" w:fill="000000" w:themeFill="text1"/>
            <w:noWrap/>
            <w:hideMark/>
          </w:tcPr>
          <w:p w14:paraId="440AC19F" w14:textId="77777777" w:rsidR="0070496D" w:rsidRPr="00EB5EDA" w:rsidRDefault="0070496D" w:rsidP="002A72A8">
            <w:pPr>
              <w:pStyle w:val="Normal-pool"/>
              <w:spacing w:before="40" w:after="40"/>
              <w:jc w:val="right"/>
              <w:rPr>
                <w:sz w:val="18"/>
                <w:szCs w:val="18"/>
                <w:lang w:val="en-GB"/>
              </w:rPr>
            </w:pPr>
          </w:p>
        </w:tc>
        <w:tc>
          <w:tcPr>
            <w:tcW w:w="2268" w:type="dxa"/>
            <w:tcBorders>
              <w:top w:val="nil"/>
              <w:left w:val="nil"/>
              <w:bottom w:val="nil"/>
              <w:right w:val="nil"/>
            </w:tcBorders>
            <w:shd w:val="clear" w:color="auto" w:fill="000000" w:themeFill="text1"/>
            <w:noWrap/>
            <w:hideMark/>
          </w:tcPr>
          <w:p w14:paraId="6BB2B744" w14:textId="77777777" w:rsidR="0070496D" w:rsidRPr="00EB5EDA" w:rsidRDefault="0070496D" w:rsidP="002A72A8">
            <w:pPr>
              <w:pStyle w:val="Normal-pool"/>
              <w:spacing w:before="40" w:after="40"/>
              <w:jc w:val="right"/>
              <w:rPr>
                <w:sz w:val="18"/>
                <w:szCs w:val="18"/>
                <w:lang w:val="en-GB"/>
              </w:rPr>
            </w:pPr>
          </w:p>
        </w:tc>
        <w:tc>
          <w:tcPr>
            <w:tcW w:w="4231" w:type="dxa"/>
            <w:tcBorders>
              <w:top w:val="nil"/>
              <w:left w:val="nil"/>
              <w:bottom w:val="nil"/>
              <w:right w:val="nil"/>
            </w:tcBorders>
            <w:shd w:val="clear" w:color="auto" w:fill="000000" w:themeFill="text1"/>
            <w:hideMark/>
          </w:tcPr>
          <w:p w14:paraId="422DA8FC" w14:textId="77777777" w:rsidR="0070496D" w:rsidRPr="00EB5EDA" w:rsidRDefault="0070496D" w:rsidP="009E5CEE">
            <w:pPr>
              <w:pStyle w:val="Normal-pool"/>
              <w:spacing w:before="40" w:after="40"/>
              <w:rPr>
                <w:sz w:val="18"/>
                <w:szCs w:val="18"/>
                <w:lang w:val="en-GB"/>
              </w:rPr>
            </w:pPr>
            <w:r w:rsidRPr="00EB5EDA">
              <w:rPr>
                <w:sz w:val="18"/>
                <w:szCs w:val="18"/>
                <w:lang w:val="en-GB"/>
              </w:rPr>
              <w:t>Insecticides, rodenticides, fungicides, herbicides, anti-sprouting products and plant growth regulators, disinfectants and similar products</w:t>
            </w:r>
          </w:p>
        </w:tc>
      </w:tr>
      <w:tr w:rsidR="0070496D" w:rsidRPr="00EB5EDA" w14:paraId="408B28AE" w14:textId="77777777" w:rsidTr="009E5CEE">
        <w:trPr>
          <w:cantSplit/>
          <w:trHeight w:val="57"/>
          <w:jc w:val="right"/>
        </w:trPr>
        <w:tc>
          <w:tcPr>
            <w:tcW w:w="1701" w:type="dxa"/>
            <w:tcBorders>
              <w:top w:val="nil"/>
              <w:left w:val="nil"/>
              <w:bottom w:val="nil"/>
              <w:right w:val="nil"/>
            </w:tcBorders>
            <w:shd w:val="clear" w:color="auto" w:fill="auto"/>
            <w:noWrap/>
            <w:hideMark/>
          </w:tcPr>
          <w:p w14:paraId="00F8AC4C" w14:textId="77777777" w:rsidR="0070496D" w:rsidRPr="00EB5EDA" w:rsidRDefault="0070496D" w:rsidP="002A72A8">
            <w:pPr>
              <w:pStyle w:val="Normal-pool"/>
              <w:spacing w:before="40" w:after="40"/>
              <w:jc w:val="right"/>
              <w:rPr>
                <w:sz w:val="18"/>
                <w:szCs w:val="18"/>
                <w:lang w:val="en-GB"/>
              </w:rPr>
            </w:pPr>
            <w:r w:rsidRPr="00EB5EDA">
              <w:rPr>
                <w:sz w:val="18"/>
                <w:szCs w:val="18"/>
                <w:lang w:val="en-GB"/>
              </w:rPr>
              <w:t>3808.50.01</w:t>
            </w:r>
          </w:p>
        </w:tc>
        <w:tc>
          <w:tcPr>
            <w:tcW w:w="2268" w:type="dxa"/>
            <w:tcBorders>
              <w:top w:val="nil"/>
              <w:left w:val="nil"/>
              <w:bottom w:val="nil"/>
              <w:right w:val="nil"/>
            </w:tcBorders>
            <w:shd w:val="clear" w:color="auto" w:fill="auto"/>
            <w:noWrap/>
            <w:hideMark/>
          </w:tcPr>
          <w:p w14:paraId="5EF69F5F" w14:textId="77777777" w:rsidR="0070496D" w:rsidRPr="00EB5EDA" w:rsidRDefault="0070496D" w:rsidP="002A72A8">
            <w:pPr>
              <w:pStyle w:val="Normal-pool"/>
              <w:spacing w:before="40" w:after="40"/>
              <w:jc w:val="right"/>
              <w:rPr>
                <w:sz w:val="18"/>
                <w:szCs w:val="18"/>
                <w:lang w:val="en-GB"/>
              </w:rPr>
            </w:pPr>
          </w:p>
        </w:tc>
        <w:tc>
          <w:tcPr>
            <w:tcW w:w="4231" w:type="dxa"/>
            <w:tcBorders>
              <w:top w:val="nil"/>
              <w:left w:val="nil"/>
              <w:bottom w:val="nil"/>
              <w:right w:val="nil"/>
            </w:tcBorders>
            <w:shd w:val="clear" w:color="auto" w:fill="auto"/>
            <w:hideMark/>
          </w:tcPr>
          <w:p w14:paraId="364CEF75" w14:textId="77777777" w:rsidR="0070496D" w:rsidRPr="00EB5EDA" w:rsidRDefault="0070496D" w:rsidP="009E5CEE">
            <w:pPr>
              <w:pStyle w:val="Normal-pool"/>
              <w:spacing w:before="40" w:after="40"/>
              <w:rPr>
                <w:sz w:val="18"/>
                <w:szCs w:val="18"/>
                <w:lang w:val="en-GB"/>
              </w:rPr>
            </w:pPr>
            <w:r w:rsidRPr="00EB5EDA">
              <w:rPr>
                <w:sz w:val="18"/>
                <w:szCs w:val="18"/>
                <w:lang w:val="en-GB"/>
              </w:rPr>
              <w:t>Goods containing a range of substances as specified in Subheading Note 1 to Chapter 38, of which one is mercury compounds</w:t>
            </w:r>
          </w:p>
        </w:tc>
      </w:tr>
      <w:tr w:rsidR="0070496D" w:rsidRPr="00EB5EDA" w14:paraId="0B431630" w14:textId="77777777" w:rsidTr="009E5CEE">
        <w:trPr>
          <w:cantSplit/>
          <w:trHeight w:val="57"/>
          <w:jc w:val="right"/>
        </w:trPr>
        <w:tc>
          <w:tcPr>
            <w:tcW w:w="1701" w:type="dxa"/>
            <w:tcBorders>
              <w:top w:val="nil"/>
              <w:left w:val="nil"/>
              <w:bottom w:val="nil"/>
              <w:right w:val="nil"/>
            </w:tcBorders>
            <w:shd w:val="clear" w:color="auto" w:fill="auto"/>
            <w:noWrap/>
            <w:hideMark/>
          </w:tcPr>
          <w:p w14:paraId="35A4787F" w14:textId="77777777" w:rsidR="0070496D" w:rsidRPr="00EB5EDA" w:rsidRDefault="0070496D" w:rsidP="002A72A8">
            <w:pPr>
              <w:pStyle w:val="Normal-pool"/>
              <w:spacing w:before="40" w:after="40"/>
              <w:jc w:val="right"/>
              <w:rPr>
                <w:sz w:val="18"/>
                <w:szCs w:val="18"/>
                <w:lang w:val="en-GB"/>
              </w:rPr>
            </w:pPr>
            <w:r w:rsidRPr="00EB5EDA">
              <w:rPr>
                <w:sz w:val="18"/>
                <w:szCs w:val="18"/>
                <w:lang w:val="en-GB"/>
              </w:rPr>
              <w:t>3808.50.10</w:t>
            </w:r>
          </w:p>
        </w:tc>
        <w:tc>
          <w:tcPr>
            <w:tcW w:w="2268" w:type="dxa"/>
            <w:tcBorders>
              <w:top w:val="nil"/>
              <w:left w:val="nil"/>
              <w:bottom w:val="nil"/>
              <w:right w:val="nil"/>
            </w:tcBorders>
            <w:shd w:val="clear" w:color="auto" w:fill="auto"/>
            <w:noWrap/>
            <w:hideMark/>
          </w:tcPr>
          <w:p w14:paraId="01AF7F73" w14:textId="77777777" w:rsidR="0070496D" w:rsidRPr="00EB5EDA" w:rsidRDefault="0070496D" w:rsidP="002A72A8">
            <w:pPr>
              <w:pStyle w:val="Normal-pool"/>
              <w:spacing w:before="40" w:after="40"/>
              <w:jc w:val="right"/>
              <w:rPr>
                <w:sz w:val="18"/>
                <w:szCs w:val="18"/>
                <w:lang w:val="en-GB"/>
              </w:rPr>
            </w:pPr>
          </w:p>
        </w:tc>
        <w:tc>
          <w:tcPr>
            <w:tcW w:w="4231" w:type="dxa"/>
            <w:tcBorders>
              <w:top w:val="nil"/>
              <w:left w:val="nil"/>
              <w:bottom w:val="nil"/>
              <w:right w:val="nil"/>
            </w:tcBorders>
            <w:shd w:val="clear" w:color="auto" w:fill="auto"/>
            <w:hideMark/>
          </w:tcPr>
          <w:p w14:paraId="44B9140D" w14:textId="77777777" w:rsidR="0070496D" w:rsidRPr="00EB5EDA" w:rsidRDefault="0070496D" w:rsidP="009E5CEE">
            <w:pPr>
              <w:pStyle w:val="Normal-pool"/>
              <w:spacing w:before="40" w:after="40"/>
              <w:rPr>
                <w:sz w:val="18"/>
                <w:szCs w:val="18"/>
                <w:lang w:val="en-GB"/>
              </w:rPr>
            </w:pPr>
            <w:r w:rsidRPr="00EB5EDA">
              <w:rPr>
                <w:sz w:val="18"/>
                <w:szCs w:val="18"/>
                <w:lang w:val="en-GB"/>
              </w:rPr>
              <w:t>Specified goods containing any aromatic or modified aromatic pesticide</w:t>
            </w:r>
          </w:p>
        </w:tc>
      </w:tr>
      <w:tr w:rsidR="0070496D" w:rsidRPr="00EB5EDA" w14:paraId="0D620B30" w14:textId="77777777" w:rsidTr="009E5CEE">
        <w:trPr>
          <w:cantSplit/>
          <w:trHeight w:val="57"/>
          <w:jc w:val="right"/>
        </w:trPr>
        <w:tc>
          <w:tcPr>
            <w:tcW w:w="1701" w:type="dxa"/>
            <w:tcBorders>
              <w:top w:val="nil"/>
              <w:left w:val="nil"/>
              <w:bottom w:val="nil"/>
              <w:right w:val="nil"/>
            </w:tcBorders>
            <w:shd w:val="clear" w:color="auto" w:fill="auto"/>
            <w:noWrap/>
            <w:hideMark/>
          </w:tcPr>
          <w:p w14:paraId="27B6E34A" w14:textId="77777777" w:rsidR="0070496D" w:rsidRPr="00EB5EDA" w:rsidRDefault="0070496D" w:rsidP="002A72A8">
            <w:pPr>
              <w:pStyle w:val="Normal-pool"/>
              <w:spacing w:before="40" w:after="40"/>
              <w:jc w:val="right"/>
              <w:rPr>
                <w:sz w:val="18"/>
                <w:szCs w:val="18"/>
                <w:lang w:val="en-GB"/>
              </w:rPr>
            </w:pPr>
          </w:p>
        </w:tc>
        <w:tc>
          <w:tcPr>
            <w:tcW w:w="2268" w:type="dxa"/>
            <w:tcBorders>
              <w:top w:val="nil"/>
              <w:left w:val="nil"/>
              <w:bottom w:val="nil"/>
              <w:right w:val="nil"/>
            </w:tcBorders>
            <w:shd w:val="clear" w:color="auto" w:fill="E7E6E6" w:themeFill="background2"/>
            <w:noWrap/>
            <w:hideMark/>
          </w:tcPr>
          <w:p w14:paraId="2E3A5C09" w14:textId="77777777" w:rsidR="0070496D" w:rsidRPr="00EB5EDA" w:rsidRDefault="0070496D" w:rsidP="002A72A8">
            <w:pPr>
              <w:pStyle w:val="Normal-pool"/>
              <w:spacing w:before="40" w:after="40"/>
              <w:jc w:val="right"/>
              <w:rPr>
                <w:sz w:val="18"/>
                <w:szCs w:val="18"/>
                <w:lang w:val="en-GB"/>
              </w:rPr>
            </w:pPr>
            <w:r w:rsidRPr="00EB5EDA">
              <w:rPr>
                <w:sz w:val="18"/>
                <w:szCs w:val="18"/>
                <w:lang w:val="en-GB"/>
              </w:rPr>
              <w:t>3808.50.10.10</w:t>
            </w:r>
          </w:p>
        </w:tc>
        <w:tc>
          <w:tcPr>
            <w:tcW w:w="4231" w:type="dxa"/>
            <w:tcBorders>
              <w:top w:val="nil"/>
              <w:left w:val="nil"/>
              <w:bottom w:val="nil"/>
              <w:right w:val="nil"/>
            </w:tcBorders>
            <w:shd w:val="clear" w:color="auto" w:fill="E7E6E6" w:themeFill="background2"/>
            <w:hideMark/>
          </w:tcPr>
          <w:p w14:paraId="0FE98A0F" w14:textId="77777777" w:rsidR="0070496D" w:rsidRPr="00EB5EDA" w:rsidRDefault="0070496D" w:rsidP="009E5CEE">
            <w:pPr>
              <w:pStyle w:val="Normal-pool"/>
              <w:spacing w:before="40" w:after="40"/>
              <w:rPr>
                <w:sz w:val="18"/>
                <w:szCs w:val="18"/>
                <w:lang w:val="en-GB"/>
              </w:rPr>
            </w:pPr>
            <w:r w:rsidRPr="00EB5EDA">
              <w:rPr>
                <w:sz w:val="18"/>
                <w:szCs w:val="18"/>
                <w:lang w:val="en-GB"/>
              </w:rPr>
              <w:t>Containing mercury compounds</w:t>
            </w:r>
          </w:p>
        </w:tc>
      </w:tr>
      <w:tr w:rsidR="0070496D" w:rsidRPr="00EB5EDA" w14:paraId="7245615D" w14:textId="77777777" w:rsidTr="009E5CEE">
        <w:trPr>
          <w:cantSplit/>
          <w:trHeight w:val="57"/>
          <w:jc w:val="right"/>
        </w:trPr>
        <w:tc>
          <w:tcPr>
            <w:tcW w:w="1701" w:type="dxa"/>
            <w:tcBorders>
              <w:top w:val="nil"/>
              <w:left w:val="nil"/>
              <w:bottom w:val="nil"/>
              <w:right w:val="nil"/>
            </w:tcBorders>
            <w:shd w:val="clear" w:color="auto" w:fill="auto"/>
            <w:noWrap/>
            <w:hideMark/>
          </w:tcPr>
          <w:p w14:paraId="0553EA96" w14:textId="77777777" w:rsidR="0070496D" w:rsidRPr="00EB5EDA" w:rsidRDefault="0070496D" w:rsidP="002A72A8">
            <w:pPr>
              <w:pStyle w:val="Normal-pool"/>
              <w:spacing w:before="40" w:after="40"/>
              <w:jc w:val="right"/>
              <w:rPr>
                <w:sz w:val="18"/>
                <w:szCs w:val="18"/>
                <w:lang w:val="en-GB"/>
              </w:rPr>
            </w:pPr>
          </w:p>
        </w:tc>
        <w:tc>
          <w:tcPr>
            <w:tcW w:w="2268" w:type="dxa"/>
            <w:tcBorders>
              <w:top w:val="nil"/>
              <w:left w:val="nil"/>
              <w:bottom w:val="nil"/>
              <w:right w:val="nil"/>
            </w:tcBorders>
            <w:shd w:val="clear" w:color="auto" w:fill="E7E6E6" w:themeFill="background2"/>
            <w:noWrap/>
            <w:hideMark/>
          </w:tcPr>
          <w:p w14:paraId="7F5B2E2B" w14:textId="77777777" w:rsidR="0070496D" w:rsidRPr="00EB5EDA" w:rsidRDefault="0070496D" w:rsidP="002A72A8">
            <w:pPr>
              <w:pStyle w:val="Normal-pool"/>
              <w:spacing w:before="40" w:after="40"/>
              <w:jc w:val="right"/>
              <w:rPr>
                <w:sz w:val="18"/>
                <w:szCs w:val="18"/>
                <w:lang w:val="en-GB"/>
              </w:rPr>
            </w:pPr>
            <w:r w:rsidRPr="00EB5EDA">
              <w:rPr>
                <w:sz w:val="18"/>
                <w:szCs w:val="18"/>
                <w:lang w:val="en-GB"/>
              </w:rPr>
              <w:t>3808.50.10.90</w:t>
            </w:r>
          </w:p>
        </w:tc>
        <w:tc>
          <w:tcPr>
            <w:tcW w:w="4231" w:type="dxa"/>
            <w:tcBorders>
              <w:top w:val="nil"/>
              <w:left w:val="nil"/>
              <w:bottom w:val="nil"/>
              <w:right w:val="nil"/>
            </w:tcBorders>
            <w:shd w:val="clear" w:color="auto" w:fill="E7E6E6" w:themeFill="background2"/>
            <w:hideMark/>
          </w:tcPr>
          <w:p w14:paraId="680711DE" w14:textId="77777777" w:rsidR="0070496D" w:rsidRPr="00EB5EDA" w:rsidRDefault="0070496D" w:rsidP="009E5CEE">
            <w:pPr>
              <w:pStyle w:val="Normal-pool"/>
              <w:spacing w:before="40" w:after="40"/>
              <w:rPr>
                <w:sz w:val="18"/>
                <w:szCs w:val="18"/>
                <w:lang w:val="en-GB"/>
              </w:rPr>
            </w:pPr>
            <w:r w:rsidRPr="00EB5EDA">
              <w:rPr>
                <w:sz w:val="18"/>
                <w:szCs w:val="18"/>
                <w:lang w:val="en-GB"/>
              </w:rPr>
              <w:t>Not containing mercury compounds</w:t>
            </w:r>
          </w:p>
        </w:tc>
      </w:tr>
      <w:tr w:rsidR="0070496D" w:rsidRPr="00EB5EDA" w14:paraId="1E68B647" w14:textId="77777777" w:rsidTr="009E5CEE">
        <w:trPr>
          <w:cantSplit/>
          <w:trHeight w:val="57"/>
          <w:jc w:val="right"/>
        </w:trPr>
        <w:tc>
          <w:tcPr>
            <w:tcW w:w="1701" w:type="dxa"/>
            <w:tcBorders>
              <w:top w:val="nil"/>
              <w:left w:val="nil"/>
              <w:bottom w:val="nil"/>
              <w:right w:val="nil"/>
            </w:tcBorders>
            <w:shd w:val="clear" w:color="auto" w:fill="auto"/>
            <w:noWrap/>
            <w:hideMark/>
          </w:tcPr>
          <w:p w14:paraId="6AB52651" w14:textId="77777777" w:rsidR="0070496D" w:rsidRPr="00EB5EDA" w:rsidRDefault="0070496D" w:rsidP="002A72A8">
            <w:pPr>
              <w:pStyle w:val="Normal-pool"/>
              <w:spacing w:before="40" w:after="40"/>
              <w:jc w:val="right"/>
              <w:rPr>
                <w:sz w:val="18"/>
                <w:szCs w:val="18"/>
                <w:lang w:val="en-GB"/>
              </w:rPr>
            </w:pPr>
            <w:r w:rsidRPr="00EB5EDA">
              <w:rPr>
                <w:sz w:val="18"/>
                <w:szCs w:val="18"/>
                <w:lang w:val="en-GB"/>
              </w:rPr>
              <w:t>3808.50.50</w:t>
            </w:r>
          </w:p>
        </w:tc>
        <w:tc>
          <w:tcPr>
            <w:tcW w:w="2268" w:type="dxa"/>
            <w:tcBorders>
              <w:top w:val="nil"/>
              <w:left w:val="nil"/>
              <w:bottom w:val="nil"/>
              <w:right w:val="nil"/>
            </w:tcBorders>
            <w:shd w:val="clear" w:color="auto" w:fill="auto"/>
            <w:noWrap/>
            <w:hideMark/>
          </w:tcPr>
          <w:p w14:paraId="428BE33E" w14:textId="77777777" w:rsidR="0070496D" w:rsidRPr="00EB5EDA" w:rsidRDefault="0070496D" w:rsidP="002A72A8">
            <w:pPr>
              <w:pStyle w:val="Normal-pool"/>
              <w:spacing w:before="40" w:after="40"/>
              <w:jc w:val="right"/>
              <w:rPr>
                <w:sz w:val="18"/>
                <w:szCs w:val="18"/>
                <w:lang w:val="en-GB"/>
              </w:rPr>
            </w:pPr>
          </w:p>
        </w:tc>
        <w:tc>
          <w:tcPr>
            <w:tcW w:w="4231" w:type="dxa"/>
            <w:tcBorders>
              <w:top w:val="nil"/>
              <w:left w:val="nil"/>
              <w:bottom w:val="nil"/>
              <w:right w:val="nil"/>
            </w:tcBorders>
            <w:shd w:val="clear" w:color="auto" w:fill="auto"/>
            <w:hideMark/>
          </w:tcPr>
          <w:p w14:paraId="0B9997FF" w14:textId="77777777" w:rsidR="0070496D" w:rsidRPr="00EB5EDA" w:rsidRDefault="0070496D" w:rsidP="009E5CEE">
            <w:pPr>
              <w:pStyle w:val="Normal-pool"/>
              <w:spacing w:before="40" w:after="40"/>
              <w:rPr>
                <w:sz w:val="18"/>
                <w:szCs w:val="18"/>
                <w:lang w:val="en-GB"/>
              </w:rPr>
            </w:pPr>
            <w:r w:rsidRPr="00EB5EDA">
              <w:rPr>
                <w:sz w:val="18"/>
                <w:szCs w:val="18"/>
                <w:lang w:val="en-GB"/>
              </w:rPr>
              <w:t>Other pesticides</w:t>
            </w:r>
          </w:p>
        </w:tc>
      </w:tr>
      <w:tr w:rsidR="0070496D" w:rsidRPr="00EB5EDA" w14:paraId="64E5534F" w14:textId="77777777" w:rsidTr="009E5CEE">
        <w:trPr>
          <w:cantSplit/>
          <w:trHeight w:val="57"/>
          <w:jc w:val="right"/>
        </w:trPr>
        <w:tc>
          <w:tcPr>
            <w:tcW w:w="1701" w:type="dxa"/>
            <w:tcBorders>
              <w:top w:val="nil"/>
              <w:left w:val="nil"/>
              <w:bottom w:val="nil"/>
              <w:right w:val="nil"/>
            </w:tcBorders>
            <w:shd w:val="clear" w:color="auto" w:fill="auto"/>
            <w:noWrap/>
            <w:hideMark/>
          </w:tcPr>
          <w:p w14:paraId="322594D1" w14:textId="77777777" w:rsidR="0070496D" w:rsidRPr="00EB5EDA" w:rsidRDefault="0070496D" w:rsidP="002A72A8">
            <w:pPr>
              <w:pStyle w:val="Normal-pool"/>
              <w:spacing w:before="40" w:after="40"/>
              <w:jc w:val="right"/>
              <w:rPr>
                <w:sz w:val="18"/>
                <w:szCs w:val="18"/>
                <w:lang w:val="en-GB"/>
              </w:rPr>
            </w:pPr>
          </w:p>
        </w:tc>
        <w:tc>
          <w:tcPr>
            <w:tcW w:w="2268" w:type="dxa"/>
            <w:tcBorders>
              <w:top w:val="nil"/>
              <w:left w:val="nil"/>
              <w:bottom w:val="nil"/>
              <w:right w:val="nil"/>
            </w:tcBorders>
            <w:shd w:val="clear" w:color="auto" w:fill="E7E6E6" w:themeFill="background2"/>
            <w:noWrap/>
            <w:hideMark/>
          </w:tcPr>
          <w:p w14:paraId="66CAD34A" w14:textId="77777777" w:rsidR="0070496D" w:rsidRPr="00EB5EDA" w:rsidRDefault="0070496D" w:rsidP="002A72A8">
            <w:pPr>
              <w:pStyle w:val="Normal-pool"/>
              <w:spacing w:before="40" w:after="40"/>
              <w:jc w:val="right"/>
              <w:rPr>
                <w:sz w:val="18"/>
                <w:szCs w:val="18"/>
                <w:lang w:val="en-GB"/>
              </w:rPr>
            </w:pPr>
            <w:r w:rsidRPr="00EB5EDA">
              <w:rPr>
                <w:sz w:val="18"/>
                <w:szCs w:val="18"/>
                <w:lang w:val="en-GB"/>
              </w:rPr>
              <w:t>3808.50.50.10</w:t>
            </w:r>
          </w:p>
        </w:tc>
        <w:tc>
          <w:tcPr>
            <w:tcW w:w="4231" w:type="dxa"/>
            <w:tcBorders>
              <w:top w:val="nil"/>
              <w:left w:val="nil"/>
              <w:bottom w:val="nil"/>
              <w:right w:val="nil"/>
            </w:tcBorders>
            <w:shd w:val="clear" w:color="auto" w:fill="E7E6E6" w:themeFill="background2"/>
            <w:hideMark/>
          </w:tcPr>
          <w:p w14:paraId="0E18B506" w14:textId="77777777" w:rsidR="0070496D" w:rsidRPr="00EB5EDA" w:rsidRDefault="0070496D" w:rsidP="009E5CEE">
            <w:pPr>
              <w:pStyle w:val="Normal-pool"/>
              <w:spacing w:before="40" w:after="40"/>
              <w:rPr>
                <w:sz w:val="18"/>
                <w:szCs w:val="18"/>
                <w:lang w:val="en-GB"/>
              </w:rPr>
            </w:pPr>
            <w:r w:rsidRPr="00EB5EDA">
              <w:rPr>
                <w:sz w:val="18"/>
                <w:szCs w:val="18"/>
                <w:lang w:val="en-GB"/>
              </w:rPr>
              <w:t>Containing mercury compounds</w:t>
            </w:r>
          </w:p>
        </w:tc>
      </w:tr>
      <w:tr w:rsidR="0070496D" w:rsidRPr="00EB5EDA" w14:paraId="267A77B2" w14:textId="77777777" w:rsidTr="009E5CEE">
        <w:trPr>
          <w:cantSplit/>
          <w:trHeight w:val="57"/>
          <w:jc w:val="right"/>
        </w:trPr>
        <w:tc>
          <w:tcPr>
            <w:tcW w:w="1701" w:type="dxa"/>
            <w:tcBorders>
              <w:top w:val="nil"/>
              <w:left w:val="nil"/>
              <w:bottom w:val="nil"/>
              <w:right w:val="nil"/>
            </w:tcBorders>
            <w:shd w:val="clear" w:color="auto" w:fill="auto"/>
            <w:noWrap/>
            <w:hideMark/>
          </w:tcPr>
          <w:p w14:paraId="4CB9FD60" w14:textId="77777777" w:rsidR="0070496D" w:rsidRPr="00EB5EDA" w:rsidRDefault="0070496D" w:rsidP="002A72A8">
            <w:pPr>
              <w:pStyle w:val="Normal-pool"/>
              <w:spacing w:before="40" w:after="40"/>
              <w:jc w:val="right"/>
              <w:rPr>
                <w:sz w:val="18"/>
                <w:szCs w:val="18"/>
                <w:lang w:val="en-GB"/>
              </w:rPr>
            </w:pPr>
          </w:p>
        </w:tc>
        <w:tc>
          <w:tcPr>
            <w:tcW w:w="2268" w:type="dxa"/>
            <w:tcBorders>
              <w:top w:val="nil"/>
              <w:left w:val="nil"/>
              <w:bottom w:val="nil"/>
              <w:right w:val="nil"/>
            </w:tcBorders>
            <w:shd w:val="clear" w:color="auto" w:fill="E7E6E6" w:themeFill="background2"/>
            <w:noWrap/>
            <w:hideMark/>
          </w:tcPr>
          <w:p w14:paraId="163A397F" w14:textId="77777777" w:rsidR="0070496D" w:rsidRPr="00EB5EDA" w:rsidRDefault="0070496D" w:rsidP="002A72A8">
            <w:pPr>
              <w:pStyle w:val="Normal-pool"/>
              <w:spacing w:before="40" w:after="40"/>
              <w:jc w:val="right"/>
              <w:rPr>
                <w:sz w:val="18"/>
                <w:szCs w:val="18"/>
                <w:lang w:val="en-GB"/>
              </w:rPr>
            </w:pPr>
            <w:r w:rsidRPr="00EB5EDA">
              <w:rPr>
                <w:sz w:val="18"/>
                <w:szCs w:val="18"/>
                <w:lang w:val="en-GB"/>
              </w:rPr>
              <w:t>3808.50.50.90</w:t>
            </w:r>
          </w:p>
        </w:tc>
        <w:tc>
          <w:tcPr>
            <w:tcW w:w="4231" w:type="dxa"/>
            <w:tcBorders>
              <w:top w:val="nil"/>
              <w:left w:val="nil"/>
              <w:bottom w:val="nil"/>
              <w:right w:val="nil"/>
            </w:tcBorders>
            <w:shd w:val="clear" w:color="auto" w:fill="E7E6E6" w:themeFill="background2"/>
            <w:hideMark/>
          </w:tcPr>
          <w:p w14:paraId="52BC8D02" w14:textId="77777777" w:rsidR="0070496D" w:rsidRPr="00EB5EDA" w:rsidRDefault="0070496D" w:rsidP="009E5CEE">
            <w:pPr>
              <w:pStyle w:val="Normal-pool"/>
              <w:spacing w:before="40" w:after="40"/>
              <w:rPr>
                <w:sz w:val="18"/>
                <w:szCs w:val="18"/>
                <w:lang w:val="en-GB"/>
              </w:rPr>
            </w:pPr>
            <w:r w:rsidRPr="00EB5EDA">
              <w:rPr>
                <w:sz w:val="18"/>
                <w:szCs w:val="18"/>
                <w:lang w:val="en-GB"/>
              </w:rPr>
              <w:t>Not containing mercury compounds</w:t>
            </w:r>
          </w:p>
        </w:tc>
      </w:tr>
      <w:tr w:rsidR="0070496D" w:rsidRPr="00EB5EDA" w14:paraId="6F9E8FE4" w14:textId="77777777" w:rsidTr="009E5CEE">
        <w:trPr>
          <w:cantSplit/>
          <w:trHeight w:val="57"/>
          <w:jc w:val="right"/>
        </w:trPr>
        <w:tc>
          <w:tcPr>
            <w:tcW w:w="1701" w:type="dxa"/>
            <w:tcBorders>
              <w:top w:val="nil"/>
              <w:left w:val="nil"/>
              <w:bottom w:val="nil"/>
              <w:right w:val="nil"/>
            </w:tcBorders>
            <w:shd w:val="clear" w:color="auto" w:fill="auto"/>
            <w:noWrap/>
            <w:hideMark/>
          </w:tcPr>
          <w:p w14:paraId="434EA5B4" w14:textId="77777777" w:rsidR="0070496D" w:rsidRPr="00EB5EDA" w:rsidRDefault="0070496D" w:rsidP="002A72A8">
            <w:pPr>
              <w:pStyle w:val="Normal-pool"/>
              <w:spacing w:before="40" w:after="40"/>
              <w:jc w:val="right"/>
              <w:rPr>
                <w:sz w:val="18"/>
                <w:szCs w:val="18"/>
                <w:lang w:val="en-GB"/>
              </w:rPr>
            </w:pPr>
            <w:r w:rsidRPr="00EB5EDA">
              <w:rPr>
                <w:sz w:val="18"/>
                <w:szCs w:val="18"/>
                <w:lang w:val="en-GB"/>
              </w:rPr>
              <w:t>3808.91.00</w:t>
            </w:r>
          </w:p>
        </w:tc>
        <w:tc>
          <w:tcPr>
            <w:tcW w:w="2268" w:type="dxa"/>
            <w:tcBorders>
              <w:top w:val="nil"/>
              <w:left w:val="nil"/>
              <w:bottom w:val="nil"/>
              <w:right w:val="nil"/>
            </w:tcBorders>
            <w:shd w:val="clear" w:color="auto" w:fill="auto"/>
            <w:noWrap/>
            <w:hideMark/>
          </w:tcPr>
          <w:p w14:paraId="3B37D384" w14:textId="77777777" w:rsidR="0070496D" w:rsidRPr="00EB5EDA" w:rsidRDefault="0070496D" w:rsidP="002A72A8">
            <w:pPr>
              <w:pStyle w:val="Normal-pool"/>
              <w:spacing w:before="40" w:after="40"/>
              <w:jc w:val="right"/>
              <w:rPr>
                <w:sz w:val="18"/>
                <w:szCs w:val="18"/>
                <w:lang w:val="en-GB"/>
              </w:rPr>
            </w:pPr>
          </w:p>
        </w:tc>
        <w:tc>
          <w:tcPr>
            <w:tcW w:w="4231" w:type="dxa"/>
            <w:tcBorders>
              <w:top w:val="nil"/>
              <w:left w:val="nil"/>
              <w:bottom w:val="nil"/>
              <w:right w:val="nil"/>
            </w:tcBorders>
            <w:shd w:val="clear" w:color="auto" w:fill="auto"/>
            <w:hideMark/>
          </w:tcPr>
          <w:p w14:paraId="67BA42B9" w14:textId="77777777" w:rsidR="0070496D" w:rsidRPr="00EB5EDA" w:rsidRDefault="0070496D" w:rsidP="009E5CEE">
            <w:pPr>
              <w:pStyle w:val="Normal-pool"/>
              <w:spacing w:before="40" w:after="40"/>
              <w:rPr>
                <w:sz w:val="18"/>
                <w:szCs w:val="18"/>
                <w:lang w:val="en-GB"/>
              </w:rPr>
            </w:pPr>
            <w:r w:rsidRPr="00EB5EDA">
              <w:rPr>
                <w:sz w:val="18"/>
                <w:szCs w:val="18"/>
                <w:lang w:val="en-GB"/>
              </w:rPr>
              <w:t>Insecticides</w:t>
            </w:r>
          </w:p>
        </w:tc>
      </w:tr>
      <w:tr w:rsidR="0070496D" w:rsidRPr="00EB5EDA" w14:paraId="4EE54184" w14:textId="77777777" w:rsidTr="009E5CEE">
        <w:trPr>
          <w:cantSplit/>
          <w:trHeight w:val="57"/>
          <w:jc w:val="right"/>
        </w:trPr>
        <w:tc>
          <w:tcPr>
            <w:tcW w:w="1701" w:type="dxa"/>
            <w:tcBorders>
              <w:top w:val="nil"/>
              <w:left w:val="nil"/>
              <w:bottom w:val="nil"/>
              <w:right w:val="nil"/>
            </w:tcBorders>
            <w:shd w:val="clear" w:color="auto" w:fill="auto"/>
            <w:noWrap/>
            <w:hideMark/>
          </w:tcPr>
          <w:p w14:paraId="3103121E" w14:textId="77777777" w:rsidR="0070496D" w:rsidRPr="00EB5EDA" w:rsidRDefault="0070496D" w:rsidP="002A72A8">
            <w:pPr>
              <w:pStyle w:val="Normal-pool"/>
              <w:spacing w:before="40" w:after="40"/>
              <w:jc w:val="right"/>
              <w:rPr>
                <w:sz w:val="18"/>
                <w:szCs w:val="18"/>
                <w:lang w:val="en-GB"/>
              </w:rPr>
            </w:pPr>
          </w:p>
        </w:tc>
        <w:tc>
          <w:tcPr>
            <w:tcW w:w="2268" w:type="dxa"/>
            <w:tcBorders>
              <w:top w:val="nil"/>
              <w:left w:val="nil"/>
              <w:bottom w:val="nil"/>
              <w:right w:val="nil"/>
            </w:tcBorders>
            <w:shd w:val="clear" w:color="auto" w:fill="E7E6E6" w:themeFill="background2"/>
            <w:noWrap/>
            <w:hideMark/>
          </w:tcPr>
          <w:p w14:paraId="5DDADF24" w14:textId="77777777" w:rsidR="0070496D" w:rsidRPr="00EB5EDA" w:rsidRDefault="0070496D" w:rsidP="002A72A8">
            <w:pPr>
              <w:pStyle w:val="Normal-pool"/>
              <w:spacing w:before="40" w:after="40"/>
              <w:jc w:val="right"/>
              <w:rPr>
                <w:sz w:val="18"/>
                <w:szCs w:val="18"/>
                <w:lang w:val="en-GB"/>
              </w:rPr>
            </w:pPr>
            <w:r w:rsidRPr="00EB5EDA">
              <w:rPr>
                <w:sz w:val="18"/>
                <w:szCs w:val="18"/>
                <w:lang w:val="en-GB"/>
              </w:rPr>
              <w:t>3808.91.00.10</w:t>
            </w:r>
          </w:p>
        </w:tc>
        <w:tc>
          <w:tcPr>
            <w:tcW w:w="4231" w:type="dxa"/>
            <w:tcBorders>
              <w:top w:val="nil"/>
              <w:left w:val="nil"/>
              <w:bottom w:val="nil"/>
              <w:right w:val="nil"/>
            </w:tcBorders>
            <w:shd w:val="clear" w:color="auto" w:fill="E7E6E6" w:themeFill="background2"/>
            <w:hideMark/>
          </w:tcPr>
          <w:p w14:paraId="30AF448A" w14:textId="77777777" w:rsidR="0070496D" w:rsidRPr="00EB5EDA" w:rsidRDefault="0070496D" w:rsidP="009E5CEE">
            <w:pPr>
              <w:pStyle w:val="Normal-pool"/>
              <w:spacing w:before="40" w:after="40"/>
              <w:rPr>
                <w:sz w:val="18"/>
                <w:szCs w:val="18"/>
                <w:lang w:val="en-GB"/>
              </w:rPr>
            </w:pPr>
            <w:r w:rsidRPr="00EB5EDA">
              <w:rPr>
                <w:sz w:val="18"/>
                <w:szCs w:val="18"/>
                <w:lang w:val="en-GB"/>
              </w:rPr>
              <w:t>Containing mercury compounds</w:t>
            </w:r>
          </w:p>
        </w:tc>
      </w:tr>
      <w:tr w:rsidR="0070496D" w:rsidRPr="00EB5EDA" w14:paraId="02B9B54B" w14:textId="77777777" w:rsidTr="009E5CEE">
        <w:trPr>
          <w:cantSplit/>
          <w:trHeight w:val="57"/>
          <w:jc w:val="right"/>
        </w:trPr>
        <w:tc>
          <w:tcPr>
            <w:tcW w:w="1701" w:type="dxa"/>
            <w:tcBorders>
              <w:top w:val="nil"/>
              <w:left w:val="nil"/>
              <w:bottom w:val="nil"/>
              <w:right w:val="nil"/>
            </w:tcBorders>
            <w:shd w:val="clear" w:color="auto" w:fill="auto"/>
            <w:noWrap/>
            <w:hideMark/>
          </w:tcPr>
          <w:p w14:paraId="4C0F478F" w14:textId="77777777" w:rsidR="0070496D" w:rsidRPr="00EB5EDA" w:rsidRDefault="0070496D" w:rsidP="002A72A8">
            <w:pPr>
              <w:pStyle w:val="Normal-pool"/>
              <w:spacing w:before="40" w:after="40"/>
              <w:jc w:val="right"/>
              <w:rPr>
                <w:sz w:val="18"/>
                <w:szCs w:val="18"/>
                <w:lang w:val="en-GB"/>
              </w:rPr>
            </w:pPr>
          </w:p>
        </w:tc>
        <w:tc>
          <w:tcPr>
            <w:tcW w:w="2268" w:type="dxa"/>
            <w:tcBorders>
              <w:top w:val="nil"/>
              <w:left w:val="nil"/>
              <w:bottom w:val="nil"/>
              <w:right w:val="nil"/>
            </w:tcBorders>
            <w:shd w:val="clear" w:color="auto" w:fill="E7E6E6" w:themeFill="background2"/>
            <w:noWrap/>
            <w:hideMark/>
          </w:tcPr>
          <w:p w14:paraId="0139144A" w14:textId="77777777" w:rsidR="0070496D" w:rsidRPr="00EB5EDA" w:rsidRDefault="0070496D" w:rsidP="002A72A8">
            <w:pPr>
              <w:pStyle w:val="Normal-pool"/>
              <w:spacing w:before="40" w:after="40"/>
              <w:jc w:val="right"/>
              <w:rPr>
                <w:sz w:val="18"/>
                <w:szCs w:val="18"/>
                <w:lang w:val="en-GB"/>
              </w:rPr>
            </w:pPr>
            <w:r w:rsidRPr="00EB5EDA">
              <w:rPr>
                <w:sz w:val="18"/>
                <w:szCs w:val="18"/>
                <w:lang w:val="en-GB"/>
              </w:rPr>
              <w:t>3808.91.00.90</w:t>
            </w:r>
          </w:p>
        </w:tc>
        <w:tc>
          <w:tcPr>
            <w:tcW w:w="4231" w:type="dxa"/>
            <w:tcBorders>
              <w:top w:val="nil"/>
              <w:left w:val="nil"/>
              <w:bottom w:val="nil"/>
              <w:right w:val="nil"/>
            </w:tcBorders>
            <w:shd w:val="clear" w:color="auto" w:fill="E7E6E6" w:themeFill="background2"/>
            <w:hideMark/>
          </w:tcPr>
          <w:p w14:paraId="05CC1E79" w14:textId="77777777" w:rsidR="0070496D" w:rsidRPr="00EB5EDA" w:rsidRDefault="0070496D" w:rsidP="009E5CEE">
            <w:pPr>
              <w:pStyle w:val="Normal-pool"/>
              <w:spacing w:before="40" w:after="40"/>
              <w:rPr>
                <w:sz w:val="18"/>
                <w:szCs w:val="18"/>
                <w:lang w:val="en-GB"/>
              </w:rPr>
            </w:pPr>
            <w:r w:rsidRPr="00EB5EDA">
              <w:rPr>
                <w:sz w:val="18"/>
                <w:szCs w:val="18"/>
                <w:lang w:val="en-GB"/>
              </w:rPr>
              <w:t>Not containing mercury compounds</w:t>
            </w:r>
          </w:p>
        </w:tc>
      </w:tr>
      <w:tr w:rsidR="0070496D" w:rsidRPr="00EB5EDA" w14:paraId="57BAF976" w14:textId="77777777" w:rsidTr="009E5CEE">
        <w:trPr>
          <w:cantSplit/>
          <w:trHeight w:val="57"/>
          <w:jc w:val="right"/>
        </w:trPr>
        <w:tc>
          <w:tcPr>
            <w:tcW w:w="1701" w:type="dxa"/>
            <w:tcBorders>
              <w:top w:val="nil"/>
              <w:left w:val="nil"/>
              <w:bottom w:val="nil"/>
              <w:right w:val="nil"/>
            </w:tcBorders>
            <w:shd w:val="clear" w:color="auto" w:fill="auto"/>
            <w:noWrap/>
            <w:hideMark/>
          </w:tcPr>
          <w:p w14:paraId="296CB919" w14:textId="77777777" w:rsidR="0070496D" w:rsidRPr="00EB5EDA" w:rsidRDefault="0070496D" w:rsidP="002A72A8">
            <w:pPr>
              <w:pStyle w:val="Normal-pool"/>
              <w:spacing w:before="40" w:after="40"/>
              <w:jc w:val="right"/>
              <w:rPr>
                <w:sz w:val="18"/>
                <w:szCs w:val="18"/>
                <w:lang w:val="en-GB"/>
              </w:rPr>
            </w:pPr>
            <w:r w:rsidRPr="00EB5EDA">
              <w:rPr>
                <w:sz w:val="18"/>
                <w:szCs w:val="18"/>
                <w:lang w:val="en-GB"/>
              </w:rPr>
              <w:t>3808.92.00</w:t>
            </w:r>
          </w:p>
        </w:tc>
        <w:tc>
          <w:tcPr>
            <w:tcW w:w="2268" w:type="dxa"/>
            <w:tcBorders>
              <w:top w:val="nil"/>
              <w:left w:val="nil"/>
              <w:bottom w:val="nil"/>
              <w:right w:val="nil"/>
            </w:tcBorders>
            <w:shd w:val="clear" w:color="auto" w:fill="auto"/>
            <w:noWrap/>
            <w:hideMark/>
          </w:tcPr>
          <w:p w14:paraId="4B05CD26" w14:textId="77777777" w:rsidR="0070496D" w:rsidRPr="00EB5EDA" w:rsidRDefault="0070496D" w:rsidP="002A72A8">
            <w:pPr>
              <w:pStyle w:val="Normal-pool"/>
              <w:spacing w:before="40" w:after="40"/>
              <w:jc w:val="right"/>
              <w:rPr>
                <w:sz w:val="18"/>
                <w:szCs w:val="18"/>
                <w:lang w:val="en-GB"/>
              </w:rPr>
            </w:pPr>
          </w:p>
        </w:tc>
        <w:tc>
          <w:tcPr>
            <w:tcW w:w="4231" w:type="dxa"/>
            <w:tcBorders>
              <w:top w:val="nil"/>
              <w:left w:val="nil"/>
              <w:bottom w:val="nil"/>
              <w:right w:val="nil"/>
            </w:tcBorders>
            <w:shd w:val="clear" w:color="auto" w:fill="auto"/>
            <w:hideMark/>
          </w:tcPr>
          <w:p w14:paraId="389C1AC0" w14:textId="77777777" w:rsidR="0070496D" w:rsidRPr="00EB5EDA" w:rsidRDefault="0070496D" w:rsidP="009E5CEE">
            <w:pPr>
              <w:pStyle w:val="Normal-pool"/>
              <w:spacing w:before="40" w:after="40"/>
              <w:rPr>
                <w:sz w:val="18"/>
                <w:szCs w:val="18"/>
                <w:lang w:val="en-GB"/>
              </w:rPr>
            </w:pPr>
            <w:r w:rsidRPr="00EB5EDA">
              <w:rPr>
                <w:sz w:val="18"/>
                <w:szCs w:val="18"/>
                <w:lang w:val="en-GB"/>
              </w:rPr>
              <w:t>Fungicides</w:t>
            </w:r>
          </w:p>
        </w:tc>
      </w:tr>
      <w:tr w:rsidR="0070496D" w:rsidRPr="00EB5EDA" w14:paraId="54328728" w14:textId="77777777" w:rsidTr="009E5CEE">
        <w:trPr>
          <w:cantSplit/>
          <w:trHeight w:val="57"/>
          <w:jc w:val="right"/>
        </w:trPr>
        <w:tc>
          <w:tcPr>
            <w:tcW w:w="1701" w:type="dxa"/>
            <w:tcBorders>
              <w:top w:val="nil"/>
              <w:left w:val="nil"/>
              <w:bottom w:val="nil"/>
              <w:right w:val="nil"/>
            </w:tcBorders>
            <w:shd w:val="clear" w:color="auto" w:fill="auto"/>
            <w:noWrap/>
            <w:hideMark/>
          </w:tcPr>
          <w:p w14:paraId="3B01092C" w14:textId="77777777" w:rsidR="0070496D" w:rsidRPr="00EB5EDA" w:rsidRDefault="0070496D" w:rsidP="002A72A8">
            <w:pPr>
              <w:pStyle w:val="Normal-pool"/>
              <w:spacing w:before="40" w:after="40"/>
              <w:jc w:val="right"/>
              <w:rPr>
                <w:sz w:val="18"/>
                <w:szCs w:val="18"/>
                <w:lang w:val="en-GB"/>
              </w:rPr>
            </w:pPr>
          </w:p>
        </w:tc>
        <w:tc>
          <w:tcPr>
            <w:tcW w:w="2268" w:type="dxa"/>
            <w:tcBorders>
              <w:top w:val="nil"/>
              <w:left w:val="nil"/>
              <w:bottom w:val="nil"/>
              <w:right w:val="nil"/>
            </w:tcBorders>
            <w:shd w:val="clear" w:color="auto" w:fill="E7E6E6" w:themeFill="background2"/>
            <w:noWrap/>
            <w:hideMark/>
          </w:tcPr>
          <w:p w14:paraId="31C9A6A4" w14:textId="77777777" w:rsidR="0070496D" w:rsidRPr="00EB5EDA" w:rsidRDefault="0070496D" w:rsidP="002A72A8">
            <w:pPr>
              <w:pStyle w:val="Normal-pool"/>
              <w:spacing w:before="40" w:after="40"/>
              <w:jc w:val="right"/>
              <w:rPr>
                <w:sz w:val="18"/>
                <w:szCs w:val="18"/>
                <w:lang w:val="en-GB"/>
              </w:rPr>
            </w:pPr>
            <w:r w:rsidRPr="00EB5EDA">
              <w:rPr>
                <w:sz w:val="18"/>
                <w:szCs w:val="18"/>
                <w:lang w:val="en-GB"/>
              </w:rPr>
              <w:t>3808.92.00.10</w:t>
            </w:r>
          </w:p>
        </w:tc>
        <w:tc>
          <w:tcPr>
            <w:tcW w:w="4231" w:type="dxa"/>
            <w:tcBorders>
              <w:top w:val="nil"/>
              <w:left w:val="nil"/>
              <w:bottom w:val="nil"/>
              <w:right w:val="nil"/>
            </w:tcBorders>
            <w:shd w:val="clear" w:color="auto" w:fill="E7E6E6" w:themeFill="background2"/>
            <w:hideMark/>
          </w:tcPr>
          <w:p w14:paraId="200AAA43" w14:textId="77777777" w:rsidR="0070496D" w:rsidRPr="00EB5EDA" w:rsidRDefault="0070496D" w:rsidP="009E5CEE">
            <w:pPr>
              <w:pStyle w:val="Normal-pool"/>
              <w:spacing w:before="40" w:after="40"/>
              <w:rPr>
                <w:sz w:val="18"/>
                <w:szCs w:val="18"/>
                <w:lang w:val="en-GB"/>
              </w:rPr>
            </w:pPr>
            <w:r w:rsidRPr="00EB5EDA">
              <w:rPr>
                <w:sz w:val="18"/>
                <w:szCs w:val="18"/>
                <w:lang w:val="en-GB"/>
              </w:rPr>
              <w:t>Containing mercury compounds</w:t>
            </w:r>
          </w:p>
        </w:tc>
      </w:tr>
      <w:tr w:rsidR="0070496D" w:rsidRPr="00EB5EDA" w14:paraId="332E317D" w14:textId="77777777" w:rsidTr="009E5CEE">
        <w:trPr>
          <w:cantSplit/>
          <w:trHeight w:val="57"/>
          <w:jc w:val="right"/>
        </w:trPr>
        <w:tc>
          <w:tcPr>
            <w:tcW w:w="1701" w:type="dxa"/>
            <w:tcBorders>
              <w:top w:val="nil"/>
              <w:left w:val="nil"/>
              <w:bottom w:val="nil"/>
              <w:right w:val="nil"/>
            </w:tcBorders>
            <w:shd w:val="clear" w:color="auto" w:fill="auto"/>
            <w:noWrap/>
            <w:hideMark/>
          </w:tcPr>
          <w:p w14:paraId="3177F9ED" w14:textId="77777777" w:rsidR="0070496D" w:rsidRPr="00EB5EDA" w:rsidRDefault="0070496D" w:rsidP="002A72A8">
            <w:pPr>
              <w:pStyle w:val="Normal-pool"/>
              <w:spacing w:before="40" w:after="40"/>
              <w:jc w:val="right"/>
              <w:rPr>
                <w:sz w:val="18"/>
                <w:szCs w:val="18"/>
                <w:lang w:val="en-GB"/>
              </w:rPr>
            </w:pPr>
          </w:p>
        </w:tc>
        <w:tc>
          <w:tcPr>
            <w:tcW w:w="2268" w:type="dxa"/>
            <w:tcBorders>
              <w:top w:val="nil"/>
              <w:left w:val="nil"/>
              <w:bottom w:val="nil"/>
              <w:right w:val="nil"/>
            </w:tcBorders>
            <w:shd w:val="clear" w:color="auto" w:fill="E7E6E6" w:themeFill="background2"/>
            <w:noWrap/>
            <w:hideMark/>
          </w:tcPr>
          <w:p w14:paraId="62BBBE41" w14:textId="77777777" w:rsidR="0070496D" w:rsidRPr="00EB5EDA" w:rsidRDefault="0070496D" w:rsidP="002A72A8">
            <w:pPr>
              <w:pStyle w:val="Normal-pool"/>
              <w:spacing w:before="40" w:after="40"/>
              <w:jc w:val="right"/>
              <w:rPr>
                <w:sz w:val="18"/>
                <w:szCs w:val="18"/>
                <w:lang w:val="en-GB"/>
              </w:rPr>
            </w:pPr>
            <w:r w:rsidRPr="00EB5EDA">
              <w:rPr>
                <w:sz w:val="18"/>
                <w:szCs w:val="18"/>
                <w:lang w:val="en-GB"/>
              </w:rPr>
              <w:t>3808.92.00.90</w:t>
            </w:r>
          </w:p>
        </w:tc>
        <w:tc>
          <w:tcPr>
            <w:tcW w:w="4231" w:type="dxa"/>
            <w:tcBorders>
              <w:top w:val="nil"/>
              <w:left w:val="nil"/>
              <w:bottom w:val="nil"/>
              <w:right w:val="nil"/>
            </w:tcBorders>
            <w:shd w:val="clear" w:color="auto" w:fill="E7E6E6" w:themeFill="background2"/>
            <w:hideMark/>
          </w:tcPr>
          <w:p w14:paraId="577EB68D" w14:textId="77777777" w:rsidR="0070496D" w:rsidRPr="00EB5EDA" w:rsidRDefault="0070496D" w:rsidP="009E5CEE">
            <w:pPr>
              <w:pStyle w:val="Normal-pool"/>
              <w:spacing w:before="40" w:after="40"/>
              <w:rPr>
                <w:sz w:val="18"/>
                <w:szCs w:val="18"/>
                <w:lang w:val="en-GB"/>
              </w:rPr>
            </w:pPr>
            <w:r w:rsidRPr="00EB5EDA">
              <w:rPr>
                <w:sz w:val="18"/>
                <w:szCs w:val="18"/>
                <w:lang w:val="en-GB"/>
              </w:rPr>
              <w:t>Not containing mercury compounds</w:t>
            </w:r>
          </w:p>
        </w:tc>
      </w:tr>
      <w:tr w:rsidR="0070496D" w:rsidRPr="00EB5EDA" w14:paraId="0FDE7735" w14:textId="77777777" w:rsidTr="009E5CEE">
        <w:trPr>
          <w:cantSplit/>
          <w:trHeight w:val="57"/>
          <w:jc w:val="right"/>
        </w:trPr>
        <w:tc>
          <w:tcPr>
            <w:tcW w:w="1701" w:type="dxa"/>
            <w:tcBorders>
              <w:top w:val="nil"/>
              <w:left w:val="nil"/>
              <w:bottom w:val="nil"/>
              <w:right w:val="nil"/>
            </w:tcBorders>
            <w:shd w:val="clear" w:color="auto" w:fill="auto"/>
            <w:noWrap/>
            <w:hideMark/>
          </w:tcPr>
          <w:p w14:paraId="0E2D6254" w14:textId="77777777" w:rsidR="0070496D" w:rsidRPr="00EB5EDA" w:rsidRDefault="0070496D" w:rsidP="002A72A8">
            <w:pPr>
              <w:pStyle w:val="Normal-pool"/>
              <w:spacing w:before="40" w:after="40"/>
              <w:jc w:val="right"/>
              <w:rPr>
                <w:sz w:val="18"/>
                <w:szCs w:val="18"/>
                <w:lang w:val="en-GB"/>
              </w:rPr>
            </w:pPr>
            <w:r w:rsidRPr="00EB5EDA">
              <w:rPr>
                <w:sz w:val="18"/>
                <w:szCs w:val="18"/>
                <w:lang w:val="en-GB"/>
              </w:rPr>
              <w:t>3808.93.00</w:t>
            </w:r>
          </w:p>
        </w:tc>
        <w:tc>
          <w:tcPr>
            <w:tcW w:w="2268" w:type="dxa"/>
            <w:tcBorders>
              <w:top w:val="nil"/>
              <w:left w:val="nil"/>
              <w:bottom w:val="nil"/>
              <w:right w:val="nil"/>
            </w:tcBorders>
            <w:shd w:val="clear" w:color="auto" w:fill="auto"/>
            <w:noWrap/>
            <w:hideMark/>
          </w:tcPr>
          <w:p w14:paraId="7E21E2CA" w14:textId="77777777" w:rsidR="0070496D" w:rsidRPr="00EB5EDA" w:rsidRDefault="0070496D" w:rsidP="002A72A8">
            <w:pPr>
              <w:pStyle w:val="Normal-pool"/>
              <w:spacing w:before="40" w:after="40"/>
              <w:jc w:val="right"/>
              <w:rPr>
                <w:sz w:val="18"/>
                <w:szCs w:val="18"/>
                <w:lang w:val="en-GB"/>
              </w:rPr>
            </w:pPr>
          </w:p>
        </w:tc>
        <w:tc>
          <w:tcPr>
            <w:tcW w:w="4231" w:type="dxa"/>
            <w:tcBorders>
              <w:top w:val="nil"/>
              <w:left w:val="nil"/>
              <w:bottom w:val="nil"/>
              <w:right w:val="nil"/>
            </w:tcBorders>
            <w:shd w:val="clear" w:color="auto" w:fill="auto"/>
            <w:hideMark/>
          </w:tcPr>
          <w:p w14:paraId="75065B03" w14:textId="77777777" w:rsidR="0070496D" w:rsidRPr="00EB5EDA" w:rsidRDefault="0070496D" w:rsidP="009E5CEE">
            <w:pPr>
              <w:pStyle w:val="Normal-pool"/>
              <w:spacing w:before="40" w:after="40"/>
              <w:rPr>
                <w:sz w:val="18"/>
                <w:szCs w:val="18"/>
                <w:lang w:val="en-GB"/>
              </w:rPr>
            </w:pPr>
            <w:r w:rsidRPr="00EB5EDA">
              <w:rPr>
                <w:sz w:val="18"/>
                <w:szCs w:val="18"/>
                <w:lang w:val="en-GB"/>
              </w:rPr>
              <w:t>Herbicides, anti-sprouting products and plant-growth regulators</w:t>
            </w:r>
          </w:p>
        </w:tc>
      </w:tr>
      <w:tr w:rsidR="0070496D" w:rsidRPr="00EB5EDA" w14:paraId="4098A898" w14:textId="77777777" w:rsidTr="009E5CEE">
        <w:trPr>
          <w:cantSplit/>
          <w:trHeight w:val="57"/>
          <w:jc w:val="right"/>
        </w:trPr>
        <w:tc>
          <w:tcPr>
            <w:tcW w:w="1701" w:type="dxa"/>
            <w:tcBorders>
              <w:top w:val="nil"/>
              <w:left w:val="nil"/>
              <w:bottom w:val="nil"/>
              <w:right w:val="nil"/>
            </w:tcBorders>
            <w:shd w:val="clear" w:color="auto" w:fill="auto"/>
            <w:noWrap/>
            <w:hideMark/>
          </w:tcPr>
          <w:p w14:paraId="648FDC22" w14:textId="77777777" w:rsidR="0070496D" w:rsidRPr="00EB5EDA" w:rsidRDefault="0070496D" w:rsidP="002A72A8">
            <w:pPr>
              <w:pStyle w:val="Normal-pool"/>
              <w:spacing w:before="40" w:after="40"/>
              <w:jc w:val="right"/>
              <w:rPr>
                <w:sz w:val="18"/>
                <w:szCs w:val="18"/>
                <w:lang w:val="en-GB"/>
              </w:rPr>
            </w:pPr>
          </w:p>
        </w:tc>
        <w:tc>
          <w:tcPr>
            <w:tcW w:w="2268" w:type="dxa"/>
            <w:tcBorders>
              <w:top w:val="nil"/>
              <w:left w:val="nil"/>
              <w:bottom w:val="nil"/>
              <w:right w:val="nil"/>
            </w:tcBorders>
            <w:shd w:val="clear" w:color="auto" w:fill="E7E6E6" w:themeFill="background2"/>
            <w:noWrap/>
            <w:hideMark/>
          </w:tcPr>
          <w:p w14:paraId="7DFCE0CF" w14:textId="77777777" w:rsidR="0070496D" w:rsidRPr="00EB5EDA" w:rsidRDefault="0070496D" w:rsidP="002A72A8">
            <w:pPr>
              <w:pStyle w:val="Normal-pool"/>
              <w:spacing w:before="40" w:after="40"/>
              <w:jc w:val="right"/>
              <w:rPr>
                <w:sz w:val="18"/>
                <w:szCs w:val="18"/>
                <w:lang w:val="en-GB"/>
              </w:rPr>
            </w:pPr>
            <w:r w:rsidRPr="00EB5EDA">
              <w:rPr>
                <w:sz w:val="18"/>
                <w:szCs w:val="18"/>
                <w:lang w:val="en-GB"/>
              </w:rPr>
              <w:t>3808.93.00.10</w:t>
            </w:r>
          </w:p>
        </w:tc>
        <w:tc>
          <w:tcPr>
            <w:tcW w:w="4231" w:type="dxa"/>
            <w:tcBorders>
              <w:top w:val="nil"/>
              <w:left w:val="nil"/>
              <w:bottom w:val="nil"/>
              <w:right w:val="nil"/>
            </w:tcBorders>
            <w:shd w:val="clear" w:color="auto" w:fill="E7E6E6" w:themeFill="background2"/>
            <w:hideMark/>
          </w:tcPr>
          <w:p w14:paraId="69496AF2" w14:textId="77777777" w:rsidR="0070496D" w:rsidRPr="00EB5EDA" w:rsidRDefault="0070496D" w:rsidP="009E5CEE">
            <w:pPr>
              <w:pStyle w:val="Normal-pool"/>
              <w:spacing w:before="40" w:after="40"/>
              <w:rPr>
                <w:sz w:val="18"/>
                <w:szCs w:val="18"/>
                <w:lang w:val="en-GB"/>
              </w:rPr>
            </w:pPr>
            <w:r w:rsidRPr="00EB5EDA">
              <w:rPr>
                <w:sz w:val="18"/>
                <w:szCs w:val="18"/>
                <w:lang w:val="en-GB"/>
              </w:rPr>
              <w:t>Containing mercury compounds</w:t>
            </w:r>
          </w:p>
        </w:tc>
      </w:tr>
      <w:tr w:rsidR="0070496D" w:rsidRPr="00EB5EDA" w14:paraId="43F8A7CE" w14:textId="77777777" w:rsidTr="009E5CEE">
        <w:trPr>
          <w:cantSplit/>
          <w:trHeight w:val="57"/>
          <w:jc w:val="right"/>
        </w:trPr>
        <w:tc>
          <w:tcPr>
            <w:tcW w:w="1701" w:type="dxa"/>
            <w:tcBorders>
              <w:top w:val="nil"/>
              <w:left w:val="nil"/>
              <w:bottom w:val="nil"/>
              <w:right w:val="nil"/>
            </w:tcBorders>
            <w:shd w:val="clear" w:color="auto" w:fill="auto"/>
            <w:noWrap/>
            <w:hideMark/>
          </w:tcPr>
          <w:p w14:paraId="3B88B186" w14:textId="77777777" w:rsidR="0070496D" w:rsidRPr="00EB5EDA" w:rsidRDefault="0070496D" w:rsidP="002A72A8">
            <w:pPr>
              <w:pStyle w:val="Normal-pool"/>
              <w:spacing w:before="40" w:after="40"/>
              <w:jc w:val="right"/>
              <w:rPr>
                <w:sz w:val="18"/>
                <w:szCs w:val="18"/>
                <w:lang w:val="en-GB"/>
              </w:rPr>
            </w:pPr>
          </w:p>
        </w:tc>
        <w:tc>
          <w:tcPr>
            <w:tcW w:w="2268" w:type="dxa"/>
            <w:tcBorders>
              <w:top w:val="nil"/>
              <w:left w:val="nil"/>
              <w:bottom w:val="nil"/>
              <w:right w:val="nil"/>
            </w:tcBorders>
            <w:shd w:val="clear" w:color="auto" w:fill="E7E6E6" w:themeFill="background2"/>
            <w:noWrap/>
            <w:hideMark/>
          </w:tcPr>
          <w:p w14:paraId="060F4783" w14:textId="77777777" w:rsidR="0070496D" w:rsidRPr="00EB5EDA" w:rsidRDefault="0070496D" w:rsidP="002A72A8">
            <w:pPr>
              <w:pStyle w:val="Normal-pool"/>
              <w:spacing w:before="40" w:after="40"/>
              <w:jc w:val="right"/>
              <w:rPr>
                <w:sz w:val="18"/>
                <w:szCs w:val="18"/>
                <w:lang w:val="en-GB"/>
              </w:rPr>
            </w:pPr>
            <w:r w:rsidRPr="00EB5EDA">
              <w:rPr>
                <w:sz w:val="18"/>
                <w:szCs w:val="18"/>
                <w:lang w:val="en-GB"/>
              </w:rPr>
              <w:t>3808.93.00.90</w:t>
            </w:r>
          </w:p>
        </w:tc>
        <w:tc>
          <w:tcPr>
            <w:tcW w:w="4231" w:type="dxa"/>
            <w:tcBorders>
              <w:top w:val="nil"/>
              <w:left w:val="nil"/>
              <w:bottom w:val="nil"/>
              <w:right w:val="nil"/>
            </w:tcBorders>
            <w:shd w:val="clear" w:color="auto" w:fill="E7E6E6" w:themeFill="background2"/>
            <w:hideMark/>
          </w:tcPr>
          <w:p w14:paraId="13371A4D" w14:textId="77777777" w:rsidR="0070496D" w:rsidRPr="00EB5EDA" w:rsidRDefault="0070496D" w:rsidP="009E5CEE">
            <w:pPr>
              <w:pStyle w:val="Normal-pool"/>
              <w:spacing w:before="40" w:after="40"/>
              <w:rPr>
                <w:sz w:val="18"/>
                <w:szCs w:val="18"/>
                <w:lang w:val="en-GB"/>
              </w:rPr>
            </w:pPr>
            <w:r w:rsidRPr="00EB5EDA">
              <w:rPr>
                <w:sz w:val="18"/>
                <w:szCs w:val="18"/>
                <w:lang w:val="en-GB"/>
              </w:rPr>
              <w:t>Not containing mercury compounds</w:t>
            </w:r>
          </w:p>
        </w:tc>
      </w:tr>
      <w:tr w:rsidR="0070496D" w:rsidRPr="00EB5EDA" w14:paraId="78BD00F2" w14:textId="77777777" w:rsidTr="009E5CEE">
        <w:trPr>
          <w:cantSplit/>
          <w:trHeight w:val="57"/>
          <w:jc w:val="right"/>
        </w:trPr>
        <w:tc>
          <w:tcPr>
            <w:tcW w:w="1701" w:type="dxa"/>
            <w:tcBorders>
              <w:top w:val="nil"/>
              <w:left w:val="nil"/>
              <w:bottom w:val="nil"/>
              <w:right w:val="nil"/>
            </w:tcBorders>
            <w:shd w:val="clear" w:color="auto" w:fill="auto"/>
            <w:noWrap/>
            <w:hideMark/>
          </w:tcPr>
          <w:p w14:paraId="354A6DA4" w14:textId="77777777" w:rsidR="0070496D" w:rsidRPr="00EB5EDA" w:rsidRDefault="0070496D" w:rsidP="002A72A8">
            <w:pPr>
              <w:pStyle w:val="Normal-pool"/>
              <w:spacing w:before="40" w:after="40"/>
              <w:jc w:val="right"/>
              <w:rPr>
                <w:sz w:val="18"/>
                <w:szCs w:val="18"/>
                <w:lang w:val="en-GB"/>
              </w:rPr>
            </w:pPr>
            <w:r w:rsidRPr="00EB5EDA">
              <w:rPr>
                <w:sz w:val="18"/>
                <w:szCs w:val="18"/>
                <w:lang w:val="en-GB"/>
              </w:rPr>
              <w:t>3808.99.00</w:t>
            </w:r>
          </w:p>
        </w:tc>
        <w:tc>
          <w:tcPr>
            <w:tcW w:w="2268" w:type="dxa"/>
            <w:tcBorders>
              <w:top w:val="nil"/>
              <w:left w:val="nil"/>
              <w:bottom w:val="nil"/>
              <w:right w:val="nil"/>
            </w:tcBorders>
            <w:shd w:val="clear" w:color="auto" w:fill="auto"/>
            <w:noWrap/>
            <w:hideMark/>
          </w:tcPr>
          <w:p w14:paraId="035D0453" w14:textId="77777777" w:rsidR="0070496D" w:rsidRPr="00EB5EDA" w:rsidRDefault="0070496D" w:rsidP="002A72A8">
            <w:pPr>
              <w:pStyle w:val="Normal-pool"/>
              <w:spacing w:before="40" w:after="40"/>
              <w:jc w:val="right"/>
              <w:rPr>
                <w:sz w:val="18"/>
                <w:szCs w:val="18"/>
                <w:lang w:val="en-GB"/>
              </w:rPr>
            </w:pPr>
          </w:p>
        </w:tc>
        <w:tc>
          <w:tcPr>
            <w:tcW w:w="4231" w:type="dxa"/>
            <w:tcBorders>
              <w:top w:val="nil"/>
              <w:left w:val="nil"/>
              <w:bottom w:val="nil"/>
              <w:right w:val="nil"/>
            </w:tcBorders>
            <w:shd w:val="clear" w:color="auto" w:fill="auto"/>
            <w:hideMark/>
          </w:tcPr>
          <w:p w14:paraId="227B8C2B" w14:textId="77777777" w:rsidR="0070496D" w:rsidRPr="00EB5EDA" w:rsidRDefault="0070496D" w:rsidP="009E5CEE">
            <w:pPr>
              <w:pStyle w:val="Normal-pool"/>
              <w:spacing w:before="40" w:after="40"/>
              <w:rPr>
                <w:sz w:val="18"/>
                <w:szCs w:val="18"/>
                <w:lang w:val="en-GB"/>
              </w:rPr>
            </w:pPr>
            <w:r w:rsidRPr="00EB5EDA">
              <w:rPr>
                <w:sz w:val="18"/>
                <w:szCs w:val="18"/>
                <w:lang w:val="en-GB"/>
              </w:rPr>
              <w:t>Other</w:t>
            </w:r>
          </w:p>
        </w:tc>
      </w:tr>
      <w:tr w:rsidR="0070496D" w:rsidRPr="00EB5EDA" w14:paraId="3871945F" w14:textId="77777777" w:rsidTr="009E5CEE">
        <w:trPr>
          <w:cantSplit/>
          <w:trHeight w:val="57"/>
          <w:jc w:val="right"/>
        </w:trPr>
        <w:tc>
          <w:tcPr>
            <w:tcW w:w="1701" w:type="dxa"/>
            <w:tcBorders>
              <w:top w:val="nil"/>
              <w:left w:val="nil"/>
              <w:bottom w:val="nil"/>
              <w:right w:val="nil"/>
            </w:tcBorders>
            <w:shd w:val="clear" w:color="auto" w:fill="auto"/>
            <w:noWrap/>
            <w:hideMark/>
          </w:tcPr>
          <w:p w14:paraId="05DA2E04" w14:textId="77777777" w:rsidR="0070496D" w:rsidRPr="00EB5EDA" w:rsidRDefault="0070496D" w:rsidP="002A72A8">
            <w:pPr>
              <w:pStyle w:val="Normal-pool"/>
              <w:spacing w:before="40" w:after="40"/>
              <w:jc w:val="right"/>
              <w:rPr>
                <w:sz w:val="18"/>
                <w:szCs w:val="18"/>
                <w:lang w:val="en-GB"/>
              </w:rPr>
            </w:pPr>
          </w:p>
        </w:tc>
        <w:tc>
          <w:tcPr>
            <w:tcW w:w="2268" w:type="dxa"/>
            <w:tcBorders>
              <w:top w:val="nil"/>
              <w:left w:val="nil"/>
              <w:bottom w:val="nil"/>
              <w:right w:val="nil"/>
            </w:tcBorders>
            <w:shd w:val="clear" w:color="auto" w:fill="E7E6E6" w:themeFill="background2"/>
            <w:noWrap/>
            <w:hideMark/>
          </w:tcPr>
          <w:p w14:paraId="1E240AB9" w14:textId="77777777" w:rsidR="0070496D" w:rsidRPr="00EB5EDA" w:rsidRDefault="0070496D" w:rsidP="002A72A8">
            <w:pPr>
              <w:pStyle w:val="Normal-pool"/>
              <w:spacing w:before="40" w:after="40"/>
              <w:jc w:val="right"/>
              <w:rPr>
                <w:sz w:val="18"/>
                <w:szCs w:val="18"/>
                <w:lang w:val="en-GB"/>
              </w:rPr>
            </w:pPr>
            <w:r w:rsidRPr="00EB5EDA">
              <w:rPr>
                <w:sz w:val="18"/>
                <w:szCs w:val="18"/>
                <w:lang w:val="en-GB"/>
              </w:rPr>
              <w:t>3808.99.00.10</w:t>
            </w:r>
          </w:p>
        </w:tc>
        <w:tc>
          <w:tcPr>
            <w:tcW w:w="4231" w:type="dxa"/>
            <w:tcBorders>
              <w:top w:val="nil"/>
              <w:left w:val="nil"/>
              <w:bottom w:val="nil"/>
              <w:right w:val="nil"/>
            </w:tcBorders>
            <w:shd w:val="clear" w:color="auto" w:fill="E7E6E6" w:themeFill="background2"/>
            <w:hideMark/>
          </w:tcPr>
          <w:p w14:paraId="67BC28AE" w14:textId="77777777" w:rsidR="0070496D" w:rsidRPr="00EB5EDA" w:rsidRDefault="0070496D" w:rsidP="009E5CEE">
            <w:pPr>
              <w:pStyle w:val="Normal-pool"/>
              <w:spacing w:before="40" w:after="40"/>
              <w:rPr>
                <w:sz w:val="18"/>
                <w:szCs w:val="18"/>
                <w:lang w:val="en-GB"/>
              </w:rPr>
            </w:pPr>
            <w:r w:rsidRPr="00EB5EDA">
              <w:rPr>
                <w:sz w:val="18"/>
                <w:szCs w:val="18"/>
                <w:lang w:val="en-GB"/>
              </w:rPr>
              <w:t>Containing mercury compounds</w:t>
            </w:r>
          </w:p>
        </w:tc>
      </w:tr>
      <w:tr w:rsidR="0070496D" w:rsidRPr="00EB5EDA" w14:paraId="0DCFA16D" w14:textId="77777777" w:rsidTr="009E5CEE">
        <w:trPr>
          <w:cantSplit/>
          <w:trHeight w:val="57"/>
          <w:jc w:val="right"/>
        </w:trPr>
        <w:tc>
          <w:tcPr>
            <w:tcW w:w="1701" w:type="dxa"/>
            <w:tcBorders>
              <w:top w:val="nil"/>
              <w:left w:val="nil"/>
              <w:bottom w:val="nil"/>
              <w:right w:val="nil"/>
            </w:tcBorders>
            <w:shd w:val="clear" w:color="auto" w:fill="auto"/>
            <w:noWrap/>
            <w:hideMark/>
          </w:tcPr>
          <w:p w14:paraId="7855CF55" w14:textId="77777777" w:rsidR="0070496D" w:rsidRPr="00EB5EDA" w:rsidRDefault="0070496D" w:rsidP="002A72A8">
            <w:pPr>
              <w:pStyle w:val="Normal-pool"/>
              <w:spacing w:before="40" w:after="40"/>
              <w:jc w:val="right"/>
              <w:rPr>
                <w:sz w:val="18"/>
                <w:szCs w:val="18"/>
                <w:lang w:val="en-GB"/>
              </w:rPr>
            </w:pPr>
          </w:p>
        </w:tc>
        <w:tc>
          <w:tcPr>
            <w:tcW w:w="2268" w:type="dxa"/>
            <w:tcBorders>
              <w:top w:val="nil"/>
              <w:left w:val="nil"/>
              <w:bottom w:val="nil"/>
              <w:right w:val="nil"/>
            </w:tcBorders>
            <w:shd w:val="clear" w:color="auto" w:fill="E7E6E6" w:themeFill="background2"/>
            <w:noWrap/>
            <w:hideMark/>
          </w:tcPr>
          <w:p w14:paraId="0EFFF362" w14:textId="77777777" w:rsidR="0070496D" w:rsidRPr="00EB5EDA" w:rsidRDefault="0070496D" w:rsidP="002A72A8">
            <w:pPr>
              <w:pStyle w:val="Normal-pool"/>
              <w:spacing w:before="40" w:after="40"/>
              <w:jc w:val="right"/>
              <w:rPr>
                <w:sz w:val="18"/>
                <w:szCs w:val="18"/>
                <w:lang w:val="en-GB"/>
              </w:rPr>
            </w:pPr>
            <w:r w:rsidRPr="00EB5EDA">
              <w:rPr>
                <w:sz w:val="18"/>
                <w:szCs w:val="18"/>
                <w:lang w:val="en-GB"/>
              </w:rPr>
              <w:t>3808.99.00.90</w:t>
            </w:r>
          </w:p>
        </w:tc>
        <w:tc>
          <w:tcPr>
            <w:tcW w:w="4231" w:type="dxa"/>
            <w:tcBorders>
              <w:top w:val="nil"/>
              <w:left w:val="nil"/>
              <w:bottom w:val="nil"/>
              <w:right w:val="nil"/>
            </w:tcBorders>
            <w:shd w:val="clear" w:color="auto" w:fill="E7E6E6" w:themeFill="background2"/>
            <w:hideMark/>
          </w:tcPr>
          <w:p w14:paraId="0C28A1B0" w14:textId="77777777" w:rsidR="0070496D" w:rsidRPr="00EB5EDA" w:rsidRDefault="0070496D" w:rsidP="009E5CEE">
            <w:pPr>
              <w:pStyle w:val="Normal-pool"/>
              <w:spacing w:before="40" w:after="40"/>
              <w:rPr>
                <w:sz w:val="18"/>
                <w:szCs w:val="18"/>
                <w:lang w:val="en-GB"/>
              </w:rPr>
            </w:pPr>
            <w:r w:rsidRPr="00EB5EDA">
              <w:rPr>
                <w:sz w:val="18"/>
                <w:szCs w:val="18"/>
                <w:lang w:val="en-GB"/>
              </w:rPr>
              <w:t>Not containing mercury compounds</w:t>
            </w:r>
          </w:p>
        </w:tc>
      </w:tr>
      <w:tr w:rsidR="0070496D" w:rsidRPr="00EB5EDA" w14:paraId="7CC2D3FF" w14:textId="77777777" w:rsidTr="009E5CEE">
        <w:trPr>
          <w:cantSplit/>
          <w:trHeight w:val="57"/>
          <w:jc w:val="right"/>
        </w:trPr>
        <w:tc>
          <w:tcPr>
            <w:tcW w:w="1701" w:type="dxa"/>
            <w:tcBorders>
              <w:top w:val="nil"/>
              <w:left w:val="nil"/>
              <w:bottom w:val="nil"/>
              <w:right w:val="nil"/>
            </w:tcBorders>
            <w:shd w:val="clear" w:color="auto" w:fill="000000" w:themeFill="text1"/>
            <w:noWrap/>
            <w:hideMark/>
          </w:tcPr>
          <w:p w14:paraId="717086D2" w14:textId="77777777" w:rsidR="0070496D" w:rsidRPr="00EB5EDA" w:rsidRDefault="0070496D" w:rsidP="002A72A8">
            <w:pPr>
              <w:pStyle w:val="Normal-pool"/>
              <w:spacing w:before="40" w:after="40"/>
              <w:jc w:val="right"/>
              <w:rPr>
                <w:rFonts w:eastAsiaTheme="minorHAnsi"/>
                <w:sz w:val="18"/>
                <w:szCs w:val="18"/>
                <w:lang w:val="en-GB"/>
              </w:rPr>
            </w:pPr>
          </w:p>
        </w:tc>
        <w:tc>
          <w:tcPr>
            <w:tcW w:w="2268" w:type="dxa"/>
            <w:tcBorders>
              <w:top w:val="nil"/>
              <w:left w:val="nil"/>
              <w:bottom w:val="nil"/>
              <w:right w:val="nil"/>
            </w:tcBorders>
            <w:shd w:val="clear" w:color="auto" w:fill="000000" w:themeFill="text1"/>
            <w:noWrap/>
            <w:hideMark/>
          </w:tcPr>
          <w:p w14:paraId="04F11749" w14:textId="19B2580E" w:rsidR="0070496D" w:rsidRPr="00EB5EDA" w:rsidRDefault="0070496D" w:rsidP="002A72A8">
            <w:pPr>
              <w:pStyle w:val="Normal-pool"/>
              <w:spacing w:before="40" w:after="40"/>
              <w:jc w:val="right"/>
              <w:rPr>
                <w:rFonts w:eastAsiaTheme="minorHAnsi"/>
                <w:sz w:val="18"/>
                <w:szCs w:val="18"/>
                <w:lang w:val="en-GB"/>
              </w:rPr>
            </w:pPr>
            <w:r w:rsidRPr="00EB5EDA">
              <w:rPr>
                <w:rFonts w:eastAsiaTheme="minorHAnsi"/>
                <w:sz w:val="18"/>
                <w:szCs w:val="18"/>
                <w:lang w:val="en-GB"/>
              </w:rPr>
              <w:t>[To be considered]</w:t>
            </w:r>
            <w:r w:rsidR="00EC0B32" w:rsidRPr="00EB5EDA">
              <w:rPr>
                <w:rFonts w:eastAsiaTheme="minorHAnsi"/>
                <w:i/>
                <w:iCs/>
                <w:vertAlign w:val="superscript"/>
                <w:lang w:val="en-GB"/>
              </w:rPr>
              <w:t>b</w:t>
            </w:r>
          </w:p>
        </w:tc>
        <w:tc>
          <w:tcPr>
            <w:tcW w:w="4231" w:type="dxa"/>
            <w:tcBorders>
              <w:top w:val="nil"/>
              <w:left w:val="nil"/>
              <w:bottom w:val="nil"/>
              <w:right w:val="nil"/>
            </w:tcBorders>
            <w:shd w:val="clear" w:color="auto" w:fill="000000" w:themeFill="text1"/>
            <w:hideMark/>
          </w:tcPr>
          <w:p w14:paraId="3016FBB3" w14:textId="77777777" w:rsidR="0070496D" w:rsidRPr="00EB5EDA" w:rsidRDefault="0070496D" w:rsidP="009E5CEE">
            <w:pPr>
              <w:pStyle w:val="Normal-pool"/>
              <w:spacing w:before="40" w:after="40"/>
              <w:rPr>
                <w:rFonts w:eastAsiaTheme="minorHAnsi"/>
                <w:sz w:val="18"/>
                <w:szCs w:val="18"/>
                <w:lang w:val="en-GB"/>
              </w:rPr>
            </w:pPr>
            <w:r w:rsidRPr="00EB5EDA">
              <w:rPr>
                <w:sz w:val="18"/>
                <w:szCs w:val="18"/>
                <w:lang w:val="en-GB"/>
              </w:rPr>
              <w:t>Paints and varnishes to which a mercury compound has been added for its biocidal or fungicidal properties</w:t>
            </w:r>
          </w:p>
        </w:tc>
      </w:tr>
      <w:tr w:rsidR="0070496D" w:rsidRPr="00EB5EDA" w14:paraId="52EE3516" w14:textId="77777777" w:rsidTr="009E5CEE">
        <w:trPr>
          <w:cantSplit/>
          <w:trHeight w:val="57"/>
          <w:jc w:val="right"/>
        </w:trPr>
        <w:tc>
          <w:tcPr>
            <w:tcW w:w="1701" w:type="dxa"/>
            <w:tcBorders>
              <w:top w:val="nil"/>
              <w:left w:val="nil"/>
              <w:right w:val="nil"/>
            </w:tcBorders>
            <w:shd w:val="clear" w:color="auto" w:fill="auto"/>
            <w:noWrap/>
            <w:hideMark/>
          </w:tcPr>
          <w:p w14:paraId="594BD2E6" w14:textId="77777777" w:rsidR="0070496D" w:rsidRPr="00EB5EDA" w:rsidRDefault="0070496D" w:rsidP="002A72A8">
            <w:pPr>
              <w:pStyle w:val="Normal-pool"/>
              <w:spacing w:before="40" w:after="40"/>
              <w:jc w:val="right"/>
              <w:rPr>
                <w:sz w:val="18"/>
                <w:szCs w:val="18"/>
                <w:lang w:val="en-GB"/>
              </w:rPr>
            </w:pPr>
            <w:r w:rsidRPr="00EB5EDA">
              <w:rPr>
                <w:sz w:val="18"/>
                <w:szCs w:val="18"/>
                <w:lang w:val="en-GB"/>
              </w:rPr>
              <w:t>3208.00</w:t>
            </w:r>
          </w:p>
        </w:tc>
        <w:tc>
          <w:tcPr>
            <w:tcW w:w="2268" w:type="dxa"/>
            <w:tcBorders>
              <w:top w:val="nil"/>
              <w:left w:val="nil"/>
              <w:right w:val="nil"/>
            </w:tcBorders>
            <w:shd w:val="clear" w:color="auto" w:fill="FFFFFF" w:themeFill="background1"/>
            <w:noWrap/>
            <w:hideMark/>
          </w:tcPr>
          <w:p w14:paraId="4CE6A5BC" w14:textId="77777777" w:rsidR="0070496D" w:rsidRPr="00EB5EDA" w:rsidRDefault="0070496D" w:rsidP="002A72A8">
            <w:pPr>
              <w:pStyle w:val="Normal-pool"/>
              <w:spacing w:before="40" w:after="40"/>
              <w:jc w:val="right"/>
              <w:rPr>
                <w:sz w:val="18"/>
                <w:szCs w:val="18"/>
                <w:lang w:val="en-GB"/>
              </w:rPr>
            </w:pPr>
          </w:p>
        </w:tc>
        <w:tc>
          <w:tcPr>
            <w:tcW w:w="4231" w:type="dxa"/>
            <w:tcBorders>
              <w:top w:val="nil"/>
              <w:left w:val="nil"/>
              <w:right w:val="nil"/>
            </w:tcBorders>
            <w:shd w:val="clear" w:color="auto" w:fill="FFFFFF" w:themeFill="background1"/>
            <w:hideMark/>
          </w:tcPr>
          <w:p w14:paraId="4770F184" w14:textId="69E8D472" w:rsidR="0070496D" w:rsidRPr="00EB5EDA" w:rsidRDefault="0070496D" w:rsidP="009E5CEE">
            <w:pPr>
              <w:pStyle w:val="Normal-pool"/>
              <w:spacing w:before="40" w:after="40"/>
              <w:rPr>
                <w:sz w:val="18"/>
                <w:szCs w:val="18"/>
                <w:lang w:val="en-GB"/>
              </w:rPr>
            </w:pPr>
            <w:r w:rsidRPr="00EB5EDA">
              <w:rPr>
                <w:sz w:val="18"/>
                <w:szCs w:val="18"/>
                <w:lang w:val="en-GB"/>
              </w:rPr>
              <w:t>Paints and varnishes, including enamels and lacquers, based on synthetic polymers, dispersed or dissolved in a non-aqueous medium (excl</w:t>
            </w:r>
            <w:r w:rsidR="00B11FF1" w:rsidRPr="00EB5EDA">
              <w:rPr>
                <w:sz w:val="18"/>
                <w:szCs w:val="18"/>
                <w:lang w:val="en-GB"/>
              </w:rPr>
              <w:t>uding</w:t>
            </w:r>
            <w:r w:rsidRPr="00EB5EDA">
              <w:rPr>
                <w:sz w:val="18"/>
                <w:szCs w:val="18"/>
                <w:lang w:val="en-GB"/>
              </w:rPr>
              <w:t xml:space="preserve"> those based on polyesters and acrylic or vinyl polymers)</w:t>
            </w:r>
          </w:p>
        </w:tc>
      </w:tr>
      <w:tr w:rsidR="0070496D" w:rsidRPr="00EB5EDA" w14:paraId="1D42DA6D" w14:textId="77777777" w:rsidTr="009E5CEE">
        <w:trPr>
          <w:cantSplit/>
          <w:trHeight w:val="57"/>
          <w:jc w:val="right"/>
        </w:trPr>
        <w:tc>
          <w:tcPr>
            <w:tcW w:w="1701" w:type="dxa"/>
            <w:tcBorders>
              <w:top w:val="nil"/>
              <w:left w:val="nil"/>
              <w:bottom w:val="single" w:sz="12" w:space="0" w:color="auto"/>
              <w:right w:val="nil"/>
            </w:tcBorders>
            <w:shd w:val="clear" w:color="auto" w:fill="auto"/>
            <w:noWrap/>
          </w:tcPr>
          <w:p w14:paraId="1777688F" w14:textId="77777777" w:rsidR="0070496D" w:rsidRPr="00EB5EDA" w:rsidRDefault="0070496D" w:rsidP="002A72A8">
            <w:pPr>
              <w:pStyle w:val="Normal-pool"/>
              <w:spacing w:before="40" w:after="40"/>
              <w:jc w:val="right"/>
              <w:rPr>
                <w:sz w:val="18"/>
                <w:szCs w:val="18"/>
                <w:lang w:val="en-GB"/>
              </w:rPr>
            </w:pPr>
            <w:r w:rsidRPr="00EB5EDA">
              <w:rPr>
                <w:sz w:val="18"/>
                <w:szCs w:val="18"/>
                <w:lang w:val="en-GB"/>
              </w:rPr>
              <w:t>3209.00</w:t>
            </w:r>
          </w:p>
        </w:tc>
        <w:tc>
          <w:tcPr>
            <w:tcW w:w="2268" w:type="dxa"/>
            <w:tcBorders>
              <w:top w:val="nil"/>
              <w:left w:val="nil"/>
              <w:bottom w:val="single" w:sz="12" w:space="0" w:color="auto"/>
              <w:right w:val="nil"/>
            </w:tcBorders>
            <w:shd w:val="clear" w:color="auto" w:fill="FFFFFF" w:themeFill="background1"/>
            <w:noWrap/>
          </w:tcPr>
          <w:p w14:paraId="5AF2E813" w14:textId="77777777" w:rsidR="0070496D" w:rsidRPr="00EB5EDA" w:rsidRDefault="0070496D" w:rsidP="002A72A8">
            <w:pPr>
              <w:pStyle w:val="Normal-pool"/>
              <w:spacing w:before="40" w:after="40"/>
              <w:jc w:val="right"/>
              <w:rPr>
                <w:sz w:val="18"/>
                <w:szCs w:val="18"/>
                <w:lang w:val="en-GB"/>
              </w:rPr>
            </w:pPr>
          </w:p>
        </w:tc>
        <w:tc>
          <w:tcPr>
            <w:tcW w:w="4231" w:type="dxa"/>
            <w:tcBorders>
              <w:top w:val="nil"/>
              <w:left w:val="nil"/>
              <w:bottom w:val="single" w:sz="12" w:space="0" w:color="auto"/>
              <w:right w:val="nil"/>
            </w:tcBorders>
            <w:shd w:val="clear" w:color="auto" w:fill="FFFFFF" w:themeFill="background1"/>
          </w:tcPr>
          <w:p w14:paraId="33BE0E99" w14:textId="77777777" w:rsidR="0070496D" w:rsidRPr="00EB5EDA" w:rsidRDefault="0070496D" w:rsidP="009E5CEE">
            <w:pPr>
              <w:pStyle w:val="Normal-pool"/>
              <w:spacing w:before="40" w:after="40"/>
              <w:rPr>
                <w:sz w:val="18"/>
                <w:szCs w:val="18"/>
                <w:lang w:val="en-GB"/>
              </w:rPr>
            </w:pPr>
            <w:r w:rsidRPr="00EB5EDA">
              <w:rPr>
                <w:sz w:val="18"/>
                <w:szCs w:val="18"/>
                <w:lang w:val="en-GB"/>
              </w:rPr>
              <w:t>Paints and varnishes, including enamels and lacquers, based on synthetic polymers or chemically modified natural polymers, dispersed or dissolved in an aqueous medium</w:t>
            </w:r>
          </w:p>
        </w:tc>
      </w:tr>
    </w:tbl>
    <w:p w14:paraId="28C24F15" w14:textId="77777777" w:rsidR="0070496D" w:rsidRPr="00EB5EDA" w:rsidRDefault="0070496D" w:rsidP="003B2AD6">
      <w:pPr>
        <w:pStyle w:val="Titletable"/>
        <w:spacing w:before="240"/>
        <w:rPr>
          <w:lang w:val="en-GB"/>
        </w:rPr>
      </w:pPr>
      <w:r w:rsidRPr="00EB5EDA">
        <w:rPr>
          <w:lang w:val="en-GB"/>
        </w:rPr>
        <w:t>Measuring devices</w:t>
      </w:r>
    </w:p>
    <w:tbl>
      <w:tblPr>
        <w:tblW w:w="8307" w:type="dxa"/>
        <w:jc w:val="right"/>
        <w:tblLook w:val="04A0" w:firstRow="1" w:lastRow="0" w:firstColumn="1" w:lastColumn="0" w:noHBand="0" w:noVBand="1"/>
      </w:tblPr>
      <w:tblGrid>
        <w:gridCol w:w="1460"/>
        <w:gridCol w:w="2226"/>
        <w:gridCol w:w="4621"/>
      </w:tblGrid>
      <w:tr w:rsidR="0070496D" w:rsidRPr="00EB5EDA" w14:paraId="2A4BCDBC" w14:textId="77777777" w:rsidTr="009E5CEE">
        <w:trPr>
          <w:cantSplit/>
          <w:trHeight w:val="57"/>
          <w:tblHeader/>
          <w:jc w:val="right"/>
        </w:trPr>
        <w:tc>
          <w:tcPr>
            <w:tcW w:w="1460" w:type="dxa"/>
            <w:tcBorders>
              <w:top w:val="single" w:sz="4" w:space="0" w:color="auto"/>
              <w:left w:val="nil"/>
              <w:bottom w:val="single" w:sz="12" w:space="0" w:color="auto"/>
              <w:right w:val="nil"/>
            </w:tcBorders>
            <w:shd w:val="clear" w:color="auto" w:fill="auto"/>
            <w:vAlign w:val="bottom"/>
            <w:hideMark/>
          </w:tcPr>
          <w:p w14:paraId="4160970B" w14:textId="242AFE92" w:rsidR="0070496D" w:rsidRPr="00EB5EDA" w:rsidRDefault="0070496D" w:rsidP="009E5CEE">
            <w:pPr>
              <w:pStyle w:val="Normal-pool"/>
              <w:spacing w:before="40" w:after="40"/>
              <w:jc w:val="right"/>
              <w:rPr>
                <w:i/>
                <w:iCs/>
                <w:sz w:val="18"/>
                <w:szCs w:val="18"/>
                <w:lang w:val="en-GB"/>
              </w:rPr>
            </w:pPr>
            <w:r w:rsidRPr="00EB5EDA">
              <w:rPr>
                <w:i/>
                <w:iCs/>
                <w:sz w:val="18"/>
                <w:szCs w:val="18"/>
                <w:lang w:val="en-GB"/>
              </w:rPr>
              <w:t>Existing code</w:t>
            </w:r>
          </w:p>
        </w:tc>
        <w:tc>
          <w:tcPr>
            <w:tcW w:w="2226" w:type="dxa"/>
            <w:tcBorders>
              <w:top w:val="single" w:sz="4" w:space="0" w:color="auto"/>
              <w:left w:val="nil"/>
              <w:bottom w:val="single" w:sz="12" w:space="0" w:color="auto"/>
              <w:right w:val="nil"/>
            </w:tcBorders>
            <w:shd w:val="clear" w:color="auto" w:fill="auto"/>
            <w:vAlign w:val="bottom"/>
            <w:hideMark/>
          </w:tcPr>
          <w:p w14:paraId="318F669A" w14:textId="77777777" w:rsidR="0070496D" w:rsidRPr="00EB5EDA" w:rsidRDefault="0070496D" w:rsidP="009E5CEE">
            <w:pPr>
              <w:pStyle w:val="Normal-pool"/>
              <w:spacing w:before="40" w:after="40"/>
              <w:jc w:val="right"/>
              <w:rPr>
                <w:i/>
                <w:iCs/>
                <w:sz w:val="18"/>
                <w:szCs w:val="18"/>
                <w:lang w:val="en-GB"/>
              </w:rPr>
            </w:pPr>
            <w:r w:rsidRPr="00EB5EDA">
              <w:rPr>
                <w:i/>
                <w:iCs/>
                <w:sz w:val="18"/>
                <w:szCs w:val="18"/>
                <w:lang w:val="en-GB"/>
              </w:rPr>
              <w:t>Proposed statistical codes</w:t>
            </w:r>
          </w:p>
        </w:tc>
        <w:tc>
          <w:tcPr>
            <w:tcW w:w="4621" w:type="dxa"/>
            <w:tcBorders>
              <w:top w:val="single" w:sz="4" w:space="0" w:color="auto"/>
              <w:left w:val="nil"/>
              <w:bottom w:val="single" w:sz="12" w:space="0" w:color="auto"/>
              <w:right w:val="nil"/>
            </w:tcBorders>
            <w:shd w:val="clear" w:color="auto" w:fill="auto"/>
            <w:vAlign w:val="bottom"/>
            <w:hideMark/>
          </w:tcPr>
          <w:p w14:paraId="655FE11C" w14:textId="77777777" w:rsidR="0070496D" w:rsidRPr="00EB5EDA" w:rsidRDefault="0070496D" w:rsidP="009E5CEE">
            <w:pPr>
              <w:pStyle w:val="Normal-pool"/>
              <w:spacing w:before="40" w:after="40"/>
              <w:rPr>
                <w:i/>
                <w:iCs/>
                <w:sz w:val="18"/>
                <w:szCs w:val="18"/>
                <w:lang w:val="en-GB"/>
              </w:rPr>
            </w:pPr>
            <w:r w:rsidRPr="00EB5EDA">
              <w:rPr>
                <w:i/>
                <w:iCs/>
                <w:sz w:val="18"/>
                <w:szCs w:val="18"/>
                <w:lang w:val="en-GB"/>
              </w:rPr>
              <w:t>Description</w:t>
            </w:r>
          </w:p>
        </w:tc>
      </w:tr>
      <w:tr w:rsidR="0070496D" w:rsidRPr="00EB5EDA" w14:paraId="31889F65" w14:textId="77777777" w:rsidTr="009E5CEE">
        <w:trPr>
          <w:cantSplit/>
          <w:trHeight w:val="57"/>
          <w:jc w:val="right"/>
        </w:trPr>
        <w:tc>
          <w:tcPr>
            <w:tcW w:w="1460" w:type="dxa"/>
            <w:tcBorders>
              <w:top w:val="single" w:sz="12" w:space="0" w:color="auto"/>
              <w:left w:val="nil"/>
              <w:bottom w:val="nil"/>
              <w:right w:val="nil"/>
            </w:tcBorders>
            <w:shd w:val="clear" w:color="auto" w:fill="auto"/>
            <w:noWrap/>
            <w:hideMark/>
          </w:tcPr>
          <w:p w14:paraId="3920619D" w14:textId="77777777" w:rsidR="0070496D" w:rsidRPr="00EB5EDA" w:rsidRDefault="0070496D" w:rsidP="009E5CEE">
            <w:pPr>
              <w:pStyle w:val="Normal-pool"/>
              <w:spacing w:before="40" w:after="40"/>
              <w:jc w:val="right"/>
              <w:rPr>
                <w:sz w:val="18"/>
                <w:szCs w:val="18"/>
                <w:lang w:val="en-GB"/>
              </w:rPr>
            </w:pPr>
          </w:p>
        </w:tc>
        <w:tc>
          <w:tcPr>
            <w:tcW w:w="2226" w:type="dxa"/>
            <w:tcBorders>
              <w:top w:val="single" w:sz="12" w:space="0" w:color="auto"/>
              <w:left w:val="nil"/>
              <w:bottom w:val="nil"/>
              <w:right w:val="nil"/>
            </w:tcBorders>
            <w:shd w:val="clear" w:color="auto" w:fill="auto"/>
            <w:noWrap/>
            <w:hideMark/>
          </w:tcPr>
          <w:p w14:paraId="2A4DA658" w14:textId="77777777" w:rsidR="0070496D" w:rsidRPr="00EB5EDA" w:rsidRDefault="0070496D" w:rsidP="009E5CEE">
            <w:pPr>
              <w:pStyle w:val="Normal-pool"/>
              <w:spacing w:before="40" w:after="40"/>
              <w:jc w:val="right"/>
              <w:rPr>
                <w:sz w:val="18"/>
                <w:szCs w:val="18"/>
                <w:lang w:val="en-GB"/>
              </w:rPr>
            </w:pPr>
          </w:p>
        </w:tc>
        <w:tc>
          <w:tcPr>
            <w:tcW w:w="4621" w:type="dxa"/>
            <w:tcBorders>
              <w:top w:val="single" w:sz="12" w:space="0" w:color="auto"/>
              <w:left w:val="nil"/>
              <w:bottom w:val="nil"/>
              <w:right w:val="nil"/>
            </w:tcBorders>
            <w:shd w:val="clear" w:color="auto" w:fill="auto"/>
            <w:hideMark/>
          </w:tcPr>
          <w:p w14:paraId="7FF33D6E" w14:textId="6DDAD7C7" w:rsidR="0070496D" w:rsidRPr="00EB5EDA" w:rsidRDefault="0070496D" w:rsidP="009E5CEE">
            <w:pPr>
              <w:pStyle w:val="Normal-pool"/>
              <w:spacing w:before="40" w:after="40"/>
              <w:rPr>
                <w:sz w:val="18"/>
                <w:szCs w:val="18"/>
                <w:lang w:val="en-GB"/>
              </w:rPr>
            </w:pPr>
            <w:r w:rsidRPr="00EB5EDA">
              <w:rPr>
                <w:sz w:val="18"/>
                <w:szCs w:val="18"/>
                <w:lang w:val="en-GB"/>
              </w:rPr>
              <w:t>Other instruments and appliances</w:t>
            </w:r>
            <w:r w:rsidR="006727BF" w:rsidRPr="00EB5EDA">
              <w:rPr>
                <w:sz w:val="18"/>
                <w:szCs w:val="18"/>
                <w:lang w:val="en-GB"/>
              </w:rPr>
              <w:t>,</w:t>
            </w:r>
            <w:r w:rsidRPr="00EB5EDA">
              <w:rPr>
                <w:sz w:val="18"/>
                <w:szCs w:val="18"/>
                <w:lang w:val="en-GB"/>
              </w:rPr>
              <w:t xml:space="preserve"> including sphygmomanometers</w:t>
            </w:r>
          </w:p>
        </w:tc>
      </w:tr>
      <w:tr w:rsidR="0070496D" w:rsidRPr="00EB5EDA" w14:paraId="3DCEE50E" w14:textId="77777777" w:rsidTr="009E5CEE">
        <w:trPr>
          <w:cantSplit/>
          <w:trHeight w:val="57"/>
          <w:jc w:val="right"/>
        </w:trPr>
        <w:tc>
          <w:tcPr>
            <w:tcW w:w="1460" w:type="dxa"/>
            <w:tcBorders>
              <w:top w:val="nil"/>
              <w:left w:val="nil"/>
              <w:bottom w:val="nil"/>
              <w:right w:val="nil"/>
            </w:tcBorders>
            <w:shd w:val="clear" w:color="auto" w:fill="auto"/>
            <w:noWrap/>
            <w:hideMark/>
          </w:tcPr>
          <w:p w14:paraId="6157B809" w14:textId="77777777" w:rsidR="0070496D" w:rsidRPr="00EB5EDA" w:rsidRDefault="0070496D" w:rsidP="009E5CEE">
            <w:pPr>
              <w:pStyle w:val="Normal-pool"/>
              <w:spacing w:before="40" w:after="40"/>
              <w:jc w:val="right"/>
              <w:rPr>
                <w:sz w:val="18"/>
                <w:szCs w:val="18"/>
                <w:lang w:val="en-GB"/>
              </w:rPr>
            </w:pPr>
            <w:r w:rsidRPr="00EB5EDA">
              <w:rPr>
                <w:sz w:val="18"/>
                <w:szCs w:val="18"/>
                <w:lang w:val="en-GB"/>
              </w:rPr>
              <w:t>9018.90.92</w:t>
            </w:r>
          </w:p>
        </w:tc>
        <w:tc>
          <w:tcPr>
            <w:tcW w:w="2226" w:type="dxa"/>
            <w:tcBorders>
              <w:top w:val="nil"/>
              <w:left w:val="nil"/>
              <w:bottom w:val="nil"/>
              <w:right w:val="nil"/>
            </w:tcBorders>
            <w:shd w:val="clear" w:color="auto" w:fill="auto"/>
            <w:noWrap/>
            <w:hideMark/>
          </w:tcPr>
          <w:p w14:paraId="7D3C2302" w14:textId="77777777" w:rsidR="0070496D" w:rsidRPr="00EB5EDA" w:rsidRDefault="0070496D" w:rsidP="009E5CEE">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0717F998" w14:textId="77777777" w:rsidR="0070496D" w:rsidRPr="00EB5EDA" w:rsidRDefault="0070496D" w:rsidP="009E5CEE">
            <w:pPr>
              <w:pStyle w:val="Normal-pool"/>
              <w:spacing w:before="40" w:after="40"/>
              <w:rPr>
                <w:sz w:val="18"/>
                <w:szCs w:val="18"/>
                <w:lang w:val="en-GB"/>
              </w:rPr>
            </w:pPr>
            <w:r w:rsidRPr="00EB5EDA">
              <w:rPr>
                <w:sz w:val="18"/>
                <w:szCs w:val="18"/>
                <w:lang w:val="en-GB"/>
              </w:rPr>
              <w:t>Devices for measuring blood pressure</w:t>
            </w:r>
          </w:p>
        </w:tc>
      </w:tr>
      <w:tr w:rsidR="0070496D" w:rsidRPr="00EB5EDA" w14:paraId="2ABF269F" w14:textId="77777777" w:rsidTr="00887237">
        <w:trPr>
          <w:cantSplit/>
          <w:trHeight w:val="57"/>
          <w:jc w:val="right"/>
        </w:trPr>
        <w:tc>
          <w:tcPr>
            <w:tcW w:w="1460" w:type="dxa"/>
            <w:tcBorders>
              <w:top w:val="nil"/>
              <w:left w:val="nil"/>
              <w:right w:val="nil"/>
            </w:tcBorders>
            <w:shd w:val="clear" w:color="auto" w:fill="auto"/>
            <w:noWrap/>
            <w:hideMark/>
          </w:tcPr>
          <w:p w14:paraId="453623B3" w14:textId="77777777" w:rsidR="0070496D" w:rsidRPr="00EB5EDA" w:rsidRDefault="0070496D" w:rsidP="009E5CEE">
            <w:pPr>
              <w:pStyle w:val="Normal-pool"/>
              <w:spacing w:before="40" w:after="40"/>
              <w:jc w:val="right"/>
              <w:rPr>
                <w:sz w:val="18"/>
                <w:szCs w:val="18"/>
                <w:lang w:val="en-GB"/>
              </w:rPr>
            </w:pPr>
          </w:p>
        </w:tc>
        <w:tc>
          <w:tcPr>
            <w:tcW w:w="2226" w:type="dxa"/>
            <w:tcBorders>
              <w:top w:val="nil"/>
              <w:left w:val="nil"/>
              <w:right w:val="nil"/>
            </w:tcBorders>
            <w:shd w:val="clear" w:color="auto" w:fill="E7E6E6" w:themeFill="background2"/>
            <w:noWrap/>
            <w:hideMark/>
          </w:tcPr>
          <w:p w14:paraId="49046D28" w14:textId="77777777" w:rsidR="0070496D" w:rsidRPr="00EB5EDA" w:rsidRDefault="0070496D" w:rsidP="009E5CEE">
            <w:pPr>
              <w:pStyle w:val="Normal-pool"/>
              <w:spacing w:before="40" w:after="40"/>
              <w:jc w:val="right"/>
              <w:rPr>
                <w:sz w:val="18"/>
                <w:szCs w:val="18"/>
                <w:lang w:val="en-GB"/>
              </w:rPr>
            </w:pPr>
            <w:r w:rsidRPr="00EB5EDA">
              <w:rPr>
                <w:sz w:val="18"/>
                <w:szCs w:val="18"/>
                <w:lang w:val="en-GB"/>
              </w:rPr>
              <w:t>9018.90.92.10</w:t>
            </w:r>
          </w:p>
        </w:tc>
        <w:tc>
          <w:tcPr>
            <w:tcW w:w="4621" w:type="dxa"/>
            <w:tcBorders>
              <w:top w:val="nil"/>
              <w:left w:val="nil"/>
              <w:right w:val="nil"/>
            </w:tcBorders>
            <w:shd w:val="clear" w:color="auto" w:fill="E7E6E6" w:themeFill="background2"/>
            <w:hideMark/>
          </w:tcPr>
          <w:p w14:paraId="49DC7D49" w14:textId="77777777" w:rsidR="0070496D" w:rsidRPr="00EB5EDA" w:rsidRDefault="0070496D" w:rsidP="009E5CEE">
            <w:pPr>
              <w:pStyle w:val="Normal-pool"/>
              <w:spacing w:before="40" w:after="40"/>
              <w:rPr>
                <w:sz w:val="18"/>
                <w:szCs w:val="18"/>
                <w:lang w:val="en-GB"/>
              </w:rPr>
            </w:pPr>
            <w:r w:rsidRPr="00EB5EDA">
              <w:rPr>
                <w:sz w:val="18"/>
                <w:szCs w:val="18"/>
                <w:lang w:val="en-GB"/>
              </w:rPr>
              <w:t>Sphygmomanometers containing mercury</w:t>
            </w:r>
          </w:p>
        </w:tc>
      </w:tr>
      <w:tr w:rsidR="0070496D" w:rsidRPr="00EB5EDA" w14:paraId="46C85328" w14:textId="77777777" w:rsidTr="00887237">
        <w:trPr>
          <w:cantSplit/>
          <w:trHeight w:val="57"/>
          <w:jc w:val="right"/>
        </w:trPr>
        <w:tc>
          <w:tcPr>
            <w:tcW w:w="1460" w:type="dxa"/>
            <w:tcBorders>
              <w:top w:val="nil"/>
              <w:left w:val="nil"/>
              <w:right w:val="nil"/>
            </w:tcBorders>
            <w:shd w:val="clear" w:color="auto" w:fill="auto"/>
            <w:noWrap/>
            <w:hideMark/>
          </w:tcPr>
          <w:p w14:paraId="02397815" w14:textId="77777777" w:rsidR="0070496D" w:rsidRPr="00EB5EDA" w:rsidRDefault="0070496D" w:rsidP="009E5CEE">
            <w:pPr>
              <w:pStyle w:val="Normal-pool"/>
              <w:spacing w:before="40" w:after="40"/>
              <w:jc w:val="right"/>
              <w:rPr>
                <w:sz w:val="18"/>
                <w:szCs w:val="18"/>
                <w:lang w:val="en-GB"/>
              </w:rPr>
            </w:pPr>
          </w:p>
        </w:tc>
        <w:tc>
          <w:tcPr>
            <w:tcW w:w="2226" w:type="dxa"/>
            <w:tcBorders>
              <w:top w:val="nil"/>
              <w:left w:val="nil"/>
              <w:right w:val="nil"/>
            </w:tcBorders>
            <w:shd w:val="clear" w:color="auto" w:fill="E7E6E6" w:themeFill="background2"/>
            <w:noWrap/>
            <w:hideMark/>
          </w:tcPr>
          <w:p w14:paraId="71C07AB1" w14:textId="77777777" w:rsidR="0070496D" w:rsidRPr="00EB5EDA" w:rsidRDefault="0070496D" w:rsidP="009E5CEE">
            <w:pPr>
              <w:pStyle w:val="Normal-pool"/>
              <w:spacing w:before="40" w:after="40"/>
              <w:jc w:val="right"/>
              <w:rPr>
                <w:sz w:val="18"/>
                <w:szCs w:val="18"/>
                <w:lang w:val="en-GB"/>
              </w:rPr>
            </w:pPr>
            <w:r w:rsidRPr="00EB5EDA">
              <w:rPr>
                <w:sz w:val="18"/>
                <w:szCs w:val="18"/>
                <w:lang w:val="en-GB"/>
              </w:rPr>
              <w:t>9018.90.92.90</w:t>
            </w:r>
          </w:p>
        </w:tc>
        <w:tc>
          <w:tcPr>
            <w:tcW w:w="4621" w:type="dxa"/>
            <w:tcBorders>
              <w:top w:val="nil"/>
              <w:left w:val="nil"/>
              <w:right w:val="nil"/>
            </w:tcBorders>
            <w:shd w:val="clear" w:color="auto" w:fill="E7E6E6" w:themeFill="background2"/>
            <w:hideMark/>
          </w:tcPr>
          <w:p w14:paraId="002FD9EF" w14:textId="77777777" w:rsidR="0070496D" w:rsidRPr="00EB5EDA" w:rsidRDefault="0070496D" w:rsidP="009E5CEE">
            <w:pPr>
              <w:pStyle w:val="Normal-pool"/>
              <w:spacing w:before="40" w:after="40"/>
              <w:rPr>
                <w:sz w:val="18"/>
                <w:szCs w:val="18"/>
                <w:lang w:val="en-GB"/>
              </w:rPr>
            </w:pPr>
            <w:r w:rsidRPr="00EB5EDA">
              <w:rPr>
                <w:sz w:val="18"/>
                <w:szCs w:val="18"/>
                <w:lang w:val="en-GB"/>
              </w:rPr>
              <w:t>Other</w:t>
            </w:r>
          </w:p>
        </w:tc>
      </w:tr>
      <w:tr w:rsidR="0070496D" w:rsidRPr="00EB5EDA" w14:paraId="233DA050" w14:textId="77777777" w:rsidTr="00887237">
        <w:trPr>
          <w:cantSplit/>
          <w:trHeight w:val="57"/>
          <w:jc w:val="right"/>
        </w:trPr>
        <w:tc>
          <w:tcPr>
            <w:tcW w:w="1460" w:type="dxa"/>
            <w:tcBorders>
              <w:left w:val="nil"/>
              <w:bottom w:val="nil"/>
              <w:right w:val="nil"/>
            </w:tcBorders>
            <w:shd w:val="clear" w:color="auto" w:fill="auto"/>
            <w:noWrap/>
            <w:hideMark/>
          </w:tcPr>
          <w:p w14:paraId="0E2AFB41" w14:textId="77777777" w:rsidR="0070496D" w:rsidRPr="00EB5EDA" w:rsidRDefault="0070496D" w:rsidP="009E5CEE">
            <w:pPr>
              <w:pStyle w:val="Normal-pool"/>
              <w:spacing w:before="40" w:after="40"/>
              <w:jc w:val="right"/>
              <w:rPr>
                <w:sz w:val="18"/>
                <w:szCs w:val="18"/>
                <w:lang w:val="en-GB"/>
              </w:rPr>
            </w:pPr>
            <w:r w:rsidRPr="00EB5EDA">
              <w:rPr>
                <w:sz w:val="18"/>
                <w:szCs w:val="18"/>
                <w:lang w:val="en-GB"/>
              </w:rPr>
              <w:t>9025.11.10</w:t>
            </w:r>
          </w:p>
        </w:tc>
        <w:tc>
          <w:tcPr>
            <w:tcW w:w="2226" w:type="dxa"/>
            <w:tcBorders>
              <w:left w:val="nil"/>
              <w:bottom w:val="nil"/>
              <w:right w:val="nil"/>
            </w:tcBorders>
            <w:shd w:val="clear" w:color="auto" w:fill="auto"/>
            <w:noWrap/>
            <w:hideMark/>
          </w:tcPr>
          <w:p w14:paraId="21F5A6AF" w14:textId="77777777" w:rsidR="0070496D" w:rsidRPr="00EB5EDA" w:rsidRDefault="0070496D" w:rsidP="009E5CEE">
            <w:pPr>
              <w:pStyle w:val="Normal-pool"/>
              <w:spacing w:before="40" w:after="40"/>
              <w:jc w:val="right"/>
              <w:rPr>
                <w:sz w:val="18"/>
                <w:szCs w:val="18"/>
                <w:lang w:val="en-GB"/>
              </w:rPr>
            </w:pPr>
          </w:p>
        </w:tc>
        <w:tc>
          <w:tcPr>
            <w:tcW w:w="4621" w:type="dxa"/>
            <w:tcBorders>
              <w:left w:val="nil"/>
              <w:bottom w:val="nil"/>
              <w:right w:val="nil"/>
            </w:tcBorders>
            <w:shd w:val="clear" w:color="auto" w:fill="auto"/>
            <w:hideMark/>
          </w:tcPr>
          <w:p w14:paraId="680858A5" w14:textId="77777777" w:rsidR="0070496D" w:rsidRPr="00EB5EDA" w:rsidRDefault="0070496D" w:rsidP="009E5CEE">
            <w:pPr>
              <w:pStyle w:val="Normal-pool"/>
              <w:spacing w:before="40" w:after="40"/>
              <w:rPr>
                <w:sz w:val="18"/>
                <w:szCs w:val="18"/>
                <w:lang w:val="en-GB"/>
              </w:rPr>
            </w:pPr>
            <w:r w:rsidRPr="00EB5EDA">
              <w:rPr>
                <w:sz w:val="18"/>
                <w:szCs w:val="18"/>
                <w:lang w:val="en-GB"/>
              </w:rPr>
              <w:t>Clinical thermometers, liquid filled, for direct reading</w:t>
            </w:r>
          </w:p>
        </w:tc>
      </w:tr>
      <w:tr w:rsidR="0070496D" w:rsidRPr="00EB5EDA" w14:paraId="5DF76815" w14:textId="77777777" w:rsidTr="009E5CEE">
        <w:trPr>
          <w:cantSplit/>
          <w:trHeight w:val="57"/>
          <w:jc w:val="right"/>
        </w:trPr>
        <w:tc>
          <w:tcPr>
            <w:tcW w:w="1460" w:type="dxa"/>
            <w:tcBorders>
              <w:top w:val="nil"/>
              <w:left w:val="nil"/>
              <w:bottom w:val="nil"/>
              <w:right w:val="nil"/>
            </w:tcBorders>
            <w:shd w:val="clear" w:color="auto" w:fill="auto"/>
            <w:noWrap/>
            <w:hideMark/>
          </w:tcPr>
          <w:p w14:paraId="0E3BE5E5" w14:textId="77777777" w:rsidR="0070496D" w:rsidRPr="00EB5EDA" w:rsidRDefault="0070496D" w:rsidP="009E5CEE">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2AEF4AF3" w14:textId="77777777" w:rsidR="0070496D" w:rsidRPr="00EB5EDA" w:rsidRDefault="0070496D" w:rsidP="009E5CEE">
            <w:pPr>
              <w:pStyle w:val="Normal-pool"/>
              <w:spacing w:before="40" w:after="40"/>
              <w:jc w:val="right"/>
              <w:rPr>
                <w:sz w:val="18"/>
                <w:szCs w:val="18"/>
                <w:lang w:val="en-GB"/>
              </w:rPr>
            </w:pPr>
            <w:r w:rsidRPr="00EB5EDA">
              <w:rPr>
                <w:sz w:val="18"/>
                <w:szCs w:val="18"/>
                <w:lang w:val="en-GB"/>
              </w:rPr>
              <w:t>9025.11.10.10</w:t>
            </w:r>
          </w:p>
        </w:tc>
        <w:tc>
          <w:tcPr>
            <w:tcW w:w="4621" w:type="dxa"/>
            <w:tcBorders>
              <w:top w:val="nil"/>
              <w:left w:val="nil"/>
              <w:bottom w:val="nil"/>
              <w:right w:val="nil"/>
            </w:tcBorders>
            <w:shd w:val="clear" w:color="auto" w:fill="E7E6E6" w:themeFill="background2"/>
            <w:hideMark/>
          </w:tcPr>
          <w:p w14:paraId="391B0E11" w14:textId="77777777" w:rsidR="0070496D" w:rsidRPr="00EB5EDA" w:rsidRDefault="0070496D" w:rsidP="009E5CEE">
            <w:pPr>
              <w:pStyle w:val="Normal-pool"/>
              <w:spacing w:before="40" w:after="40"/>
              <w:rPr>
                <w:sz w:val="18"/>
                <w:szCs w:val="18"/>
                <w:lang w:val="en-GB"/>
              </w:rPr>
            </w:pPr>
            <w:r w:rsidRPr="00EB5EDA">
              <w:rPr>
                <w:sz w:val="18"/>
                <w:szCs w:val="18"/>
                <w:lang w:val="en-GB"/>
              </w:rPr>
              <w:t>Containing mercury</w:t>
            </w:r>
          </w:p>
        </w:tc>
      </w:tr>
      <w:tr w:rsidR="0070496D" w:rsidRPr="00EB5EDA" w14:paraId="69A941AE" w14:textId="77777777" w:rsidTr="009E5CEE">
        <w:trPr>
          <w:cantSplit/>
          <w:trHeight w:val="57"/>
          <w:jc w:val="right"/>
        </w:trPr>
        <w:tc>
          <w:tcPr>
            <w:tcW w:w="1460" w:type="dxa"/>
            <w:tcBorders>
              <w:top w:val="nil"/>
              <w:left w:val="nil"/>
              <w:bottom w:val="nil"/>
              <w:right w:val="nil"/>
            </w:tcBorders>
            <w:shd w:val="clear" w:color="auto" w:fill="auto"/>
            <w:noWrap/>
            <w:hideMark/>
          </w:tcPr>
          <w:p w14:paraId="7760D986" w14:textId="77777777" w:rsidR="0070496D" w:rsidRPr="00EB5EDA" w:rsidRDefault="0070496D" w:rsidP="009E5CEE">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5985D919" w14:textId="77777777" w:rsidR="0070496D" w:rsidRPr="00EB5EDA" w:rsidRDefault="0070496D" w:rsidP="009E5CEE">
            <w:pPr>
              <w:pStyle w:val="Normal-pool"/>
              <w:spacing w:before="40" w:after="40"/>
              <w:jc w:val="right"/>
              <w:rPr>
                <w:sz w:val="18"/>
                <w:szCs w:val="18"/>
                <w:lang w:val="en-GB"/>
              </w:rPr>
            </w:pPr>
            <w:r w:rsidRPr="00EB5EDA">
              <w:rPr>
                <w:sz w:val="18"/>
                <w:szCs w:val="18"/>
                <w:lang w:val="en-GB"/>
              </w:rPr>
              <w:t>9025.11.10.90</w:t>
            </w:r>
          </w:p>
        </w:tc>
        <w:tc>
          <w:tcPr>
            <w:tcW w:w="4621" w:type="dxa"/>
            <w:tcBorders>
              <w:top w:val="nil"/>
              <w:left w:val="nil"/>
              <w:bottom w:val="nil"/>
              <w:right w:val="nil"/>
            </w:tcBorders>
            <w:shd w:val="clear" w:color="auto" w:fill="E7E6E6" w:themeFill="background2"/>
            <w:hideMark/>
          </w:tcPr>
          <w:p w14:paraId="7EE671D0" w14:textId="77777777" w:rsidR="0070496D" w:rsidRPr="00EB5EDA" w:rsidRDefault="0070496D" w:rsidP="009E5CEE">
            <w:pPr>
              <w:pStyle w:val="Normal-pool"/>
              <w:spacing w:before="40" w:after="40"/>
              <w:rPr>
                <w:sz w:val="18"/>
                <w:szCs w:val="18"/>
                <w:lang w:val="en-GB"/>
              </w:rPr>
            </w:pPr>
            <w:r w:rsidRPr="00EB5EDA">
              <w:rPr>
                <w:sz w:val="18"/>
                <w:szCs w:val="18"/>
                <w:lang w:val="en-GB"/>
              </w:rPr>
              <w:t>Other</w:t>
            </w:r>
          </w:p>
        </w:tc>
      </w:tr>
      <w:tr w:rsidR="0070496D" w:rsidRPr="00EB5EDA" w14:paraId="6F2F4007" w14:textId="77777777" w:rsidTr="009E5CEE">
        <w:trPr>
          <w:cantSplit/>
          <w:trHeight w:val="57"/>
          <w:jc w:val="right"/>
        </w:trPr>
        <w:tc>
          <w:tcPr>
            <w:tcW w:w="1460" w:type="dxa"/>
            <w:tcBorders>
              <w:top w:val="nil"/>
              <w:left w:val="nil"/>
              <w:bottom w:val="nil"/>
              <w:right w:val="nil"/>
            </w:tcBorders>
            <w:shd w:val="clear" w:color="auto" w:fill="auto"/>
            <w:noWrap/>
            <w:hideMark/>
          </w:tcPr>
          <w:p w14:paraId="1D4999A3" w14:textId="77777777" w:rsidR="0070496D" w:rsidRPr="00EB5EDA" w:rsidRDefault="0070496D" w:rsidP="009E5CEE">
            <w:pPr>
              <w:pStyle w:val="Normal-pool"/>
              <w:spacing w:before="40" w:after="40"/>
              <w:jc w:val="right"/>
              <w:rPr>
                <w:sz w:val="18"/>
                <w:szCs w:val="18"/>
                <w:lang w:val="en-GB"/>
              </w:rPr>
            </w:pPr>
            <w:r w:rsidRPr="00EB5EDA">
              <w:rPr>
                <w:sz w:val="18"/>
                <w:szCs w:val="18"/>
                <w:lang w:val="en-GB"/>
              </w:rPr>
              <w:lastRenderedPageBreak/>
              <w:t>9025.11.40</w:t>
            </w:r>
          </w:p>
        </w:tc>
        <w:tc>
          <w:tcPr>
            <w:tcW w:w="2226" w:type="dxa"/>
            <w:tcBorders>
              <w:top w:val="nil"/>
              <w:left w:val="nil"/>
              <w:bottom w:val="nil"/>
              <w:right w:val="nil"/>
            </w:tcBorders>
            <w:shd w:val="clear" w:color="auto" w:fill="auto"/>
            <w:noWrap/>
            <w:hideMark/>
          </w:tcPr>
          <w:p w14:paraId="2B97CB7F" w14:textId="77777777" w:rsidR="0070496D" w:rsidRPr="00EB5EDA" w:rsidRDefault="0070496D" w:rsidP="009E5CEE">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79669356" w14:textId="77777777" w:rsidR="0070496D" w:rsidRPr="00EB5EDA" w:rsidRDefault="0070496D" w:rsidP="009E5CEE">
            <w:pPr>
              <w:pStyle w:val="Normal-pool"/>
              <w:spacing w:before="40" w:after="40"/>
              <w:rPr>
                <w:sz w:val="18"/>
                <w:szCs w:val="18"/>
                <w:lang w:val="en-GB"/>
              </w:rPr>
            </w:pPr>
            <w:r w:rsidRPr="00EB5EDA">
              <w:rPr>
                <w:sz w:val="18"/>
                <w:szCs w:val="18"/>
                <w:lang w:val="en-GB"/>
              </w:rPr>
              <w:t>Liquid-filled thermometers, for direct reading, not combined with other instruments, other than clinical thermometers</w:t>
            </w:r>
          </w:p>
        </w:tc>
      </w:tr>
      <w:tr w:rsidR="0070496D" w:rsidRPr="00EB5EDA" w14:paraId="79158471" w14:textId="77777777" w:rsidTr="009E5CEE">
        <w:trPr>
          <w:cantSplit/>
          <w:trHeight w:val="57"/>
          <w:jc w:val="right"/>
        </w:trPr>
        <w:tc>
          <w:tcPr>
            <w:tcW w:w="1460" w:type="dxa"/>
            <w:tcBorders>
              <w:top w:val="nil"/>
              <w:left w:val="nil"/>
              <w:bottom w:val="nil"/>
              <w:right w:val="nil"/>
            </w:tcBorders>
            <w:shd w:val="clear" w:color="auto" w:fill="auto"/>
            <w:noWrap/>
            <w:hideMark/>
          </w:tcPr>
          <w:p w14:paraId="02B83B11" w14:textId="77777777" w:rsidR="0070496D" w:rsidRPr="00EB5EDA" w:rsidRDefault="0070496D" w:rsidP="009E5CEE">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70BEABA7" w14:textId="77777777" w:rsidR="0070496D" w:rsidRPr="00EB5EDA" w:rsidRDefault="0070496D" w:rsidP="009E5CEE">
            <w:pPr>
              <w:pStyle w:val="Normal-pool"/>
              <w:spacing w:before="40" w:after="40"/>
              <w:jc w:val="right"/>
              <w:rPr>
                <w:sz w:val="18"/>
                <w:szCs w:val="18"/>
                <w:lang w:val="en-GB"/>
              </w:rPr>
            </w:pPr>
            <w:r w:rsidRPr="00EB5EDA">
              <w:rPr>
                <w:sz w:val="18"/>
                <w:szCs w:val="18"/>
                <w:lang w:val="en-GB"/>
              </w:rPr>
              <w:t>9025.11.40.10</w:t>
            </w:r>
          </w:p>
        </w:tc>
        <w:tc>
          <w:tcPr>
            <w:tcW w:w="4621" w:type="dxa"/>
            <w:tcBorders>
              <w:top w:val="nil"/>
              <w:left w:val="nil"/>
              <w:bottom w:val="nil"/>
              <w:right w:val="nil"/>
            </w:tcBorders>
            <w:shd w:val="clear" w:color="auto" w:fill="E7E6E6" w:themeFill="background2"/>
            <w:hideMark/>
          </w:tcPr>
          <w:p w14:paraId="5DCC1384" w14:textId="77777777" w:rsidR="0070496D" w:rsidRPr="00EB5EDA" w:rsidRDefault="0070496D" w:rsidP="009E5CEE">
            <w:pPr>
              <w:pStyle w:val="Normal-pool"/>
              <w:spacing w:before="40" w:after="40"/>
              <w:rPr>
                <w:sz w:val="18"/>
                <w:szCs w:val="18"/>
                <w:lang w:val="en-GB"/>
              </w:rPr>
            </w:pPr>
            <w:r w:rsidRPr="00EB5EDA">
              <w:rPr>
                <w:sz w:val="18"/>
                <w:szCs w:val="18"/>
                <w:lang w:val="en-GB"/>
              </w:rPr>
              <w:t>Containing mercury</w:t>
            </w:r>
          </w:p>
        </w:tc>
      </w:tr>
      <w:tr w:rsidR="0070496D" w:rsidRPr="00EB5EDA" w14:paraId="2B61DE07" w14:textId="77777777" w:rsidTr="009E5CEE">
        <w:trPr>
          <w:cantSplit/>
          <w:trHeight w:val="57"/>
          <w:jc w:val="right"/>
        </w:trPr>
        <w:tc>
          <w:tcPr>
            <w:tcW w:w="1460" w:type="dxa"/>
            <w:tcBorders>
              <w:top w:val="nil"/>
              <w:left w:val="nil"/>
              <w:bottom w:val="nil"/>
              <w:right w:val="nil"/>
            </w:tcBorders>
            <w:shd w:val="clear" w:color="auto" w:fill="auto"/>
            <w:noWrap/>
            <w:hideMark/>
          </w:tcPr>
          <w:p w14:paraId="4986ECEB" w14:textId="77777777" w:rsidR="0070496D" w:rsidRPr="00EB5EDA" w:rsidRDefault="0070496D" w:rsidP="009E5CEE">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583BD59A" w14:textId="77777777" w:rsidR="0070496D" w:rsidRPr="00EB5EDA" w:rsidRDefault="0070496D" w:rsidP="009E5CEE">
            <w:pPr>
              <w:pStyle w:val="Normal-pool"/>
              <w:spacing w:before="40" w:after="40"/>
              <w:jc w:val="right"/>
              <w:rPr>
                <w:sz w:val="18"/>
                <w:szCs w:val="18"/>
                <w:lang w:val="en-GB"/>
              </w:rPr>
            </w:pPr>
            <w:r w:rsidRPr="00EB5EDA">
              <w:rPr>
                <w:sz w:val="18"/>
                <w:szCs w:val="18"/>
                <w:lang w:val="en-GB"/>
              </w:rPr>
              <w:t>9025.11.40.90</w:t>
            </w:r>
          </w:p>
        </w:tc>
        <w:tc>
          <w:tcPr>
            <w:tcW w:w="4621" w:type="dxa"/>
            <w:tcBorders>
              <w:top w:val="nil"/>
              <w:left w:val="nil"/>
              <w:bottom w:val="nil"/>
              <w:right w:val="nil"/>
            </w:tcBorders>
            <w:shd w:val="clear" w:color="auto" w:fill="E7E6E6" w:themeFill="background2"/>
            <w:hideMark/>
          </w:tcPr>
          <w:p w14:paraId="0A7E53CF" w14:textId="77777777" w:rsidR="0070496D" w:rsidRPr="00EB5EDA" w:rsidRDefault="0070496D" w:rsidP="009E5CEE">
            <w:pPr>
              <w:pStyle w:val="Normal-pool"/>
              <w:spacing w:before="40" w:after="40"/>
              <w:rPr>
                <w:sz w:val="18"/>
                <w:szCs w:val="18"/>
                <w:lang w:val="en-GB"/>
              </w:rPr>
            </w:pPr>
            <w:r w:rsidRPr="00EB5EDA">
              <w:rPr>
                <w:sz w:val="18"/>
                <w:szCs w:val="18"/>
                <w:lang w:val="en-GB"/>
              </w:rPr>
              <w:t>Other</w:t>
            </w:r>
          </w:p>
        </w:tc>
      </w:tr>
      <w:tr w:rsidR="0070496D" w:rsidRPr="00EB5EDA" w14:paraId="5E8803F7" w14:textId="77777777" w:rsidTr="009E5CEE">
        <w:trPr>
          <w:cantSplit/>
          <w:trHeight w:val="57"/>
          <w:jc w:val="right"/>
        </w:trPr>
        <w:tc>
          <w:tcPr>
            <w:tcW w:w="1460" w:type="dxa"/>
            <w:tcBorders>
              <w:top w:val="nil"/>
              <w:left w:val="nil"/>
              <w:bottom w:val="nil"/>
              <w:right w:val="nil"/>
            </w:tcBorders>
            <w:shd w:val="clear" w:color="auto" w:fill="auto"/>
            <w:noWrap/>
            <w:hideMark/>
          </w:tcPr>
          <w:p w14:paraId="648F845D" w14:textId="77777777" w:rsidR="0070496D" w:rsidRPr="00EB5EDA" w:rsidRDefault="0070496D" w:rsidP="009E5CEE">
            <w:pPr>
              <w:pStyle w:val="Normal-pool"/>
              <w:spacing w:before="40" w:after="40"/>
              <w:jc w:val="right"/>
              <w:rPr>
                <w:sz w:val="18"/>
                <w:szCs w:val="18"/>
                <w:lang w:val="en-GB"/>
              </w:rPr>
            </w:pPr>
            <w:r w:rsidRPr="00EB5EDA">
              <w:rPr>
                <w:sz w:val="18"/>
                <w:szCs w:val="18"/>
                <w:lang w:val="en-GB"/>
              </w:rPr>
              <w:t>9025.80.01</w:t>
            </w:r>
          </w:p>
        </w:tc>
        <w:tc>
          <w:tcPr>
            <w:tcW w:w="2226" w:type="dxa"/>
            <w:tcBorders>
              <w:top w:val="nil"/>
              <w:left w:val="nil"/>
              <w:bottom w:val="nil"/>
              <w:right w:val="nil"/>
            </w:tcBorders>
            <w:shd w:val="clear" w:color="auto" w:fill="auto"/>
            <w:noWrap/>
            <w:hideMark/>
          </w:tcPr>
          <w:p w14:paraId="70D5CB1C" w14:textId="77777777" w:rsidR="0070496D" w:rsidRPr="00EB5EDA" w:rsidRDefault="0070496D" w:rsidP="009E5CEE">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54DDDD84" w14:textId="77777777" w:rsidR="0070496D" w:rsidRPr="00EB5EDA" w:rsidRDefault="0070496D" w:rsidP="009E5CEE">
            <w:pPr>
              <w:pStyle w:val="Normal-pool"/>
              <w:spacing w:before="40" w:after="40"/>
              <w:rPr>
                <w:sz w:val="18"/>
                <w:szCs w:val="18"/>
                <w:lang w:val="en-GB"/>
              </w:rPr>
            </w:pPr>
            <w:r w:rsidRPr="00EB5EDA">
              <w:rPr>
                <w:sz w:val="18"/>
                <w:szCs w:val="18"/>
                <w:lang w:val="en-GB"/>
              </w:rPr>
              <w:t>Other instruments, including barometers</w:t>
            </w:r>
          </w:p>
        </w:tc>
      </w:tr>
      <w:tr w:rsidR="0070496D" w:rsidRPr="00EB5EDA" w14:paraId="76BD5768" w14:textId="77777777" w:rsidTr="009E5CEE">
        <w:trPr>
          <w:cantSplit/>
          <w:trHeight w:val="57"/>
          <w:jc w:val="right"/>
        </w:trPr>
        <w:tc>
          <w:tcPr>
            <w:tcW w:w="1460" w:type="dxa"/>
            <w:tcBorders>
              <w:top w:val="nil"/>
              <w:left w:val="nil"/>
              <w:bottom w:val="nil"/>
              <w:right w:val="nil"/>
            </w:tcBorders>
            <w:shd w:val="clear" w:color="auto" w:fill="auto"/>
            <w:noWrap/>
            <w:hideMark/>
          </w:tcPr>
          <w:p w14:paraId="230D13F7" w14:textId="77777777" w:rsidR="0070496D" w:rsidRPr="00EB5EDA" w:rsidRDefault="0070496D" w:rsidP="009E5CEE">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47C3C086" w14:textId="77777777" w:rsidR="0070496D" w:rsidRPr="00EB5EDA" w:rsidRDefault="0070496D" w:rsidP="009E5CEE">
            <w:pPr>
              <w:pStyle w:val="Normal-pool"/>
              <w:spacing w:before="40" w:after="40"/>
              <w:jc w:val="right"/>
              <w:rPr>
                <w:sz w:val="18"/>
                <w:szCs w:val="18"/>
                <w:lang w:val="en-GB"/>
              </w:rPr>
            </w:pPr>
            <w:r w:rsidRPr="00EB5EDA">
              <w:rPr>
                <w:sz w:val="18"/>
                <w:szCs w:val="18"/>
                <w:lang w:val="en-GB"/>
              </w:rPr>
              <w:t>9025.80.01.10</w:t>
            </w:r>
          </w:p>
        </w:tc>
        <w:tc>
          <w:tcPr>
            <w:tcW w:w="4621" w:type="dxa"/>
            <w:tcBorders>
              <w:top w:val="nil"/>
              <w:left w:val="nil"/>
              <w:bottom w:val="nil"/>
              <w:right w:val="nil"/>
            </w:tcBorders>
            <w:shd w:val="clear" w:color="auto" w:fill="E7E6E6" w:themeFill="background2"/>
            <w:hideMark/>
          </w:tcPr>
          <w:p w14:paraId="3BBDADB2" w14:textId="77777777" w:rsidR="0070496D" w:rsidRPr="00EB5EDA" w:rsidRDefault="0070496D" w:rsidP="009E5CEE">
            <w:pPr>
              <w:pStyle w:val="Normal-pool"/>
              <w:spacing w:before="40" w:after="40"/>
              <w:rPr>
                <w:sz w:val="18"/>
                <w:szCs w:val="18"/>
                <w:lang w:val="en-GB"/>
              </w:rPr>
            </w:pPr>
            <w:r w:rsidRPr="00EB5EDA">
              <w:rPr>
                <w:sz w:val="18"/>
                <w:szCs w:val="18"/>
                <w:lang w:val="en-GB"/>
              </w:rPr>
              <w:t>Barometers containing mercury</w:t>
            </w:r>
          </w:p>
        </w:tc>
      </w:tr>
      <w:tr w:rsidR="0070496D" w:rsidRPr="00EB5EDA" w14:paraId="1BAE25F2" w14:textId="77777777" w:rsidTr="009E5CEE">
        <w:trPr>
          <w:cantSplit/>
          <w:trHeight w:val="57"/>
          <w:jc w:val="right"/>
        </w:trPr>
        <w:tc>
          <w:tcPr>
            <w:tcW w:w="1460" w:type="dxa"/>
            <w:tcBorders>
              <w:top w:val="nil"/>
              <w:left w:val="nil"/>
              <w:bottom w:val="nil"/>
              <w:right w:val="nil"/>
            </w:tcBorders>
            <w:shd w:val="clear" w:color="auto" w:fill="auto"/>
            <w:noWrap/>
            <w:hideMark/>
          </w:tcPr>
          <w:p w14:paraId="58CF3780" w14:textId="77777777" w:rsidR="0070496D" w:rsidRPr="00EB5EDA" w:rsidRDefault="0070496D" w:rsidP="009E5CEE">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20911A1F" w14:textId="77777777" w:rsidR="0070496D" w:rsidRPr="00EB5EDA" w:rsidRDefault="0070496D" w:rsidP="009E5CEE">
            <w:pPr>
              <w:pStyle w:val="Normal-pool"/>
              <w:spacing w:before="40" w:after="40"/>
              <w:jc w:val="right"/>
              <w:rPr>
                <w:sz w:val="18"/>
                <w:szCs w:val="18"/>
                <w:lang w:val="en-GB"/>
              </w:rPr>
            </w:pPr>
            <w:r w:rsidRPr="00EB5EDA">
              <w:rPr>
                <w:sz w:val="18"/>
                <w:szCs w:val="18"/>
                <w:lang w:val="en-GB"/>
              </w:rPr>
              <w:t>9025.80.01.90</w:t>
            </w:r>
          </w:p>
        </w:tc>
        <w:tc>
          <w:tcPr>
            <w:tcW w:w="4621" w:type="dxa"/>
            <w:tcBorders>
              <w:top w:val="nil"/>
              <w:left w:val="nil"/>
              <w:bottom w:val="nil"/>
              <w:right w:val="nil"/>
            </w:tcBorders>
            <w:shd w:val="clear" w:color="auto" w:fill="E7E6E6" w:themeFill="background2"/>
            <w:hideMark/>
          </w:tcPr>
          <w:p w14:paraId="79A3CAF6" w14:textId="77777777" w:rsidR="0070496D" w:rsidRPr="00EB5EDA" w:rsidRDefault="0070496D" w:rsidP="009E5CEE">
            <w:pPr>
              <w:pStyle w:val="Normal-pool"/>
              <w:spacing w:before="40" w:after="40"/>
              <w:rPr>
                <w:sz w:val="18"/>
                <w:szCs w:val="18"/>
                <w:lang w:val="en-GB"/>
              </w:rPr>
            </w:pPr>
            <w:r w:rsidRPr="00EB5EDA">
              <w:rPr>
                <w:sz w:val="18"/>
                <w:szCs w:val="18"/>
                <w:lang w:val="en-GB"/>
              </w:rPr>
              <w:t>Other</w:t>
            </w:r>
          </w:p>
        </w:tc>
      </w:tr>
      <w:tr w:rsidR="0070496D" w:rsidRPr="00EB5EDA" w14:paraId="68D6A1E6" w14:textId="77777777" w:rsidTr="009E5CEE">
        <w:trPr>
          <w:cantSplit/>
          <w:trHeight w:val="57"/>
          <w:jc w:val="right"/>
        </w:trPr>
        <w:tc>
          <w:tcPr>
            <w:tcW w:w="1460" w:type="dxa"/>
            <w:tcBorders>
              <w:top w:val="nil"/>
              <w:left w:val="nil"/>
              <w:bottom w:val="nil"/>
              <w:right w:val="nil"/>
            </w:tcBorders>
            <w:shd w:val="clear" w:color="auto" w:fill="auto"/>
            <w:noWrap/>
            <w:hideMark/>
          </w:tcPr>
          <w:p w14:paraId="02F28205" w14:textId="77777777" w:rsidR="0070496D" w:rsidRPr="00EB5EDA" w:rsidRDefault="0070496D" w:rsidP="009E5CEE">
            <w:pPr>
              <w:pStyle w:val="Normal-pool"/>
              <w:spacing w:before="40" w:after="40"/>
              <w:jc w:val="right"/>
              <w:rPr>
                <w:sz w:val="18"/>
                <w:szCs w:val="18"/>
                <w:lang w:val="en-GB"/>
              </w:rPr>
            </w:pPr>
            <w:r w:rsidRPr="00EB5EDA">
              <w:rPr>
                <w:sz w:val="18"/>
                <w:szCs w:val="18"/>
                <w:lang w:val="en-GB"/>
              </w:rPr>
              <w:t>9025.80.02</w:t>
            </w:r>
          </w:p>
        </w:tc>
        <w:tc>
          <w:tcPr>
            <w:tcW w:w="2226" w:type="dxa"/>
            <w:tcBorders>
              <w:top w:val="nil"/>
              <w:left w:val="nil"/>
              <w:bottom w:val="nil"/>
              <w:right w:val="nil"/>
            </w:tcBorders>
            <w:shd w:val="clear" w:color="auto" w:fill="auto"/>
            <w:noWrap/>
            <w:hideMark/>
          </w:tcPr>
          <w:p w14:paraId="2C72A9C6" w14:textId="77777777" w:rsidR="0070496D" w:rsidRPr="00EB5EDA" w:rsidRDefault="0070496D" w:rsidP="009E5CEE">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45E7CE00" w14:textId="2074E2C2" w:rsidR="0070496D" w:rsidRPr="00EB5EDA" w:rsidRDefault="0070496D" w:rsidP="009E5CEE">
            <w:pPr>
              <w:pStyle w:val="Normal-pool"/>
              <w:spacing w:before="40" w:after="40"/>
              <w:rPr>
                <w:sz w:val="18"/>
                <w:szCs w:val="18"/>
                <w:lang w:val="en-GB"/>
              </w:rPr>
            </w:pPr>
            <w:r w:rsidRPr="00EB5EDA">
              <w:rPr>
                <w:sz w:val="18"/>
                <w:szCs w:val="18"/>
                <w:lang w:val="en-GB"/>
              </w:rPr>
              <w:t xml:space="preserve">Other instruments: </w:t>
            </w:r>
            <w:r w:rsidR="00144001" w:rsidRPr="00EB5EDA">
              <w:rPr>
                <w:sz w:val="18"/>
                <w:szCs w:val="18"/>
                <w:lang w:val="en-GB"/>
              </w:rPr>
              <w:t>h</w:t>
            </w:r>
            <w:r w:rsidRPr="00EB5EDA">
              <w:rPr>
                <w:sz w:val="18"/>
                <w:szCs w:val="18"/>
                <w:lang w:val="en-GB"/>
              </w:rPr>
              <w:t>ygrometers</w:t>
            </w:r>
          </w:p>
        </w:tc>
      </w:tr>
      <w:tr w:rsidR="0070496D" w:rsidRPr="00EB5EDA" w14:paraId="55DCE3BE" w14:textId="77777777" w:rsidTr="009E5CEE">
        <w:trPr>
          <w:cantSplit/>
          <w:trHeight w:val="57"/>
          <w:jc w:val="right"/>
        </w:trPr>
        <w:tc>
          <w:tcPr>
            <w:tcW w:w="1460" w:type="dxa"/>
            <w:tcBorders>
              <w:top w:val="nil"/>
              <w:left w:val="nil"/>
              <w:bottom w:val="nil"/>
              <w:right w:val="nil"/>
            </w:tcBorders>
            <w:shd w:val="clear" w:color="auto" w:fill="auto"/>
            <w:noWrap/>
            <w:hideMark/>
          </w:tcPr>
          <w:p w14:paraId="0D0DF4D6" w14:textId="77777777" w:rsidR="0070496D" w:rsidRPr="00EB5EDA" w:rsidRDefault="0070496D" w:rsidP="009E5CEE">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6B766804" w14:textId="77777777" w:rsidR="0070496D" w:rsidRPr="00EB5EDA" w:rsidRDefault="0070496D" w:rsidP="009E5CEE">
            <w:pPr>
              <w:pStyle w:val="Normal-pool"/>
              <w:spacing w:before="40" w:after="40"/>
              <w:jc w:val="right"/>
              <w:rPr>
                <w:sz w:val="18"/>
                <w:szCs w:val="18"/>
                <w:lang w:val="en-GB"/>
              </w:rPr>
            </w:pPr>
            <w:r w:rsidRPr="00EB5EDA">
              <w:rPr>
                <w:sz w:val="18"/>
                <w:szCs w:val="18"/>
                <w:lang w:val="en-GB"/>
              </w:rPr>
              <w:t>9025.80.02.10</w:t>
            </w:r>
          </w:p>
        </w:tc>
        <w:tc>
          <w:tcPr>
            <w:tcW w:w="4621" w:type="dxa"/>
            <w:tcBorders>
              <w:top w:val="nil"/>
              <w:left w:val="nil"/>
              <w:bottom w:val="nil"/>
              <w:right w:val="nil"/>
            </w:tcBorders>
            <w:shd w:val="clear" w:color="auto" w:fill="E7E6E6" w:themeFill="background2"/>
            <w:hideMark/>
          </w:tcPr>
          <w:p w14:paraId="38815D16" w14:textId="77777777" w:rsidR="0070496D" w:rsidRPr="00EB5EDA" w:rsidRDefault="0070496D" w:rsidP="009E5CEE">
            <w:pPr>
              <w:pStyle w:val="Normal-pool"/>
              <w:spacing w:before="40" w:after="40"/>
              <w:rPr>
                <w:sz w:val="18"/>
                <w:szCs w:val="18"/>
                <w:lang w:val="en-GB"/>
              </w:rPr>
            </w:pPr>
            <w:r w:rsidRPr="00EB5EDA">
              <w:rPr>
                <w:sz w:val="18"/>
                <w:szCs w:val="18"/>
                <w:lang w:val="en-GB"/>
              </w:rPr>
              <w:t>Hygrometers containing mercury</w:t>
            </w:r>
          </w:p>
        </w:tc>
      </w:tr>
      <w:tr w:rsidR="0070496D" w:rsidRPr="00EB5EDA" w14:paraId="05EE7AFC" w14:textId="77777777" w:rsidTr="009E5CEE">
        <w:trPr>
          <w:cantSplit/>
          <w:trHeight w:val="57"/>
          <w:jc w:val="right"/>
        </w:trPr>
        <w:tc>
          <w:tcPr>
            <w:tcW w:w="1460" w:type="dxa"/>
            <w:tcBorders>
              <w:top w:val="nil"/>
              <w:left w:val="nil"/>
              <w:bottom w:val="nil"/>
              <w:right w:val="nil"/>
            </w:tcBorders>
            <w:shd w:val="clear" w:color="auto" w:fill="auto"/>
            <w:noWrap/>
            <w:hideMark/>
          </w:tcPr>
          <w:p w14:paraId="1619C632" w14:textId="77777777" w:rsidR="0070496D" w:rsidRPr="00EB5EDA" w:rsidRDefault="0070496D" w:rsidP="009E5CEE">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75D51B4A" w14:textId="77777777" w:rsidR="0070496D" w:rsidRPr="00EB5EDA" w:rsidRDefault="0070496D" w:rsidP="009E5CEE">
            <w:pPr>
              <w:pStyle w:val="Normal-pool"/>
              <w:spacing w:before="40" w:after="40"/>
              <w:jc w:val="right"/>
              <w:rPr>
                <w:sz w:val="18"/>
                <w:szCs w:val="18"/>
                <w:lang w:val="en-GB"/>
              </w:rPr>
            </w:pPr>
            <w:r w:rsidRPr="00EB5EDA">
              <w:rPr>
                <w:sz w:val="18"/>
                <w:szCs w:val="18"/>
                <w:lang w:val="en-GB"/>
              </w:rPr>
              <w:t>9025.80.02.90</w:t>
            </w:r>
          </w:p>
        </w:tc>
        <w:tc>
          <w:tcPr>
            <w:tcW w:w="4621" w:type="dxa"/>
            <w:tcBorders>
              <w:top w:val="nil"/>
              <w:left w:val="nil"/>
              <w:bottom w:val="nil"/>
              <w:right w:val="nil"/>
            </w:tcBorders>
            <w:shd w:val="clear" w:color="auto" w:fill="E7E6E6" w:themeFill="background2"/>
            <w:hideMark/>
          </w:tcPr>
          <w:p w14:paraId="0B84EFC1" w14:textId="77777777" w:rsidR="0070496D" w:rsidRPr="00EB5EDA" w:rsidRDefault="0070496D" w:rsidP="009E5CEE">
            <w:pPr>
              <w:pStyle w:val="Normal-pool"/>
              <w:spacing w:before="40" w:after="40"/>
              <w:rPr>
                <w:sz w:val="18"/>
                <w:szCs w:val="18"/>
                <w:lang w:val="en-GB"/>
              </w:rPr>
            </w:pPr>
            <w:r w:rsidRPr="00EB5EDA">
              <w:rPr>
                <w:sz w:val="18"/>
                <w:szCs w:val="18"/>
                <w:lang w:val="en-GB"/>
              </w:rPr>
              <w:t>Other</w:t>
            </w:r>
          </w:p>
        </w:tc>
      </w:tr>
      <w:tr w:rsidR="0070496D" w:rsidRPr="00EB5EDA" w14:paraId="14D8D64E" w14:textId="77777777" w:rsidTr="009E5CEE">
        <w:trPr>
          <w:cantSplit/>
          <w:trHeight w:val="57"/>
          <w:jc w:val="right"/>
        </w:trPr>
        <w:tc>
          <w:tcPr>
            <w:tcW w:w="1460" w:type="dxa"/>
            <w:tcBorders>
              <w:top w:val="nil"/>
              <w:left w:val="nil"/>
              <w:bottom w:val="nil"/>
              <w:right w:val="nil"/>
            </w:tcBorders>
            <w:shd w:val="clear" w:color="auto" w:fill="auto"/>
            <w:noWrap/>
            <w:hideMark/>
          </w:tcPr>
          <w:p w14:paraId="28F0CE0B" w14:textId="77777777" w:rsidR="0070496D" w:rsidRPr="00EB5EDA" w:rsidRDefault="0070496D" w:rsidP="009E5CEE">
            <w:pPr>
              <w:pStyle w:val="Normal-pool"/>
              <w:spacing w:before="40" w:after="40"/>
              <w:jc w:val="right"/>
              <w:rPr>
                <w:sz w:val="18"/>
                <w:szCs w:val="18"/>
                <w:lang w:val="en-GB"/>
              </w:rPr>
            </w:pPr>
            <w:r w:rsidRPr="00EB5EDA">
              <w:rPr>
                <w:sz w:val="18"/>
                <w:szCs w:val="18"/>
                <w:lang w:val="en-GB"/>
              </w:rPr>
              <w:t>9026.20.10</w:t>
            </w:r>
          </w:p>
        </w:tc>
        <w:tc>
          <w:tcPr>
            <w:tcW w:w="2226" w:type="dxa"/>
            <w:tcBorders>
              <w:top w:val="nil"/>
              <w:left w:val="nil"/>
              <w:bottom w:val="nil"/>
              <w:right w:val="nil"/>
            </w:tcBorders>
            <w:shd w:val="clear" w:color="auto" w:fill="auto"/>
            <w:noWrap/>
            <w:hideMark/>
          </w:tcPr>
          <w:p w14:paraId="391D5430" w14:textId="77777777" w:rsidR="0070496D" w:rsidRPr="00EB5EDA" w:rsidRDefault="0070496D" w:rsidP="009E5CEE">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35338743" w14:textId="77777777" w:rsidR="0070496D" w:rsidRPr="00EB5EDA" w:rsidRDefault="0070496D" w:rsidP="009E5CEE">
            <w:pPr>
              <w:pStyle w:val="Normal-pool"/>
              <w:spacing w:before="40" w:after="40"/>
              <w:rPr>
                <w:sz w:val="18"/>
                <w:szCs w:val="18"/>
                <w:lang w:val="en-GB"/>
              </w:rPr>
            </w:pPr>
            <w:r w:rsidRPr="00EB5EDA">
              <w:rPr>
                <w:sz w:val="18"/>
                <w:szCs w:val="18"/>
                <w:lang w:val="en-GB"/>
              </w:rPr>
              <w:t>Instruments and apparatus for pressure measurement or control, manometers</w:t>
            </w:r>
          </w:p>
        </w:tc>
      </w:tr>
      <w:tr w:rsidR="0070496D" w:rsidRPr="00EB5EDA" w14:paraId="21D3C6C0" w14:textId="77777777" w:rsidTr="009E5CEE">
        <w:trPr>
          <w:cantSplit/>
          <w:trHeight w:val="57"/>
          <w:jc w:val="right"/>
        </w:trPr>
        <w:tc>
          <w:tcPr>
            <w:tcW w:w="1460" w:type="dxa"/>
            <w:tcBorders>
              <w:top w:val="nil"/>
              <w:left w:val="nil"/>
              <w:right w:val="nil"/>
            </w:tcBorders>
            <w:shd w:val="clear" w:color="auto" w:fill="auto"/>
            <w:noWrap/>
            <w:hideMark/>
          </w:tcPr>
          <w:p w14:paraId="5DA23451" w14:textId="77777777" w:rsidR="0070496D" w:rsidRPr="00EB5EDA" w:rsidRDefault="0070496D" w:rsidP="009E5CEE">
            <w:pPr>
              <w:pStyle w:val="Normal-pool"/>
              <w:spacing w:before="40" w:after="40"/>
              <w:jc w:val="right"/>
              <w:rPr>
                <w:sz w:val="18"/>
                <w:szCs w:val="18"/>
                <w:lang w:val="en-GB"/>
              </w:rPr>
            </w:pPr>
          </w:p>
        </w:tc>
        <w:tc>
          <w:tcPr>
            <w:tcW w:w="2226" w:type="dxa"/>
            <w:tcBorders>
              <w:top w:val="nil"/>
              <w:left w:val="nil"/>
              <w:right w:val="nil"/>
            </w:tcBorders>
            <w:shd w:val="clear" w:color="auto" w:fill="E7E6E6" w:themeFill="background2"/>
            <w:noWrap/>
            <w:hideMark/>
          </w:tcPr>
          <w:p w14:paraId="32BDFA4B" w14:textId="77777777" w:rsidR="0070496D" w:rsidRPr="00EB5EDA" w:rsidRDefault="0070496D" w:rsidP="009E5CEE">
            <w:pPr>
              <w:pStyle w:val="Normal-pool"/>
              <w:spacing w:before="40" w:after="40"/>
              <w:jc w:val="right"/>
              <w:rPr>
                <w:sz w:val="18"/>
                <w:szCs w:val="18"/>
                <w:lang w:val="en-GB"/>
              </w:rPr>
            </w:pPr>
            <w:r w:rsidRPr="00EB5EDA">
              <w:rPr>
                <w:sz w:val="18"/>
                <w:szCs w:val="18"/>
                <w:lang w:val="en-GB"/>
              </w:rPr>
              <w:t>9026.20.10.10</w:t>
            </w:r>
          </w:p>
        </w:tc>
        <w:tc>
          <w:tcPr>
            <w:tcW w:w="4621" w:type="dxa"/>
            <w:tcBorders>
              <w:top w:val="nil"/>
              <w:left w:val="nil"/>
              <w:right w:val="nil"/>
            </w:tcBorders>
            <w:shd w:val="clear" w:color="auto" w:fill="E7E6E6" w:themeFill="background2"/>
            <w:hideMark/>
          </w:tcPr>
          <w:p w14:paraId="3D37D42E" w14:textId="77777777" w:rsidR="0070496D" w:rsidRPr="00EB5EDA" w:rsidRDefault="0070496D" w:rsidP="009E5CEE">
            <w:pPr>
              <w:pStyle w:val="Normal-pool"/>
              <w:spacing w:before="40" w:after="40"/>
              <w:rPr>
                <w:sz w:val="18"/>
                <w:szCs w:val="18"/>
                <w:lang w:val="en-GB"/>
              </w:rPr>
            </w:pPr>
            <w:r w:rsidRPr="00EB5EDA">
              <w:rPr>
                <w:sz w:val="18"/>
                <w:szCs w:val="18"/>
                <w:lang w:val="en-GB"/>
              </w:rPr>
              <w:t>Manometers containing mercury</w:t>
            </w:r>
          </w:p>
        </w:tc>
      </w:tr>
      <w:tr w:rsidR="0070496D" w:rsidRPr="00EB5EDA" w14:paraId="34CBFB7A" w14:textId="77777777" w:rsidTr="009E5CEE">
        <w:trPr>
          <w:cantSplit/>
          <w:trHeight w:val="57"/>
          <w:jc w:val="right"/>
        </w:trPr>
        <w:tc>
          <w:tcPr>
            <w:tcW w:w="1460" w:type="dxa"/>
            <w:tcBorders>
              <w:top w:val="nil"/>
              <w:left w:val="nil"/>
              <w:bottom w:val="single" w:sz="12" w:space="0" w:color="auto"/>
              <w:right w:val="nil"/>
            </w:tcBorders>
            <w:shd w:val="clear" w:color="auto" w:fill="auto"/>
            <w:noWrap/>
            <w:hideMark/>
          </w:tcPr>
          <w:p w14:paraId="547C65A7" w14:textId="77777777" w:rsidR="0070496D" w:rsidRPr="00EB5EDA" w:rsidRDefault="0070496D" w:rsidP="009E5CEE">
            <w:pPr>
              <w:pStyle w:val="Normal-pool"/>
              <w:spacing w:before="40" w:after="40"/>
              <w:jc w:val="right"/>
              <w:rPr>
                <w:sz w:val="18"/>
                <w:szCs w:val="18"/>
                <w:lang w:val="en-GB"/>
              </w:rPr>
            </w:pPr>
          </w:p>
        </w:tc>
        <w:tc>
          <w:tcPr>
            <w:tcW w:w="2226" w:type="dxa"/>
            <w:tcBorders>
              <w:top w:val="nil"/>
              <w:left w:val="nil"/>
              <w:bottom w:val="single" w:sz="12" w:space="0" w:color="auto"/>
              <w:right w:val="nil"/>
            </w:tcBorders>
            <w:shd w:val="clear" w:color="auto" w:fill="E7E6E6" w:themeFill="background2"/>
            <w:noWrap/>
            <w:hideMark/>
          </w:tcPr>
          <w:p w14:paraId="43549075" w14:textId="77777777" w:rsidR="0070496D" w:rsidRPr="00EB5EDA" w:rsidRDefault="0070496D" w:rsidP="009E5CEE">
            <w:pPr>
              <w:pStyle w:val="Normal-pool"/>
              <w:spacing w:before="40" w:after="40"/>
              <w:jc w:val="right"/>
              <w:rPr>
                <w:sz w:val="18"/>
                <w:szCs w:val="18"/>
                <w:lang w:val="en-GB"/>
              </w:rPr>
            </w:pPr>
            <w:r w:rsidRPr="00EB5EDA">
              <w:rPr>
                <w:sz w:val="18"/>
                <w:szCs w:val="18"/>
                <w:lang w:val="en-GB"/>
              </w:rPr>
              <w:t>9026.20.10.90</w:t>
            </w:r>
          </w:p>
        </w:tc>
        <w:tc>
          <w:tcPr>
            <w:tcW w:w="4621" w:type="dxa"/>
            <w:tcBorders>
              <w:top w:val="nil"/>
              <w:left w:val="nil"/>
              <w:bottom w:val="single" w:sz="12" w:space="0" w:color="auto"/>
              <w:right w:val="nil"/>
            </w:tcBorders>
            <w:shd w:val="clear" w:color="auto" w:fill="E7E6E6" w:themeFill="background2"/>
            <w:hideMark/>
          </w:tcPr>
          <w:p w14:paraId="1E36BBB6" w14:textId="77777777" w:rsidR="0070496D" w:rsidRPr="00EB5EDA" w:rsidRDefault="0070496D" w:rsidP="009E5CEE">
            <w:pPr>
              <w:pStyle w:val="Normal-pool"/>
              <w:spacing w:before="40" w:after="40"/>
              <w:rPr>
                <w:sz w:val="18"/>
                <w:szCs w:val="18"/>
                <w:lang w:val="en-GB"/>
              </w:rPr>
            </w:pPr>
            <w:r w:rsidRPr="00EB5EDA">
              <w:rPr>
                <w:sz w:val="18"/>
                <w:szCs w:val="18"/>
                <w:lang w:val="en-GB"/>
              </w:rPr>
              <w:t>Other</w:t>
            </w:r>
          </w:p>
        </w:tc>
      </w:tr>
    </w:tbl>
    <w:p w14:paraId="107B404E" w14:textId="77777777" w:rsidR="0070496D" w:rsidRPr="00EB5EDA" w:rsidRDefault="0070496D" w:rsidP="009E5CEE">
      <w:pPr>
        <w:pStyle w:val="Titletable"/>
        <w:spacing w:before="240"/>
        <w:rPr>
          <w:lang w:val="en-GB"/>
        </w:rPr>
      </w:pPr>
      <w:r w:rsidRPr="00EB5EDA">
        <w:rPr>
          <w:lang w:val="en-GB"/>
        </w:rPr>
        <w:t>Dental amalgam</w:t>
      </w:r>
    </w:p>
    <w:tbl>
      <w:tblPr>
        <w:tblW w:w="8307" w:type="dxa"/>
        <w:jc w:val="right"/>
        <w:tblLook w:val="04A0" w:firstRow="1" w:lastRow="0" w:firstColumn="1" w:lastColumn="0" w:noHBand="0" w:noVBand="1"/>
      </w:tblPr>
      <w:tblGrid>
        <w:gridCol w:w="1460"/>
        <w:gridCol w:w="2226"/>
        <w:gridCol w:w="4621"/>
      </w:tblGrid>
      <w:tr w:rsidR="0070496D" w:rsidRPr="00EB5EDA" w14:paraId="70EBC625" w14:textId="77777777" w:rsidTr="00612357">
        <w:trPr>
          <w:cantSplit/>
          <w:trHeight w:val="57"/>
          <w:jc w:val="right"/>
        </w:trPr>
        <w:tc>
          <w:tcPr>
            <w:tcW w:w="1460" w:type="dxa"/>
            <w:tcBorders>
              <w:top w:val="single" w:sz="4" w:space="0" w:color="auto"/>
              <w:left w:val="nil"/>
              <w:bottom w:val="single" w:sz="12" w:space="0" w:color="auto"/>
              <w:right w:val="nil"/>
            </w:tcBorders>
            <w:shd w:val="clear" w:color="auto" w:fill="auto"/>
            <w:vAlign w:val="bottom"/>
            <w:hideMark/>
          </w:tcPr>
          <w:p w14:paraId="635EA0AA" w14:textId="3F2BFD66" w:rsidR="0070496D" w:rsidRPr="00EB5EDA" w:rsidRDefault="0070496D" w:rsidP="00612357">
            <w:pPr>
              <w:pStyle w:val="Normal-pool"/>
              <w:spacing w:before="40" w:after="40"/>
              <w:jc w:val="right"/>
              <w:rPr>
                <w:i/>
                <w:iCs/>
                <w:sz w:val="18"/>
                <w:szCs w:val="18"/>
                <w:lang w:val="en-GB"/>
              </w:rPr>
            </w:pPr>
            <w:r w:rsidRPr="00EB5EDA">
              <w:rPr>
                <w:i/>
                <w:iCs/>
                <w:sz w:val="18"/>
                <w:szCs w:val="18"/>
                <w:lang w:val="en-GB"/>
              </w:rPr>
              <w:t>Existing code</w:t>
            </w:r>
          </w:p>
        </w:tc>
        <w:tc>
          <w:tcPr>
            <w:tcW w:w="2226" w:type="dxa"/>
            <w:tcBorders>
              <w:top w:val="single" w:sz="4" w:space="0" w:color="auto"/>
              <w:left w:val="nil"/>
              <w:bottom w:val="single" w:sz="12" w:space="0" w:color="auto"/>
              <w:right w:val="nil"/>
            </w:tcBorders>
            <w:shd w:val="clear" w:color="auto" w:fill="auto"/>
            <w:vAlign w:val="bottom"/>
            <w:hideMark/>
          </w:tcPr>
          <w:p w14:paraId="404679AB" w14:textId="77777777" w:rsidR="0070496D" w:rsidRPr="00EB5EDA" w:rsidRDefault="0070496D" w:rsidP="00612357">
            <w:pPr>
              <w:pStyle w:val="Normal-pool"/>
              <w:spacing w:before="40" w:after="40"/>
              <w:jc w:val="right"/>
              <w:rPr>
                <w:i/>
                <w:iCs/>
                <w:sz w:val="18"/>
                <w:szCs w:val="18"/>
                <w:lang w:val="en-GB"/>
              </w:rPr>
            </w:pPr>
            <w:r w:rsidRPr="00EB5EDA">
              <w:rPr>
                <w:i/>
                <w:iCs/>
                <w:sz w:val="18"/>
                <w:szCs w:val="18"/>
                <w:lang w:val="en-GB"/>
              </w:rPr>
              <w:t>Proposed statistical codes</w:t>
            </w:r>
          </w:p>
        </w:tc>
        <w:tc>
          <w:tcPr>
            <w:tcW w:w="4621" w:type="dxa"/>
            <w:tcBorders>
              <w:top w:val="single" w:sz="4" w:space="0" w:color="auto"/>
              <w:left w:val="nil"/>
              <w:bottom w:val="single" w:sz="12" w:space="0" w:color="auto"/>
              <w:right w:val="nil"/>
            </w:tcBorders>
            <w:shd w:val="clear" w:color="auto" w:fill="auto"/>
            <w:vAlign w:val="bottom"/>
            <w:hideMark/>
          </w:tcPr>
          <w:p w14:paraId="6AB65BC7" w14:textId="77777777" w:rsidR="0070496D" w:rsidRPr="00EB5EDA" w:rsidRDefault="0070496D" w:rsidP="00612357">
            <w:pPr>
              <w:pStyle w:val="Normal-pool"/>
              <w:spacing w:before="40" w:after="40"/>
              <w:rPr>
                <w:i/>
                <w:iCs/>
                <w:sz w:val="18"/>
                <w:szCs w:val="18"/>
                <w:lang w:val="en-GB"/>
              </w:rPr>
            </w:pPr>
            <w:r w:rsidRPr="00EB5EDA">
              <w:rPr>
                <w:i/>
                <w:iCs/>
                <w:sz w:val="18"/>
                <w:szCs w:val="18"/>
                <w:lang w:val="en-GB"/>
              </w:rPr>
              <w:t>Description</w:t>
            </w:r>
          </w:p>
        </w:tc>
      </w:tr>
      <w:tr w:rsidR="0070496D" w:rsidRPr="00EB5EDA" w14:paraId="0AF4D898" w14:textId="77777777" w:rsidTr="00612357">
        <w:trPr>
          <w:cantSplit/>
          <w:trHeight w:val="57"/>
          <w:jc w:val="right"/>
        </w:trPr>
        <w:tc>
          <w:tcPr>
            <w:tcW w:w="1460" w:type="dxa"/>
            <w:tcBorders>
              <w:top w:val="single" w:sz="12" w:space="0" w:color="auto"/>
              <w:left w:val="nil"/>
              <w:bottom w:val="nil"/>
              <w:right w:val="nil"/>
            </w:tcBorders>
            <w:shd w:val="clear" w:color="auto" w:fill="auto"/>
            <w:noWrap/>
            <w:hideMark/>
          </w:tcPr>
          <w:p w14:paraId="201D6604" w14:textId="77777777" w:rsidR="0070496D" w:rsidRPr="00EB5EDA" w:rsidRDefault="0070496D" w:rsidP="00612357">
            <w:pPr>
              <w:pStyle w:val="Normal-pool"/>
              <w:spacing w:before="40" w:after="40"/>
              <w:jc w:val="right"/>
              <w:rPr>
                <w:sz w:val="18"/>
                <w:szCs w:val="18"/>
                <w:lang w:val="en-GB"/>
              </w:rPr>
            </w:pPr>
            <w:r w:rsidRPr="00EB5EDA">
              <w:rPr>
                <w:sz w:val="18"/>
                <w:szCs w:val="18"/>
                <w:lang w:val="en-GB"/>
              </w:rPr>
              <w:t>2843.90.00</w:t>
            </w:r>
          </w:p>
        </w:tc>
        <w:tc>
          <w:tcPr>
            <w:tcW w:w="2226" w:type="dxa"/>
            <w:tcBorders>
              <w:top w:val="single" w:sz="12" w:space="0" w:color="auto"/>
              <w:left w:val="nil"/>
              <w:bottom w:val="nil"/>
              <w:right w:val="nil"/>
            </w:tcBorders>
            <w:shd w:val="clear" w:color="auto" w:fill="auto"/>
            <w:noWrap/>
            <w:hideMark/>
          </w:tcPr>
          <w:p w14:paraId="22DF6293" w14:textId="77777777" w:rsidR="0070496D" w:rsidRPr="00EB5EDA" w:rsidRDefault="0070496D" w:rsidP="00612357">
            <w:pPr>
              <w:pStyle w:val="Normal-pool"/>
              <w:spacing w:before="40" w:after="40"/>
              <w:jc w:val="right"/>
              <w:rPr>
                <w:sz w:val="18"/>
                <w:szCs w:val="18"/>
                <w:lang w:val="en-GB"/>
              </w:rPr>
            </w:pPr>
          </w:p>
        </w:tc>
        <w:tc>
          <w:tcPr>
            <w:tcW w:w="4621" w:type="dxa"/>
            <w:tcBorders>
              <w:top w:val="single" w:sz="12" w:space="0" w:color="auto"/>
              <w:left w:val="nil"/>
              <w:bottom w:val="nil"/>
              <w:right w:val="nil"/>
            </w:tcBorders>
            <w:shd w:val="clear" w:color="auto" w:fill="auto"/>
            <w:hideMark/>
          </w:tcPr>
          <w:p w14:paraId="6ED560F0" w14:textId="77777777" w:rsidR="0070496D" w:rsidRPr="00EB5EDA" w:rsidRDefault="0070496D" w:rsidP="00612357">
            <w:pPr>
              <w:pStyle w:val="Normal-pool"/>
              <w:spacing w:before="40" w:after="40"/>
              <w:rPr>
                <w:sz w:val="18"/>
                <w:szCs w:val="18"/>
                <w:lang w:val="en-GB"/>
              </w:rPr>
            </w:pPr>
            <w:r w:rsidRPr="00EB5EDA">
              <w:rPr>
                <w:sz w:val="18"/>
                <w:szCs w:val="18"/>
                <w:lang w:val="en-GB"/>
              </w:rPr>
              <w:t>Amalgams of precious metals; etc.</w:t>
            </w:r>
          </w:p>
        </w:tc>
      </w:tr>
      <w:tr w:rsidR="0070496D" w:rsidRPr="00EB5EDA" w14:paraId="00C0E931" w14:textId="77777777" w:rsidTr="00612357">
        <w:trPr>
          <w:cantSplit/>
          <w:trHeight w:val="57"/>
          <w:jc w:val="right"/>
        </w:trPr>
        <w:tc>
          <w:tcPr>
            <w:tcW w:w="1460" w:type="dxa"/>
            <w:tcBorders>
              <w:top w:val="nil"/>
              <w:left w:val="nil"/>
              <w:bottom w:val="nil"/>
              <w:right w:val="nil"/>
            </w:tcBorders>
            <w:shd w:val="clear" w:color="auto" w:fill="auto"/>
            <w:noWrap/>
            <w:hideMark/>
          </w:tcPr>
          <w:p w14:paraId="6E25E701" w14:textId="77777777" w:rsidR="0070496D" w:rsidRPr="00EB5EDA" w:rsidRDefault="0070496D" w:rsidP="00612357">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3F1BFC83" w14:textId="77777777" w:rsidR="0070496D" w:rsidRPr="00EB5EDA" w:rsidRDefault="0070496D" w:rsidP="00612357">
            <w:pPr>
              <w:pStyle w:val="Normal-pool"/>
              <w:spacing w:before="40" w:after="40"/>
              <w:jc w:val="right"/>
              <w:rPr>
                <w:sz w:val="18"/>
                <w:szCs w:val="18"/>
                <w:lang w:val="en-GB"/>
              </w:rPr>
            </w:pPr>
            <w:r w:rsidRPr="00EB5EDA">
              <w:rPr>
                <w:sz w:val="18"/>
                <w:szCs w:val="18"/>
                <w:lang w:val="en-GB"/>
              </w:rPr>
              <w:t>2843.90.00.10</w:t>
            </w:r>
          </w:p>
        </w:tc>
        <w:tc>
          <w:tcPr>
            <w:tcW w:w="4621" w:type="dxa"/>
            <w:tcBorders>
              <w:top w:val="nil"/>
              <w:left w:val="nil"/>
              <w:bottom w:val="nil"/>
              <w:right w:val="nil"/>
            </w:tcBorders>
            <w:shd w:val="clear" w:color="auto" w:fill="E7E6E6" w:themeFill="background2"/>
            <w:hideMark/>
          </w:tcPr>
          <w:p w14:paraId="2FB2FDD7" w14:textId="77777777" w:rsidR="0070496D" w:rsidRPr="00EB5EDA" w:rsidRDefault="0070496D" w:rsidP="00612357">
            <w:pPr>
              <w:pStyle w:val="Normal-pool"/>
              <w:spacing w:before="40" w:after="40"/>
              <w:rPr>
                <w:sz w:val="18"/>
                <w:szCs w:val="18"/>
                <w:lang w:val="en-GB"/>
              </w:rPr>
            </w:pPr>
            <w:r w:rsidRPr="00EB5EDA">
              <w:rPr>
                <w:sz w:val="18"/>
                <w:szCs w:val="18"/>
                <w:lang w:val="en-GB"/>
              </w:rPr>
              <w:t>Amalgams [containing mercury] of precious metals in capsule or other form for dental use</w:t>
            </w:r>
          </w:p>
        </w:tc>
      </w:tr>
      <w:tr w:rsidR="0070496D" w:rsidRPr="00EB5EDA" w14:paraId="48EA37FF" w14:textId="77777777" w:rsidTr="00612357">
        <w:trPr>
          <w:cantSplit/>
          <w:trHeight w:val="57"/>
          <w:jc w:val="right"/>
        </w:trPr>
        <w:tc>
          <w:tcPr>
            <w:tcW w:w="1460" w:type="dxa"/>
            <w:tcBorders>
              <w:top w:val="nil"/>
              <w:left w:val="nil"/>
              <w:bottom w:val="nil"/>
              <w:right w:val="nil"/>
            </w:tcBorders>
            <w:shd w:val="clear" w:color="auto" w:fill="auto"/>
            <w:noWrap/>
            <w:hideMark/>
          </w:tcPr>
          <w:p w14:paraId="03BEA63D" w14:textId="77777777" w:rsidR="0070496D" w:rsidRPr="00EB5EDA" w:rsidRDefault="0070496D" w:rsidP="00612357">
            <w:pPr>
              <w:pStyle w:val="Normal-pool"/>
              <w:spacing w:before="40" w:after="40"/>
              <w:jc w:val="right"/>
              <w:rPr>
                <w:sz w:val="18"/>
                <w:szCs w:val="18"/>
                <w:lang w:val="en-GB"/>
              </w:rPr>
            </w:pPr>
          </w:p>
        </w:tc>
        <w:tc>
          <w:tcPr>
            <w:tcW w:w="2226" w:type="dxa"/>
            <w:tcBorders>
              <w:top w:val="nil"/>
              <w:left w:val="nil"/>
              <w:bottom w:val="nil"/>
              <w:right w:val="nil"/>
            </w:tcBorders>
            <w:shd w:val="clear" w:color="auto" w:fill="E7E6E6" w:themeFill="background2"/>
            <w:noWrap/>
            <w:hideMark/>
          </w:tcPr>
          <w:p w14:paraId="43FC36CC" w14:textId="77777777" w:rsidR="0070496D" w:rsidRPr="00EB5EDA" w:rsidRDefault="0070496D" w:rsidP="00612357">
            <w:pPr>
              <w:pStyle w:val="Normal-pool"/>
              <w:spacing w:before="40" w:after="40"/>
              <w:jc w:val="right"/>
              <w:rPr>
                <w:sz w:val="18"/>
                <w:szCs w:val="18"/>
                <w:lang w:val="en-GB"/>
              </w:rPr>
            </w:pPr>
            <w:r w:rsidRPr="00EB5EDA">
              <w:rPr>
                <w:sz w:val="18"/>
                <w:szCs w:val="18"/>
                <w:lang w:val="en-GB"/>
              </w:rPr>
              <w:t>2843.90.00.90</w:t>
            </w:r>
          </w:p>
        </w:tc>
        <w:tc>
          <w:tcPr>
            <w:tcW w:w="4621" w:type="dxa"/>
            <w:tcBorders>
              <w:top w:val="nil"/>
              <w:left w:val="nil"/>
              <w:bottom w:val="nil"/>
              <w:right w:val="nil"/>
            </w:tcBorders>
            <w:shd w:val="clear" w:color="auto" w:fill="E7E6E6" w:themeFill="background2"/>
            <w:hideMark/>
          </w:tcPr>
          <w:p w14:paraId="3DCEFDC5" w14:textId="77777777" w:rsidR="0070496D" w:rsidRPr="00EB5EDA" w:rsidRDefault="0070496D" w:rsidP="00612357">
            <w:pPr>
              <w:pStyle w:val="Normal-pool"/>
              <w:spacing w:before="40" w:after="40"/>
              <w:rPr>
                <w:sz w:val="18"/>
                <w:szCs w:val="18"/>
                <w:lang w:val="en-GB"/>
              </w:rPr>
            </w:pPr>
            <w:r w:rsidRPr="00EB5EDA">
              <w:rPr>
                <w:sz w:val="18"/>
                <w:szCs w:val="18"/>
                <w:lang w:val="en-GB"/>
              </w:rPr>
              <w:t>Other amalgams of precious metals</w:t>
            </w:r>
          </w:p>
        </w:tc>
      </w:tr>
      <w:tr w:rsidR="0070496D" w:rsidRPr="00EB5EDA" w14:paraId="402305CB" w14:textId="77777777" w:rsidTr="00612357">
        <w:trPr>
          <w:cantSplit/>
          <w:trHeight w:val="57"/>
          <w:jc w:val="right"/>
        </w:trPr>
        <w:tc>
          <w:tcPr>
            <w:tcW w:w="1460" w:type="dxa"/>
            <w:tcBorders>
              <w:top w:val="nil"/>
              <w:left w:val="nil"/>
              <w:bottom w:val="nil"/>
              <w:right w:val="nil"/>
            </w:tcBorders>
            <w:shd w:val="clear" w:color="auto" w:fill="auto"/>
            <w:noWrap/>
            <w:hideMark/>
          </w:tcPr>
          <w:p w14:paraId="5C730BC6" w14:textId="77777777" w:rsidR="0070496D" w:rsidRPr="00EB5EDA" w:rsidRDefault="0070496D" w:rsidP="00612357">
            <w:pPr>
              <w:pStyle w:val="Normal-pool"/>
              <w:spacing w:before="40" w:after="40"/>
              <w:jc w:val="right"/>
              <w:rPr>
                <w:sz w:val="18"/>
                <w:szCs w:val="18"/>
                <w:lang w:val="en-GB"/>
              </w:rPr>
            </w:pPr>
            <w:r w:rsidRPr="00EB5EDA">
              <w:rPr>
                <w:sz w:val="18"/>
                <w:szCs w:val="18"/>
                <w:lang w:val="en-GB"/>
              </w:rPr>
              <w:t>2853.90.00</w:t>
            </w:r>
          </w:p>
        </w:tc>
        <w:tc>
          <w:tcPr>
            <w:tcW w:w="2226" w:type="dxa"/>
            <w:tcBorders>
              <w:top w:val="nil"/>
              <w:left w:val="nil"/>
              <w:bottom w:val="nil"/>
              <w:right w:val="nil"/>
            </w:tcBorders>
            <w:shd w:val="clear" w:color="auto" w:fill="auto"/>
            <w:noWrap/>
            <w:hideMark/>
          </w:tcPr>
          <w:p w14:paraId="4497987A" w14:textId="77777777" w:rsidR="0070496D" w:rsidRPr="00EB5EDA" w:rsidRDefault="0070496D" w:rsidP="00612357">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06C1493B" w14:textId="77777777" w:rsidR="0070496D" w:rsidRPr="00EB5EDA" w:rsidRDefault="0070496D" w:rsidP="00612357">
            <w:pPr>
              <w:pStyle w:val="Normal-pool"/>
              <w:spacing w:before="40" w:after="40"/>
              <w:rPr>
                <w:sz w:val="18"/>
                <w:szCs w:val="18"/>
                <w:lang w:val="en-GB"/>
              </w:rPr>
            </w:pPr>
            <w:r w:rsidRPr="00EB5EDA">
              <w:rPr>
                <w:sz w:val="18"/>
                <w:szCs w:val="18"/>
                <w:lang w:val="en-GB"/>
              </w:rPr>
              <w:t>Amalgams, other than amalgams of precious metals; etc.</w:t>
            </w:r>
          </w:p>
        </w:tc>
      </w:tr>
      <w:tr w:rsidR="0070496D" w:rsidRPr="00EB5EDA" w14:paraId="6329781B" w14:textId="77777777" w:rsidTr="00612357">
        <w:trPr>
          <w:cantSplit/>
          <w:trHeight w:val="57"/>
          <w:jc w:val="right"/>
        </w:trPr>
        <w:tc>
          <w:tcPr>
            <w:tcW w:w="1460" w:type="dxa"/>
            <w:tcBorders>
              <w:top w:val="nil"/>
              <w:left w:val="nil"/>
              <w:bottom w:val="nil"/>
              <w:right w:val="nil"/>
            </w:tcBorders>
            <w:shd w:val="clear" w:color="auto" w:fill="auto"/>
            <w:noWrap/>
            <w:hideMark/>
          </w:tcPr>
          <w:p w14:paraId="1AA220C7" w14:textId="77777777" w:rsidR="0070496D" w:rsidRPr="00EB5EDA" w:rsidRDefault="0070496D" w:rsidP="00612357">
            <w:pPr>
              <w:pStyle w:val="Normal-pool"/>
              <w:spacing w:before="40" w:after="40"/>
              <w:jc w:val="right"/>
              <w:rPr>
                <w:sz w:val="18"/>
                <w:szCs w:val="18"/>
                <w:lang w:val="en-GB"/>
              </w:rPr>
            </w:pPr>
            <w:r w:rsidRPr="00EB5EDA">
              <w:rPr>
                <w:sz w:val="18"/>
                <w:szCs w:val="18"/>
                <w:lang w:val="en-GB"/>
              </w:rPr>
              <w:t>2853.90.90</w:t>
            </w:r>
          </w:p>
        </w:tc>
        <w:tc>
          <w:tcPr>
            <w:tcW w:w="2226" w:type="dxa"/>
            <w:tcBorders>
              <w:top w:val="nil"/>
              <w:left w:val="nil"/>
              <w:bottom w:val="nil"/>
              <w:right w:val="nil"/>
            </w:tcBorders>
            <w:shd w:val="clear" w:color="auto" w:fill="auto"/>
            <w:noWrap/>
            <w:hideMark/>
          </w:tcPr>
          <w:p w14:paraId="58D03893" w14:textId="77777777" w:rsidR="0070496D" w:rsidRPr="00EB5EDA" w:rsidRDefault="0070496D" w:rsidP="00612357">
            <w:pPr>
              <w:pStyle w:val="Normal-pool"/>
              <w:spacing w:before="40" w:after="40"/>
              <w:jc w:val="right"/>
              <w:rPr>
                <w:sz w:val="18"/>
                <w:szCs w:val="18"/>
                <w:lang w:val="en-GB"/>
              </w:rPr>
            </w:pPr>
          </w:p>
        </w:tc>
        <w:tc>
          <w:tcPr>
            <w:tcW w:w="4621" w:type="dxa"/>
            <w:tcBorders>
              <w:top w:val="nil"/>
              <w:left w:val="nil"/>
              <w:bottom w:val="nil"/>
              <w:right w:val="nil"/>
            </w:tcBorders>
            <w:shd w:val="clear" w:color="auto" w:fill="auto"/>
            <w:hideMark/>
          </w:tcPr>
          <w:p w14:paraId="471747C7" w14:textId="77777777" w:rsidR="0070496D" w:rsidRPr="00EB5EDA" w:rsidRDefault="0070496D" w:rsidP="00612357">
            <w:pPr>
              <w:pStyle w:val="Normal-pool"/>
              <w:spacing w:before="40" w:after="40"/>
              <w:rPr>
                <w:sz w:val="18"/>
                <w:szCs w:val="18"/>
                <w:lang w:val="en-GB"/>
              </w:rPr>
            </w:pPr>
            <w:r w:rsidRPr="00EB5EDA">
              <w:rPr>
                <w:sz w:val="18"/>
                <w:szCs w:val="18"/>
                <w:lang w:val="en-GB"/>
              </w:rPr>
              <w:t>Other</w:t>
            </w:r>
          </w:p>
        </w:tc>
      </w:tr>
      <w:tr w:rsidR="0070496D" w:rsidRPr="00EB5EDA" w14:paraId="3F882F54" w14:textId="77777777" w:rsidTr="00612357">
        <w:trPr>
          <w:cantSplit/>
          <w:trHeight w:val="57"/>
          <w:jc w:val="right"/>
        </w:trPr>
        <w:tc>
          <w:tcPr>
            <w:tcW w:w="1460" w:type="dxa"/>
            <w:tcBorders>
              <w:top w:val="nil"/>
              <w:left w:val="nil"/>
              <w:right w:val="nil"/>
            </w:tcBorders>
            <w:shd w:val="clear" w:color="auto" w:fill="auto"/>
            <w:noWrap/>
            <w:hideMark/>
          </w:tcPr>
          <w:p w14:paraId="48F18358" w14:textId="77777777" w:rsidR="0070496D" w:rsidRPr="00EB5EDA" w:rsidRDefault="0070496D" w:rsidP="00612357">
            <w:pPr>
              <w:pStyle w:val="Normal-pool"/>
              <w:spacing w:before="40" w:after="40"/>
              <w:jc w:val="right"/>
              <w:rPr>
                <w:sz w:val="18"/>
                <w:szCs w:val="18"/>
                <w:lang w:val="en-GB"/>
              </w:rPr>
            </w:pPr>
          </w:p>
        </w:tc>
        <w:tc>
          <w:tcPr>
            <w:tcW w:w="2226" w:type="dxa"/>
            <w:tcBorders>
              <w:top w:val="nil"/>
              <w:left w:val="nil"/>
              <w:right w:val="nil"/>
            </w:tcBorders>
            <w:shd w:val="clear" w:color="auto" w:fill="E7E6E6" w:themeFill="background2"/>
            <w:noWrap/>
            <w:hideMark/>
          </w:tcPr>
          <w:p w14:paraId="74489125" w14:textId="77777777" w:rsidR="0070496D" w:rsidRPr="00EB5EDA" w:rsidRDefault="0070496D" w:rsidP="00612357">
            <w:pPr>
              <w:pStyle w:val="Normal-pool"/>
              <w:spacing w:before="40" w:after="40"/>
              <w:jc w:val="right"/>
              <w:rPr>
                <w:sz w:val="18"/>
                <w:szCs w:val="18"/>
                <w:lang w:val="en-GB"/>
              </w:rPr>
            </w:pPr>
            <w:r w:rsidRPr="00EB5EDA">
              <w:rPr>
                <w:sz w:val="18"/>
                <w:szCs w:val="18"/>
                <w:lang w:val="en-GB"/>
              </w:rPr>
              <w:t>2853.90.90.10</w:t>
            </w:r>
          </w:p>
        </w:tc>
        <w:tc>
          <w:tcPr>
            <w:tcW w:w="4621" w:type="dxa"/>
            <w:tcBorders>
              <w:top w:val="nil"/>
              <w:left w:val="nil"/>
              <w:right w:val="nil"/>
            </w:tcBorders>
            <w:shd w:val="clear" w:color="auto" w:fill="E7E6E6" w:themeFill="background2"/>
            <w:hideMark/>
          </w:tcPr>
          <w:p w14:paraId="1EF531E7" w14:textId="77777777" w:rsidR="0070496D" w:rsidRPr="00EB5EDA" w:rsidRDefault="0070496D" w:rsidP="00612357">
            <w:pPr>
              <w:pStyle w:val="Normal-pool"/>
              <w:spacing w:before="40" w:after="40"/>
              <w:rPr>
                <w:sz w:val="18"/>
                <w:szCs w:val="18"/>
                <w:lang w:val="en-GB"/>
              </w:rPr>
            </w:pPr>
            <w:r w:rsidRPr="00EB5EDA">
              <w:rPr>
                <w:sz w:val="18"/>
                <w:szCs w:val="18"/>
                <w:lang w:val="en-GB"/>
              </w:rPr>
              <w:t>Amalgams [containing mercury], other than amalgams of precious metals, in capsule or other form for dental use</w:t>
            </w:r>
          </w:p>
        </w:tc>
      </w:tr>
      <w:tr w:rsidR="0070496D" w:rsidRPr="00EB5EDA" w14:paraId="13CDE38D" w14:textId="77777777" w:rsidTr="00612357">
        <w:trPr>
          <w:cantSplit/>
          <w:trHeight w:val="57"/>
          <w:jc w:val="right"/>
        </w:trPr>
        <w:tc>
          <w:tcPr>
            <w:tcW w:w="1460" w:type="dxa"/>
            <w:tcBorders>
              <w:top w:val="nil"/>
              <w:left w:val="nil"/>
              <w:bottom w:val="single" w:sz="12" w:space="0" w:color="auto"/>
              <w:right w:val="nil"/>
            </w:tcBorders>
            <w:shd w:val="clear" w:color="auto" w:fill="auto"/>
            <w:noWrap/>
            <w:hideMark/>
          </w:tcPr>
          <w:p w14:paraId="668C7D22" w14:textId="77777777" w:rsidR="0070496D" w:rsidRPr="00EB5EDA" w:rsidRDefault="0070496D" w:rsidP="00612357">
            <w:pPr>
              <w:pStyle w:val="Normal-pool"/>
              <w:spacing w:before="40" w:after="40"/>
              <w:jc w:val="right"/>
              <w:rPr>
                <w:sz w:val="18"/>
                <w:szCs w:val="18"/>
                <w:lang w:val="en-GB"/>
              </w:rPr>
            </w:pPr>
          </w:p>
        </w:tc>
        <w:tc>
          <w:tcPr>
            <w:tcW w:w="2226" w:type="dxa"/>
            <w:tcBorders>
              <w:top w:val="nil"/>
              <w:left w:val="nil"/>
              <w:bottom w:val="single" w:sz="12" w:space="0" w:color="auto"/>
              <w:right w:val="nil"/>
            </w:tcBorders>
            <w:shd w:val="clear" w:color="auto" w:fill="E7E6E6" w:themeFill="background2"/>
            <w:noWrap/>
            <w:hideMark/>
          </w:tcPr>
          <w:p w14:paraId="36A97677" w14:textId="77777777" w:rsidR="0070496D" w:rsidRPr="00EB5EDA" w:rsidRDefault="0070496D" w:rsidP="00612357">
            <w:pPr>
              <w:pStyle w:val="Normal-pool"/>
              <w:spacing w:before="40" w:after="40"/>
              <w:jc w:val="right"/>
              <w:rPr>
                <w:sz w:val="18"/>
                <w:szCs w:val="18"/>
                <w:lang w:val="en-GB"/>
              </w:rPr>
            </w:pPr>
            <w:r w:rsidRPr="00EB5EDA">
              <w:rPr>
                <w:sz w:val="18"/>
                <w:szCs w:val="18"/>
                <w:lang w:val="en-GB"/>
              </w:rPr>
              <w:t>2853.90.90.90</w:t>
            </w:r>
          </w:p>
        </w:tc>
        <w:tc>
          <w:tcPr>
            <w:tcW w:w="4621" w:type="dxa"/>
            <w:tcBorders>
              <w:top w:val="nil"/>
              <w:left w:val="nil"/>
              <w:bottom w:val="single" w:sz="12" w:space="0" w:color="auto"/>
              <w:right w:val="nil"/>
            </w:tcBorders>
            <w:shd w:val="clear" w:color="auto" w:fill="E7E6E6" w:themeFill="background2"/>
            <w:hideMark/>
          </w:tcPr>
          <w:p w14:paraId="1E328967" w14:textId="77777777" w:rsidR="0070496D" w:rsidRPr="00EB5EDA" w:rsidRDefault="0070496D" w:rsidP="00612357">
            <w:pPr>
              <w:pStyle w:val="Normal-pool"/>
              <w:spacing w:before="40" w:after="40"/>
              <w:rPr>
                <w:sz w:val="18"/>
                <w:szCs w:val="18"/>
                <w:lang w:val="en-GB"/>
              </w:rPr>
            </w:pPr>
            <w:r w:rsidRPr="00EB5EDA">
              <w:rPr>
                <w:sz w:val="18"/>
                <w:szCs w:val="18"/>
                <w:lang w:val="en-GB"/>
              </w:rPr>
              <w:t>Other amalgams not containing precious metals</w:t>
            </w:r>
          </w:p>
        </w:tc>
      </w:tr>
    </w:tbl>
    <w:p w14:paraId="32064D01" w14:textId="77777777" w:rsidR="006727BF" w:rsidRPr="00EB5EDA" w:rsidRDefault="00571121" w:rsidP="00E3066B">
      <w:pPr>
        <w:pStyle w:val="NormalNonumber"/>
        <w:spacing w:before="60" w:after="0"/>
        <w:rPr>
          <w:b/>
          <w:sz w:val="18"/>
          <w:szCs w:val="18"/>
          <w:lang w:val="en-GB"/>
        </w:rPr>
      </w:pPr>
      <w:bookmarkStart w:id="6" w:name="_Toc74820265"/>
      <w:bookmarkStart w:id="7" w:name="_Toc74755287"/>
      <w:r w:rsidRPr="00EB5EDA">
        <w:rPr>
          <w:sz w:val="18"/>
          <w:szCs w:val="18"/>
          <w:lang w:val="en-GB"/>
        </w:rPr>
        <w:tab/>
      </w:r>
      <w:r w:rsidRPr="00EB5EDA">
        <w:rPr>
          <w:i/>
          <w:iCs/>
          <w:sz w:val="18"/>
          <w:szCs w:val="18"/>
          <w:vertAlign w:val="superscript"/>
          <w:lang w:val="en-GB"/>
        </w:rPr>
        <w:t>a</w:t>
      </w:r>
      <w:r w:rsidRPr="00EB5EDA">
        <w:rPr>
          <w:sz w:val="18"/>
          <w:szCs w:val="18"/>
          <w:lang w:val="en-GB"/>
        </w:rPr>
        <w:t xml:space="preserve"> Mercury-added thermostats used to control room temperature use a mercury-added switch to turn on and off heating and cooling equipment, and thus the switch is the sole mercury-added component of the product. Parties may therefore consider such thermostats to be included under the listing of switches and relays in annex A. On the other hand, other parties may consider such products a measuring device, in which case parties may not consider such thermostats to be included in the products listed in annex A.</w:t>
      </w:r>
    </w:p>
    <w:p w14:paraId="0C570139" w14:textId="6F7348AD" w:rsidR="00571121" w:rsidRPr="00EB5EDA" w:rsidRDefault="00571121" w:rsidP="00E3066B">
      <w:pPr>
        <w:pStyle w:val="NormalNonumber"/>
        <w:spacing w:before="60" w:after="0"/>
        <w:rPr>
          <w:sz w:val="18"/>
          <w:szCs w:val="18"/>
          <w:lang w:val="en-GB"/>
        </w:rPr>
      </w:pPr>
      <w:r w:rsidRPr="00EB5EDA">
        <w:rPr>
          <w:sz w:val="18"/>
          <w:szCs w:val="18"/>
          <w:lang w:val="en-GB"/>
        </w:rPr>
        <w:tab/>
      </w:r>
      <w:r w:rsidRPr="00EB5EDA">
        <w:rPr>
          <w:i/>
          <w:iCs/>
          <w:sz w:val="18"/>
          <w:szCs w:val="18"/>
          <w:vertAlign w:val="superscript"/>
          <w:lang w:val="en-GB"/>
        </w:rPr>
        <w:t>b</w:t>
      </w:r>
      <w:r w:rsidRPr="00EB5EDA">
        <w:rPr>
          <w:sz w:val="18"/>
          <w:szCs w:val="18"/>
          <w:lang w:val="en-GB"/>
        </w:rPr>
        <w:t xml:space="preserve"> </w:t>
      </w:r>
      <w:r w:rsidR="00EC0B32" w:rsidRPr="00EB5EDA">
        <w:rPr>
          <w:sz w:val="18"/>
          <w:szCs w:val="18"/>
          <w:lang w:val="en-GB"/>
        </w:rPr>
        <w:t>Customs codes for paint and varnishes are subdivided into those using non-aqueous or aqueous medium, etc. Further information is needed on which types of products are likely to contain mercury compounds.</w:t>
      </w:r>
    </w:p>
    <w:p w14:paraId="5C9F555D" w14:textId="15A5127E" w:rsidR="0070496D" w:rsidRPr="00EB5EDA" w:rsidRDefault="00571121" w:rsidP="00612357">
      <w:pPr>
        <w:pStyle w:val="CH1"/>
        <w:rPr>
          <w:lang w:val="en-GB"/>
        </w:rPr>
      </w:pPr>
      <w:r w:rsidRPr="00EB5EDA">
        <w:rPr>
          <w:lang w:val="en-GB"/>
        </w:rPr>
        <w:tab/>
      </w:r>
      <w:r w:rsidR="0070496D" w:rsidRPr="00EB5EDA">
        <w:rPr>
          <w:lang w:val="en-GB"/>
        </w:rPr>
        <w:t>III.</w:t>
      </w:r>
      <w:r w:rsidR="00612357" w:rsidRPr="00EB5EDA">
        <w:rPr>
          <w:lang w:val="en-GB"/>
        </w:rPr>
        <w:tab/>
      </w:r>
      <w:r w:rsidR="0070496D" w:rsidRPr="00EB5EDA">
        <w:rPr>
          <w:lang w:val="en-GB"/>
        </w:rPr>
        <w:t xml:space="preserve">Codes for mercury-added products not listed in </w:t>
      </w:r>
      <w:r w:rsidR="00FD1A2C" w:rsidRPr="00EB5EDA">
        <w:rPr>
          <w:lang w:val="en-GB"/>
        </w:rPr>
        <w:t>a</w:t>
      </w:r>
      <w:r w:rsidR="0070496D" w:rsidRPr="00EB5EDA">
        <w:rPr>
          <w:lang w:val="en-GB"/>
        </w:rPr>
        <w:t>nnex A</w:t>
      </w:r>
      <w:bookmarkEnd w:id="6"/>
      <w:bookmarkEnd w:id="7"/>
    </w:p>
    <w:p w14:paraId="679AB304" w14:textId="2ADE5A5F" w:rsidR="0070496D" w:rsidRPr="00EB5EDA" w:rsidRDefault="0070496D" w:rsidP="00612357">
      <w:pPr>
        <w:pStyle w:val="Normalnumber"/>
        <w:tabs>
          <w:tab w:val="clear" w:pos="567"/>
          <w:tab w:val="num" w:pos="624"/>
        </w:tabs>
      </w:pPr>
      <w:r w:rsidRPr="00EB5EDA">
        <w:t xml:space="preserve">Based on the submissions from the </w:t>
      </w:r>
      <w:r w:rsidR="00290F14" w:rsidRPr="00EB5EDA">
        <w:t>p</w:t>
      </w:r>
      <w:r w:rsidRPr="00EB5EDA">
        <w:t xml:space="preserve">arties and others, mercury-added products that are not listed in </w:t>
      </w:r>
      <w:r w:rsidR="00FD1A2C" w:rsidRPr="00EB5EDA">
        <w:t>a</w:t>
      </w:r>
      <w:r w:rsidRPr="00EB5EDA">
        <w:t xml:space="preserve">nnex A of the Convention have been extracted and organized in a table, which is available in </w:t>
      </w:r>
      <w:r w:rsidR="00290F14" w:rsidRPr="00EB5EDA">
        <w:t>a</w:t>
      </w:r>
      <w:r w:rsidRPr="00EB5EDA">
        <w:t>ppendix 2</w:t>
      </w:r>
      <w:r w:rsidR="00290F14" w:rsidRPr="00EB5EDA">
        <w:t>.</w:t>
      </w:r>
      <w:r w:rsidRPr="00EB5EDA">
        <w:rPr>
          <w:szCs w:val="18"/>
          <w:vertAlign w:val="superscript"/>
        </w:rPr>
        <w:footnoteReference w:id="7"/>
      </w:r>
      <w:r w:rsidR="00E3066B" w:rsidRPr="00EB5EDA">
        <w:t xml:space="preserve"> </w:t>
      </w:r>
      <w:r w:rsidRPr="00EB5EDA">
        <w:t>The list is organized in</w:t>
      </w:r>
      <w:r w:rsidR="00712479" w:rsidRPr="00EB5EDA">
        <w:t>to</w:t>
      </w:r>
      <w:r w:rsidRPr="00EB5EDA">
        <w:t xml:space="preserve"> the following categories:</w:t>
      </w:r>
    </w:p>
    <w:p w14:paraId="34D27F50" w14:textId="13B22B17" w:rsidR="0070496D" w:rsidRPr="00EB5EDA" w:rsidRDefault="00290F14" w:rsidP="00F35E0E">
      <w:pPr>
        <w:pStyle w:val="Normalnumber"/>
        <w:numPr>
          <w:ilvl w:val="1"/>
          <w:numId w:val="2"/>
        </w:numPr>
        <w:tabs>
          <w:tab w:val="clear" w:pos="567"/>
          <w:tab w:val="num" w:pos="624"/>
        </w:tabs>
        <w:ind w:firstLine="624"/>
      </w:pPr>
      <w:r w:rsidRPr="00EB5EDA">
        <w:t>M</w:t>
      </w:r>
      <w:r w:rsidR="0070496D" w:rsidRPr="00EB5EDA">
        <w:t>iscellaneous chemical products</w:t>
      </w:r>
    </w:p>
    <w:p w14:paraId="0A6AF842" w14:textId="352BCAFA" w:rsidR="0070496D" w:rsidRPr="00EB5EDA" w:rsidRDefault="00290F14" w:rsidP="00F35E0E">
      <w:pPr>
        <w:pStyle w:val="Normalnumber"/>
        <w:numPr>
          <w:ilvl w:val="1"/>
          <w:numId w:val="2"/>
        </w:numPr>
        <w:tabs>
          <w:tab w:val="clear" w:pos="567"/>
          <w:tab w:val="num" w:pos="624"/>
        </w:tabs>
        <w:ind w:firstLine="624"/>
      </w:pPr>
      <w:r w:rsidRPr="00EB5EDA">
        <w:t>B</w:t>
      </w:r>
      <w:r w:rsidR="0070496D" w:rsidRPr="00EB5EDA">
        <w:t>atteries</w:t>
      </w:r>
    </w:p>
    <w:p w14:paraId="44C2A76F" w14:textId="6C16A672" w:rsidR="0070496D" w:rsidRPr="00EB5EDA" w:rsidRDefault="00290F14" w:rsidP="00F35E0E">
      <w:pPr>
        <w:pStyle w:val="Normalnumber"/>
        <w:numPr>
          <w:ilvl w:val="1"/>
          <w:numId w:val="2"/>
        </w:numPr>
        <w:tabs>
          <w:tab w:val="clear" w:pos="567"/>
          <w:tab w:val="num" w:pos="624"/>
        </w:tabs>
        <w:ind w:firstLine="624"/>
      </w:pPr>
      <w:r w:rsidRPr="00EB5EDA">
        <w:t>E</w:t>
      </w:r>
      <w:r w:rsidR="0070496D" w:rsidRPr="00EB5EDA">
        <w:t>lectrical/electronic apparatus and equipment</w:t>
      </w:r>
    </w:p>
    <w:p w14:paraId="7A9E34A6" w14:textId="3BFC4426" w:rsidR="0070496D" w:rsidRPr="00EB5EDA" w:rsidRDefault="00290F14" w:rsidP="00F35E0E">
      <w:pPr>
        <w:pStyle w:val="Normalnumber"/>
        <w:numPr>
          <w:ilvl w:val="1"/>
          <w:numId w:val="2"/>
        </w:numPr>
        <w:tabs>
          <w:tab w:val="clear" w:pos="567"/>
          <w:tab w:val="num" w:pos="624"/>
        </w:tabs>
        <w:ind w:firstLine="624"/>
      </w:pPr>
      <w:r w:rsidRPr="00EB5EDA">
        <w:t>L</w:t>
      </w:r>
      <w:r w:rsidR="0070496D" w:rsidRPr="00EB5EDA">
        <w:t>amps</w:t>
      </w:r>
    </w:p>
    <w:p w14:paraId="2256B0A7" w14:textId="57CF2C76" w:rsidR="0070496D" w:rsidRPr="00EB5EDA" w:rsidRDefault="00290F14" w:rsidP="00F35E0E">
      <w:pPr>
        <w:pStyle w:val="Normalnumber"/>
        <w:numPr>
          <w:ilvl w:val="1"/>
          <w:numId w:val="2"/>
        </w:numPr>
        <w:tabs>
          <w:tab w:val="clear" w:pos="567"/>
          <w:tab w:val="num" w:pos="624"/>
        </w:tabs>
        <w:ind w:firstLine="624"/>
      </w:pPr>
      <w:r w:rsidRPr="00EB5EDA">
        <w:t>T</w:t>
      </w:r>
      <w:r w:rsidR="0070496D" w:rsidRPr="00EB5EDA">
        <w:t>hermionic, cold cathode or photocathode tubes and parts</w:t>
      </w:r>
    </w:p>
    <w:p w14:paraId="72C3C351" w14:textId="41E98FB9" w:rsidR="0070496D" w:rsidRPr="00EB5EDA" w:rsidRDefault="00290F14" w:rsidP="00F35E0E">
      <w:pPr>
        <w:pStyle w:val="Normalnumber"/>
        <w:numPr>
          <w:ilvl w:val="1"/>
          <w:numId w:val="2"/>
        </w:numPr>
        <w:tabs>
          <w:tab w:val="clear" w:pos="567"/>
          <w:tab w:val="num" w:pos="624"/>
        </w:tabs>
        <w:ind w:firstLine="624"/>
      </w:pPr>
      <w:r w:rsidRPr="00EB5EDA">
        <w:t>D</w:t>
      </w:r>
      <w:r w:rsidR="0070496D" w:rsidRPr="00EB5EDA">
        <w:t>iagnostic apparatus and measuring/control instruments</w:t>
      </w:r>
    </w:p>
    <w:p w14:paraId="5B28F3A9" w14:textId="472E0E2D" w:rsidR="0070496D" w:rsidRPr="00EB5EDA" w:rsidRDefault="0070496D" w:rsidP="00612357">
      <w:pPr>
        <w:pStyle w:val="Normalnumber"/>
        <w:tabs>
          <w:tab w:val="clear" w:pos="567"/>
          <w:tab w:val="num" w:pos="624"/>
        </w:tabs>
      </w:pPr>
      <w:r w:rsidRPr="00EB5EDA">
        <w:t xml:space="preserve">About half of the products in the table </w:t>
      </w:r>
      <w:r w:rsidR="00144001" w:rsidRPr="00EB5EDA">
        <w:t xml:space="preserve">are identified </w:t>
      </w:r>
      <w:r w:rsidRPr="00EB5EDA">
        <w:t xml:space="preserve">with eight-digit codes and about a dozen show ten-digit codes. All customs code submissions from </w:t>
      </w:r>
      <w:r w:rsidR="00290F14" w:rsidRPr="00EB5EDA">
        <w:t>p</w:t>
      </w:r>
      <w:r w:rsidRPr="00EB5EDA">
        <w:t xml:space="preserve">arties prior to and during </w:t>
      </w:r>
      <w:r w:rsidR="00290F14" w:rsidRPr="00EB5EDA">
        <w:t>the third meeting of the Conference of the Parties</w:t>
      </w:r>
      <w:r w:rsidRPr="00EB5EDA">
        <w:t xml:space="preserve"> have been compiled in </w:t>
      </w:r>
      <w:r w:rsidR="00290F14" w:rsidRPr="00EB5EDA">
        <w:t>a</w:t>
      </w:r>
      <w:r w:rsidRPr="00EB5EDA">
        <w:t>ppendix 1</w:t>
      </w:r>
      <w:r w:rsidR="00290F14" w:rsidRPr="00EB5EDA">
        <w:t>.</w:t>
      </w:r>
      <w:r w:rsidRPr="00EB5EDA">
        <w:t xml:space="preserve"> </w:t>
      </w:r>
    </w:p>
    <w:p w14:paraId="4D187056" w14:textId="77777777" w:rsidR="0070496D" w:rsidRPr="00EB5EDA" w:rsidRDefault="00612357" w:rsidP="002A72A8">
      <w:pPr>
        <w:pStyle w:val="CH1"/>
        <w:rPr>
          <w:lang w:val="en-GB"/>
        </w:rPr>
      </w:pPr>
      <w:bookmarkStart w:id="8" w:name="_Toc74820267"/>
      <w:bookmarkStart w:id="9" w:name="_Toc74755289"/>
      <w:r w:rsidRPr="00EB5EDA">
        <w:rPr>
          <w:lang w:val="en-GB"/>
        </w:rPr>
        <w:lastRenderedPageBreak/>
        <w:tab/>
      </w:r>
      <w:r w:rsidR="0070496D" w:rsidRPr="00EB5EDA">
        <w:rPr>
          <w:lang w:val="en-GB"/>
        </w:rPr>
        <w:t>IV.</w:t>
      </w:r>
      <w:r w:rsidRPr="00EB5EDA">
        <w:rPr>
          <w:lang w:val="en-GB"/>
        </w:rPr>
        <w:tab/>
      </w:r>
      <w:r w:rsidR="0070496D" w:rsidRPr="00EB5EDA">
        <w:rPr>
          <w:lang w:val="en-GB"/>
        </w:rPr>
        <w:t>Other measures in support of trade provisions</w:t>
      </w:r>
      <w:bookmarkEnd w:id="8"/>
      <w:bookmarkEnd w:id="9"/>
    </w:p>
    <w:p w14:paraId="3D9A7A32" w14:textId="328307DA" w:rsidR="0070496D" w:rsidRPr="00EB5EDA" w:rsidRDefault="0070496D" w:rsidP="002A72A8">
      <w:pPr>
        <w:pStyle w:val="Normalnumber"/>
        <w:keepNext/>
        <w:keepLines/>
        <w:tabs>
          <w:tab w:val="clear" w:pos="567"/>
          <w:tab w:val="num" w:pos="624"/>
        </w:tabs>
      </w:pPr>
      <w:r w:rsidRPr="00EB5EDA">
        <w:rPr>
          <w:bCs/>
        </w:rPr>
        <w:t xml:space="preserve">Customs codes may be used to </w:t>
      </w:r>
      <w:r w:rsidRPr="00EB5EDA">
        <w:t xml:space="preserve">facilitate the implementation of </w:t>
      </w:r>
      <w:r w:rsidR="00144001" w:rsidRPr="00EB5EDA">
        <w:t>a</w:t>
      </w:r>
      <w:r w:rsidRPr="00EB5EDA">
        <w:t xml:space="preserve">rticle 4 of the Convention, improve national reporting under </w:t>
      </w:r>
      <w:r w:rsidR="00144001" w:rsidRPr="00EB5EDA">
        <w:t>a</w:t>
      </w:r>
      <w:r w:rsidRPr="00EB5EDA">
        <w:t>rticle 21 and foster better communication among trading partners</w:t>
      </w:r>
      <w:r w:rsidRPr="00EB5EDA">
        <w:rPr>
          <w:bCs/>
        </w:rPr>
        <w:t xml:space="preserve">. The use </w:t>
      </w:r>
      <w:r w:rsidRPr="00EB5EDA">
        <w:t>of</w:t>
      </w:r>
      <w:r w:rsidRPr="00EB5EDA">
        <w:rPr>
          <w:bCs/>
        </w:rPr>
        <w:t xml:space="preserve"> such codes may also be supplemented with </w:t>
      </w:r>
      <w:r w:rsidRPr="00EB5EDA">
        <w:t>other</w:t>
      </w:r>
      <w:r w:rsidRPr="00EB5EDA">
        <w:rPr>
          <w:bCs/>
        </w:rPr>
        <w:t xml:space="preserve"> trade controls to help customs authorities to effectively address mercury products that, despite being listed in </w:t>
      </w:r>
      <w:r w:rsidR="00FD1A2C" w:rsidRPr="00EB5EDA">
        <w:rPr>
          <w:bCs/>
        </w:rPr>
        <w:t>a</w:t>
      </w:r>
      <w:r w:rsidRPr="00EB5EDA">
        <w:rPr>
          <w:bCs/>
        </w:rPr>
        <w:t xml:space="preserve">nnex A, may nevertheless find their </w:t>
      </w:r>
      <w:r w:rsidRPr="00EB5EDA">
        <w:t xml:space="preserve">way into a </w:t>
      </w:r>
      <w:r w:rsidR="008D7B08" w:rsidRPr="00EB5EDA">
        <w:t>p</w:t>
      </w:r>
      <w:r w:rsidRPr="00EB5EDA">
        <w:t>arty’s territory.</w:t>
      </w:r>
    </w:p>
    <w:p w14:paraId="6A4E99AB" w14:textId="67D10E89" w:rsidR="0070496D" w:rsidRPr="00EB5EDA" w:rsidRDefault="0070496D" w:rsidP="00E3066B">
      <w:pPr>
        <w:pStyle w:val="Normalnumber"/>
        <w:tabs>
          <w:tab w:val="clear" w:pos="567"/>
          <w:tab w:val="num" w:pos="624"/>
        </w:tabs>
      </w:pPr>
      <w:r w:rsidRPr="00EB5EDA">
        <w:t xml:space="preserve">The </w:t>
      </w:r>
      <w:r w:rsidR="008D7B08" w:rsidRPr="00EB5EDA">
        <w:t>s</w:t>
      </w:r>
      <w:r w:rsidRPr="00EB5EDA">
        <w:t xml:space="preserve">ecretariat has been requested to provide examples of good practices where the use of customs nomenclature codes at the national level have been supplemented by the use of other control measures or strategies for the purpose of implementing trade provisions. </w:t>
      </w:r>
    </w:p>
    <w:p w14:paraId="646A163A" w14:textId="5D1B4F58" w:rsidR="0070496D" w:rsidRPr="00EB5EDA" w:rsidRDefault="0070496D" w:rsidP="00612357">
      <w:pPr>
        <w:pStyle w:val="Normalnumber"/>
        <w:tabs>
          <w:tab w:val="clear" w:pos="567"/>
          <w:tab w:val="num" w:pos="624"/>
        </w:tabs>
      </w:pPr>
      <w:r w:rsidRPr="00EB5EDA">
        <w:t xml:space="preserve">The European Union provided the following example. The </w:t>
      </w:r>
      <w:r w:rsidR="008D7B08" w:rsidRPr="00EB5EDA">
        <w:t>c</w:t>
      </w:r>
      <w:r w:rsidRPr="00EB5EDA">
        <w:t xml:space="preserve">ombined </w:t>
      </w:r>
      <w:r w:rsidR="008D7B08" w:rsidRPr="00EB5EDA">
        <w:t>n</w:t>
      </w:r>
      <w:r w:rsidRPr="00EB5EDA">
        <w:t xml:space="preserve">omenclature (CN) established by </w:t>
      </w:r>
      <w:r w:rsidR="00910597" w:rsidRPr="00EB5EDA">
        <w:t xml:space="preserve">Council </w:t>
      </w:r>
      <w:r w:rsidRPr="00EB5EDA">
        <w:t xml:space="preserve">Regulation (EEC) No 2658/87 are usually more general and wider than the descriptions in </w:t>
      </w:r>
      <w:r w:rsidR="00FD1A2C" w:rsidRPr="00EB5EDA">
        <w:t>a</w:t>
      </w:r>
      <w:r w:rsidRPr="00EB5EDA">
        <w:t xml:space="preserve">nnex A to the Convention and </w:t>
      </w:r>
      <w:r w:rsidR="00910597" w:rsidRPr="00EB5EDA">
        <w:t>a</w:t>
      </w:r>
      <w:r w:rsidRPr="00EB5EDA">
        <w:t>nnex II to the E</w:t>
      </w:r>
      <w:r w:rsidR="00FD1A2C" w:rsidRPr="00EB5EDA">
        <w:t xml:space="preserve">uropean </w:t>
      </w:r>
      <w:r w:rsidRPr="00EB5EDA">
        <w:t>U</w:t>
      </w:r>
      <w:r w:rsidR="00FD1A2C" w:rsidRPr="00EB5EDA">
        <w:t>nion</w:t>
      </w:r>
      <w:r w:rsidRPr="00EB5EDA">
        <w:t xml:space="preserve"> </w:t>
      </w:r>
      <w:r w:rsidR="00910597" w:rsidRPr="00EB5EDA">
        <w:t>regulation on m</w:t>
      </w:r>
      <w:r w:rsidRPr="00EB5EDA">
        <w:t>ercury. The CN codes are accompanied by information on the legal regime applicable to the product</w:t>
      </w:r>
      <w:r w:rsidR="00712479" w:rsidRPr="00EB5EDA">
        <w:t xml:space="preserve"> in question</w:t>
      </w:r>
      <w:r w:rsidRPr="00EB5EDA">
        <w:t xml:space="preserve">, which may assist importers and exporters and the customs authorities of the </w:t>
      </w:r>
      <w:r w:rsidR="00712479" w:rsidRPr="00EB5EDA">
        <w:t>European Union m</w:t>
      </w:r>
      <w:r w:rsidRPr="00EB5EDA">
        <w:t xml:space="preserve">ember States to define whether the import or export of mercury-added products is allowed. This information is provided by the importer or exporter in its import or export declaration to the customs authorities and </w:t>
      </w:r>
      <w:r w:rsidR="00103456" w:rsidRPr="00EB5EDA">
        <w:t>indicates</w:t>
      </w:r>
      <w:r w:rsidRPr="00EB5EDA">
        <w:t>:</w:t>
      </w:r>
    </w:p>
    <w:p w14:paraId="54E3987E" w14:textId="33D6FF8D" w:rsidR="0070496D" w:rsidRPr="00EB5EDA" w:rsidRDefault="00571B3C" w:rsidP="00E3066B">
      <w:pPr>
        <w:pStyle w:val="Normalnumber"/>
        <w:numPr>
          <w:ilvl w:val="1"/>
          <w:numId w:val="2"/>
        </w:numPr>
        <w:tabs>
          <w:tab w:val="clear" w:pos="567"/>
          <w:tab w:val="num" w:pos="624"/>
        </w:tabs>
        <w:ind w:firstLine="624"/>
      </w:pPr>
      <w:r w:rsidRPr="00EB5EDA">
        <w:t>T</w:t>
      </w:r>
      <w:r w:rsidR="0070496D" w:rsidRPr="00EB5EDA">
        <w:t xml:space="preserve">hat the declared product is not covered by </w:t>
      </w:r>
      <w:r w:rsidR="00910597" w:rsidRPr="00EB5EDA">
        <w:t>a</w:t>
      </w:r>
      <w:r w:rsidR="0070496D" w:rsidRPr="00EB5EDA">
        <w:t xml:space="preserve">nnex II to the </w:t>
      </w:r>
      <w:r w:rsidR="00910597" w:rsidRPr="00EB5EDA">
        <w:t>European Union regulation on mercury</w:t>
      </w:r>
      <w:r w:rsidR="00910597" w:rsidRPr="00EB5EDA" w:rsidDel="00910597">
        <w:t xml:space="preserve"> </w:t>
      </w:r>
      <w:r w:rsidR="0070496D" w:rsidRPr="00EB5EDA">
        <w:t xml:space="preserve">(corresponds to </w:t>
      </w:r>
      <w:r w:rsidR="00910597" w:rsidRPr="00EB5EDA">
        <w:t>a</w:t>
      </w:r>
      <w:r w:rsidR="0070496D" w:rsidRPr="00EB5EDA">
        <w:t>nnex A to the Convention); or</w:t>
      </w:r>
    </w:p>
    <w:p w14:paraId="3A5E096B" w14:textId="5A16A1F5" w:rsidR="0070496D" w:rsidRPr="00EB5EDA" w:rsidRDefault="00571B3C" w:rsidP="00E3066B">
      <w:pPr>
        <w:pStyle w:val="Normalnumber"/>
        <w:numPr>
          <w:ilvl w:val="1"/>
          <w:numId w:val="2"/>
        </w:numPr>
        <w:tabs>
          <w:tab w:val="clear" w:pos="567"/>
          <w:tab w:val="num" w:pos="624"/>
        </w:tabs>
        <w:ind w:firstLine="624"/>
      </w:pPr>
      <w:r w:rsidRPr="00EB5EDA">
        <w:t>T</w:t>
      </w:r>
      <w:r w:rsidR="0070496D" w:rsidRPr="00EB5EDA">
        <w:t xml:space="preserve">hat the import or export of a given mercury-added product may be allowed if the purpose of the import or export is civil protection, military use, research, calibration of instrumentation or use as reference standard. </w:t>
      </w:r>
    </w:p>
    <w:p w14:paraId="449C1A13" w14:textId="77777777" w:rsidR="0070496D" w:rsidRPr="00EB5EDA" w:rsidRDefault="0070496D" w:rsidP="00612357">
      <w:pPr>
        <w:pStyle w:val="Normalnumber"/>
        <w:tabs>
          <w:tab w:val="clear" w:pos="567"/>
          <w:tab w:val="num" w:pos="624"/>
        </w:tabs>
      </w:pPr>
      <w:r w:rsidRPr="00EB5EDA">
        <w:t>If neither of these two circumstances are declared, the import or export is not allowed.</w:t>
      </w:r>
    </w:p>
    <w:p w14:paraId="33A11A54" w14:textId="3F10BF0A" w:rsidR="0070496D" w:rsidRPr="00EB5EDA" w:rsidRDefault="0070496D" w:rsidP="00612357">
      <w:pPr>
        <w:pStyle w:val="Normalnumber"/>
        <w:tabs>
          <w:tab w:val="clear" w:pos="567"/>
          <w:tab w:val="num" w:pos="624"/>
        </w:tabs>
      </w:pPr>
      <w:r w:rsidRPr="00EB5EDA">
        <w:t>Parties that do not have customs codes of more than six digits for mercury-added products can still use the list of proposed statistical codes (i.e.</w:t>
      </w:r>
      <w:r w:rsidR="00AB66C6" w:rsidRPr="00EB5EDA">
        <w:t>,</w:t>
      </w:r>
      <w:r w:rsidRPr="00EB5EDA">
        <w:t xml:space="preserve"> the ten-digit codes above). Thus, if customs officials find import or export of goods with the six-digit codes included in the list, they may request information from the importers or exporters on whether the goods are mercury-added products listed in </w:t>
      </w:r>
      <w:r w:rsidR="00290F14" w:rsidRPr="00EB5EDA">
        <w:t>a</w:t>
      </w:r>
      <w:r w:rsidRPr="00EB5EDA">
        <w:t xml:space="preserve">nnex A to the Convention. For example, if HS code 8539.31 (electric discharge lamps (other than ultraviolet lamps), fluorescent, hot cathode) is encountered, then customs officials may request information on whether they are compact fluorescent lamps for general lighting purposes </w:t>
      </w:r>
      <w:r w:rsidR="00E44FAB" w:rsidRPr="00EB5EDA">
        <w:t xml:space="preserve">less than </w:t>
      </w:r>
      <w:r w:rsidRPr="00EB5EDA">
        <w:t>30</w:t>
      </w:r>
      <w:r w:rsidR="00E3066B" w:rsidRPr="00EB5EDA">
        <w:t> </w:t>
      </w:r>
      <w:r w:rsidRPr="00EB5EDA">
        <w:t>watts with a mercury content exceeding 5 mg per lamp (i.e.</w:t>
      </w:r>
      <w:r w:rsidR="00AB66C6" w:rsidRPr="00EB5EDA">
        <w:t>,</w:t>
      </w:r>
      <w:r w:rsidRPr="00EB5EDA">
        <w:t xml:space="preserve"> the nomenclature used in </w:t>
      </w:r>
      <w:r w:rsidR="00290F14" w:rsidRPr="00EB5EDA">
        <w:t>a</w:t>
      </w:r>
      <w:r w:rsidRPr="00EB5EDA">
        <w:t>nnex A).</w:t>
      </w:r>
    </w:p>
    <w:p w14:paraId="467BD0AC" w14:textId="6E1E6D1F" w:rsidR="0070496D" w:rsidRPr="00EB5EDA" w:rsidRDefault="00612357" w:rsidP="00612357">
      <w:pPr>
        <w:pStyle w:val="CH1"/>
        <w:rPr>
          <w:lang w:val="en-GB"/>
        </w:rPr>
      </w:pPr>
      <w:bookmarkStart w:id="10" w:name="_Toc74755290"/>
      <w:bookmarkStart w:id="11" w:name="_Toc74820268"/>
      <w:bookmarkStart w:id="12" w:name="_Toc74755291"/>
      <w:bookmarkEnd w:id="10"/>
      <w:r w:rsidRPr="00EB5EDA">
        <w:rPr>
          <w:lang w:val="en-GB"/>
        </w:rPr>
        <w:tab/>
      </w:r>
      <w:r w:rsidR="0070496D" w:rsidRPr="00EB5EDA">
        <w:rPr>
          <w:lang w:val="en-GB"/>
        </w:rPr>
        <w:t>V.</w:t>
      </w:r>
      <w:r w:rsidRPr="00EB5EDA">
        <w:rPr>
          <w:lang w:val="en-GB"/>
        </w:rPr>
        <w:tab/>
      </w:r>
      <w:r w:rsidR="0070496D" w:rsidRPr="00EB5EDA">
        <w:rPr>
          <w:lang w:val="en-GB"/>
        </w:rPr>
        <w:t>Follow-up assessment of six-digit H</w:t>
      </w:r>
      <w:r w:rsidR="00290F14" w:rsidRPr="00EB5EDA">
        <w:rPr>
          <w:lang w:val="en-GB"/>
        </w:rPr>
        <w:t xml:space="preserve">armonized </w:t>
      </w:r>
      <w:r w:rsidR="0070496D" w:rsidRPr="00EB5EDA">
        <w:rPr>
          <w:lang w:val="en-GB"/>
        </w:rPr>
        <w:t>S</w:t>
      </w:r>
      <w:r w:rsidR="00290F14" w:rsidRPr="00EB5EDA">
        <w:rPr>
          <w:lang w:val="en-GB"/>
        </w:rPr>
        <w:t>ystem</w:t>
      </w:r>
      <w:r w:rsidR="0070496D" w:rsidRPr="00EB5EDA">
        <w:rPr>
          <w:lang w:val="en-GB"/>
        </w:rPr>
        <w:t xml:space="preserve"> codes</w:t>
      </w:r>
      <w:bookmarkEnd w:id="11"/>
      <w:bookmarkEnd w:id="12"/>
    </w:p>
    <w:p w14:paraId="17012D41" w14:textId="5678511F" w:rsidR="0070496D" w:rsidRPr="00EB5EDA" w:rsidRDefault="0070496D" w:rsidP="00612357">
      <w:pPr>
        <w:pStyle w:val="Normalnumber"/>
        <w:tabs>
          <w:tab w:val="clear" w:pos="567"/>
          <w:tab w:val="num" w:pos="624"/>
        </w:tabs>
      </w:pPr>
      <w:r w:rsidRPr="00EB5EDA">
        <w:t>Decision MC</w:t>
      </w:r>
      <w:r w:rsidR="00103456" w:rsidRPr="00EB5EDA">
        <w:t>-</w:t>
      </w:r>
      <w:r w:rsidRPr="00EB5EDA">
        <w:t xml:space="preserve">3/3 requests an assessment of whether the development of six-digit harmonized codes for mercury-added products would be a useful complement to the listing of possible customs codes of more than six digits. </w:t>
      </w:r>
    </w:p>
    <w:p w14:paraId="2331D721" w14:textId="3A187E7C" w:rsidR="0070496D" w:rsidRPr="00EB5EDA" w:rsidRDefault="0070496D" w:rsidP="00612357">
      <w:pPr>
        <w:pStyle w:val="Normalnumber"/>
        <w:tabs>
          <w:tab w:val="clear" w:pos="567"/>
          <w:tab w:val="num" w:pos="624"/>
        </w:tabs>
      </w:pPr>
      <w:r w:rsidRPr="00EB5EDA">
        <w:t xml:space="preserve">Using </w:t>
      </w:r>
      <w:r w:rsidR="00290F14" w:rsidRPr="00EB5EDA">
        <w:t>six</w:t>
      </w:r>
      <w:r w:rsidRPr="00EB5EDA">
        <w:t xml:space="preserve">-digit HS codes </w:t>
      </w:r>
      <w:r w:rsidR="00103456" w:rsidRPr="00EB5EDA">
        <w:t xml:space="preserve">to </w:t>
      </w:r>
      <w:r w:rsidRPr="00EB5EDA">
        <w:t>differentiat</w:t>
      </w:r>
      <w:r w:rsidR="00103456" w:rsidRPr="00EB5EDA">
        <w:t>e</w:t>
      </w:r>
      <w:r w:rsidRPr="00EB5EDA">
        <w:t xml:space="preserve"> mercury-added</w:t>
      </w:r>
      <w:r w:rsidR="00103456" w:rsidRPr="00EB5EDA">
        <w:t xml:space="preserve"> products</w:t>
      </w:r>
      <w:r w:rsidRPr="00EB5EDA">
        <w:t xml:space="preserve"> from non-mercury-added products would necessarily build on the established WCO structure and formal procedures (e.g.</w:t>
      </w:r>
      <w:r w:rsidR="00AB66C6" w:rsidRPr="00EB5EDA">
        <w:t>,</w:t>
      </w:r>
      <w:r w:rsidRPr="00EB5EDA">
        <w:t xml:space="preserve"> rules of origin, monitoring of controlled goods, etc.). In line with the formal HS practice, this approach would imply near “automatic” international harmonization, </w:t>
      </w:r>
      <w:r w:rsidR="00103456" w:rsidRPr="00EB5EDA">
        <w:t xml:space="preserve">as </w:t>
      </w:r>
      <w:r w:rsidRPr="00EB5EDA">
        <w:t xml:space="preserve">all countries using the </w:t>
      </w:r>
      <w:r w:rsidR="00712479" w:rsidRPr="00EB5EDA">
        <w:t>Harmonized S</w:t>
      </w:r>
      <w:r w:rsidRPr="00EB5EDA">
        <w:t xml:space="preserve">ystem are obliged under the WCO process to adopt the same HS codes. International harmonization could enhance collection of data (for better responding to reporting obligations) and comparisons with other </w:t>
      </w:r>
      <w:r w:rsidR="00FD1A2C" w:rsidRPr="00EB5EDA">
        <w:t>p</w:t>
      </w:r>
      <w:r w:rsidRPr="00EB5EDA">
        <w:t>arties, including data cross-checking between imports and exports.</w:t>
      </w:r>
    </w:p>
    <w:p w14:paraId="4A16CF86" w14:textId="37265100" w:rsidR="0070496D" w:rsidRPr="00EB5EDA" w:rsidRDefault="00103456" w:rsidP="00612357">
      <w:pPr>
        <w:pStyle w:val="Normalnumber"/>
        <w:tabs>
          <w:tab w:val="clear" w:pos="567"/>
          <w:tab w:val="num" w:pos="624"/>
        </w:tabs>
      </w:pPr>
      <w:r w:rsidRPr="00EB5EDA">
        <w:t>S</w:t>
      </w:r>
      <w:r w:rsidR="00FD1A2C" w:rsidRPr="00EB5EDA">
        <w:t>ix</w:t>
      </w:r>
      <w:r w:rsidR="0070496D" w:rsidRPr="00EB5EDA">
        <w:t xml:space="preserve">-digit HS codes are currently being used in at least one multilateral environmental agreement. In collaboration with WCO, a number of </w:t>
      </w:r>
      <w:r w:rsidR="00FD1A2C" w:rsidRPr="00EB5EDA">
        <w:t>six</w:t>
      </w:r>
      <w:r w:rsidR="0070496D" w:rsidRPr="00EB5EDA">
        <w:t xml:space="preserve">-digit HS codes were developed in support of the Montreal Protocol in order to help </w:t>
      </w:r>
      <w:r w:rsidRPr="00EB5EDA">
        <w:t>G</w:t>
      </w:r>
      <w:r w:rsidR="0070496D" w:rsidRPr="00EB5EDA">
        <w:t>overnments track trade in ozone</w:t>
      </w:r>
      <w:r w:rsidRPr="00EB5EDA">
        <w:t>-</w:t>
      </w:r>
      <w:r w:rsidR="0070496D" w:rsidRPr="00EB5EDA">
        <w:t>depleting substances</w:t>
      </w:r>
      <w:r w:rsidRPr="00EB5EDA">
        <w:t>;</w:t>
      </w:r>
      <w:r w:rsidR="0070496D" w:rsidRPr="00EB5EDA">
        <w:t xml:space="preserve"> </w:t>
      </w:r>
      <w:r w:rsidRPr="00EB5EDA">
        <w:t>h</w:t>
      </w:r>
      <w:r w:rsidR="0070496D" w:rsidRPr="00EB5EDA">
        <w:t>owever, it is necessary to understand and plan for the time required to follow the formal WCO procedure</w:t>
      </w:r>
      <w:r w:rsidR="00887BE9" w:rsidRPr="00EB5EDA">
        <w:t xml:space="preserve"> and</w:t>
      </w:r>
      <w:r w:rsidR="0070496D" w:rsidRPr="00EB5EDA">
        <w:t xml:space="preserve"> the likelihood of WCO pursuing </w:t>
      </w:r>
      <w:r w:rsidR="00712479" w:rsidRPr="00EB5EDA">
        <w:t xml:space="preserve">the development of </w:t>
      </w:r>
      <w:r w:rsidR="0070496D" w:rsidRPr="00EB5EDA">
        <w:t xml:space="preserve">such codes, as well as the technical meetings that would need to precede such an effort. </w:t>
      </w:r>
    </w:p>
    <w:p w14:paraId="68242CE8" w14:textId="3AF899F0" w:rsidR="0070496D" w:rsidRPr="00EB5EDA" w:rsidRDefault="0070496D" w:rsidP="00612357">
      <w:pPr>
        <w:pStyle w:val="Normalnumber"/>
        <w:tabs>
          <w:tab w:val="clear" w:pos="567"/>
          <w:tab w:val="num" w:pos="624"/>
        </w:tabs>
      </w:pPr>
      <w:r w:rsidRPr="00EB5EDA">
        <w:t xml:space="preserve">Regarding timing issues, WCO has a formal process for creating and amending </w:t>
      </w:r>
      <w:r w:rsidR="00FD1A2C" w:rsidRPr="00EB5EDA">
        <w:t>six</w:t>
      </w:r>
      <w:r w:rsidRPr="00EB5EDA">
        <w:t xml:space="preserve">-digit HS codes, which operates on a </w:t>
      </w:r>
      <w:r w:rsidR="00FD1A2C" w:rsidRPr="00EB5EDA">
        <w:t>five</w:t>
      </w:r>
      <w:r w:rsidRPr="00EB5EDA">
        <w:t xml:space="preserve">-year cycle for proposal, review, approval and implementation. For example, because the sixth Harmonized System review cycle is targeting January 2022 for entry into force, the earliest possible year for adopting </w:t>
      </w:r>
      <w:r w:rsidR="00FD1A2C" w:rsidRPr="00EB5EDA">
        <w:t>six</w:t>
      </w:r>
      <w:r w:rsidRPr="00EB5EDA">
        <w:t xml:space="preserve">-digit HS codes for differentiating mercury-added </w:t>
      </w:r>
      <w:r w:rsidR="00887BE9" w:rsidRPr="00EB5EDA">
        <w:t xml:space="preserve">products </w:t>
      </w:r>
      <w:r w:rsidRPr="00EB5EDA">
        <w:t xml:space="preserve">from non-mercury-added products would be 2027. As such, the WCO process does not appear to be sufficiently dynamic to readily accommodate future amendments to </w:t>
      </w:r>
      <w:r w:rsidR="00FD1A2C" w:rsidRPr="00EB5EDA">
        <w:t>a</w:t>
      </w:r>
      <w:r w:rsidRPr="00EB5EDA">
        <w:t>nnex A, should there be any.</w:t>
      </w:r>
    </w:p>
    <w:p w14:paraId="4EDBA955" w14:textId="3A2219B4" w:rsidR="0070496D" w:rsidRPr="00EB5EDA" w:rsidRDefault="0070496D" w:rsidP="002A72A8">
      <w:pPr>
        <w:pStyle w:val="Normalnumber"/>
        <w:keepNext/>
        <w:keepLines/>
        <w:tabs>
          <w:tab w:val="clear" w:pos="567"/>
          <w:tab w:val="num" w:pos="624"/>
        </w:tabs>
      </w:pPr>
      <w:r w:rsidRPr="00EB5EDA">
        <w:lastRenderedPageBreak/>
        <w:t xml:space="preserve">To take a specific example, in April/May 2017, the Conference of the Parties to the Rotterdam Convention </w:t>
      </w:r>
      <w:r w:rsidR="00910597" w:rsidRPr="00EB5EDA">
        <w:t xml:space="preserve">on the Prior Informed Consent Procedure for Certain Hazardous Chemicals and Pesticides in International Trade </w:t>
      </w:r>
      <w:r w:rsidRPr="00EB5EDA">
        <w:t xml:space="preserve">decided to amend </w:t>
      </w:r>
      <w:r w:rsidR="00910597" w:rsidRPr="00EB5EDA">
        <w:t>a</w:t>
      </w:r>
      <w:r w:rsidRPr="00EB5EDA">
        <w:t xml:space="preserve">nnex III to the </w:t>
      </w:r>
      <w:r w:rsidR="00910597" w:rsidRPr="00EB5EDA">
        <w:t xml:space="preserve">Rotterdam </w:t>
      </w:r>
      <w:r w:rsidRPr="00EB5EDA">
        <w:t xml:space="preserve">Convention to list certain industrial chemicals. In November 2017, the </w:t>
      </w:r>
      <w:r w:rsidR="00910597" w:rsidRPr="00EB5EDA">
        <w:t>s</w:t>
      </w:r>
      <w:r w:rsidRPr="00EB5EDA">
        <w:t xml:space="preserve">ecretariat </w:t>
      </w:r>
      <w:r w:rsidR="00910597" w:rsidRPr="00EB5EDA">
        <w:t xml:space="preserve">of the Basel, Rotterdam and Stockholm conventions </w:t>
      </w:r>
      <w:r w:rsidRPr="00EB5EDA">
        <w:t>proposed that WCO assign separate customs codes to th</w:t>
      </w:r>
      <w:r w:rsidR="00255951" w:rsidRPr="00EB5EDA">
        <w:t>o</w:t>
      </w:r>
      <w:r w:rsidRPr="00EB5EDA">
        <w:t xml:space="preserve">se chemicals and, in the same month, the Harmonized System Review Sub-Committee began to discuss the proposal. In November 2018, the </w:t>
      </w:r>
      <w:r w:rsidR="00910597" w:rsidRPr="00EB5EDA">
        <w:t>Review Sub-Committee</w:t>
      </w:r>
      <w:r w:rsidRPr="00EB5EDA">
        <w:t xml:space="preserve"> agreed to amendments for these chemicals and forwarded them to the Harmonized System Committee for possible adoption. In March 2019, the Harmonized System Committee agreed to provisionally adopt the amendments, which were submitted for final adoption by the WCO Council in June 2019. The</w:t>
      </w:r>
      <w:r w:rsidR="00255951" w:rsidRPr="00EB5EDA">
        <w:t>y</w:t>
      </w:r>
      <w:r w:rsidRPr="00EB5EDA">
        <w:t xml:space="preserve"> will be included in the 2022 edition of the Harmonized Commodity Description and Coding System and enter into force on 1 January 2022.</w:t>
      </w:r>
    </w:p>
    <w:p w14:paraId="5BFBEEAE" w14:textId="65684EDC" w:rsidR="0070496D" w:rsidRPr="00EB5EDA" w:rsidRDefault="0070496D" w:rsidP="00612357">
      <w:pPr>
        <w:pStyle w:val="Normalnumber"/>
        <w:tabs>
          <w:tab w:val="clear" w:pos="567"/>
          <w:tab w:val="num" w:pos="624"/>
        </w:tabs>
      </w:pPr>
      <w:r w:rsidRPr="00EB5EDA">
        <w:t xml:space="preserve">In addition, the trade volumes of certain products are a critical factor in the decision of WCO to create new </w:t>
      </w:r>
      <w:r w:rsidR="00FD1A2C" w:rsidRPr="00EB5EDA">
        <w:t>six</w:t>
      </w:r>
      <w:r w:rsidRPr="00EB5EDA">
        <w:t xml:space="preserve">-digit subheadings. WCO generally prioritizes products where trade is significant in order to manage the functionality of the codes (the greater the number of codes included in the HS, the more complex its structure and the greater the burden for HS users). Products listed in </w:t>
      </w:r>
      <w:r w:rsidR="00910597" w:rsidRPr="00EB5EDA">
        <w:t>a</w:t>
      </w:r>
      <w:r w:rsidRPr="00EB5EDA">
        <w:t xml:space="preserve">nnex A should, by definition, </w:t>
      </w:r>
      <w:r w:rsidR="00830087" w:rsidRPr="00EB5EDA">
        <w:t xml:space="preserve">be </w:t>
      </w:r>
      <w:r w:rsidRPr="00EB5EDA">
        <w:t>very limited in their trade.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7"/>
        <w:gridCol w:w="1897"/>
        <w:gridCol w:w="1897"/>
        <w:gridCol w:w="1897"/>
        <w:gridCol w:w="1898"/>
      </w:tblGrid>
      <w:tr w:rsidR="0015442E" w:rsidRPr="00EB5EDA" w14:paraId="25BDD28B" w14:textId="77777777" w:rsidTr="0015442E">
        <w:tc>
          <w:tcPr>
            <w:tcW w:w="1897" w:type="dxa"/>
          </w:tcPr>
          <w:p w14:paraId="6B006A04" w14:textId="77777777" w:rsidR="0015442E" w:rsidRPr="00EB5EDA" w:rsidRDefault="0015442E" w:rsidP="001E0CE9">
            <w:pPr>
              <w:pStyle w:val="Normal-pool"/>
              <w:spacing w:before="520"/>
              <w:rPr>
                <w:lang w:val="en-GB"/>
              </w:rPr>
            </w:pPr>
          </w:p>
        </w:tc>
        <w:tc>
          <w:tcPr>
            <w:tcW w:w="1897" w:type="dxa"/>
          </w:tcPr>
          <w:p w14:paraId="09F00F5F" w14:textId="77777777" w:rsidR="0015442E" w:rsidRPr="00EB5EDA" w:rsidRDefault="0015442E" w:rsidP="001E0CE9">
            <w:pPr>
              <w:pStyle w:val="Normal-pool"/>
              <w:spacing w:before="520"/>
              <w:rPr>
                <w:lang w:val="en-GB"/>
              </w:rPr>
            </w:pPr>
          </w:p>
        </w:tc>
        <w:tc>
          <w:tcPr>
            <w:tcW w:w="1897" w:type="dxa"/>
            <w:tcBorders>
              <w:bottom w:val="single" w:sz="4" w:space="0" w:color="auto"/>
            </w:tcBorders>
          </w:tcPr>
          <w:p w14:paraId="598A62FC" w14:textId="77777777" w:rsidR="0015442E" w:rsidRPr="00EB5EDA" w:rsidRDefault="0015442E" w:rsidP="001E0CE9">
            <w:pPr>
              <w:pStyle w:val="Normal-pool"/>
              <w:spacing w:before="520"/>
              <w:rPr>
                <w:lang w:val="en-GB"/>
              </w:rPr>
            </w:pPr>
          </w:p>
        </w:tc>
        <w:tc>
          <w:tcPr>
            <w:tcW w:w="1897" w:type="dxa"/>
          </w:tcPr>
          <w:p w14:paraId="2D045595" w14:textId="77777777" w:rsidR="0015442E" w:rsidRPr="00EB5EDA" w:rsidRDefault="0015442E" w:rsidP="001E0CE9">
            <w:pPr>
              <w:pStyle w:val="Normal-pool"/>
              <w:spacing w:before="520"/>
              <w:rPr>
                <w:lang w:val="en-GB"/>
              </w:rPr>
            </w:pPr>
          </w:p>
        </w:tc>
        <w:tc>
          <w:tcPr>
            <w:tcW w:w="1898" w:type="dxa"/>
          </w:tcPr>
          <w:p w14:paraId="1A540E85" w14:textId="77777777" w:rsidR="0015442E" w:rsidRPr="00EB5EDA" w:rsidRDefault="0015442E" w:rsidP="001E0CE9">
            <w:pPr>
              <w:pStyle w:val="Normal-pool"/>
              <w:spacing w:before="520"/>
              <w:rPr>
                <w:lang w:val="en-GB"/>
              </w:rPr>
            </w:pPr>
          </w:p>
        </w:tc>
      </w:tr>
    </w:tbl>
    <w:p w14:paraId="7E42EA3F" w14:textId="77777777" w:rsidR="0015442E" w:rsidRPr="00EB5EDA" w:rsidRDefault="0015442E" w:rsidP="00612357">
      <w:pPr>
        <w:pStyle w:val="Normal-pool"/>
        <w:rPr>
          <w:lang w:val="en-GB"/>
        </w:rPr>
      </w:pPr>
    </w:p>
    <w:sectPr w:rsidR="0015442E" w:rsidRPr="00EB5EDA" w:rsidSect="00D67A07">
      <w:headerReference w:type="even" r:id="rId19"/>
      <w:headerReference w:type="default" r:id="rId20"/>
      <w:headerReference w:type="first" r:id="rId21"/>
      <w:footerReference w:type="first" r:id="rId22"/>
      <w:footnotePr>
        <w:numRestart w:val="eachSect"/>
      </w:footnotePr>
      <w:pgSz w:w="11906" w:h="16838" w:code="9"/>
      <w:pgMar w:top="907" w:right="992" w:bottom="1418" w:left="1418" w:header="539" w:footer="975"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55FFF" w14:textId="77777777" w:rsidR="0029660E" w:rsidRDefault="0029660E">
      <w:r>
        <w:separator/>
      </w:r>
    </w:p>
  </w:endnote>
  <w:endnote w:type="continuationSeparator" w:id="0">
    <w:p w14:paraId="72CD2F16" w14:textId="77777777" w:rsidR="0029660E" w:rsidRDefault="0029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097FC" w14:textId="77777777" w:rsidR="00E3066B" w:rsidRPr="00796B51" w:rsidRDefault="00E3066B" w:rsidP="00796B51">
    <w:pPr>
      <w:pStyle w:val="Footer-pool"/>
    </w:pPr>
    <w:r w:rsidRPr="0015442E">
      <w:rPr>
        <w:rStyle w:val="PageNumber"/>
        <w:b/>
      </w:rPr>
      <w:fldChar w:fldCharType="begin"/>
    </w:r>
    <w:r w:rsidRPr="0015442E">
      <w:rPr>
        <w:rStyle w:val="PageNumber"/>
        <w:b/>
      </w:rPr>
      <w:instrText xml:space="preserve"> PAGE </w:instrText>
    </w:r>
    <w:r w:rsidRPr="0015442E">
      <w:rPr>
        <w:rStyle w:val="PageNumber"/>
        <w:b/>
      </w:rPr>
      <w:fldChar w:fldCharType="separate"/>
    </w:r>
    <w:r w:rsidRPr="0015442E">
      <w:rPr>
        <w:rStyle w:val="PageNumber"/>
        <w:b/>
        <w:noProof/>
      </w:rPr>
      <w:t>2</w:t>
    </w:r>
    <w:r w:rsidRPr="0015442E">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A9CEC" w14:textId="77777777" w:rsidR="00E3066B" w:rsidRPr="0015442E" w:rsidRDefault="00E3066B" w:rsidP="00796B51">
    <w:pPr>
      <w:pStyle w:val="Footer-pool"/>
      <w:jc w:val="right"/>
      <w:rPr>
        <w:b w:val="0"/>
      </w:rPr>
    </w:pPr>
    <w:r w:rsidRPr="0015442E">
      <w:rPr>
        <w:rStyle w:val="PageNumber"/>
        <w:b/>
      </w:rPr>
      <w:fldChar w:fldCharType="begin"/>
    </w:r>
    <w:r w:rsidRPr="0015442E">
      <w:rPr>
        <w:rStyle w:val="PageNumber"/>
        <w:b/>
      </w:rPr>
      <w:instrText xml:space="preserve"> PAGE </w:instrText>
    </w:r>
    <w:r w:rsidRPr="0015442E">
      <w:rPr>
        <w:rStyle w:val="PageNumber"/>
        <w:b/>
      </w:rPr>
      <w:fldChar w:fldCharType="separate"/>
    </w:r>
    <w:r w:rsidRPr="0015442E">
      <w:rPr>
        <w:rStyle w:val="PageNumber"/>
        <w:b/>
        <w:noProof/>
      </w:rPr>
      <w:t>3</w:t>
    </w:r>
    <w:r w:rsidRPr="0015442E">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3619073"/>
      <w:docPartObj>
        <w:docPartGallery w:val="Page Numbers (Bottom of Page)"/>
        <w:docPartUnique/>
      </w:docPartObj>
    </w:sdtPr>
    <w:sdtEndPr>
      <w:rPr>
        <w:noProof/>
      </w:rPr>
    </w:sdtEndPr>
    <w:sdtContent>
      <w:p w14:paraId="0D24E9E6" w14:textId="60C032A7" w:rsidR="00E3066B" w:rsidRPr="0070496D" w:rsidRDefault="00E3066B" w:rsidP="006244C6">
        <w:pPr>
          <w:pStyle w:val="Normal-pool"/>
        </w:pPr>
        <w:proofErr w:type="spellStart"/>
        <w:r>
          <w:t>K2102176</w:t>
        </w:r>
        <w:proofErr w:type="spellEnd"/>
        <w:r>
          <w:tab/>
        </w:r>
        <w:r w:rsidR="00941062">
          <w:t>090921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5775023"/>
      <w:docPartObj>
        <w:docPartGallery w:val="Page Numbers (Bottom of Page)"/>
        <w:docPartUnique/>
      </w:docPartObj>
    </w:sdtPr>
    <w:sdtEndPr>
      <w:rPr>
        <w:noProof/>
      </w:rPr>
    </w:sdtEndPr>
    <w:sdtContent>
      <w:p w14:paraId="21EE007F" w14:textId="77777777" w:rsidR="00E3066B" w:rsidRPr="0070496D" w:rsidRDefault="00E3066B" w:rsidP="000A6013">
        <w:pPr>
          <w:pStyle w:val="Footer-pool"/>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DE8A9" w14:textId="77777777" w:rsidR="0029660E" w:rsidRPr="0072353B" w:rsidRDefault="0029660E" w:rsidP="00841159">
      <w:pPr>
        <w:tabs>
          <w:tab w:val="left" w:pos="624"/>
        </w:tabs>
        <w:spacing w:before="60"/>
        <w:ind w:left="624"/>
        <w:rPr>
          <w:sz w:val="18"/>
          <w:szCs w:val="18"/>
        </w:rPr>
      </w:pPr>
      <w:r w:rsidRPr="0072353B">
        <w:rPr>
          <w:sz w:val="18"/>
          <w:szCs w:val="18"/>
        </w:rPr>
        <w:separator/>
      </w:r>
    </w:p>
  </w:footnote>
  <w:footnote w:type="continuationSeparator" w:id="0">
    <w:p w14:paraId="445DC8E6" w14:textId="77777777" w:rsidR="0029660E" w:rsidRDefault="0029660E">
      <w:r>
        <w:continuationSeparator/>
      </w:r>
    </w:p>
  </w:footnote>
  <w:footnote w:id="1">
    <w:p w14:paraId="3EDB9C98" w14:textId="77777777" w:rsidR="00E3066B" w:rsidRPr="00841159" w:rsidRDefault="00E3066B" w:rsidP="00841159">
      <w:pPr>
        <w:pStyle w:val="Normal-pool"/>
        <w:tabs>
          <w:tab w:val="clear" w:pos="1247"/>
          <w:tab w:val="clear" w:pos="1814"/>
          <w:tab w:val="clear" w:pos="2381"/>
          <w:tab w:val="clear" w:pos="2948"/>
          <w:tab w:val="clear" w:pos="3515"/>
          <w:tab w:val="clear" w:pos="4082"/>
          <w:tab w:val="left" w:pos="624"/>
        </w:tabs>
        <w:spacing w:before="20" w:after="40"/>
        <w:ind w:left="1247"/>
        <w:rPr>
          <w:sz w:val="18"/>
          <w:szCs w:val="18"/>
        </w:rPr>
      </w:pPr>
      <w:r w:rsidRPr="00841159">
        <w:rPr>
          <w:rStyle w:val="FootnoteReference"/>
          <w:sz w:val="18"/>
          <w:vertAlign w:val="baseline"/>
        </w:rPr>
        <w:t>*</w:t>
      </w:r>
      <w:r w:rsidRPr="00841159">
        <w:rPr>
          <w:sz w:val="18"/>
          <w:szCs w:val="18"/>
        </w:rPr>
        <w:t xml:space="preserve"> </w:t>
      </w:r>
      <w:r w:rsidRPr="00841159">
        <w:rPr>
          <w:sz w:val="18"/>
          <w:szCs w:val="18"/>
          <w:lang w:val="en-GB"/>
        </w:rPr>
        <w:t>The resumed fourth meeting of the Conference of the Parties to the Minamata Convention on Mercury is to convene in person in Bali, Indonesia, and is tentatively scheduled for the first quarter of 2022.</w:t>
      </w:r>
    </w:p>
  </w:footnote>
  <w:footnote w:id="2">
    <w:p w14:paraId="0A1357ED" w14:textId="77777777" w:rsidR="00E3066B" w:rsidRPr="00841159" w:rsidRDefault="00E3066B" w:rsidP="00841159">
      <w:pPr>
        <w:pStyle w:val="Normal-pool"/>
        <w:tabs>
          <w:tab w:val="clear" w:pos="1247"/>
          <w:tab w:val="clear" w:pos="1814"/>
          <w:tab w:val="clear" w:pos="2381"/>
          <w:tab w:val="clear" w:pos="2948"/>
          <w:tab w:val="clear" w:pos="3515"/>
          <w:tab w:val="clear" w:pos="4082"/>
          <w:tab w:val="left" w:pos="624"/>
        </w:tabs>
        <w:spacing w:before="20" w:after="40"/>
        <w:ind w:left="1247"/>
        <w:rPr>
          <w:sz w:val="18"/>
          <w:szCs w:val="18"/>
        </w:rPr>
      </w:pPr>
      <w:r w:rsidRPr="00841159">
        <w:rPr>
          <w:sz w:val="18"/>
          <w:szCs w:val="18"/>
        </w:rPr>
        <w:t>** UNEP/MC/COP.4/1.</w:t>
      </w:r>
    </w:p>
  </w:footnote>
  <w:footnote w:id="3">
    <w:p w14:paraId="2320D75F" w14:textId="74F52C47" w:rsidR="00E3066B" w:rsidRPr="00841159" w:rsidRDefault="00E3066B" w:rsidP="00841159">
      <w:pPr>
        <w:pStyle w:val="Normal-pool"/>
        <w:tabs>
          <w:tab w:val="clear" w:pos="1247"/>
          <w:tab w:val="clear" w:pos="1814"/>
          <w:tab w:val="clear" w:pos="2381"/>
          <w:tab w:val="clear" w:pos="2948"/>
          <w:tab w:val="clear" w:pos="3515"/>
          <w:tab w:val="clear" w:pos="4082"/>
          <w:tab w:val="left" w:pos="624"/>
        </w:tabs>
        <w:spacing w:before="20" w:after="40"/>
        <w:ind w:left="1247"/>
        <w:rPr>
          <w:sz w:val="18"/>
          <w:szCs w:val="18"/>
        </w:rPr>
      </w:pPr>
      <w:r w:rsidRPr="00841159">
        <w:rPr>
          <w:rStyle w:val="FootnoteReference"/>
          <w:sz w:val="18"/>
        </w:rPr>
        <w:footnoteRef/>
      </w:r>
      <w:r w:rsidRPr="00841159">
        <w:rPr>
          <w:sz w:val="18"/>
          <w:szCs w:val="18"/>
        </w:rPr>
        <w:t xml:space="preserve"> UNEP/MC/COP.3/INF/12, as summarized in document UNEP/MC/COP.3/5.</w:t>
      </w:r>
    </w:p>
  </w:footnote>
  <w:footnote w:id="4">
    <w:p w14:paraId="3DF31ACC" w14:textId="4A200E57" w:rsidR="00E3066B" w:rsidRPr="00841159" w:rsidRDefault="00E3066B" w:rsidP="00841159">
      <w:pPr>
        <w:pStyle w:val="Normal-pool"/>
        <w:tabs>
          <w:tab w:val="clear" w:pos="1247"/>
          <w:tab w:val="clear" w:pos="1814"/>
          <w:tab w:val="clear" w:pos="2381"/>
          <w:tab w:val="clear" w:pos="2948"/>
          <w:tab w:val="clear" w:pos="3515"/>
          <w:tab w:val="clear" w:pos="4082"/>
          <w:tab w:val="left" w:pos="624"/>
        </w:tabs>
        <w:spacing w:before="20" w:after="40"/>
        <w:ind w:left="1247"/>
        <w:rPr>
          <w:rFonts w:eastAsiaTheme="minorEastAsia"/>
          <w:sz w:val="18"/>
          <w:szCs w:val="18"/>
          <w:lang w:eastAsia="ja-JP"/>
        </w:rPr>
      </w:pPr>
      <w:r w:rsidRPr="00841159">
        <w:rPr>
          <w:rStyle w:val="FootnoteReference"/>
          <w:sz w:val="18"/>
        </w:rPr>
        <w:footnoteRef/>
      </w:r>
      <w:r w:rsidRPr="00841159">
        <w:rPr>
          <w:sz w:val="18"/>
          <w:szCs w:val="18"/>
        </w:rPr>
        <w:t xml:space="preserve"> UNEP/MC/COP.3/INF/12.</w:t>
      </w:r>
    </w:p>
  </w:footnote>
  <w:footnote w:id="5">
    <w:p w14:paraId="1483DA1E" w14:textId="0075500C" w:rsidR="001D5A1F" w:rsidRPr="001D5A1F" w:rsidRDefault="001D5A1F">
      <w:pPr>
        <w:pStyle w:val="FootnoteText"/>
        <w:rPr>
          <w:lang w:val="en-GB"/>
        </w:rPr>
      </w:pPr>
      <w:r>
        <w:rPr>
          <w:rStyle w:val="FootnoteReference"/>
        </w:rPr>
        <w:footnoteRef/>
      </w:r>
      <w:r w:rsidRPr="00141E67">
        <w:rPr>
          <w:lang w:val="en-GB"/>
        </w:rPr>
        <w:t xml:space="preserve"> </w:t>
      </w:r>
      <w:r w:rsidRPr="00141E67">
        <w:rPr>
          <w:bCs/>
          <w:szCs w:val="18"/>
          <w:lang w:val="en-GB"/>
        </w:rPr>
        <w:t>UNEP/MC/COP.3/INF/12.</w:t>
      </w:r>
    </w:p>
  </w:footnote>
  <w:footnote w:id="6">
    <w:p w14:paraId="70913D72" w14:textId="5AF6DFB5" w:rsidR="00E3066B" w:rsidRPr="00841159" w:rsidRDefault="00E3066B" w:rsidP="00841159">
      <w:pPr>
        <w:pStyle w:val="Normal-pool"/>
        <w:tabs>
          <w:tab w:val="clear" w:pos="1247"/>
          <w:tab w:val="clear" w:pos="1814"/>
          <w:tab w:val="clear" w:pos="2381"/>
          <w:tab w:val="clear" w:pos="2948"/>
          <w:tab w:val="clear" w:pos="3515"/>
          <w:tab w:val="clear" w:pos="4082"/>
          <w:tab w:val="left" w:pos="624"/>
        </w:tabs>
        <w:spacing w:before="20" w:after="40"/>
        <w:ind w:left="1247"/>
        <w:rPr>
          <w:sz w:val="18"/>
          <w:szCs w:val="18"/>
        </w:rPr>
      </w:pPr>
      <w:r w:rsidRPr="00841159">
        <w:rPr>
          <w:rStyle w:val="FootnoteReference"/>
          <w:sz w:val="18"/>
        </w:rPr>
        <w:footnoteRef/>
      </w:r>
      <w:r w:rsidRPr="00841159">
        <w:rPr>
          <w:sz w:val="18"/>
          <w:szCs w:val="18"/>
        </w:rPr>
        <w:t xml:space="preserve"> </w:t>
      </w:r>
      <w:r w:rsidRPr="00841159">
        <w:rPr>
          <w:sz w:val="18"/>
          <w:szCs w:val="18"/>
          <w:lang w:val="en-GB"/>
        </w:rPr>
        <w:t>UNEP/MC/COP.4/INF/5.</w:t>
      </w:r>
    </w:p>
  </w:footnote>
  <w:footnote w:id="7">
    <w:p w14:paraId="14B0F25C" w14:textId="6BD754A6" w:rsidR="00E3066B" w:rsidRPr="00841159" w:rsidRDefault="00E3066B" w:rsidP="00841159">
      <w:pPr>
        <w:pStyle w:val="Normal-pool"/>
        <w:tabs>
          <w:tab w:val="clear" w:pos="1247"/>
          <w:tab w:val="clear" w:pos="1814"/>
          <w:tab w:val="clear" w:pos="2381"/>
          <w:tab w:val="clear" w:pos="2948"/>
          <w:tab w:val="clear" w:pos="3515"/>
          <w:tab w:val="clear" w:pos="4082"/>
          <w:tab w:val="left" w:pos="624"/>
        </w:tabs>
        <w:spacing w:before="20" w:after="40"/>
        <w:ind w:left="1247"/>
        <w:rPr>
          <w:sz w:val="18"/>
          <w:szCs w:val="18"/>
        </w:rPr>
      </w:pPr>
      <w:r w:rsidRPr="00841159">
        <w:rPr>
          <w:rStyle w:val="FootnoteReference"/>
          <w:sz w:val="18"/>
        </w:rPr>
        <w:footnoteRef/>
      </w:r>
      <w:r w:rsidRPr="00841159">
        <w:rPr>
          <w:sz w:val="18"/>
          <w:szCs w:val="18"/>
        </w:rPr>
        <w:t xml:space="preserve"> </w:t>
      </w:r>
      <w:r w:rsidRPr="00841159">
        <w:rPr>
          <w:sz w:val="18"/>
          <w:szCs w:val="18"/>
          <w:lang w:val="en-GB"/>
        </w:rPr>
        <w:t>UNEP/MC/COP.4/INF/5.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D75A3" w14:textId="0FE543A1" w:rsidR="00E3066B" w:rsidRPr="0070496D" w:rsidRDefault="00E3066B" w:rsidP="0070496D">
    <w:pPr>
      <w:pStyle w:val="Header-pool"/>
      <w:rPr>
        <w:szCs w:val="18"/>
      </w:rPr>
    </w:pPr>
    <w:r w:rsidRPr="0070496D">
      <w:rPr>
        <w:bCs/>
        <w:szCs w:val="18"/>
      </w:rPr>
      <w:t>UNEP</w:t>
    </w:r>
    <w:r w:rsidRPr="0070496D">
      <w:rPr>
        <w:szCs w:val="18"/>
      </w:rPr>
      <w:t>/MC/COP.4/27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85186" w14:textId="69603394" w:rsidR="00E3066B" w:rsidRPr="0070496D" w:rsidRDefault="00E3066B" w:rsidP="0070496D">
    <w:pPr>
      <w:pStyle w:val="Header-pool"/>
      <w:jc w:val="right"/>
      <w:rPr>
        <w:szCs w:val="18"/>
      </w:rPr>
    </w:pPr>
    <w:r w:rsidRPr="0070496D">
      <w:rPr>
        <w:bCs/>
        <w:szCs w:val="18"/>
      </w:rPr>
      <w:t>UNEP</w:t>
    </w:r>
    <w:r w:rsidRPr="0070496D">
      <w:rPr>
        <w:szCs w:val="18"/>
      </w:rPr>
      <w:t>/MC/COP.4/27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A61AA" w14:textId="0FCB9379" w:rsidR="00E3066B" w:rsidRPr="00F7542C" w:rsidRDefault="00E3066B" w:rsidP="00F7542C">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1BEEF" w14:textId="5C763BF0" w:rsidR="00E3066B" w:rsidRPr="000128B4" w:rsidRDefault="00E3066B" w:rsidP="000128B4">
    <w:pPr>
      <w:pStyle w:val="Header-pool"/>
      <w:rPr>
        <w:szCs w:val="18"/>
      </w:rPr>
    </w:pPr>
    <w:r w:rsidRPr="0070496D">
      <w:rPr>
        <w:bCs/>
        <w:szCs w:val="18"/>
      </w:rPr>
      <w:t>UNEP</w:t>
    </w:r>
    <w:r w:rsidRPr="0070496D">
      <w:rPr>
        <w:szCs w:val="18"/>
      </w:rPr>
      <w:t>/MC/</w:t>
    </w:r>
    <w:proofErr w:type="spellStart"/>
    <w:r w:rsidRPr="0070496D">
      <w:rPr>
        <w:szCs w:val="18"/>
      </w:rPr>
      <w:t>COP.4</w:t>
    </w:r>
    <w:proofErr w:type="spellEnd"/>
    <w:r w:rsidRPr="0070496D">
      <w:rPr>
        <w:szCs w:val="18"/>
      </w:rPr>
      <w:t>/27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F096E" w14:textId="3EE649EB" w:rsidR="00E3066B" w:rsidRPr="000128B4" w:rsidRDefault="00E3066B" w:rsidP="000128B4">
    <w:pPr>
      <w:pStyle w:val="Header-pool"/>
      <w:jc w:val="right"/>
      <w:rPr>
        <w:szCs w:val="18"/>
      </w:rPr>
    </w:pPr>
    <w:r w:rsidRPr="0070496D">
      <w:rPr>
        <w:bCs/>
        <w:szCs w:val="18"/>
      </w:rPr>
      <w:t>UNEP</w:t>
    </w:r>
    <w:r w:rsidRPr="0070496D">
      <w:rPr>
        <w:szCs w:val="18"/>
      </w:rPr>
      <w:t>/MC/</w:t>
    </w:r>
    <w:proofErr w:type="spellStart"/>
    <w:r w:rsidRPr="0070496D">
      <w:rPr>
        <w:szCs w:val="18"/>
      </w:rPr>
      <w:t>COP.4</w:t>
    </w:r>
    <w:proofErr w:type="spellEnd"/>
    <w:r w:rsidRPr="0070496D">
      <w:rPr>
        <w:szCs w:val="18"/>
      </w:rPr>
      <w:t>/27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14F55" w14:textId="2AA7A888" w:rsidR="00E3066B" w:rsidRPr="001611AC" w:rsidRDefault="00E3066B" w:rsidP="000A6013">
    <w:pPr>
      <w:pStyle w:val="Header-pool"/>
      <w:jc w:val="right"/>
      <w:rPr>
        <w:szCs w:val="18"/>
      </w:rPr>
    </w:pPr>
    <w:r w:rsidRPr="0070496D">
      <w:rPr>
        <w:bCs/>
        <w:szCs w:val="18"/>
      </w:rPr>
      <w:t>UNEP</w:t>
    </w:r>
    <w:r w:rsidRPr="0070496D">
      <w:rPr>
        <w:szCs w:val="18"/>
      </w:rPr>
      <w:t>/MC/COP.4/27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A66A9D"/>
    <w:multiLevelType w:val="multilevel"/>
    <w:tmpl w:val="C0FC3350"/>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Roman"/>
      <w:lvlText w:val="%5."/>
      <w:lvlJc w:val="left"/>
      <w:pPr>
        <w:tabs>
          <w:tab w:val="num" w:pos="567"/>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1" w15:restartNumberingAfterBreak="0">
    <w:nsid w:val="596A736F"/>
    <w:multiLevelType w:val="hybridMultilevel"/>
    <w:tmpl w:val="9A5078F2"/>
    <w:lvl w:ilvl="0" w:tplc="0D3C397C">
      <w:start w:val="1"/>
      <w:numFmt w:val="lowerRoman"/>
      <w:lvlText w:val="(%1)"/>
      <w:lvlJc w:val="left"/>
      <w:pPr>
        <w:ind w:left="1958" w:hanging="720"/>
      </w:pPr>
      <w:rPr>
        <w:rFonts w:hint="default"/>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2" w15:restartNumberingAfterBreak="0">
    <w:nsid w:val="5C4D506E"/>
    <w:multiLevelType w:val="hybridMultilevel"/>
    <w:tmpl w:val="07A83D16"/>
    <w:lvl w:ilvl="0" w:tplc="ECB6CBDA">
      <w:numFmt w:val="bullet"/>
      <w:lvlText w:val="•"/>
      <w:lvlJc w:val="left"/>
      <w:pPr>
        <w:ind w:left="1967" w:hanging="720"/>
      </w:pPr>
      <w:rPr>
        <w:rFonts w:ascii="Calibri" w:eastAsiaTheme="minorHAnsi" w:hAnsi="Calibri" w:cs="Calibri"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num w:numId="1">
    <w:abstractNumId w:val="0"/>
  </w:num>
  <w:num w:numId="2">
    <w:abstractNumId w:val="0"/>
  </w:num>
  <w:num w:numId="3">
    <w:abstractNumId w:val="0"/>
    <w:lvlOverride w:ilvl="0">
      <w:startOverride w:val="1"/>
      <w:lvl w:ilvl="0">
        <w:start w:val="1"/>
        <w:numFmt w:val="decimal"/>
        <w:pStyle w:val="Normalnumber"/>
        <w:lvlText w:val="%1."/>
        <w:lvlJc w:val="left"/>
        <w:pPr>
          <w:tabs>
            <w:tab w:val="num" w:pos="1134"/>
          </w:tabs>
          <w:ind w:left="1247" w:firstLine="0"/>
        </w:pPr>
        <w:rPr>
          <w:rFonts w:hint="default"/>
          <w:b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2"/>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0" w:nlCheck="1" w:checkStyle="0"/>
  <w:activeWritingStyle w:appName="MSWord" w:lang="en-US" w:vendorID="64" w:dllVersion="0" w:nlCheck="1" w:checkStyle="1"/>
  <w:activeWritingStyle w:appName="MSWord" w:lang="en-GB" w:vendorID="64" w:dllVersion="0" w:nlCheck="1" w:checkStyle="0"/>
  <w:activeWritingStyle w:appName="MSWord" w:lang="es-ES" w:vendorID="64" w:dllVersion="0" w:nlCheck="1" w:checkStyle="1"/>
  <w:activeWritingStyle w:appName="MSWord" w:lang="fr-CA"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24"/>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ADA"/>
    <w:rsid w:val="000128B4"/>
    <w:rsid w:val="000149E6"/>
    <w:rsid w:val="000247B0"/>
    <w:rsid w:val="00026997"/>
    <w:rsid w:val="00033E0B"/>
    <w:rsid w:val="00035EDE"/>
    <w:rsid w:val="00044340"/>
    <w:rsid w:val="00046757"/>
    <w:rsid w:val="000509B4"/>
    <w:rsid w:val="0006035B"/>
    <w:rsid w:val="00071886"/>
    <w:rsid w:val="000742BC"/>
    <w:rsid w:val="00082A0C"/>
    <w:rsid w:val="00083504"/>
    <w:rsid w:val="000941E5"/>
    <w:rsid w:val="000941ED"/>
    <w:rsid w:val="00095AD8"/>
    <w:rsid w:val="0009640C"/>
    <w:rsid w:val="000A6013"/>
    <w:rsid w:val="000B22A2"/>
    <w:rsid w:val="000C0F46"/>
    <w:rsid w:val="000C2A52"/>
    <w:rsid w:val="000D0733"/>
    <w:rsid w:val="000D33C0"/>
    <w:rsid w:val="000D6941"/>
    <w:rsid w:val="00102C80"/>
    <w:rsid w:val="00103456"/>
    <w:rsid w:val="001068AE"/>
    <w:rsid w:val="001202E3"/>
    <w:rsid w:val="00123699"/>
    <w:rsid w:val="0012644F"/>
    <w:rsid w:val="0013059D"/>
    <w:rsid w:val="001323B2"/>
    <w:rsid w:val="00141A55"/>
    <w:rsid w:val="00141E67"/>
    <w:rsid w:val="00144001"/>
    <w:rsid w:val="001446A3"/>
    <w:rsid w:val="00145960"/>
    <w:rsid w:val="0015442E"/>
    <w:rsid w:val="00155395"/>
    <w:rsid w:val="00160D74"/>
    <w:rsid w:val="001611AC"/>
    <w:rsid w:val="00167D02"/>
    <w:rsid w:val="00181EC8"/>
    <w:rsid w:val="00184349"/>
    <w:rsid w:val="00193DC9"/>
    <w:rsid w:val="00195E9F"/>
    <w:rsid w:val="00195F33"/>
    <w:rsid w:val="001B1617"/>
    <w:rsid w:val="001B504B"/>
    <w:rsid w:val="001B5E4A"/>
    <w:rsid w:val="001B7D42"/>
    <w:rsid w:val="001D32C8"/>
    <w:rsid w:val="001D3874"/>
    <w:rsid w:val="001D5A1F"/>
    <w:rsid w:val="001D7E75"/>
    <w:rsid w:val="001E0CE9"/>
    <w:rsid w:val="001E56D2"/>
    <w:rsid w:val="001E7D56"/>
    <w:rsid w:val="001F75DE"/>
    <w:rsid w:val="00200D58"/>
    <w:rsid w:val="002013BE"/>
    <w:rsid w:val="002063A4"/>
    <w:rsid w:val="0021145B"/>
    <w:rsid w:val="00234B59"/>
    <w:rsid w:val="00243D36"/>
    <w:rsid w:val="00247707"/>
    <w:rsid w:val="00250B6D"/>
    <w:rsid w:val="00255951"/>
    <w:rsid w:val="0026018E"/>
    <w:rsid w:val="00260799"/>
    <w:rsid w:val="00261D70"/>
    <w:rsid w:val="00275DA1"/>
    <w:rsid w:val="002768BA"/>
    <w:rsid w:val="00284841"/>
    <w:rsid w:val="00286740"/>
    <w:rsid w:val="00290F14"/>
    <w:rsid w:val="002929D8"/>
    <w:rsid w:val="0029660E"/>
    <w:rsid w:val="002A237D"/>
    <w:rsid w:val="002A4C53"/>
    <w:rsid w:val="002A72A8"/>
    <w:rsid w:val="002B0672"/>
    <w:rsid w:val="002B247F"/>
    <w:rsid w:val="002C145D"/>
    <w:rsid w:val="002C2C3E"/>
    <w:rsid w:val="002C533E"/>
    <w:rsid w:val="002D027F"/>
    <w:rsid w:val="002D7A85"/>
    <w:rsid w:val="002D7B60"/>
    <w:rsid w:val="002F4761"/>
    <w:rsid w:val="002F5C79"/>
    <w:rsid w:val="003019E2"/>
    <w:rsid w:val="0031413F"/>
    <w:rsid w:val="003148BB"/>
    <w:rsid w:val="00317976"/>
    <w:rsid w:val="00324B1A"/>
    <w:rsid w:val="00355EA9"/>
    <w:rsid w:val="003578DE"/>
    <w:rsid w:val="00362047"/>
    <w:rsid w:val="0036669D"/>
    <w:rsid w:val="00372781"/>
    <w:rsid w:val="003841FC"/>
    <w:rsid w:val="00386AB0"/>
    <w:rsid w:val="0039169B"/>
    <w:rsid w:val="00392F9C"/>
    <w:rsid w:val="00394993"/>
    <w:rsid w:val="003956A2"/>
    <w:rsid w:val="00396257"/>
    <w:rsid w:val="003963DF"/>
    <w:rsid w:val="00397EB8"/>
    <w:rsid w:val="003A1C5B"/>
    <w:rsid w:val="003A4FD0"/>
    <w:rsid w:val="003A69D1"/>
    <w:rsid w:val="003A7705"/>
    <w:rsid w:val="003A77F1"/>
    <w:rsid w:val="003B1545"/>
    <w:rsid w:val="003B2AD6"/>
    <w:rsid w:val="003B5FFF"/>
    <w:rsid w:val="003C409D"/>
    <w:rsid w:val="003C5BA6"/>
    <w:rsid w:val="003D104A"/>
    <w:rsid w:val="003D2BDF"/>
    <w:rsid w:val="003E0CC3"/>
    <w:rsid w:val="003E450C"/>
    <w:rsid w:val="003E5DA8"/>
    <w:rsid w:val="003E6F41"/>
    <w:rsid w:val="003E7DE3"/>
    <w:rsid w:val="003F06BB"/>
    <w:rsid w:val="003F0E85"/>
    <w:rsid w:val="00410C55"/>
    <w:rsid w:val="004148C2"/>
    <w:rsid w:val="00416854"/>
    <w:rsid w:val="00417725"/>
    <w:rsid w:val="00437F26"/>
    <w:rsid w:val="00444097"/>
    <w:rsid w:val="00445487"/>
    <w:rsid w:val="00454769"/>
    <w:rsid w:val="00466991"/>
    <w:rsid w:val="0047064C"/>
    <w:rsid w:val="004A2C3C"/>
    <w:rsid w:val="004A42E1"/>
    <w:rsid w:val="004A46DD"/>
    <w:rsid w:val="004B162C"/>
    <w:rsid w:val="004B614E"/>
    <w:rsid w:val="004C3DBE"/>
    <w:rsid w:val="004C5C96"/>
    <w:rsid w:val="004D06A4"/>
    <w:rsid w:val="004F1A81"/>
    <w:rsid w:val="0050052E"/>
    <w:rsid w:val="00506E71"/>
    <w:rsid w:val="005218D9"/>
    <w:rsid w:val="00536186"/>
    <w:rsid w:val="005369CB"/>
    <w:rsid w:val="00544CBB"/>
    <w:rsid w:val="00551104"/>
    <w:rsid w:val="00551AE2"/>
    <w:rsid w:val="00561676"/>
    <w:rsid w:val="00566B59"/>
    <w:rsid w:val="00567C97"/>
    <w:rsid w:val="00571121"/>
    <w:rsid w:val="00571B3C"/>
    <w:rsid w:val="00572DFD"/>
    <w:rsid w:val="0057315F"/>
    <w:rsid w:val="00576104"/>
    <w:rsid w:val="005B42A6"/>
    <w:rsid w:val="005C0340"/>
    <w:rsid w:val="005C67C8"/>
    <w:rsid w:val="005D0249"/>
    <w:rsid w:val="005D1DA1"/>
    <w:rsid w:val="005D4BD5"/>
    <w:rsid w:val="005D6E8C"/>
    <w:rsid w:val="005F100C"/>
    <w:rsid w:val="005F68DA"/>
    <w:rsid w:val="0060773B"/>
    <w:rsid w:val="00612357"/>
    <w:rsid w:val="006157B5"/>
    <w:rsid w:val="00622D02"/>
    <w:rsid w:val="006244C6"/>
    <w:rsid w:val="00626FC6"/>
    <w:rsid w:val="006277F5"/>
    <w:rsid w:val="006303B4"/>
    <w:rsid w:val="00633D3D"/>
    <w:rsid w:val="00635CF7"/>
    <w:rsid w:val="00641703"/>
    <w:rsid w:val="006431A6"/>
    <w:rsid w:val="006459F6"/>
    <w:rsid w:val="006501AD"/>
    <w:rsid w:val="00651BFA"/>
    <w:rsid w:val="006520E8"/>
    <w:rsid w:val="00654475"/>
    <w:rsid w:val="00665A4B"/>
    <w:rsid w:val="006717E6"/>
    <w:rsid w:val="006727BF"/>
    <w:rsid w:val="00673665"/>
    <w:rsid w:val="00676FE1"/>
    <w:rsid w:val="00680611"/>
    <w:rsid w:val="00692E2A"/>
    <w:rsid w:val="00696393"/>
    <w:rsid w:val="006A2B12"/>
    <w:rsid w:val="006A76F2"/>
    <w:rsid w:val="006B2CBA"/>
    <w:rsid w:val="006D4F04"/>
    <w:rsid w:val="006D7EFB"/>
    <w:rsid w:val="006E6672"/>
    <w:rsid w:val="006E6722"/>
    <w:rsid w:val="006F5276"/>
    <w:rsid w:val="007027B9"/>
    <w:rsid w:val="0070496D"/>
    <w:rsid w:val="00712479"/>
    <w:rsid w:val="00715E88"/>
    <w:rsid w:val="0072353B"/>
    <w:rsid w:val="00734CAA"/>
    <w:rsid w:val="00741321"/>
    <w:rsid w:val="00741B20"/>
    <w:rsid w:val="007455F6"/>
    <w:rsid w:val="00751150"/>
    <w:rsid w:val="0075533C"/>
    <w:rsid w:val="00757581"/>
    <w:rsid w:val="007611A0"/>
    <w:rsid w:val="0076147A"/>
    <w:rsid w:val="00762098"/>
    <w:rsid w:val="007828A5"/>
    <w:rsid w:val="007841F5"/>
    <w:rsid w:val="007868EC"/>
    <w:rsid w:val="00796B51"/>
    <w:rsid w:val="00796D3F"/>
    <w:rsid w:val="007A1683"/>
    <w:rsid w:val="007A51E2"/>
    <w:rsid w:val="007A5C12"/>
    <w:rsid w:val="007A7CB0"/>
    <w:rsid w:val="007B24F8"/>
    <w:rsid w:val="007B68A3"/>
    <w:rsid w:val="007C2541"/>
    <w:rsid w:val="007C521D"/>
    <w:rsid w:val="007D66A8"/>
    <w:rsid w:val="007E003F"/>
    <w:rsid w:val="007F7F2D"/>
    <w:rsid w:val="008164F2"/>
    <w:rsid w:val="008201A2"/>
    <w:rsid w:val="00821395"/>
    <w:rsid w:val="00824FC7"/>
    <w:rsid w:val="00830087"/>
    <w:rsid w:val="00830E26"/>
    <w:rsid w:val="00841159"/>
    <w:rsid w:val="00843576"/>
    <w:rsid w:val="00843B64"/>
    <w:rsid w:val="008441F5"/>
    <w:rsid w:val="008478FC"/>
    <w:rsid w:val="00867BFF"/>
    <w:rsid w:val="00874DB0"/>
    <w:rsid w:val="0088480A"/>
    <w:rsid w:val="00887237"/>
    <w:rsid w:val="0088757A"/>
    <w:rsid w:val="00887BE9"/>
    <w:rsid w:val="008957DD"/>
    <w:rsid w:val="00897D98"/>
    <w:rsid w:val="008A3441"/>
    <w:rsid w:val="008A6DF2"/>
    <w:rsid w:val="008A7807"/>
    <w:rsid w:val="008B276D"/>
    <w:rsid w:val="008B4CC9"/>
    <w:rsid w:val="008D789E"/>
    <w:rsid w:val="008D7B08"/>
    <w:rsid w:val="008D7C99"/>
    <w:rsid w:val="008E0FCB"/>
    <w:rsid w:val="008E2E3E"/>
    <w:rsid w:val="008F201B"/>
    <w:rsid w:val="008F5D00"/>
    <w:rsid w:val="00910597"/>
    <w:rsid w:val="0092178C"/>
    <w:rsid w:val="00930B88"/>
    <w:rsid w:val="00930E68"/>
    <w:rsid w:val="00934256"/>
    <w:rsid w:val="0094095A"/>
    <w:rsid w:val="00940DCC"/>
    <w:rsid w:val="00941062"/>
    <w:rsid w:val="0094179A"/>
    <w:rsid w:val="0094459E"/>
    <w:rsid w:val="00944DBC"/>
    <w:rsid w:val="009473C6"/>
    <w:rsid w:val="00950977"/>
    <w:rsid w:val="00951A7B"/>
    <w:rsid w:val="009564A6"/>
    <w:rsid w:val="00962471"/>
    <w:rsid w:val="00967621"/>
    <w:rsid w:val="00967E6A"/>
    <w:rsid w:val="00974540"/>
    <w:rsid w:val="00984069"/>
    <w:rsid w:val="00984A0C"/>
    <w:rsid w:val="00992DE3"/>
    <w:rsid w:val="009A03E0"/>
    <w:rsid w:val="009B4A0F"/>
    <w:rsid w:val="009C11D2"/>
    <w:rsid w:val="009C6C70"/>
    <w:rsid w:val="009D0B63"/>
    <w:rsid w:val="009D7B82"/>
    <w:rsid w:val="009E24BE"/>
    <w:rsid w:val="009E2F3F"/>
    <w:rsid w:val="009E307E"/>
    <w:rsid w:val="009E5CEE"/>
    <w:rsid w:val="00A001C6"/>
    <w:rsid w:val="00A01ACB"/>
    <w:rsid w:val="00A07870"/>
    <w:rsid w:val="00A07F19"/>
    <w:rsid w:val="00A11B9F"/>
    <w:rsid w:val="00A1348D"/>
    <w:rsid w:val="00A142E9"/>
    <w:rsid w:val="00A17A87"/>
    <w:rsid w:val="00A232EE"/>
    <w:rsid w:val="00A32F74"/>
    <w:rsid w:val="00A3546E"/>
    <w:rsid w:val="00A358D1"/>
    <w:rsid w:val="00A35EA7"/>
    <w:rsid w:val="00A4175F"/>
    <w:rsid w:val="00A44411"/>
    <w:rsid w:val="00A469FA"/>
    <w:rsid w:val="00A55B01"/>
    <w:rsid w:val="00A56B5B"/>
    <w:rsid w:val="00A603FF"/>
    <w:rsid w:val="00A657DD"/>
    <w:rsid w:val="00A666A6"/>
    <w:rsid w:val="00A675FD"/>
    <w:rsid w:val="00A706CF"/>
    <w:rsid w:val="00A71E4C"/>
    <w:rsid w:val="00A71EFB"/>
    <w:rsid w:val="00A72437"/>
    <w:rsid w:val="00A72D22"/>
    <w:rsid w:val="00A80611"/>
    <w:rsid w:val="00A81F6C"/>
    <w:rsid w:val="00A90378"/>
    <w:rsid w:val="00AA6187"/>
    <w:rsid w:val="00AB5340"/>
    <w:rsid w:val="00AB66C6"/>
    <w:rsid w:val="00AC0A89"/>
    <w:rsid w:val="00AC5CBF"/>
    <w:rsid w:val="00AC7C96"/>
    <w:rsid w:val="00AD365E"/>
    <w:rsid w:val="00AE237D"/>
    <w:rsid w:val="00AE502A"/>
    <w:rsid w:val="00AF2ADA"/>
    <w:rsid w:val="00AF7C07"/>
    <w:rsid w:val="00B04E22"/>
    <w:rsid w:val="00B11663"/>
    <w:rsid w:val="00B11FF1"/>
    <w:rsid w:val="00B12B35"/>
    <w:rsid w:val="00B22C93"/>
    <w:rsid w:val="00B27589"/>
    <w:rsid w:val="00B405B7"/>
    <w:rsid w:val="00B40CD8"/>
    <w:rsid w:val="00B4162D"/>
    <w:rsid w:val="00B52222"/>
    <w:rsid w:val="00B52657"/>
    <w:rsid w:val="00B5428A"/>
    <w:rsid w:val="00B54847"/>
    <w:rsid w:val="00B54FE7"/>
    <w:rsid w:val="00B6576E"/>
    <w:rsid w:val="00B66901"/>
    <w:rsid w:val="00B71720"/>
    <w:rsid w:val="00B71E6D"/>
    <w:rsid w:val="00B72070"/>
    <w:rsid w:val="00B737E9"/>
    <w:rsid w:val="00B73E24"/>
    <w:rsid w:val="00B779E1"/>
    <w:rsid w:val="00B849E3"/>
    <w:rsid w:val="00B8797A"/>
    <w:rsid w:val="00B91EE1"/>
    <w:rsid w:val="00B925AB"/>
    <w:rsid w:val="00BA0090"/>
    <w:rsid w:val="00BA1A67"/>
    <w:rsid w:val="00BA7128"/>
    <w:rsid w:val="00BB028D"/>
    <w:rsid w:val="00BC1C79"/>
    <w:rsid w:val="00BE5B5F"/>
    <w:rsid w:val="00BF17E5"/>
    <w:rsid w:val="00BF4BD0"/>
    <w:rsid w:val="00BF6A92"/>
    <w:rsid w:val="00C059F0"/>
    <w:rsid w:val="00C228DB"/>
    <w:rsid w:val="00C26F55"/>
    <w:rsid w:val="00C30C63"/>
    <w:rsid w:val="00C36B8B"/>
    <w:rsid w:val="00C415C1"/>
    <w:rsid w:val="00C47DBF"/>
    <w:rsid w:val="00C52AC2"/>
    <w:rsid w:val="00C552FF"/>
    <w:rsid w:val="00C558DA"/>
    <w:rsid w:val="00C55AF3"/>
    <w:rsid w:val="00C84759"/>
    <w:rsid w:val="00C86D73"/>
    <w:rsid w:val="00C90D5C"/>
    <w:rsid w:val="00CA6C7F"/>
    <w:rsid w:val="00CC10A6"/>
    <w:rsid w:val="00CC7F63"/>
    <w:rsid w:val="00CD5EB8"/>
    <w:rsid w:val="00CD7044"/>
    <w:rsid w:val="00CD7045"/>
    <w:rsid w:val="00CE08B9"/>
    <w:rsid w:val="00CE0ED5"/>
    <w:rsid w:val="00CE3103"/>
    <w:rsid w:val="00CE524C"/>
    <w:rsid w:val="00CF141F"/>
    <w:rsid w:val="00CF4777"/>
    <w:rsid w:val="00D066E9"/>
    <w:rsid w:val="00D067BB"/>
    <w:rsid w:val="00D07EDB"/>
    <w:rsid w:val="00D1352A"/>
    <w:rsid w:val="00D13873"/>
    <w:rsid w:val="00D169AF"/>
    <w:rsid w:val="00D25249"/>
    <w:rsid w:val="00D25ED8"/>
    <w:rsid w:val="00D33365"/>
    <w:rsid w:val="00D34DE9"/>
    <w:rsid w:val="00D35F94"/>
    <w:rsid w:val="00D44172"/>
    <w:rsid w:val="00D601C7"/>
    <w:rsid w:val="00D61FBB"/>
    <w:rsid w:val="00D63B8C"/>
    <w:rsid w:val="00D63D88"/>
    <w:rsid w:val="00D65163"/>
    <w:rsid w:val="00D67A07"/>
    <w:rsid w:val="00D739CC"/>
    <w:rsid w:val="00D76E06"/>
    <w:rsid w:val="00D8093D"/>
    <w:rsid w:val="00D8108C"/>
    <w:rsid w:val="00D842AE"/>
    <w:rsid w:val="00D90598"/>
    <w:rsid w:val="00D9211C"/>
    <w:rsid w:val="00D92DE0"/>
    <w:rsid w:val="00D92FEF"/>
    <w:rsid w:val="00D93A0F"/>
    <w:rsid w:val="00DA1BCA"/>
    <w:rsid w:val="00DA606E"/>
    <w:rsid w:val="00DC46FF"/>
    <w:rsid w:val="00DC5254"/>
    <w:rsid w:val="00DD1A4F"/>
    <w:rsid w:val="00DD3107"/>
    <w:rsid w:val="00DD7C2C"/>
    <w:rsid w:val="00DF16BA"/>
    <w:rsid w:val="00DF70BF"/>
    <w:rsid w:val="00E04FF0"/>
    <w:rsid w:val="00E06797"/>
    <w:rsid w:val="00E072CC"/>
    <w:rsid w:val="00E1265B"/>
    <w:rsid w:val="00E13B48"/>
    <w:rsid w:val="00E1404F"/>
    <w:rsid w:val="00E21C83"/>
    <w:rsid w:val="00E24063"/>
    <w:rsid w:val="00E24ADA"/>
    <w:rsid w:val="00E276A4"/>
    <w:rsid w:val="00E3066B"/>
    <w:rsid w:val="00E32F59"/>
    <w:rsid w:val="00E3329D"/>
    <w:rsid w:val="00E347F6"/>
    <w:rsid w:val="00E44FAB"/>
    <w:rsid w:val="00E46D9A"/>
    <w:rsid w:val="00E565FF"/>
    <w:rsid w:val="00E65388"/>
    <w:rsid w:val="00E65B48"/>
    <w:rsid w:val="00E726A7"/>
    <w:rsid w:val="00E7669C"/>
    <w:rsid w:val="00E85B7D"/>
    <w:rsid w:val="00E9121B"/>
    <w:rsid w:val="00E91D53"/>
    <w:rsid w:val="00E93812"/>
    <w:rsid w:val="00E942CC"/>
    <w:rsid w:val="00E96DA8"/>
    <w:rsid w:val="00EA0AE2"/>
    <w:rsid w:val="00EA2CF9"/>
    <w:rsid w:val="00EA39E5"/>
    <w:rsid w:val="00EA7098"/>
    <w:rsid w:val="00EB5EDA"/>
    <w:rsid w:val="00EC0B32"/>
    <w:rsid w:val="00EC5A46"/>
    <w:rsid w:val="00EC63E2"/>
    <w:rsid w:val="00EE0374"/>
    <w:rsid w:val="00EF22B3"/>
    <w:rsid w:val="00EF32DA"/>
    <w:rsid w:val="00F03B69"/>
    <w:rsid w:val="00F05C85"/>
    <w:rsid w:val="00F07A50"/>
    <w:rsid w:val="00F113DA"/>
    <w:rsid w:val="00F116A8"/>
    <w:rsid w:val="00F11AC1"/>
    <w:rsid w:val="00F21BAC"/>
    <w:rsid w:val="00F220DA"/>
    <w:rsid w:val="00F34719"/>
    <w:rsid w:val="00F35E0E"/>
    <w:rsid w:val="00F37DC8"/>
    <w:rsid w:val="00F439B3"/>
    <w:rsid w:val="00F530E7"/>
    <w:rsid w:val="00F650C3"/>
    <w:rsid w:val="00F65D85"/>
    <w:rsid w:val="00F7542C"/>
    <w:rsid w:val="00F8091E"/>
    <w:rsid w:val="00F839A2"/>
    <w:rsid w:val="00F84218"/>
    <w:rsid w:val="00F8615C"/>
    <w:rsid w:val="00F873F8"/>
    <w:rsid w:val="00F92E48"/>
    <w:rsid w:val="00F96910"/>
    <w:rsid w:val="00F969E5"/>
    <w:rsid w:val="00FA50E4"/>
    <w:rsid w:val="00FA6BB0"/>
    <w:rsid w:val="00FB49C6"/>
    <w:rsid w:val="00FB7DD2"/>
    <w:rsid w:val="00FD1A2C"/>
    <w:rsid w:val="00FD5860"/>
    <w:rsid w:val="00FD6D1F"/>
    <w:rsid w:val="00FE352D"/>
    <w:rsid w:val="00FE40EB"/>
    <w:rsid w:val="00FE4D02"/>
    <w:rsid w:val="00FE7D62"/>
    <w:rsid w:val="00FF0848"/>
    <w:rsid w:val="00FF1F87"/>
    <w:rsid w:val="00FF3819"/>
    <w:rsid w:val="00FF5C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16441"/>
  <w15:chartTrackingRefBased/>
  <w15:docId w15:val="{202ED415-803E-4C45-8AC0-ECE88C0DC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99" w:qFormat="1"/>
    <w:lsdException w:name="annotation text" w:uiPriority="99"/>
    <w:lsdException w:name="header" w:uiPriority="99"/>
    <w:lsdException w:name="footer" w:uiPriority="99"/>
    <w:lsdException w:name="caption" w:semiHidden="1" w:uiPriority="35" w:unhideWhenUsed="1" w:qFormat="1"/>
    <w:lsdException w:name="footnote reference" w:uiPriority="99" w:qFormat="1"/>
    <w:lsdException w:name="annotation reference" w:uiPriority="99"/>
    <w:lsdException w:name="Title" w:uiPriority="10"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15442E"/>
    <w:rPr>
      <w:rFonts w:eastAsia="SimSun"/>
      <w:lang w:val="en-US" w:eastAsia="zh-CN"/>
    </w:rPr>
  </w:style>
  <w:style w:type="paragraph" w:styleId="Heading1">
    <w:name w:val="heading 1"/>
    <w:basedOn w:val="Normal"/>
    <w:next w:val="Normalnumber"/>
    <w:link w:val="Heading1Char"/>
    <w:uiPriority w:val="9"/>
    <w:qFormat/>
    <w:rsid w:val="0015442E"/>
    <w:pPr>
      <w:keepNext/>
      <w:spacing w:before="240" w:after="120"/>
      <w:ind w:left="1247" w:hanging="680"/>
      <w:outlineLvl w:val="0"/>
    </w:pPr>
    <w:rPr>
      <w:b/>
      <w:sz w:val="28"/>
    </w:rPr>
  </w:style>
  <w:style w:type="paragraph" w:styleId="Heading2">
    <w:name w:val="heading 2"/>
    <w:basedOn w:val="Normal"/>
    <w:next w:val="Normalnumber"/>
    <w:link w:val="Heading2Char"/>
    <w:uiPriority w:val="9"/>
    <w:qFormat/>
    <w:rsid w:val="0015442E"/>
    <w:pPr>
      <w:keepNext/>
      <w:spacing w:before="240" w:after="120"/>
      <w:ind w:left="1247" w:hanging="680"/>
      <w:outlineLvl w:val="1"/>
    </w:pPr>
    <w:rPr>
      <w:b/>
      <w:sz w:val="24"/>
      <w:szCs w:val="24"/>
    </w:rPr>
  </w:style>
  <w:style w:type="paragraph" w:styleId="Heading3">
    <w:name w:val="heading 3"/>
    <w:basedOn w:val="Normal"/>
    <w:next w:val="Normalnumber"/>
    <w:link w:val="Heading3Char"/>
    <w:uiPriority w:val="9"/>
    <w:qFormat/>
    <w:rsid w:val="0015442E"/>
    <w:pPr>
      <w:spacing w:after="120"/>
      <w:ind w:left="1247" w:hanging="680"/>
      <w:outlineLvl w:val="2"/>
    </w:pPr>
    <w:rPr>
      <w:b/>
    </w:rPr>
  </w:style>
  <w:style w:type="paragraph" w:styleId="Heading4">
    <w:name w:val="heading 4"/>
    <w:basedOn w:val="Heading3"/>
    <w:next w:val="Normalnumber"/>
    <w:link w:val="Heading4Char"/>
    <w:uiPriority w:val="9"/>
    <w:qFormat/>
    <w:rsid w:val="0015442E"/>
    <w:pPr>
      <w:keepNext/>
      <w:outlineLvl w:val="3"/>
    </w:pPr>
  </w:style>
  <w:style w:type="paragraph" w:styleId="Heading5">
    <w:name w:val="heading 5"/>
    <w:basedOn w:val="Normal"/>
    <w:next w:val="Normal"/>
    <w:link w:val="Heading5Char"/>
    <w:uiPriority w:val="9"/>
    <w:qFormat/>
    <w:rsid w:val="0015442E"/>
    <w:pPr>
      <w:keepNext/>
      <w:outlineLvl w:val="4"/>
    </w:pPr>
    <w:rPr>
      <w:rFonts w:ascii="Univers" w:hAnsi="Univers"/>
      <w:b/>
      <w:sz w:val="24"/>
    </w:rPr>
  </w:style>
  <w:style w:type="paragraph" w:styleId="Heading6">
    <w:name w:val="heading 6"/>
    <w:basedOn w:val="Normal"/>
    <w:next w:val="Normal"/>
    <w:link w:val="Heading6Char"/>
    <w:uiPriority w:val="9"/>
    <w:qFormat/>
    <w:rsid w:val="0015442E"/>
    <w:pPr>
      <w:keepNext/>
      <w:ind w:left="578"/>
      <w:outlineLvl w:val="5"/>
    </w:pPr>
    <w:rPr>
      <w:b/>
      <w:bCs/>
      <w:sz w:val="24"/>
    </w:rPr>
  </w:style>
  <w:style w:type="paragraph" w:styleId="Heading7">
    <w:name w:val="heading 7"/>
    <w:basedOn w:val="Normal"/>
    <w:next w:val="Normal"/>
    <w:link w:val="Heading7Char"/>
    <w:uiPriority w:val="9"/>
    <w:qFormat/>
    <w:rsid w:val="0015442E"/>
    <w:pPr>
      <w:keepNext/>
      <w:widowControl w:val="0"/>
      <w:jc w:val="center"/>
      <w:outlineLvl w:val="6"/>
    </w:pPr>
    <w:rPr>
      <w:snapToGrid w:val="0"/>
      <w:u w:val="single"/>
    </w:rPr>
  </w:style>
  <w:style w:type="paragraph" w:styleId="Heading8">
    <w:name w:val="heading 8"/>
    <w:basedOn w:val="Normal"/>
    <w:next w:val="Normal"/>
    <w:link w:val="Heading8Char"/>
    <w:uiPriority w:val="9"/>
    <w:qFormat/>
    <w:rsid w:val="0015442E"/>
    <w:pPr>
      <w:keepNext/>
      <w:widowControl w:val="0"/>
      <w:tabs>
        <w:tab w:val="left" w:pos="-1440"/>
        <w:tab w:val="left" w:pos="-720"/>
        <w:tab w:val="num" w:pos="720"/>
      </w:tabs>
      <w:suppressAutoHyphens/>
      <w:ind w:left="720" w:hanging="720"/>
      <w:jc w:val="center"/>
      <w:outlineLvl w:val="7"/>
    </w:pPr>
    <w:rPr>
      <w:snapToGrid w:val="0"/>
      <w:u w:val="single"/>
    </w:rPr>
  </w:style>
  <w:style w:type="paragraph" w:styleId="Heading9">
    <w:name w:val="heading 9"/>
    <w:basedOn w:val="Normal"/>
    <w:next w:val="Normal"/>
    <w:link w:val="Heading9Char"/>
    <w:uiPriority w:val="9"/>
    <w:qFormat/>
    <w:rsid w:val="0015442E"/>
    <w:pPr>
      <w:keepNext/>
      <w:widowControl w:val="0"/>
      <w:suppressAutoHyphens/>
      <w:ind w:left="360" w:hanging="360"/>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emiHidden/>
    <w:rsid w:val="0015442E"/>
    <w:rPr>
      <w:rFonts w:ascii="Times New Roman" w:hAnsi="Times New Roman"/>
      <w:b/>
      <w:sz w:val="18"/>
    </w:rPr>
  </w:style>
  <w:style w:type="table" w:customStyle="1" w:styleId="Tabledocright">
    <w:name w:val="Table_doc_right"/>
    <w:basedOn w:val="TableNormal"/>
    <w:rsid w:val="0015442E"/>
    <w:pPr>
      <w:spacing w:before="40" w:after="40"/>
    </w:pPr>
    <w:rPr>
      <w:rFonts w:eastAsia="SimSun"/>
      <w:sz w:val="18"/>
      <w:szCs w:val="18"/>
      <w:lang w:val="fr-FR" w:eastAsia="zh-CN"/>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semiHidden/>
    <w:rsid w:val="0015442E"/>
    <w:pPr>
      <w:ind w:left="1000"/>
    </w:pPr>
    <w:rPr>
      <w:sz w:val="18"/>
      <w:szCs w:val="18"/>
    </w:rPr>
  </w:style>
  <w:style w:type="paragraph" w:styleId="TOC7">
    <w:name w:val="toc 7"/>
    <w:basedOn w:val="Normal"/>
    <w:next w:val="Normal"/>
    <w:autoRedefine/>
    <w:semiHidden/>
    <w:rsid w:val="0015442E"/>
    <w:pPr>
      <w:ind w:left="1200"/>
    </w:pPr>
    <w:rPr>
      <w:sz w:val="18"/>
      <w:szCs w:val="18"/>
    </w:rPr>
  </w:style>
  <w:style w:type="paragraph" w:styleId="TOC8">
    <w:name w:val="toc 8"/>
    <w:basedOn w:val="Normal"/>
    <w:next w:val="Normal"/>
    <w:autoRedefine/>
    <w:semiHidden/>
    <w:rsid w:val="0015442E"/>
    <w:pPr>
      <w:ind w:left="1400"/>
    </w:pPr>
    <w:rPr>
      <w:sz w:val="18"/>
      <w:szCs w:val="18"/>
    </w:rPr>
  </w:style>
  <w:style w:type="paragraph" w:styleId="TOC9">
    <w:name w:val="toc 9"/>
    <w:basedOn w:val="Normal"/>
    <w:next w:val="Normal"/>
    <w:autoRedefine/>
    <w:semiHidden/>
    <w:rsid w:val="0015442E"/>
    <w:pPr>
      <w:ind w:left="1600"/>
    </w:pPr>
    <w:rPr>
      <w:sz w:val="18"/>
      <w:szCs w:val="18"/>
    </w:rPr>
  </w:style>
  <w:style w:type="paragraph" w:customStyle="1" w:styleId="Titlefigure">
    <w:name w:val="Title_figure"/>
    <w:basedOn w:val="Titletable"/>
    <w:next w:val="NormalNonumber"/>
    <w:rsid w:val="0015442E"/>
    <w:rPr>
      <w:bCs w:val="0"/>
    </w:rPr>
  </w:style>
  <w:style w:type="paragraph" w:styleId="TableofFigures">
    <w:name w:val="table of figures"/>
    <w:basedOn w:val="Normal"/>
    <w:next w:val="Normal"/>
    <w:autoRedefine/>
    <w:semiHidden/>
    <w:rsid w:val="0015442E"/>
    <w:pPr>
      <w:ind w:left="1814" w:hanging="567"/>
    </w:pPr>
  </w:style>
  <w:style w:type="paragraph" w:customStyle="1" w:styleId="CH1">
    <w:name w:val="CH1"/>
    <w:basedOn w:val="Normal-pool"/>
    <w:next w:val="CH2"/>
    <w:qFormat/>
    <w:rsid w:val="0015442E"/>
    <w:pPr>
      <w:keepNext/>
      <w:keepLines/>
      <w:tabs>
        <w:tab w:val="right" w:pos="851"/>
      </w:tabs>
      <w:suppressAutoHyphens/>
      <w:spacing w:before="240" w:after="120"/>
      <w:ind w:left="1247" w:right="284" w:hanging="1247"/>
    </w:pPr>
    <w:rPr>
      <w:b/>
      <w:sz w:val="28"/>
      <w:szCs w:val="28"/>
    </w:rPr>
  </w:style>
  <w:style w:type="paragraph" w:customStyle="1" w:styleId="CH2">
    <w:name w:val="CH2"/>
    <w:basedOn w:val="Normal-pool"/>
    <w:next w:val="Normalnumber"/>
    <w:link w:val="CH2Char"/>
    <w:qFormat/>
    <w:rsid w:val="0015442E"/>
    <w:pPr>
      <w:keepNext/>
      <w:keepLines/>
      <w:tabs>
        <w:tab w:val="right" w:pos="851"/>
      </w:tabs>
      <w:suppressAutoHyphens/>
      <w:spacing w:before="240" w:after="120"/>
      <w:ind w:left="1247" w:right="284" w:hanging="1247"/>
    </w:pPr>
    <w:rPr>
      <w:b/>
      <w:sz w:val="24"/>
      <w:szCs w:val="24"/>
    </w:rPr>
  </w:style>
  <w:style w:type="paragraph" w:customStyle="1" w:styleId="CH3">
    <w:name w:val="CH3"/>
    <w:basedOn w:val="Normal-pool"/>
    <w:next w:val="Normalnumber"/>
    <w:qFormat/>
    <w:rsid w:val="0015442E"/>
    <w:pPr>
      <w:keepNext/>
      <w:keepLines/>
      <w:tabs>
        <w:tab w:val="right" w:pos="851"/>
      </w:tabs>
      <w:suppressAutoHyphens/>
      <w:spacing w:before="240" w:after="120"/>
      <w:ind w:left="1247" w:right="284" w:hanging="1247"/>
    </w:pPr>
    <w:rPr>
      <w:b/>
    </w:rPr>
  </w:style>
  <w:style w:type="paragraph" w:customStyle="1" w:styleId="CH4">
    <w:name w:val="CH4"/>
    <w:basedOn w:val="Normal-pool"/>
    <w:next w:val="Normalnumber"/>
    <w:rsid w:val="0015442E"/>
    <w:pPr>
      <w:keepNext/>
      <w:keepLines/>
      <w:tabs>
        <w:tab w:val="right" w:pos="851"/>
      </w:tabs>
      <w:suppressAutoHyphens/>
      <w:spacing w:before="120" w:after="120"/>
      <w:ind w:left="1247" w:right="284" w:hanging="1247"/>
    </w:pPr>
    <w:rPr>
      <w:b/>
    </w:rPr>
  </w:style>
  <w:style w:type="table" w:customStyle="1" w:styleId="Footertable">
    <w:name w:val="Footer_table"/>
    <w:basedOn w:val="TableNormal"/>
    <w:semiHidden/>
    <w:rsid w:val="0015442E"/>
    <w:rPr>
      <w:rFonts w:ascii="Arial" w:eastAsia="SimSun" w:hAnsi="Arial"/>
      <w:sz w:val="16"/>
      <w:lang w:val="fr-FR" w:eastAsia="zh-CN"/>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
    <w:next w:val="Normalnumber"/>
    <w:unhideWhenUsed/>
    <w:rsid w:val="0015442E"/>
    <w:pPr>
      <w:keepNext/>
      <w:keepLines/>
      <w:tabs>
        <w:tab w:val="right" w:pos="851"/>
        <w:tab w:val="left" w:pos="1247"/>
        <w:tab w:val="left" w:pos="1814"/>
        <w:tab w:val="left" w:pos="2381"/>
        <w:tab w:val="left" w:pos="2948"/>
        <w:tab w:val="left" w:pos="3515"/>
        <w:tab w:val="left" w:pos="4082"/>
      </w:tabs>
      <w:suppressAutoHyphens/>
      <w:spacing w:after="120"/>
      <w:ind w:left="1247" w:right="284" w:hanging="1247"/>
    </w:pPr>
    <w:rPr>
      <w:b/>
      <w:lang w:eastAsia="en-US"/>
    </w:rPr>
  </w:style>
  <w:style w:type="paragraph" w:customStyle="1" w:styleId="Footerpool">
    <w:name w:val="Footer_pool"/>
    <w:basedOn w:val="Normal"/>
    <w:next w:val="Normal"/>
    <w:semiHidden/>
    <w:rsid w:val="0015442E"/>
    <w:pPr>
      <w:tabs>
        <w:tab w:val="left" w:pos="4321"/>
        <w:tab w:val="right" w:pos="8641"/>
      </w:tabs>
      <w:spacing w:before="60" w:after="120"/>
    </w:pPr>
    <w:rPr>
      <w:b/>
      <w:sz w:val="18"/>
    </w:rPr>
  </w:style>
  <w:style w:type="paragraph" w:customStyle="1" w:styleId="Headerpool">
    <w:name w:val="Header_pool"/>
    <w:basedOn w:val="Normal"/>
    <w:next w:val="Normal"/>
    <w:semiHidden/>
    <w:rsid w:val="0015442E"/>
    <w:pPr>
      <w:pBdr>
        <w:bottom w:val="single" w:sz="4" w:space="1" w:color="auto"/>
      </w:pBdr>
      <w:tabs>
        <w:tab w:val="center" w:pos="4536"/>
        <w:tab w:val="right" w:pos="9072"/>
      </w:tabs>
      <w:spacing w:after="120"/>
    </w:pPr>
    <w:rPr>
      <w:b/>
      <w:sz w:val="18"/>
    </w:rPr>
  </w:style>
  <w:style w:type="paragraph" w:customStyle="1" w:styleId="Normalpool">
    <w:name w:val="Normal_pool"/>
    <w:autoRedefine/>
    <w:semiHidden/>
    <w:rsid w:val="0015442E"/>
    <w:pPr>
      <w:tabs>
        <w:tab w:val="left" w:pos="1247"/>
        <w:tab w:val="left" w:pos="1814"/>
        <w:tab w:val="left" w:pos="2381"/>
        <w:tab w:val="left" w:pos="2948"/>
        <w:tab w:val="left" w:pos="3515"/>
        <w:tab w:val="left" w:pos="4082"/>
      </w:tabs>
    </w:pPr>
    <w:rPr>
      <w:rFonts w:eastAsia="SimSun"/>
      <w:lang w:val="fr-CA" w:eastAsia="en-US"/>
    </w:rPr>
  </w:style>
  <w:style w:type="paragraph" w:customStyle="1" w:styleId="Footer-pool">
    <w:name w:val="Footer-pool"/>
    <w:basedOn w:val="Normal-pool"/>
    <w:next w:val="Normal-pool"/>
    <w:rsid w:val="0015442E"/>
    <w:pPr>
      <w:tabs>
        <w:tab w:val="left" w:pos="4321"/>
        <w:tab w:val="right" w:pos="8641"/>
      </w:tabs>
      <w:spacing w:before="60" w:after="120"/>
    </w:pPr>
    <w:rPr>
      <w:b/>
      <w:sz w:val="18"/>
    </w:rPr>
  </w:style>
  <w:style w:type="paragraph" w:customStyle="1" w:styleId="Header-pool">
    <w:name w:val="Header-pool"/>
    <w:basedOn w:val="Normal-pool"/>
    <w:next w:val="Normal-pool"/>
    <w:rsid w:val="0015442E"/>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pool"/>
    <w:link w:val="Normal-poolChar"/>
    <w:qFormat/>
    <w:rsid w:val="0015442E"/>
    <w:pPr>
      <w:tabs>
        <w:tab w:val="left" w:pos="1247"/>
        <w:tab w:val="left" w:pos="1814"/>
        <w:tab w:val="left" w:pos="2381"/>
        <w:tab w:val="left" w:pos="2948"/>
        <w:tab w:val="left" w:pos="3515"/>
        <w:tab w:val="left" w:pos="4082"/>
      </w:tabs>
    </w:pPr>
    <w:rPr>
      <w:rFonts w:eastAsia="SimSun"/>
      <w:lang w:val="en-US" w:eastAsia="en-US"/>
    </w:rPr>
  </w:style>
  <w:style w:type="paragraph" w:styleId="FootnoteText">
    <w:name w:val="footnote text"/>
    <w:aliases w:val="DNV-FT,Geneva 9,Font: Geneva 9,Boston 10,f,footnote3,text,Geneva,92,Font:,Boston,10,FOOTNOTES,fn,single space,Footnote Text Rail EIS,ft,Footnotes,Footnote ak,fn cafc,Footnotes Char Char,Footnote Text Char Char,fn Char Char,footnote text"/>
    <w:basedOn w:val="Normal"/>
    <w:link w:val="FootnoteTextChar"/>
    <w:uiPriority w:val="99"/>
    <w:rsid w:val="0015442E"/>
    <w:pPr>
      <w:tabs>
        <w:tab w:val="left" w:pos="1247"/>
        <w:tab w:val="left" w:pos="1814"/>
        <w:tab w:val="left" w:pos="2381"/>
        <w:tab w:val="left" w:pos="2948"/>
        <w:tab w:val="left" w:pos="3515"/>
        <w:tab w:val="left" w:pos="4082"/>
      </w:tabs>
      <w:spacing w:before="20" w:after="40"/>
      <w:ind w:left="1247"/>
    </w:pPr>
    <w:rPr>
      <w:sz w:val="18"/>
      <w:lang w:val="fr-CA" w:eastAsia="en-US"/>
    </w:rPr>
  </w:style>
  <w:style w:type="character" w:customStyle="1" w:styleId="HeaderChar">
    <w:name w:val="Header Char"/>
    <w:link w:val="Header"/>
    <w:uiPriority w:val="99"/>
    <w:rsid w:val="00250B6D"/>
    <w:rPr>
      <w:rFonts w:eastAsia="SimSun"/>
      <w:b/>
      <w:sz w:val="18"/>
      <w:lang w:val="en-US" w:eastAsia="zh-CN"/>
    </w:rPr>
  </w:style>
  <w:style w:type="table" w:customStyle="1" w:styleId="AATable">
    <w:name w:val="AA_Table"/>
    <w:basedOn w:val="TableNormal"/>
    <w:semiHidden/>
    <w:rsid w:val="0015442E"/>
    <w:rPr>
      <w:rFonts w:eastAsia="SimSun"/>
      <w:lang w:val="fr-FR" w:eastAsia="zh-CN"/>
    </w:rPr>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qFormat/>
    <w:rsid w:val="0015442E"/>
    <w:pPr>
      <w:keepNext/>
      <w:keepLines/>
      <w:suppressAutoHyphens/>
      <w:ind w:right="5103"/>
    </w:pPr>
    <w:rPr>
      <w:b/>
    </w:rPr>
  </w:style>
  <w:style w:type="paragraph" w:customStyle="1" w:styleId="AATitle2">
    <w:name w:val="AA_Title2"/>
    <w:basedOn w:val="AATitle"/>
    <w:qFormat/>
    <w:rsid w:val="000128B4"/>
    <w:pPr>
      <w:tabs>
        <w:tab w:val="clear" w:pos="4082"/>
      </w:tabs>
      <w:spacing w:before="60"/>
      <w:ind w:right="4536"/>
    </w:pPr>
  </w:style>
  <w:style w:type="paragraph" w:customStyle="1" w:styleId="BBTitle">
    <w:name w:val="BB_Title"/>
    <w:basedOn w:val="Normal-pool"/>
    <w:qFormat/>
    <w:rsid w:val="0015442E"/>
    <w:pPr>
      <w:keepNext/>
      <w:keepLines/>
      <w:suppressAutoHyphens/>
      <w:spacing w:before="320" w:after="240"/>
      <w:ind w:left="1247" w:right="567"/>
    </w:pPr>
    <w:rPr>
      <w:b/>
      <w:sz w:val="28"/>
      <w:szCs w:val="28"/>
    </w:rPr>
  </w:style>
  <w:style w:type="paragraph" w:styleId="Footer">
    <w:name w:val="footer"/>
    <w:basedOn w:val="Normal"/>
    <w:link w:val="FooterChar"/>
    <w:uiPriority w:val="99"/>
    <w:rsid w:val="0015442E"/>
    <w:pPr>
      <w:tabs>
        <w:tab w:val="center" w:pos="4320"/>
        <w:tab w:val="right" w:pos="8640"/>
      </w:tabs>
      <w:spacing w:before="60" w:after="120"/>
    </w:pPr>
    <w:rPr>
      <w:sz w:val="18"/>
    </w:rPr>
  </w:style>
  <w:style w:type="paragraph" w:styleId="Header">
    <w:name w:val="header"/>
    <w:basedOn w:val="Normal"/>
    <w:link w:val="HeaderChar"/>
    <w:uiPriority w:val="99"/>
    <w:rsid w:val="0015442E"/>
    <w:pPr>
      <w:pBdr>
        <w:bottom w:val="single" w:sz="4" w:space="1" w:color="auto"/>
      </w:pBdr>
      <w:tabs>
        <w:tab w:val="center" w:pos="4536"/>
        <w:tab w:val="right" w:pos="9072"/>
      </w:tabs>
      <w:spacing w:after="120"/>
    </w:pPr>
    <w:rPr>
      <w:b/>
      <w:sz w:val="18"/>
    </w:rPr>
  </w:style>
  <w:style w:type="character" w:styleId="Hyperlink">
    <w:name w:val="Hyperlink"/>
    <w:uiPriority w:val="99"/>
    <w:unhideWhenUsed/>
    <w:rsid w:val="0015442E"/>
    <w:rPr>
      <w:rFonts w:ascii="Times New Roman" w:hAnsi="Times New Roman"/>
      <w:color w:val="auto"/>
      <w:sz w:val="20"/>
      <w:szCs w:val="20"/>
      <w:u w:val="none"/>
      <w:lang w:val="en-US"/>
    </w:rPr>
  </w:style>
  <w:style w:type="numbering" w:customStyle="1" w:styleId="Normallist">
    <w:name w:val="Normal_list"/>
    <w:basedOn w:val="NoList"/>
    <w:rsid w:val="0015442E"/>
    <w:pPr>
      <w:numPr>
        <w:numId w:val="1"/>
      </w:numPr>
    </w:pPr>
  </w:style>
  <w:style w:type="paragraph" w:customStyle="1" w:styleId="NormalNonumber">
    <w:name w:val="Normal_No_number"/>
    <w:basedOn w:val="Normal-pool"/>
    <w:qFormat/>
    <w:rsid w:val="0015442E"/>
    <w:pPr>
      <w:spacing w:after="120"/>
      <w:ind w:left="1247"/>
    </w:pPr>
  </w:style>
  <w:style w:type="paragraph" w:customStyle="1" w:styleId="Normalnumber">
    <w:name w:val="Normal_number"/>
    <w:link w:val="NormalnumberChar"/>
    <w:rsid w:val="00841159"/>
    <w:pPr>
      <w:numPr>
        <w:numId w:val="2"/>
      </w:numPr>
      <w:tabs>
        <w:tab w:val="left" w:pos="624"/>
      </w:tabs>
      <w:spacing w:after="120"/>
    </w:pPr>
    <w:rPr>
      <w:lang w:eastAsia="en-US"/>
    </w:rPr>
  </w:style>
  <w:style w:type="paragraph" w:customStyle="1" w:styleId="Titletable">
    <w:name w:val="Title_table"/>
    <w:basedOn w:val="Normal-pool"/>
    <w:next w:val="NormalNonumber"/>
    <w:rsid w:val="0015442E"/>
    <w:pPr>
      <w:keepNext/>
      <w:keepLines/>
      <w:suppressAutoHyphens/>
      <w:spacing w:after="60"/>
      <w:ind w:left="1247"/>
    </w:pPr>
    <w:rPr>
      <w:b/>
      <w:bCs/>
    </w:rPr>
  </w:style>
  <w:style w:type="paragraph" w:styleId="TOC1">
    <w:name w:val="toc 1"/>
    <w:basedOn w:val="Normal-pool"/>
    <w:next w:val="Normal-pool"/>
    <w:uiPriority w:val="39"/>
    <w:unhideWhenUsed/>
    <w:rsid w:val="0015442E"/>
    <w:pPr>
      <w:tabs>
        <w:tab w:val="right" w:leader="dot" w:pos="9486"/>
      </w:tabs>
      <w:spacing w:before="240"/>
      <w:ind w:left="1814" w:hanging="567"/>
    </w:pPr>
    <w:rPr>
      <w:bCs/>
    </w:rPr>
  </w:style>
  <w:style w:type="paragraph" w:styleId="TOC2">
    <w:name w:val="toc 2"/>
    <w:basedOn w:val="Normal-pool"/>
    <w:next w:val="Normal-pool"/>
    <w:uiPriority w:val="39"/>
    <w:unhideWhenUsed/>
    <w:rsid w:val="0015442E"/>
    <w:pPr>
      <w:tabs>
        <w:tab w:val="right" w:leader="dot" w:pos="9486"/>
      </w:tabs>
      <w:ind w:left="2381" w:hanging="567"/>
    </w:pPr>
  </w:style>
  <w:style w:type="paragraph" w:styleId="TOC3">
    <w:name w:val="toc 3"/>
    <w:basedOn w:val="Normal-pool"/>
    <w:next w:val="Normal-pool"/>
    <w:unhideWhenUsed/>
    <w:rsid w:val="0015442E"/>
    <w:pPr>
      <w:tabs>
        <w:tab w:val="right" w:leader="dot" w:pos="9486"/>
      </w:tabs>
      <w:ind w:left="2948" w:hanging="567"/>
    </w:pPr>
    <w:rPr>
      <w:iCs/>
    </w:rPr>
  </w:style>
  <w:style w:type="paragraph" w:styleId="TOC4">
    <w:name w:val="toc 4"/>
    <w:basedOn w:val="Normal-pool"/>
    <w:next w:val="Normal-pool"/>
    <w:unhideWhenUsed/>
    <w:rsid w:val="0015442E"/>
    <w:pPr>
      <w:tabs>
        <w:tab w:val="left" w:pos="1000"/>
        <w:tab w:val="right" w:leader="dot" w:pos="9486"/>
      </w:tabs>
      <w:ind w:left="3515" w:hanging="567"/>
    </w:pPr>
    <w:rPr>
      <w:szCs w:val="18"/>
    </w:rPr>
  </w:style>
  <w:style w:type="paragraph" w:styleId="TOC5">
    <w:name w:val="toc 5"/>
    <w:basedOn w:val="Normal-pool"/>
    <w:next w:val="Normal-pool"/>
    <w:rsid w:val="0015442E"/>
    <w:pPr>
      <w:ind w:left="800"/>
    </w:pPr>
    <w:rPr>
      <w:sz w:val="18"/>
      <w:szCs w:val="18"/>
    </w:rPr>
  </w:style>
  <w:style w:type="paragraph" w:customStyle="1" w:styleId="ZZAnxheader">
    <w:name w:val="ZZ_Anx_header"/>
    <w:basedOn w:val="Normal-pool"/>
    <w:rsid w:val="0015442E"/>
    <w:rPr>
      <w:b/>
      <w:bCs/>
      <w:sz w:val="28"/>
      <w:szCs w:val="22"/>
    </w:rPr>
  </w:style>
  <w:style w:type="paragraph" w:customStyle="1" w:styleId="ZZAnxtitle">
    <w:name w:val="ZZ_Anx_title"/>
    <w:basedOn w:val="Normal-pool"/>
    <w:rsid w:val="0015442E"/>
    <w:pPr>
      <w:spacing w:before="360" w:after="120"/>
      <w:ind w:left="1247"/>
    </w:pPr>
    <w:rPr>
      <w:b/>
      <w:bCs/>
      <w:sz w:val="28"/>
      <w:szCs w:val="26"/>
    </w:rPr>
  </w:style>
  <w:style w:type="paragraph" w:styleId="BalloonText">
    <w:name w:val="Balloon Text"/>
    <w:basedOn w:val="Normal"/>
    <w:link w:val="BalloonTextChar"/>
    <w:uiPriority w:val="99"/>
    <w:rsid w:val="003E6F41"/>
    <w:rPr>
      <w:rFonts w:ascii="Segoe UI" w:hAnsi="Segoe UI" w:cs="Segoe UI"/>
      <w:sz w:val="18"/>
      <w:szCs w:val="18"/>
    </w:rPr>
  </w:style>
  <w:style w:type="character" w:customStyle="1" w:styleId="BalloonTextChar">
    <w:name w:val="Balloon Text Char"/>
    <w:basedOn w:val="DefaultParagraphFont"/>
    <w:link w:val="BalloonText"/>
    <w:uiPriority w:val="99"/>
    <w:rsid w:val="003E6F41"/>
    <w:rPr>
      <w:rFonts w:ascii="Segoe UI" w:hAnsi="Segoe UI" w:cs="Segoe UI"/>
      <w:sz w:val="18"/>
      <w:szCs w:val="18"/>
      <w:lang w:val="fr-FR" w:eastAsia="en-US"/>
    </w:rPr>
  </w:style>
  <w:style w:type="character" w:styleId="CommentReference">
    <w:name w:val="annotation reference"/>
    <w:basedOn w:val="DefaultParagraphFont"/>
    <w:uiPriority w:val="99"/>
    <w:rsid w:val="003E6F41"/>
    <w:rPr>
      <w:sz w:val="16"/>
      <w:szCs w:val="16"/>
    </w:rPr>
  </w:style>
  <w:style w:type="paragraph" w:styleId="CommentText">
    <w:name w:val="annotation text"/>
    <w:basedOn w:val="Normal"/>
    <w:link w:val="CommentTextChar"/>
    <w:uiPriority w:val="99"/>
    <w:rsid w:val="003E6F41"/>
    <w:rPr>
      <w:sz w:val="24"/>
      <w:szCs w:val="24"/>
      <w:lang w:val="en-GB" w:eastAsia="en-GB"/>
    </w:rPr>
  </w:style>
  <w:style w:type="character" w:customStyle="1" w:styleId="CommentTextChar">
    <w:name w:val="Comment Text Char"/>
    <w:basedOn w:val="DefaultParagraphFont"/>
    <w:link w:val="CommentText"/>
    <w:uiPriority w:val="99"/>
    <w:rsid w:val="003E6F41"/>
    <w:rPr>
      <w:sz w:val="24"/>
      <w:szCs w:val="24"/>
    </w:rPr>
  </w:style>
  <w:style w:type="paragraph" w:styleId="CommentSubject">
    <w:name w:val="annotation subject"/>
    <w:basedOn w:val="CommentText"/>
    <w:next w:val="CommentText"/>
    <w:link w:val="CommentSubjectChar"/>
    <w:uiPriority w:val="99"/>
    <w:rsid w:val="007841F5"/>
    <w:pPr>
      <w:tabs>
        <w:tab w:val="left" w:pos="1247"/>
        <w:tab w:val="left" w:pos="1814"/>
        <w:tab w:val="left" w:pos="2381"/>
        <w:tab w:val="left" w:pos="2948"/>
        <w:tab w:val="left" w:pos="3515"/>
      </w:tabs>
    </w:pPr>
    <w:rPr>
      <w:b/>
      <w:bCs/>
      <w:sz w:val="20"/>
      <w:szCs w:val="20"/>
      <w:lang w:val="fr-FR" w:eastAsia="en-US"/>
    </w:rPr>
  </w:style>
  <w:style w:type="character" w:customStyle="1" w:styleId="CommentSubjectChar">
    <w:name w:val="Comment Subject Char"/>
    <w:basedOn w:val="CommentTextChar"/>
    <w:link w:val="CommentSubject"/>
    <w:uiPriority w:val="99"/>
    <w:rsid w:val="007841F5"/>
    <w:rPr>
      <w:b/>
      <w:bCs/>
      <w:sz w:val="24"/>
      <w:szCs w:val="24"/>
      <w:lang w:val="fr-FR" w:eastAsia="en-US"/>
    </w:rPr>
  </w:style>
  <w:style w:type="character" w:customStyle="1" w:styleId="FootnoteTextChar">
    <w:name w:val="Footnote Text Char"/>
    <w:aliases w:val="DNV-FT Char,Geneva 9 Char,Font: Geneva 9 Char,Boston 10 Char,f Char,footnote3 Char,text Char,Geneva Char,92 Char,Font: Char,Boston Char,10 Char,FOOTNOTES Char,fn Char,single space Char,Footnote Text Rail EIS Char,ft Char,fn cafc Char"/>
    <w:link w:val="FootnoteText"/>
    <w:uiPriority w:val="99"/>
    <w:locked/>
    <w:rsid w:val="0012644F"/>
    <w:rPr>
      <w:rFonts w:eastAsia="SimSun"/>
      <w:sz w:val="18"/>
      <w:lang w:val="fr-CA" w:eastAsia="en-US"/>
    </w:rPr>
  </w:style>
  <w:style w:type="paragraph" w:styleId="ListParagraph">
    <w:name w:val="List Paragraph"/>
    <w:basedOn w:val="Normal"/>
    <w:uiPriority w:val="34"/>
    <w:qFormat/>
    <w:rsid w:val="00D07EDB"/>
    <w:pPr>
      <w:ind w:left="720"/>
      <w:contextualSpacing/>
    </w:pPr>
  </w:style>
  <w:style w:type="character" w:styleId="FootnoteReference">
    <w:name w:val="footnote reference"/>
    <w:aliases w:val="16 Point,Superscript 6 Point,ftref,(Ref. de nota al pie),number,SUPERS,Footnote Reference Superscript"/>
    <w:uiPriority w:val="99"/>
    <w:rsid w:val="0015442E"/>
    <w:rPr>
      <w:rFonts w:ascii="Times New Roman" w:hAnsi="Times New Roman"/>
      <w:color w:val="auto"/>
      <w:sz w:val="20"/>
      <w:szCs w:val="18"/>
      <w:vertAlign w:val="superscript"/>
    </w:rPr>
  </w:style>
  <w:style w:type="paragraph" w:styleId="NormalWeb">
    <w:name w:val="Normal (Web)"/>
    <w:basedOn w:val="Normal"/>
    <w:uiPriority w:val="99"/>
    <w:unhideWhenUsed/>
    <w:rsid w:val="0015442E"/>
    <w:pPr>
      <w:spacing w:before="100" w:beforeAutospacing="1" w:after="100" w:afterAutospacing="1"/>
    </w:pPr>
    <w:rPr>
      <w:rFonts w:eastAsiaTheme="minorEastAsia"/>
      <w:sz w:val="24"/>
      <w:szCs w:val="24"/>
      <w:lang w:eastAsia="en-US"/>
    </w:rPr>
  </w:style>
  <w:style w:type="table" w:styleId="TableGrid">
    <w:name w:val="Table Grid"/>
    <w:basedOn w:val="TableNormal"/>
    <w:uiPriority w:val="39"/>
    <w:rsid w:val="0015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96B51"/>
    <w:rPr>
      <w:rFonts w:eastAsia="SimSun"/>
      <w:b/>
      <w:lang w:val="en-US" w:eastAsia="zh-CN"/>
    </w:rPr>
  </w:style>
  <w:style w:type="character" w:customStyle="1" w:styleId="Normal-poolChar">
    <w:name w:val="Normal-pool Char"/>
    <w:link w:val="Normal-pool"/>
    <w:rsid w:val="0070496D"/>
    <w:rPr>
      <w:rFonts w:eastAsia="SimSun"/>
      <w:lang w:val="en-US" w:eastAsia="en-US"/>
    </w:rPr>
  </w:style>
  <w:style w:type="character" w:customStyle="1" w:styleId="NormalnumberChar">
    <w:name w:val="Normal_number Char"/>
    <w:link w:val="Normalnumber"/>
    <w:locked/>
    <w:rsid w:val="00841159"/>
    <w:rPr>
      <w:lang w:eastAsia="en-US"/>
    </w:rPr>
  </w:style>
  <w:style w:type="character" w:customStyle="1" w:styleId="CH2Char">
    <w:name w:val="CH2 Char"/>
    <w:link w:val="CH2"/>
    <w:rsid w:val="0070496D"/>
    <w:rPr>
      <w:rFonts w:eastAsia="SimSun"/>
      <w:b/>
      <w:sz w:val="24"/>
      <w:szCs w:val="24"/>
      <w:lang w:val="en-US" w:eastAsia="en-US"/>
    </w:rPr>
  </w:style>
  <w:style w:type="paragraph" w:styleId="Title">
    <w:name w:val="Title"/>
    <w:basedOn w:val="Normal"/>
    <w:next w:val="Normal"/>
    <w:link w:val="TitleChar"/>
    <w:uiPriority w:val="10"/>
    <w:qFormat/>
    <w:rsid w:val="0070496D"/>
    <w:pPr>
      <w:contextualSpacing/>
    </w:pPr>
    <w:rPr>
      <w:rFonts w:asciiTheme="majorHAnsi" w:eastAsiaTheme="majorEastAsia" w:hAnsiTheme="majorHAnsi" w:cstheme="majorBidi"/>
      <w:spacing w:val="-10"/>
      <w:kern w:val="28"/>
      <w:sz w:val="56"/>
      <w:szCs w:val="56"/>
      <w:lang w:val="en-GB" w:eastAsia="en-US"/>
    </w:rPr>
  </w:style>
  <w:style w:type="character" w:customStyle="1" w:styleId="TitleChar">
    <w:name w:val="Title Char"/>
    <w:basedOn w:val="DefaultParagraphFont"/>
    <w:link w:val="Title"/>
    <w:uiPriority w:val="10"/>
    <w:rsid w:val="0070496D"/>
    <w:rPr>
      <w:rFonts w:asciiTheme="majorHAnsi" w:eastAsiaTheme="majorEastAsia" w:hAnsiTheme="majorHAnsi" w:cstheme="majorBidi"/>
      <w:spacing w:val="-10"/>
      <w:kern w:val="28"/>
      <w:sz w:val="56"/>
      <w:szCs w:val="56"/>
      <w:lang w:eastAsia="en-US"/>
    </w:rPr>
  </w:style>
  <w:style w:type="table" w:customStyle="1" w:styleId="TableGrid1">
    <w:name w:val="Table Grid1"/>
    <w:basedOn w:val="TableNormal"/>
    <w:next w:val="TableGrid"/>
    <w:uiPriority w:val="39"/>
    <w:rsid w:val="0070496D"/>
    <w:rPr>
      <w:rFonts w:ascii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0496D"/>
    <w:pPr>
      <w:keepNext/>
      <w:spacing w:after="60"/>
    </w:pPr>
    <w:rPr>
      <w:rFonts w:asciiTheme="minorHAnsi" w:eastAsiaTheme="minorHAnsi" w:hAnsiTheme="minorHAnsi" w:cstheme="minorBidi"/>
      <w:b/>
      <w:bCs/>
      <w:i/>
      <w:iCs/>
      <w:sz w:val="24"/>
      <w:szCs w:val="24"/>
      <w:lang w:val="en-GB" w:eastAsia="en-US"/>
    </w:rPr>
  </w:style>
  <w:style w:type="character" w:styleId="UnresolvedMention">
    <w:name w:val="Unresolved Mention"/>
    <w:basedOn w:val="DefaultParagraphFont"/>
    <w:uiPriority w:val="99"/>
    <w:semiHidden/>
    <w:unhideWhenUsed/>
    <w:rsid w:val="0070496D"/>
    <w:rPr>
      <w:color w:val="605E5C"/>
      <w:shd w:val="clear" w:color="auto" w:fill="E1DFDD"/>
    </w:rPr>
  </w:style>
  <w:style w:type="character" w:customStyle="1" w:styleId="FooterChar">
    <w:name w:val="Footer Char"/>
    <w:basedOn w:val="DefaultParagraphFont"/>
    <w:link w:val="Footer"/>
    <w:uiPriority w:val="99"/>
    <w:rsid w:val="0070496D"/>
    <w:rPr>
      <w:rFonts w:eastAsia="SimSun"/>
      <w:sz w:val="18"/>
      <w:lang w:val="en-US" w:eastAsia="zh-CN"/>
    </w:rPr>
  </w:style>
  <w:style w:type="table" w:customStyle="1" w:styleId="TableGrid2">
    <w:name w:val="Table Grid2"/>
    <w:basedOn w:val="TableNormal"/>
    <w:next w:val="TableGrid"/>
    <w:uiPriority w:val="39"/>
    <w:rsid w:val="0070496D"/>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0496D"/>
    <w:rPr>
      <w:rFonts w:eastAsia="SimSun"/>
      <w:b/>
      <w:sz w:val="28"/>
      <w:lang w:val="en-US" w:eastAsia="zh-CN"/>
    </w:rPr>
  </w:style>
  <w:style w:type="character" w:customStyle="1" w:styleId="Heading2Char">
    <w:name w:val="Heading 2 Char"/>
    <w:basedOn w:val="DefaultParagraphFont"/>
    <w:link w:val="Heading2"/>
    <w:uiPriority w:val="9"/>
    <w:rsid w:val="0070496D"/>
    <w:rPr>
      <w:rFonts w:eastAsia="SimSun"/>
      <w:b/>
      <w:sz w:val="24"/>
      <w:szCs w:val="24"/>
      <w:lang w:val="en-US" w:eastAsia="zh-CN"/>
    </w:rPr>
  </w:style>
  <w:style w:type="character" w:customStyle="1" w:styleId="Heading4Char">
    <w:name w:val="Heading 4 Char"/>
    <w:basedOn w:val="DefaultParagraphFont"/>
    <w:link w:val="Heading4"/>
    <w:uiPriority w:val="9"/>
    <w:rsid w:val="0070496D"/>
    <w:rPr>
      <w:rFonts w:eastAsia="SimSun"/>
      <w:b/>
      <w:lang w:val="en-US" w:eastAsia="zh-CN"/>
    </w:rPr>
  </w:style>
  <w:style w:type="character" w:customStyle="1" w:styleId="Heading5Char">
    <w:name w:val="Heading 5 Char"/>
    <w:basedOn w:val="DefaultParagraphFont"/>
    <w:link w:val="Heading5"/>
    <w:uiPriority w:val="9"/>
    <w:rsid w:val="0070496D"/>
    <w:rPr>
      <w:rFonts w:ascii="Univers" w:eastAsia="SimSun" w:hAnsi="Univers"/>
      <w:b/>
      <w:sz w:val="24"/>
      <w:lang w:val="en-US" w:eastAsia="zh-CN"/>
    </w:rPr>
  </w:style>
  <w:style w:type="character" w:customStyle="1" w:styleId="Heading6Char">
    <w:name w:val="Heading 6 Char"/>
    <w:basedOn w:val="DefaultParagraphFont"/>
    <w:link w:val="Heading6"/>
    <w:uiPriority w:val="9"/>
    <w:rsid w:val="0070496D"/>
    <w:rPr>
      <w:rFonts w:eastAsia="SimSun"/>
      <w:b/>
      <w:bCs/>
      <w:sz w:val="24"/>
      <w:lang w:val="en-US" w:eastAsia="zh-CN"/>
    </w:rPr>
  </w:style>
  <w:style w:type="character" w:customStyle="1" w:styleId="Heading7Char">
    <w:name w:val="Heading 7 Char"/>
    <w:basedOn w:val="DefaultParagraphFont"/>
    <w:link w:val="Heading7"/>
    <w:uiPriority w:val="9"/>
    <w:rsid w:val="0070496D"/>
    <w:rPr>
      <w:rFonts w:eastAsia="SimSun"/>
      <w:snapToGrid w:val="0"/>
      <w:u w:val="single"/>
      <w:lang w:val="en-US" w:eastAsia="zh-CN"/>
    </w:rPr>
  </w:style>
  <w:style w:type="character" w:customStyle="1" w:styleId="Heading8Char">
    <w:name w:val="Heading 8 Char"/>
    <w:basedOn w:val="DefaultParagraphFont"/>
    <w:link w:val="Heading8"/>
    <w:uiPriority w:val="9"/>
    <w:rsid w:val="0070496D"/>
    <w:rPr>
      <w:rFonts w:eastAsia="SimSun"/>
      <w:snapToGrid w:val="0"/>
      <w:u w:val="single"/>
      <w:lang w:val="en-US" w:eastAsia="zh-CN"/>
    </w:rPr>
  </w:style>
  <w:style w:type="character" w:customStyle="1" w:styleId="Heading9Char">
    <w:name w:val="Heading 9 Char"/>
    <w:basedOn w:val="DefaultParagraphFont"/>
    <w:link w:val="Heading9"/>
    <w:uiPriority w:val="9"/>
    <w:rsid w:val="0070496D"/>
    <w:rPr>
      <w:rFonts w:eastAsia="SimSun"/>
      <w:snapToGrid w:val="0"/>
      <w:u w:val="single"/>
      <w:lang w:val="en-US" w:eastAsia="zh-CN"/>
    </w:rPr>
  </w:style>
  <w:style w:type="paragraph" w:styleId="TOCHeading">
    <w:name w:val="TOC Heading"/>
    <w:basedOn w:val="Heading1"/>
    <w:next w:val="Normal"/>
    <w:uiPriority w:val="39"/>
    <w:unhideWhenUsed/>
    <w:qFormat/>
    <w:rsid w:val="0070496D"/>
    <w:pPr>
      <w:keepLines/>
      <w:spacing w:after="240" w:line="259" w:lineRule="auto"/>
      <w:ind w:left="0" w:firstLine="0"/>
      <w:outlineLvl w:val="9"/>
    </w:pPr>
    <w:rPr>
      <w:rFonts w:asciiTheme="majorHAnsi" w:eastAsiaTheme="majorEastAsia" w:hAnsiTheme="majorHAnsi" w:cstheme="majorBidi"/>
      <w:b w:val="0"/>
      <w:color w:val="2E74B5" w:themeColor="accent1" w:themeShade="BF"/>
      <w:sz w:val="32"/>
      <w:szCs w:val="32"/>
      <w:lang w:eastAsia="en-US"/>
    </w:rPr>
  </w:style>
  <w:style w:type="paragraph" w:styleId="Revision">
    <w:name w:val="Revision"/>
    <w:hidden/>
    <w:uiPriority w:val="99"/>
    <w:semiHidden/>
    <w:rsid w:val="0070496D"/>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70496D"/>
    <w:rPr>
      <w:color w:val="605E5C"/>
      <w:shd w:val="clear" w:color="auto" w:fill="E1DFDD"/>
    </w:rPr>
  </w:style>
  <w:style w:type="character" w:styleId="FollowedHyperlink">
    <w:name w:val="FollowedHyperlink"/>
    <w:basedOn w:val="DefaultParagraphFont"/>
    <w:uiPriority w:val="99"/>
    <w:unhideWhenUsed/>
    <w:rsid w:val="007049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902645289">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anzac\AppData\Local\Temp\UNEP-MC-COP_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186B34AAF4047A570F9DFA6808567" ma:contentTypeVersion="14" ma:contentTypeDescription="Create a new document." ma:contentTypeScope="" ma:versionID="241d62901d39c384860e1af5ef71eab1">
  <xsd:schema xmlns:xsd="http://www.w3.org/2001/XMLSchema" xmlns:xs="http://www.w3.org/2001/XMLSchema" xmlns:p="http://schemas.microsoft.com/office/2006/metadata/properties" xmlns:ns2="822da31b-d518-49e2-88cd-1351ccd720a8" xmlns:ns3="8e99bad0-3155-475a-8063-b4d93685c2ad" targetNamespace="http://schemas.microsoft.com/office/2006/metadata/properties" ma:root="true" ma:fieldsID="6d36852573bb89ee29abc2659ba5c959" ns2:_="" ns3:_="">
    <xsd:import namespace="822da31b-d518-49e2-88cd-1351ccd720a8"/>
    <xsd:import namespace="8e99bad0-3155-475a-8063-b4d93685c2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2da31b-d518-49e2-88cd-1351ccd72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9bad0-3155-475a-8063-b4d93685c2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e99bad0-3155-475a-8063-b4d93685c2ad">
      <UserInfo>
        <DisplayName>Claudia ten Have</DisplayName>
        <AccountId>12</AccountId>
        <AccountType/>
      </UserInfo>
      <UserInfo>
        <DisplayName>My Linh Doan</DisplayName>
        <AccountId>73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2A77E-E693-4325-BF1D-694BEEC37BED}"/>
</file>

<file path=customXml/itemProps2.xml><?xml version="1.0" encoding="utf-8"?>
<ds:datastoreItem xmlns:ds="http://schemas.openxmlformats.org/officeDocument/2006/customXml" ds:itemID="{9F1DA343-F8C2-4EE4-9F56-9973669BF703}">
  <ds:schemaRefs>
    <ds:schemaRef ds:uri="http://schemas.microsoft.com/sharepoint/v3/contenttype/forms"/>
  </ds:schemaRefs>
</ds:datastoreItem>
</file>

<file path=customXml/itemProps3.xml><?xml version="1.0" encoding="utf-8"?>
<ds:datastoreItem xmlns:ds="http://schemas.openxmlformats.org/officeDocument/2006/customXml" ds:itemID="{43591B3D-AA87-49FB-9EF7-FD41B95EDECD}">
  <ds:schemaRefs>
    <ds:schemaRef ds:uri="http://schemas.microsoft.com/office/2006/metadata/properties"/>
    <ds:schemaRef ds:uri="http://schemas.microsoft.com/office/infopath/2007/PartnerControls"/>
    <ds:schemaRef ds:uri="a591afa8-fd54-42f1-9ea9-749d51e1c00b"/>
  </ds:schemaRefs>
</ds:datastoreItem>
</file>

<file path=customXml/itemProps4.xml><?xml version="1.0" encoding="utf-8"?>
<ds:datastoreItem xmlns:ds="http://schemas.openxmlformats.org/officeDocument/2006/customXml" ds:itemID="{E2873511-42F3-443D-BAC1-14CE37536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UNEP-MC-COP_EN.dotm</Template>
  <TotalTime>3</TotalTime>
  <Pages>14</Pages>
  <Words>5331</Words>
  <Characters>30390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Mwanza</dc:creator>
  <cp:keywords/>
  <dc:description/>
  <cp:lastModifiedBy>Veronica Gathu</cp:lastModifiedBy>
  <cp:revision>5</cp:revision>
  <dcterms:created xsi:type="dcterms:W3CDTF">2021-09-09T09:36:00Z</dcterms:created>
  <dcterms:modified xsi:type="dcterms:W3CDTF">2021-09-09T09:39:00Z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0x010100D4A186B34AAF4047A570F9DFA6808567</vt:lpwstr>
  </property>
</Properties>
</file>