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572"/>
        <w:gridCol w:w="5056"/>
        <w:gridCol w:w="3294"/>
      </w:tblGrid>
      <w:tr w:rsidR="007F33C2" w:rsidRPr="003240FB" w14:paraId="6F394113" w14:textId="77777777" w:rsidTr="00946ADE">
        <w:trPr>
          <w:cantSplit/>
          <w:trHeight w:val="850"/>
          <w:jc w:val="right"/>
        </w:trPr>
        <w:tc>
          <w:tcPr>
            <w:tcW w:w="1504" w:type="dxa"/>
          </w:tcPr>
          <w:p w14:paraId="1638734E" w14:textId="77777777" w:rsidR="005D542B" w:rsidRPr="003240FB" w:rsidRDefault="005D542B" w:rsidP="00BA6586">
            <w:pPr>
              <w:rPr>
                <w:rFonts w:ascii="Univers" w:hAnsi="Univers"/>
                <w:b/>
                <w:noProof/>
                <w:color w:val="000000" w:themeColor="text1"/>
                <w:sz w:val="27"/>
                <w:lang w:val="en-GB"/>
              </w:rPr>
            </w:pPr>
            <w:r w:rsidRPr="003240FB">
              <w:rPr>
                <w:rFonts w:ascii="Arial" w:hAnsi="Arial" w:cs="Arial"/>
                <w:b/>
                <w:noProof/>
                <w:color w:val="000000" w:themeColor="text1"/>
                <w:sz w:val="27"/>
                <w:lang w:val="en-GB"/>
              </w:rPr>
              <w:t xml:space="preserve">UNITED </w:t>
            </w:r>
            <w:r w:rsidRPr="003240FB">
              <w:rPr>
                <w:rFonts w:ascii="Arial" w:hAnsi="Arial" w:cs="Arial"/>
                <w:b/>
                <w:noProof/>
                <w:color w:val="000000" w:themeColor="text1"/>
                <w:sz w:val="27"/>
                <w:lang w:val="en-GB"/>
              </w:rPr>
              <w:br/>
              <w:t>NATIONS</w:t>
            </w:r>
          </w:p>
        </w:tc>
        <w:tc>
          <w:tcPr>
            <w:tcW w:w="4839" w:type="dxa"/>
          </w:tcPr>
          <w:p w14:paraId="0EAC46FD" w14:textId="77777777" w:rsidR="005D542B" w:rsidRPr="003240FB" w:rsidRDefault="005D542B" w:rsidP="00BA6586">
            <w:pPr>
              <w:rPr>
                <w:rFonts w:ascii="Univers" w:hAnsi="Univers"/>
                <w:b/>
                <w:color w:val="000000" w:themeColor="text1"/>
                <w:sz w:val="27"/>
                <w:lang w:val="en-GB"/>
              </w:rPr>
            </w:pPr>
          </w:p>
        </w:tc>
        <w:tc>
          <w:tcPr>
            <w:tcW w:w="3153" w:type="dxa"/>
          </w:tcPr>
          <w:p w14:paraId="022C0E9D" w14:textId="77777777" w:rsidR="005D542B" w:rsidRPr="003240FB" w:rsidRDefault="0001627D" w:rsidP="00BA6586">
            <w:pPr>
              <w:jc w:val="right"/>
              <w:rPr>
                <w:rFonts w:ascii="Arial" w:hAnsi="Arial" w:cs="Arial"/>
                <w:b/>
                <w:color w:val="000000" w:themeColor="text1"/>
                <w:sz w:val="64"/>
                <w:szCs w:val="64"/>
                <w:lang w:val="en-GB"/>
              </w:rPr>
            </w:pPr>
            <w:r w:rsidRPr="003240FB">
              <w:rPr>
                <w:rFonts w:ascii="Arial" w:hAnsi="Arial" w:cs="Arial"/>
                <w:b/>
                <w:color w:val="000000" w:themeColor="text1"/>
                <w:sz w:val="64"/>
                <w:szCs w:val="64"/>
                <w:lang w:val="en-GB"/>
              </w:rPr>
              <w:t>MC</w:t>
            </w:r>
          </w:p>
        </w:tc>
      </w:tr>
      <w:tr w:rsidR="007F33C2" w:rsidRPr="003240FB" w14:paraId="6EADEDF5" w14:textId="77777777" w:rsidTr="00946ADE">
        <w:trPr>
          <w:cantSplit/>
          <w:trHeight w:val="281"/>
          <w:jc w:val="right"/>
        </w:trPr>
        <w:tc>
          <w:tcPr>
            <w:tcW w:w="1504" w:type="dxa"/>
            <w:tcBorders>
              <w:bottom w:val="single" w:sz="4" w:space="0" w:color="auto"/>
            </w:tcBorders>
          </w:tcPr>
          <w:p w14:paraId="02825DE9" w14:textId="77777777" w:rsidR="005D542B" w:rsidRPr="003240FB" w:rsidRDefault="005D542B" w:rsidP="00BA6586">
            <w:pPr>
              <w:rPr>
                <w:noProof/>
                <w:color w:val="000000" w:themeColor="text1"/>
                <w:sz w:val="18"/>
                <w:lang w:val="en-GB"/>
              </w:rPr>
            </w:pPr>
          </w:p>
        </w:tc>
        <w:tc>
          <w:tcPr>
            <w:tcW w:w="4839" w:type="dxa"/>
            <w:tcBorders>
              <w:bottom w:val="single" w:sz="4" w:space="0" w:color="auto"/>
            </w:tcBorders>
          </w:tcPr>
          <w:p w14:paraId="5E595C54" w14:textId="77777777" w:rsidR="005D542B" w:rsidRPr="003240FB" w:rsidRDefault="005D542B" w:rsidP="00BA6586">
            <w:pPr>
              <w:rPr>
                <w:rFonts w:ascii="Univers" w:hAnsi="Univers"/>
                <w:b/>
                <w:color w:val="000000" w:themeColor="text1"/>
                <w:sz w:val="18"/>
                <w:lang w:val="en-GB"/>
              </w:rPr>
            </w:pPr>
          </w:p>
        </w:tc>
        <w:tc>
          <w:tcPr>
            <w:tcW w:w="3153" w:type="dxa"/>
            <w:tcBorders>
              <w:bottom w:val="single" w:sz="4" w:space="0" w:color="auto"/>
            </w:tcBorders>
          </w:tcPr>
          <w:p w14:paraId="2537F490" w14:textId="2688556D" w:rsidR="005D542B" w:rsidRPr="000E39A5" w:rsidRDefault="0001627D" w:rsidP="00946ADE">
            <w:pPr>
              <w:rPr>
                <w:noProof/>
                <w:color w:val="000000" w:themeColor="text1"/>
                <w:sz w:val="18"/>
                <w:lang w:val="en-GB"/>
              </w:rPr>
            </w:pPr>
            <w:r w:rsidRPr="003240FB">
              <w:rPr>
                <w:b/>
                <w:bCs/>
                <w:color w:val="000000" w:themeColor="text1"/>
                <w:sz w:val="28"/>
                <w:lang w:val="en-GB"/>
              </w:rPr>
              <w:t>UNEP</w:t>
            </w:r>
            <w:bookmarkStart w:id="0" w:name="OLE_LINK1"/>
            <w:bookmarkStart w:id="1" w:name="OLE_LINK2"/>
            <w:r w:rsidRPr="003240FB">
              <w:rPr>
                <w:b/>
                <w:bCs/>
                <w:color w:val="000000" w:themeColor="text1"/>
                <w:sz w:val="28"/>
                <w:lang w:val="en-GB"/>
              </w:rPr>
              <w:t>/</w:t>
            </w:r>
            <w:r w:rsidRPr="00A60E70">
              <w:rPr>
                <w:color w:val="000000" w:themeColor="text1"/>
                <w:lang w:val="en-GB"/>
              </w:rPr>
              <w:t>MC/</w:t>
            </w:r>
            <w:bookmarkEnd w:id="0"/>
            <w:bookmarkEnd w:id="1"/>
            <w:r w:rsidR="00B813FB">
              <w:rPr>
                <w:color w:val="000000" w:themeColor="text1"/>
                <w:lang w:val="en-GB"/>
              </w:rPr>
              <w:t>EE</w:t>
            </w:r>
            <w:r w:rsidRPr="00C55F06">
              <w:rPr>
                <w:color w:val="000000" w:themeColor="text1"/>
                <w:lang w:val="en-GB"/>
              </w:rPr>
              <w:t>.</w:t>
            </w:r>
            <w:r w:rsidR="00946ADE">
              <w:rPr>
                <w:color w:val="000000" w:themeColor="text1"/>
                <w:lang w:val="en-GB"/>
              </w:rPr>
              <w:t>2</w:t>
            </w:r>
            <w:r w:rsidRPr="000E39A5">
              <w:rPr>
                <w:color w:val="000000" w:themeColor="text1"/>
                <w:lang w:val="en-GB"/>
              </w:rPr>
              <w:t>/</w:t>
            </w:r>
            <w:r w:rsidR="001C2CC5">
              <w:rPr>
                <w:color w:val="000000" w:themeColor="text1"/>
                <w:lang w:val="en-GB"/>
              </w:rPr>
              <w:t>3</w:t>
            </w:r>
            <w:r w:rsidRPr="000E39A5">
              <w:rPr>
                <w:color w:val="000000" w:themeColor="text1"/>
                <w:lang w:val="en-GB"/>
              </w:rPr>
              <w:t>/</w:t>
            </w:r>
          </w:p>
        </w:tc>
      </w:tr>
      <w:tr w:rsidR="007F33C2" w:rsidRPr="00754B40" w14:paraId="51BB3B3E" w14:textId="77777777" w:rsidTr="00946ADE">
        <w:trPr>
          <w:cantSplit/>
          <w:trHeight w:val="2549"/>
          <w:jc w:val="right"/>
        </w:trPr>
        <w:tc>
          <w:tcPr>
            <w:tcW w:w="1504" w:type="dxa"/>
            <w:tcBorders>
              <w:top w:val="single" w:sz="4" w:space="0" w:color="auto"/>
              <w:bottom w:val="single" w:sz="24" w:space="0" w:color="auto"/>
            </w:tcBorders>
          </w:tcPr>
          <w:p w14:paraId="218ED24E" w14:textId="77777777" w:rsidR="005D542B" w:rsidRPr="00A60E70" w:rsidRDefault="008B730A" w:rsidP="00BA6586">
            <w:pPr>
              <w:rPr>
                <w:noProof/>
                <w:color w:val="000000" w:themeColor="text1"/>
                <w:lang w:val="en-GB"/>
              </w:rPr>
            </w:pPr>
            <w:r w:rsidRPr="00A60E70">
              <w:rPr>
                <w:noProof/>
                <w:color w:val="000000" w:themeColor="text1"/>
                <w:lang w:val="en-GB"/>
              </w:rPr>
              <w:object w:dxaOrig="1831" w:dyaOrig="1726" w14:anchorId="2B7E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5pt;height:62.25pt;mso-width-percent:0;mso-height-percent:0;mso-width-percent:0;mso-height-percent:0" o:ole="" fillcolor="window">
                  <v:imagedata r:id="rId11" o:title=""/>
                </v:shape>
                <o:OLEObject Type="Embed" ProgID="Word.Picture.8" ShapeID="_x0000_i1025" DrawAspect="Content" ObjectID="_1615035377" r:id="rId12"/>
              </w:object>
            </w:r>
            <w:r w:rsidR="005D542B" w:rsidRPr="00A60E70">
              <w:rPr>
                <w:noProof/>
                <w:color w:val="000000" w:themeColor="text1"/>
                <w:lang w:eastAsia="zh-CN"/>
              </w:rPr>
              <w:drawing>
                <wp:inline distT="0" distB="0" distL="0" distR="0" wp14:anchorId="32BDB4E2" wp14:editId="32D11473">
                  <wp:extent cx="723900" cy="760730"/>
                  <wp:effectExtent l="0" t="0" r="0" b="1270"/>
                  <wp:docPr id="2" name="Picture 2" descr="Description: Description: 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E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60730"/>
                          </a:xfrm>
                          <a:prstGeom prst="rect">
                            <a:avLst/>
                          </a:prstGeom>
                          <a:noFill/>
                          <a:ln>
                            <a:noFill/>
                          </a:ln>
                        </pic:spPr>
                      </pic:pic>
                    </a:graphicData>
                  </a:graphic>
                </wp:inline>
              </w:drawing>
            </w:r>
          </w:p>
        </w:tc>
        <w:tc>
          <w:tcPr>
            <w:tcW w:w="4839" w:type="dxa"/>
            <w:tcBorders>
              <w:top w:val="single" w:sz="4" w:space="0" w:color="auto"/>
              <w:bottom w:val="single" w:sz="24" w:space="0" w:color="auto"/>
            </w:tcBorders>
          </w:tcPr>
          <w:p w14:paraId="7F26CF60" w14:textId="77777777" w:rsidR="005D542B" w:rsidRPr="003240FB" w:rsidRDefault="005D542B" w:rsidP="00BA6586">
            <w:pPr>
              <w:spacing w:before="1400"/>
              <w:rPr>
                <w:rFonts w:ascii="Univers" w:hAnsi="Univers"/>
                <w:b/>
                <w:color w:val="000000" w:themeColor="text1"/>
                <w:sz w:val="28"/>
                <w:lang w:val="en-GB"/>
              </w:rPr>
            </w:pPr>
            <w:r w:rsidRPr="000E39A5">
              <w:rPr>
                <w:rFonts w:ascii="Arial" w:hAnsi="Arial" w:cs="Arial"/>
                <w:b/>
                <w:color w:val="000000" w:themeColor="text1"/>
                <w:sz w:val="28"/>
                <w:szCs w:val="28"/>
                <w:lang w:val="en-GB"/>
              </w:rPr>
              <w:t xml:space="preserve">United Nations </w:t>
            </w:r>
            <w:r w:rsidRPr="000E39A5">
              <w:rPr>
                <w:rFonts w:ascii="Arial" w:hAnsi="Arial" w:cs="Arial"/>
                <w:b/>
                <w:color w:val="000000" w:themeColor="text1"/>
                <w:sz w:val="28"/>
                <w:szCs w:val="28"/>
                <w:lang w:val="en-GB"/>
              </w:rPr>
              <w:br/>
              <w:t xml:space="preserve">Environment </w:t>
            </w:r>
            <w:r w:rsidRPr="000E39A5">
              <w:rPr>
                <w:rFonts w:ascii="Arial" w:hAnsi="Arial" w:cs="Arial"/>
                <w:b/>
                <w:color w:val="000000" w:themeColor="text1"/>
                <w:sz w:val="28"/>
                <w:szCs w:val="28"/>
                <w:lang w:val="en-GB"/>
              </w:rPr>
              <w:br/>
              <w:t>Programme</w:t>
            </w:r>
          </w:p>
        </w:tc>
        <w:tc>
          <w:tcPr>
            <w:tcW w:w="3153" w:type="dxa"/>
            <w:tcBorders>
              <w:top w:val="single" w:sz="4" w:space="0" w:color="auto"/>
              <w:bottom w:val="single" w:sz="24" w:space="0" w:color="auto"/>
            </w:tcBorders>
          </w:tcPr>
          <w:p w14:paraId="0EEE9C4D" w14:textId="4D59F6E9" w:rsidR="005D542B" w:rsidRPr="000E39A5" w:rsidRDefault="005D542B" w:rsidP="00946ADE">
            <w:pPr>
              <w:spacing w:before="120"/>
              <w:rPr>
                <w:color w:val="000000" w:themeColor="text1"/>
                <w:lang w:val="en-GB"/>
              </w:rPr>
            </w:pPr>
            <w:r w:rsidRPr="003240FB">
              <w:rPr>
                <w:color w:val="000000" w:themeColor="text1"/>
                <w:lang w:val="en-GB"/>
              </w:rPr>
              <w:t>Distr.: General</w:t>
            </w:r>
            <w:r w:rsidRPr="003240FB">
              <w:rPr>
                <w:color w:val="000000" w:themeColor="text1"/>
                <w:lang w:val="en-GB"/>
              </w:rPr>
              <w:br/>
            </w:r>
            <w:r w:rsidR="001C2CC5" w:rsidRPr="001C2CC5">
              <w:rPr>
                <w:color w:val="000000" w:themeColor="text1"/>
                <w:lang w:val="en-GB"/>
              </w:rPr>
              <w:t>25 March 2019</w:t>
            </w:r>
          </w:p>
          <w:p w14:paraId="72EEE45A" w14:textId="2E496BB3" w:rsidR="005D542B" w:rsidRPr="003240FB" w:rsidRDefault="00B813FB" w:rsidP="00C65F89">
            <w:pPr>
              <w:spacing w:before="120"/>
              <w:rPr>
                <w:color w:val="000000" w:themeColor="text1"/>
                <w:lang w:val="en-GB"/>
              </w:rPr>
            </w:pPr>
            <w:r>
              <w:rPr>
                <w:color w:val="000000" w:themeColor="text1"/>
                <w:lang w:val="en-GB"/>
              </w:rPr>
              <w:t>English only</w:t>
            </w:r>
          </w:p>
        </w:tc>
      </w:tr>
    </w:tbl>
    <w:p w14:paraId="04CD4DD8" w14:textId="77777777" w:rsidR="00B813FB" w:rsidRDefault="00B813FB" w:rsidP="00532230">
      <w:pPr>
        <w:pStyle w:val="main"/>
        <w:snapToGrid w:val="0"/>
      </w:pPr>
      <w:r>
        <w:t>Meeting of the Ad-hoc Technical Expert Group on</w:t>
      </w:r>
    </w:p>
    <w:p w14:paraId="53300BEB" w14:textId="5F258B82" w:rsidR="00B813FB" w:rsidRDefault="00B813FB" w:rsidP="00532230">
      <w:pPr>
        <w:pStyle w:val="main"/>
        <w:snapToGrid w:val="0"/>
      </w:pPr>
      <w:r>
        <w:t>Effectiveness Evaluation</w:t>
      </w:r>
    </w:p>
    <w:p w14:paraId="754615E7" w14:textId="77777777" w:rsidR="00B813FB" w:rsidRDefault="00B813FB" w:rsidP="00532230">
      <w:pPr>
        <w:pStyle w:val="main"/>
        <w:snapToGrid w:val="0"/>
      </w:pPr>
      <w:r>
        <w:t>Minamata Convention on Mercury</w:t>
      </w:r>
    </w:p>
    <w:p w14:paraId="1CC32F76" w14:textId="77777777" w:rsidR="00B813FB" w:rsidRPr="00D34C2E" w:rsidRDefault="00B813FB" w:rsidP="00532230">
      <w:pPr>
        <w:pStyle w:val="Header"/>
        <w:tabs>
          <w:tab w:val="left" w:pos="720"/>
        </w:tabs>
        <w:snapToGrid w:val="0"/>
        <w:rPr>
          <w:b w:val="0"/>
          <w:bCs/>
          <w:sz w:val="20"/>
          <w:lang w:val="en-US"/>
        </w:rPr>
      </w:pPr>
      <w:r>
        <w:rPr>
          <w:b w:val="0"/>
          <w:bCs/>
          <w:sz w:val="20"/>
          <w:lang w:val="en-US"/>
        </w:rPr>
        <w:t>Geneva</w:t>
      </w:r>
      <w:r w:rsidRPr="00F12259">
        <w:rPr>
          <w:b w:val="0"/>
          <w:bCs/>
          <w:sz w:val="20"/>
          <w:lang w:val="en-US"/>
        </w:rPr>
        <w:t xml:space="preserve">, </w:t>
      </w:r>
      <w:r>
        <w:rPr>
          <w:b w:val="0"/>
          <w:bCs/>
          <w:sz w:val="20"/>
          <w:lang w:val="en-US"/>
        </w:rPr>
        <w:t>Switzerland,</w:t>
      </w:r>
      <w:r w:rsidRPr="00F12259">
        <w:rPr>
          <w:b w:val="0"/>
          <w:bCs/>
          <w:sz w:val="20"/>
          <w:lang w:val="en-US"/>
        </w:rPr>
        <w:t xml:space="preserve"> </w:t>
      </w:r>
      <w:r>
        <w:rPr>
          <w:b w:val="0"/>
          <w:bCs/>
          <w:sz w:val="20"/>
          <w:lang w:val="en-US"/>
        </w:rPr>
        <w:t>8-12</w:t>
      </w:r>
      <w:r w:rsidRPr="00D34C2E">
        <w:rPr>
          <w:b w:val="0"/>
          <w:bCs/>
          <w:sz w:val="20"/>
          <w:lang w:val="en-US"/>
        </w:rPr>
        <w:t xml:space="preserve"> </w:t>
      </w:r>
      <w:r>
        <w:rPr>
          <w:b w:val="0"/>
          <w:bCs/>
          <w:sz w:val="20"/>
          <w:lang w:val="en-US"/>
        </w:rPr>
        <w:t>April 2019</w:t>
      </w:r>
    </w:p>
    <w:p w14:paraId="46B667E2" w14:textId="05CB6B0D" w:rsidR="0001627D" w:rsidRPr="004E2C4A" w:rsidRDefault="0001627D" w:rsidP="00532230">
      <w:pPr>
        <w:pStyle w:val="AATitle2"/>
        <w:snapToGrid w:val="0"/>
        <w:rPr>
          <w:lang w:val="en-GB"/>
        </w:rPr>
      </w:pPr>
    </w:p>
    <w:p w14:paraId="5EBC13CE" w14:textId="5A716F46" w:rsidR="0001627D" w:rsidRPr="00B05344" w:rsidRDefault="001C2CC5" w:rsidP="00532230">
      <w:pPr>
        <w:pStyle w:val="BBTitle"/>
        <w:snapToGrid w:val="0"/>
        <w:rPr>
          <w:color w:val="000000" w:themeColor="text1"/>
          <w:lang w:val="en-GB"/>
        </w:rPr>
      </w:pPr>
      <w:r>
        <w:rPr>
          <w:color w:val="000000" w:themeColor="text1"/>
          <w:lang w:val="en-GB"/>
        </w:rPr>
        <w:t>Overview of information submitted by parties and other stakeholders on effectiveness evaluation</w:t>
      </w:r>
      <w:r w:rsidR="00A046AF">
        <w:rPr>
          <w:rStyle w:val="FootnoteReference"/>
          <w:lang w:val="en-GB"/>
        </w:rPr>
        <w:footnoteReference w:id="1"/>
      </w:r>
    </w:p>
    <w:p w14:paraId="3D14255D" w14:textId="5651F530" w:rsidR="007B50EB" w:rsidRDefault="007B50EB" w:rsidP="00532230">
      <w:pPr>
        <w:pStyle w:val="Normalnumber"/>
        <w:numPr>
          <w:ilvl w:val="0"/>
          <w:numId w:val="1"/>
        </w:numPr>
        <w:tabs>
          <w:tab w:val="clear" w:pos="567"/>
        </w:tabs>
        <w:snapToGrid w:val="0"/>
        <w:rPr>
          <w:lang w:val="en-GB"/>
        </w:rPr>
      </w:pPr>
      <w:r w:rsidRPr="008E3BBB">
        <w:rPr>
          <w:lang w:val="en-GB"/>
        </w:rPr>
        <w:t>The following parties and stakeholders submitted information relevant to the effectiveness evaluation of the Minamata Convention on Mercury for the deliberations at the seventh session of the intergovernmental negotiating committee held from 10 to 15 March 2016:</w:t>
      </w:r>
    </w:p>
    <w:p w14:paraId="283D588A" w14:textId="77777777" w:rsidR="008E3BBB" w:rsidRPr="008E3BBB" w:rsidRDefault="008E3BBB" w:rsidP="0010138E">
      <w:pPr>
        <w:pStyle w:val="Normalnumber"/>
        <w:numPr>
          <w:ilvl w:val="0"/>
          <w:numId w:val="10"/>
        </w:numPr>
        <w:snapToGrid w:val="0"/>
        <w:rPr>
          <w:lang w:val="en-GB"/>
        </w:rPr>
      </w:pPr>
      <w:r w:rsidRPr="008E3BBB">
        <w:rPr>
          <w:lang w:val="en-GB"/>
        </w:rPr>
        <w:t>Brazil</w:t>
      </w:r>
    </w:p>
    <w:p w14:paraId="547A7C13" w14:textId="77777777" w:rsidR="008E3BBB" w:rsidRPr="008E3BBB" w:rsidRDefault="008E3BBB" w:rsidP="0010138E">
      <w:pPr>
        <w:pStyle w:val="Normalnumber"/>
        <w:numPr>
          <w:ilvl w:val="0"/>
          <w:numId w:val="10"/>
        </w:numPr>
        <w:snapToGrid w:val="0"/>
        <w:rPr>
          <w:lang w:val="en-GB"/>
        </w:rPr>
      </w:pPr>
      <w:r w:rsidRPr="008E3BBB">
        <w:rPr>
          <w:lang w:val="en-GB"/>
        </w:rPr>
        <w:t>Canada</w:t>
      </w:r>
    </w:p>
    <w:p w14:paraId="79F6CBDA" w14:textId="77777777" w:rsidR="008E3BBB" w:rsidRPr="008E3BBB" w:rsidRDefault="008E3BBB" w:rsidP="0010138E">
      <w:pPr>
        <w:pStyle w:val="Normalnumber"/>
        <w:numPr>
          <w:ilvl w:val="0"/>
          <w:numId w:val="10"/>
        </w:numPr>
        <w:snapToGrid w:val="0"/>
        <w:rPr>
          <w:lang w:val="en-GB"/>
        </w:rPr>
      </w:pPr>
      <w:r w:rsidRPr="008E3BBB">
        <w:rPr>
          <w:lang w:val="en-GB"/>
        </w:rPr>
        <w:t>Colombia</w:t>
      </w:r>
    </w:p>
    <w:p w14:paraId="0BF75A11" w14:textId="77777777" w:rsidR="008E3BBB" w:rsidRPr="008E3BBB" w:rsidRDefault="008E3BBB" w:rsidP="0010138E">
      <w:pPr>
        <w:pStyle w:val="Normalnumber"/>
        <w:numPr>
          <w:ilvl w:val="0"/>
          <w:numId w:val="10"/>
        </w:numPr>
        <w:snapToGrid w:val="0"/>
        <w:rPr>
          <w:lang w:val="en-GB"/>
        </w:rPr>
      </w:pPr>
      <w:r w:rsidRPr="008E3BBB">
        <w:rPr>
          <w:lang w:val="en-GB"/>
        </w:rPr>
        <w:t>European Union and its Member States</w:t>
      </w:r>
    </w:p>
    <w:p w14:paraId="2B46F8FF" w14:textId="77777777" w:rsidR="008E3BBB" w:rsidRPr="008E3BBB" w:rsidRDefault="008E3BBB" w:rsidP="0010138E">
      <w:pPr>
        <w:pStyle w:val="Normalnumber"/>
        <w:numPr>
          <w:ilvl w:val="0"/>
          <w:numId w:val="10"/>
        </w:numPr>
        <w:snapToGrid w:val="0"/>
        <w:rPr>
          <w:lang w:val="en-GB"/>
        </w:rPr>
      </w:pPr>
      <w:r w:rsidRPr="008E3BBB">
        <w:rPr>
          <w:lang w:val="en-GB"/>
        </w:rPr>
        <w:t>Japan</w:t>
      </w:r>
    </w:p>
    <w:p w14:paraId="5CCB18AA" w14:textId="77777777" w:rsidR="008E3BBB" w:rsidRPr="008E3BBB" w:rsidRDefault="008E3BBB" w:rsidP="0010138E">
      <w:pPr>
        <w:pStyle w:val="Normalnumber"/>
        <w:numPr>
          <w:ilvl w:val="0"/>
          <w:numId w:val="10"/>
        </w:numPr>
        <w:snapToGrid w:val="0"/>
        <w:rPr>
          <w:lang w:val="en-GB"/>
        </w:rPr>
      </w:pPr>
      <w:r w:rsidRPr="008E3BBB">
        <w:rPr>
          <w:lang w:val="en-GB"/>
        </w:rPr>
        <w:t>Norway</w:t>
      </w:r>
    </w:p>
    <w:p w14:paraId="767E1D47" w14:textId="77777777" w:rsidR="008E3BBB" w:rsidRPr="008E3BBB" w:rsidRDefault="008E3BBB" w:rsidP="0010138E">
      <w:pPr>
        <w:pStyle w:val="Normalnumber"/>
        <w:numPr>
          <w:ilvl w:val="0"/>
          <w:numId w:val="10"/>
        </w:numPr>
        <w:snapToGrid w:val="0"/>
        <w:rPr>
          <w:lang w:val="en-GB"/>
        </w:rPr>
      </w:pPr>
      <w:r w:rsidRPr="008E3BBB">
        <w:rPr>
          <w:lang w:val="en-GB"/>
        </w:rPr>
        <w:t>Switzerland</w:t>
      </w:r>
    </w:p>
    <w:p w14:paraId="5F361FBB" w14:textId="77777777" w:rsidR="008E3BBB" w:rsidRPr="008E3BBB" w:rsidRDefault="008E3BBB" w:rsidP="0010138E">
      <w:pPr>
        <w:pStyle w:val="Normalnumber"/>
        <w:numPr>
          <w:ilvl w:val="0"/>
          <w:numId w:val="10"/>
        </w:numPr>
        <w:snapToGrid w:val="0"/>
        <w:rPr>
          <w:lang w:val="en-GB"/>
        </w:rPr>
      </w:pPr>
      <w:r w:rsidRPr="008E3BBB">
        <w:rPr>
          <w:lang w:val="en-GB"/>
        </w:rPr>
        <w:t>United States of America</w:t>
      </w:r>
    </w:p>
    <w:p w14:paraId="3A6C3B5A" w14:textId="77777777" w:rsidR="008E3BBB" w:rsidRPr="008E3BBB" w:rsidRDefault="008E3BBB" w:rsidP="0010138E">
      <w:pPr>
        <w:pStyle w:val="Normalnumber"/>
        <w:numPr>
          <w:ilvl w:val="0"/>
          <w:numId w:val="10"/>
        </w:numPr>
        <w:snapToGrid w:val="0"/>
        <w:rPr>
          <w:lang w:val="en-GB"/>
        </w:rPr>
      </w:pPr>
      <w:r w:rsidRPr="008E3BBB">
        <w:rPr>
          <w:lang w:val="en-GB"/>
        </w:rPr>
        <w:t>Viet Nam</w:t>
      </w:r>
    </w:p>
    <w:p w14:paraId="652DAD2E" w14:textId="77777777" w:rsidR="008E3BBB" w:rsidRPr="008E3BBB" w:rsidRDefault="008E3BBB" w:rsidP="0010138E">
      <w:pPr>
        <w:pStyle w:val="Normalnumber"/>
        <w:numPr>
          <w:ilvl w:val="0"/>
          <w:numId w:val="10"/>
        </w:numPr>
        <w:snapToGrid w:val="0"/>
        <w:rPr>
          <w:lang w:val="en-GB"/>
        </w:rPr>
      </w:pPr>
      <w:r w:rsidRPr="008E3BBB">
        <w:rPr>
          <w:lang w:val="en-GB"/>
        </w:rPr>
        <w:t>Biodiversity Research Institute</w:t>
      </w:r>
    </w:p>
    <w:p w14:paraId="213808FB" w14:textId="2459B479" w:rsidR="008E3BBB" w:rsidRPr="008E3BBB" w:rsidRDefault="008E3BBB" w:rsidP="0010138E">
      <w:pPr>
        <w:pStyle w:val="Normalnumber"/>
        <w:numPr>
          <w:ilvl w:val="0"/>
          <w:numId w:val="10"/>
        </w:numPr>
        <w:snapToGrid w:val="0"/>
        <w:rPr>
          <w:lang w:val="en-GB"/>
        </w:rPr>
      </w:pPr>
      <w:r w:rsidRPr="008E3BBB">
        <w:rPr>
          <w:lang w:val="en-GB"/>
        </w:rPr>
        <w:t>World Health Organization</w:t>
      </w:r>
    </w:p>
    <w:p w14:paraId="1B976462" w14:textId="54716BFA" w:rsidR="008E3BBB" w:rsidRDefault="008E3BBB" w:rsidP="006A061B">
      <w:pPr>
        <w:pStyle w:val="Normalnumber"/>
        <w:numPr>
          <w:ilvl w:val="0"/>
          <w:numId w:val="1"/>
        </w:numPr>
        <w:tabs>
          <w:tab w:val="clear" w:pos="567"/>
        </w:tabs>
        <w:snapToGrid w:val="0"/>
        <w:rPr>
          <w:lang w:val="en-GB"/>
        </w:rPr>
      </w:pPr>
      <w:r>
        <w:rPr>
          <w:lang w:val="en-GB"/>
        </w:rPr>
        <w:t xml:space="preserve">These submissions are available from </w:t>
      </w:r>
      <w:hyperlink r:id="rId14" w:history="1">
        <w:r w:rsidRPr="003B4A16">
          <w:rPr>
            <w:rStyle w:val="Hyperlink"/>
            <w:lang w:val="en-GB"/>
          </w:rPr>
          <w:t>http://www.mercuryconvention.org/Negotiations/INC7/INC7submissions/tabid/4754/Default.aspx</w:t>
        </w:r>
      </w:hyperlink>
      <w:r>
        <w:rPr>
          <w:lang w:val="en-GB"/>
        </w:rPr>
        <w:t xml:space="preserve">. The secretariat compiled and analysed these submissions as </w:t>
      </w:r>
      <w:r w:rsidRPr="008E3BBB">
        <w:rPr>
          <w:lang w:val="en-GB"/>
        </w:rPr>
        <w:t>UNEP(DTIE)/Hg/INC.7/12</w:t>
      </w:r>
      <w:r>
        <w:rPr>
          <w:lang w:val="en-GB"/>
        </w:rPr>
        <w:t>.</w:t>
      </w:r>
    </w:p>
    <w:p w14:paraId="31AB5C2E" w14:textId="2FEC697B" w:rsidR="007B50EB" w:rsidRDefault="007B50EB" w:rsidP="006A061B">
      <w:pPr>
        <w:pStyle w:val="Normalnumber"/>
        <w:numPr>
          <w:ilvl w:val="0"/>
          <w:numId w:val="1"/>
        </w:numPr>
        <w:tabs>
          <w:tab w:val="clear" w:pos="567"/>
        </w:tabs>
        <w:snapToGrid w:val="0"/>
        <w:rPr>
          <w:lang w:val="en-GB"/>
        </w:rPr>
      </w:pPr>
      <w:r w:rsidRPr="008E3BBB">
        <w:rPr>
          <w:lang w:val="en-GB"/>
        </w:rPr>
        <w:t>The following parties and stakeholders submitted information for the deliberations at the first meeting of the Conference of the Parties held from 24 to 29 September 2017:</w:t>
      </w:r>
    </w:p>
    <w:p w14:paraId="621EDB77" w14:textId="77777777" w:rsidR="008E3BBB" w:rsidRPr="008E3BBB" w:rsidRDefault="008E3BBB" w:rsidP="0010138E">
      <w:pPr>
        <w:pStyle w:val="Normalnumber"/>
        <w:numPr>
          <w:ilvl w:val="0"/>
          <w:numId w:val="9"/>
        </w:numPr>
        <w:snapToGrid w:val="0"/>
        <w:rPr>
          <w:lang w:val="en-GB"/>
        </w:rPr>
      </w:pPr>
      <w:r w:rsidRPr="008E3BBB">
        <w:rPr>
          <w:lang w:val="en-GB"/>
        </w:rPr>
        <w:t>Brazil</w:t>
      </w:r>
    </w:p>
    <w:p w14:paraId="54D63FF1" w14:textId="77777777" w:rsidR="008E3BBB" w:rsidRPr="008E3BBB" w:rsidRDefault="008E3BBB" w:rsidP="0010138E">
      <w:pPr>
        <w:pStyle w:val="Normalnumber"/>
        <w:numPr>
          <w:ilvl w:val="0"/>
          <w:numId w:val="9"/>
        </w:numPr>
        <w:snapToGrid w:val="0"/>
        <w:rPr>
          <w:lang w:val="en-GB"/>
        </w:rPr>
      </w:pPr>
      <w:r w:rsidRPr="008E3BBB">
        <w:rPr>
          <w:lang w:val="en-GB"/>
        </w:rPr>
        <w:t>Cambodia</w:t>
      </w:r>
    </w:p>
    <w:p w14:paraId="3A5FE6FA" w14:textId="77777777" w:rsidR="008E3BBB" w:rsidRPr="008E3BBB" w:rsidRDefault="008E3BBB" w:rsidP="0010138E">
      <w:pPr>
        <w:pStyle w:val="Normalnumber"/>
        <w:numPr>
          <w:ilvl w:val="0"/>
          <w:numId w:val="9"/>
        </w:numPr>
        <w:snapToGrid w:val="0"/>
        <w:rPr>
          <w:lang w:val="en-GB"/>
        </w:rPr>
      </w:pPr>
      <w:r w:rsidRPr="008E3BBB">
        <w:rPr>
          <w:lang w:val="en-GB"/>
        </w:rPr>
        <w:t>Canada</w:t>
      </w:r>
    </w:p>
    <w:p w14:paraId="0C2CEA47" w14:textId="77777777" w:rsidR="008E3BBB" w:rsidRPr="008E3BBB" w:rsidRDefault="008E3BBB" w:rsidP="0010138E">
      <w:pPr>
        <w:pStyle w:val="Normalnumber"/>
        <w:numPr>
          <w:ilvl w:val="0"/>
          <w:numId w:val="9"/>
        </w:numPr>
        <w:snapToGrid w:val="0"/>
        <w:rPr>
          <w:lang w:val="en-GB"/>
        </w:rPr>
      </w:pPr>
      <w:r w:rsidRPr="008E3BBB">
        <w:rPr>
          <w:lang w:val="en-GB"/>
        </w:rPr>
        <w:lastRenderedPageBreak/>
        <w:t>European Union</w:t>
      </w:r>
    </w:p>
    <w:p w14:paraId="32245706" w14:textId="77777777" w:rsidR="008E3BBB" w:rsidRPr="008E3BBB" w:rsidRDefault="008E3BBB" w:rsidP="0010138E">
      <w:pPr>
        <w:pStyle w:val="Normalnumber"/>
        <w:numPr>
          <w:ilvl w:val="0"/>
          <w:numId w:val="9"/>
        </w:numPr>
        <w:snapToGrid w:val="0"/>
        <w:rPr>
          <w:lang w:val="en-GB"/>
        </w:rPr>
      </w:pPr>
      <w:r w:rsidRPr="008E3BBB">
        <w:rPr>
          <w:lang w:val="en-GB"/>
        </w:rPr>
        <w:t>Japan</w:t>
      </w:r>
    </w:p>
    <w:p w14:paraId="372B419E" w14:textId="77777777" w:rsidR="008E3BBB" w:rsidRPr="008E3BBB" w:rsidRDefault="008E3BBB" w:rsidP="0010138E">
      <w:pPr>
        <w:pStyle w:val="Normalnumber"/>
        <w:numPr>
          <w:ilvl w:val="0"/>
          <w:numId w:val="9"/>
        </w:numPr>
        <w:snapToGrid w:val="0"/>
        <w:rPr>
          <w:lang w:val="en-GB"/>
        </w:rPr>
      </w:pPr>
      <w:r w:rsidRPr="008E3BBB">
        <w:rPr>
          <w:lang w:val="en-GB"/>
        </w:rPr>
        <w:t>Madagascar</w:t>
      </w:r>
    </w:p>
    <w:p w14:paraId="11812C55" w14:textId="77777777" w:rsidR="008E3BBB" w:rsidRPr="008E3BBB" w:rsidRDefault="008E3BBB" w:rsidP="0010138E">
      <w:pPr>
        <w:pStyle w:val="Normalnumber"/>
        <w:numPr>
          <w:ilvl w:val="0"/>
          <w:numId w:val="9"/>
        </w:numPr>
        <w:snapToGrid w:val="0"/>
        <w:rPr>
          <w:lang w:val="en-GB"/>
        </w:rPr>
      </w:pPr>
      <w:r w:rsidRPr="008E3BBB">
        <w:rPr>
          <w:lang w:val="en-GB"/>
        </w:rPr>
        <w:t>Norway</w:t>
      </w:r>
    </w:p>
    <w:p w14:paraId="238E7BDE" w14:textId="77777777" w:rsidR="008E3BBB" w:rsidRPr="008E3BBB" w:rsidRDefault="008E3BBB" w:rsidP="0010138E">
      <w:pPr>
        <w:pStyle w:val="Normalnumber"/>
        <w:numPr>
          <w:ilvl w:val="0"/>
          <w:numId w:val="9"/>
        </w:numPr>
        <w:snapToGrid w:val="0"/>
        <w:rPr>
          <w:lang w:val="en-GB"/>
        </w:rPr>
      </w:pPr>
      <w:r w:rsidRPr="008E3BBB">
        <w:rPr>
          <w:lang w:val="en-GB"/>
        </w:rPr>
        <w:t>Republic of Korea</w:t>
      </w:r>
    </w:p>
    <w:p w14:paraId="2C32B5F6" w14:textId="77777777" w:rsidR="008E3BBB" w:rsidRPr="008E3BBB" w:rsidRDefault="008E3BBB" w:rsidP="0010138E">
      <w:pPr>
        <w:pStyle w:val="Normalnumber"/>
        <w:numPr>
          <w:ilvl w:val="0"/>
          <w:numId w:val="9"/>
        </w:numPr>
        <w:snapToGrid w:val="0"/>
        <w:rPr>
          <w:lang w:val="en-GB"/>
        </w:rPr>
      </w:pPr>
      <w:r w:rsidRPr="008E3BBB">
        <w:rPr>
          <w:lang w:val="en-GB"/>
        </w:rPr>
        <w:t>United States</w:t>
      </w:r>
    </w:p>
    <w:p w14:paraId="307B6EB1" w14:textId="25684864" w:rsidR="008E3BBB" w:rsidRPr="008E3BBB" w:rsidRDefault="008E3BBB" w:rsidP="0010138E">
      <w:pPr>
        <w:pStyle w:val="Normalnumber"/>
        <w:numPr>
          <w:ilvl w:val="0"/>
          <w:numId w:val="9"/>
        </w:numPr>
        <w:snapToGrid w:val="0"/>
        <w:rPr>
          <w:lang w:val="en-GB"/>
        </w:rPr>
      </w:pPr>
      <w:r w:rsidRPr="008E3BBB">
        <w:rPr>
          <w:lang w:val="en-GB"/>
        </w:rPr>
        <w:t>Arctic Monitoring and Assessment Programme</w:t>
      </w:r>
    </w:p>
    <w:p w14:paraId="0A524B5B" w14:textId="6AED0E28" w:rsidR="008E3BBB" w:rsidRPr="008E3BBB" w:rsidRDefault="008E3BBB" w:rsidP="0010138E">
      <w:pPr>
        <w:pStyle w:val="Normalnumber"/>
        <w:numPr>
          <w:ilvl w:val="0"/>
          <w:numId w:val="9"/>
        </w:numPr>
        <w:snapToGrid w:val="0"/>
        <w:rPr>
          <w:lang w:val="en-GB"/>
        </w:rPr>
      </w:pPr>
      <w:r w:rsidRPr="008E3BBB">
        <w:rPr>
          <w:lang w:val="en-GB"/>
        </w:rPr>
        <w:t>Biodiversity Research Institute (</w:t>
      </w:r>
      <w:r w:rsidR="0034230E">
        <w:rPr>
          <w:lang w:val="en-GB"/>
        </w:rPr>
        <w:t xml:space="preserve">Evers et al. 2016. </w:t>
      </w:r>
      <w:r w:rsidR="0034230E" w:rsidRPr="0034230E">
        <w:rPr>
          <w:lang w:val="en-GB"/>
        </w:rPr>
        <w:t>Evaluating the effectiveness of the Minamata Convention on Mercury: Principles and recommendations for next steps</w:t>
      </w:r>
      <w:r w:rsidR="0034230E">
        <w:rPr>
          <w:lang w:val="en-GB"/>
        </w:rPr>
        <w:t>.</w:t>
      </w:r>
      <w:r w:rsidRPr="008E3BBB">
        <w:rPr>
          <w:lang w:val="en-GB"/>
        </w:rPr>
        <w:t>)</w:t>
      </w:r>
      <w:r w:rsidR="0034230E">
        <w:rPr>
          <w:lang w:val="en-GB"/>
        </w:rPr>
        <w:t xml:space="preserve"> </w:t>
      </w:r>
    </w:p>
    <w:p w14:paraId="12218760" w14:textId="77777777" w:rsidR="008E3BBB" w:rsidRPr="008E3BBB" w:rsidRDefault="008E3BBB" w:rsidP="0010138E">
      <w:pPr>
        <w:pStyle w:val="Normalnumber"/>
        <w:numPr>
          <w:ilvl w:val="0"/>
          <w:numId w:val="9"/>
        </w:numPr>
        <w:snapToGrid w:val="0"/>
        <w:rPr>
          <w:lang w:val="en-GB"/>
        </w:rPr>
      </w:pPr>
      <w:r w:rsidRPr="008E3BBB">
        <w:rPr>
          <w:lang w:val="en-GB"/>
        </w:rPr>
        <w:t>Stony Brook University</w:t>
      </w:r>
    </w:p>
    <w:p w14:paraId="2B5332E3" w14:textId="77777777" w:rsidR="008E3BBB" w:rsidRPr="008E3BBB" w:rsidRDefault="008E3BBB" w:rsidP="0010138E">
      <w:pPr>
        <w:pStyle w:val="Normalnumber"/>
        <w:numPr>
          <w:ilvl w:val="0"/>
          <w:numId w:val="9"/>
        </w:numPr>
        <w:snapToGrid w:val="0"/>
        <w:rPr>
          <w:lang w:val="en-GB"/>
        </w:rPr>
      </w:pPr>
      <w:r w:rsidRPr="008E3BBB">
        <w:rPr>
          <w:lang w:val="en-GB"/>
        </w:rPr>
        <w:t>Syracuse University</w:t>
      </w:r>
    </w:p>
    <w:p w14:paraId="21D6F02F" w14:textId="2E3CF535" w:rsidR="008E3BBB" w:rsidRPr="008E3BBB" w:rsidRDefault="008E3BBB" w:rsidP="0010138E">
      <w:pPr>
        <w:pStyle w:val="Normalnumber"/>
        <w:numPr>
          <w:ilvl w:val="0"/>
          <w:numId w:val="9"/>
        </w:numPr>
        <w:snapToGrid w:val="0"/>
        <w:rPr>
          <w:lang w:val="en-GB"/>
        </w:rPr>
      </w:pPr>
      <w:r w:rsidRPr="008E3BBB">
        <w:rPr>
          <w:lang w:val="en-GB"/>
        </w:rPr>
        <w:t xml:space="preserve">UN Environment </w:t>
      </w:r>
      <w:r>
        <w:rPr>
          <w:lang w:val="en-GB"/>
        </w:rPr>
        <w:t>(</w:t>
      </w:r>
      <w:r w:rsidRPr="008E3BBB">
        <w:rPr>
          <w:lang w:val="en-GB"/>
        </w:rPr>
        <w:t>Global Review of Mercury Monitoring</w:t>
      </w:r>
      <w:r>
        <w:rPr>
          <w:lang w:val="en-GB"/>
        </w:rPr>
        <w:t>)</w:t>
      </w:r>
    </w:p>
    <w:p w14:paraId="03DC193E" w14:textId="039D7E48" w:rsidR="00B813FB" w:rsidRPr="008E3BBB" w:rsidRDefault="008E3BBB" w:rsidP="006A061B">
      <w:pPr>
        <w:pStyle w:val="Normalnumber"/>
        <w:numPr>
          <w:ilvl w:val="0"/>
          <w:numId w:val="1"/>
        </w:numPr>
        <w:tabs>
          <w:tab w:val="clear" w:pos="567"/>
        </w:tabs>
        <w:snapToGrid w:val="0"/>
        <w:rPr>
          <w:lang w:val="en-GB"/>
        </w:rPr>
      </w:pPr>
      <w:r w:rsidRPr="008E3BBB">
        <w:rPr>
          <w:lang w:val="en-GB"/>
        </w:rPr>
        <w:t xml:space="preserve">These submissions are available from </w:t>
      </w:r>
      <w:hyperlink r:id="rId15" w:history="1">
        <w:r w:rsidRPr="008E3BBB">
          <w:rPr>
            <w:rStyle w:val="Hyperlink"/>
            <w:lang w:val="en-GB"/>
          </w:rPr>
          <w:t>http://www.mercuryconvention.org/Negotiations/COP1/submissionsforCOP1/tabid/5535/language/en-US/Default.aspx</w:t>
        </w:r>
      </w:hyperlink>
      <w:r w:rsidRPr="008E3BBB">
        <w:rPr>
          <w:lang w:val="en-GB"/>
        </w:rPr>
        <w:t xml:space="preserve"> . Based on these submissions, the secretariat developed a report on the establishment of arrangements for providing comparable monitoring data, as set out as Annex II of UNEP/MC/COP.1/12.</w:t>
      </w:r>
      <w:r>
        <w:rPr>
          <w:lang w:val="en-GB"/>
        </w:rPr>
        <w:t xml:space="preserve"> A r</w:t>
      </w:r>
      <w:r w:rsidRPr="008E3BBB">
        <w:rPr>
          <w:lang w:val="en-GB"/>
        </w:rPr>
        <w:t>eport by UN Environment, the World Health Organization and Italian National Research Council – Institute of Atmospheric Pollution Research regarding the activities of the Global Environment Facility Project: Development of a Plan for Global Monitoring of Human Exposure to and Environmental Concentrations of Mercury</w:t>
      </w:r>
      <w:r w:rsidR="0034230E">
        <w:rPr>
          <w:lang w:val="en-GB"/>
        </w:rPr>
        <w:t xml:space="preserve"> was also made available as </w:t>
      </w:r>
      <w:r w:rsidR="0034230E" w:rsidRPr="0034230E">
        <w:rPr>
          <w:lang w:val="en-GB"/>
        </w:rPr>
        <w:t>UNEP/MC/COP.1/INF/15</w:t>
      </w:r>
      <w:r w:rsidR="0034230E">
        <w:rPr>
          <w:lang w:val="en-GB"/>
        </w:rPr>
        <w:t>.</w:t>
      </w:r>
    </w:p>
    <w:p w14:paraId="09E02F70" w14:textId="3D2254CC" w:rsidR="00E4206C" w:rsidRDefault="00E4206C" w:rsidP="006A061B">
      <w:pPr>
        <w:pStyle w:val="Normalnumber"/>
        <w:numPr>
          <w:ilvl w:val="0"/>
          <w:numId w:val="1"/>
        </w:numPr>
        <w:tabs>
          <w:tab w:val="left" w:pos="1247"/>
          <w:tab w:val="left" w:pos="1843"/>
          <w:tab w:val="left" w:pos="2381"/>
          <w:tab w:val="left" w:pos="2948"/>
          <w:tab w:val="left" w:pos="3515"/>
        </w:tabs>
        <w:snapToGrid w:val="0"/>
        <w:rPr>
          <w:lang w:val="en-US"/>
        </w:rPr>
      </w:pPr>
      <w:r>
        <w:rPr>
          <w:lang w:val="en-US"/>
        </w:rPr>
        <w:t xml:space="preserve">For the first meeting of the ad-hoc technical expert group on effectiveness evaluation, </w:t>
      </w:r>
      <w:r w:rsidR="00514962">
        <w:rPr>
          <w:lang w:val="en-US"/>
        </w:rPr>
        <w:t xml:space="preserve">held from 5 to 9 March 2018, </w:t>
      </w:r>
      <w:r>
        <w:rPr>
          <w:lang w:val="en-US"/>
        </w:rPr>
        <w:t>the following pieces of literature were made available to the participants:</w:t>
      </w:r>
    </w:p>
    <w:p w14:paraId="7BEACE03" w14:textId="3D69409A" w:rsidR="00E4206C" w:rsidRPr="00E4206C" w:rsidRDefault="00E4206C" w:rsidP="0010138E">
      <w:pPr>
        <w:pStyle w:val="Normalnumber"/>
        <w:numPr>
          <w:ilvl w:val="0"/>
          <w:numId w:val="9"/>
        </w:numPr>
        <w:snapToGrid w:val="0"/>
        <w:rPr>
          <w:lang w:val="en-GB"/>
        </w:rPr>
      </w:pPr>
      <w:r w:rsidRPr="00E4206C">
        <w:rPr>
          <w:lang w:val="en-GB"/>
        </w:rPr>
        <w:t xml:space="preserve">Daniel A et al. 2018. The Contribution of Environmental Monitoring to the Review of the Effectiveness of Environmental Treaties. Available at </w:t>
      </w:r>
      <w:hyperlink r:id="rId16" w:history="1">
        <w:r w:rsidRPr="00E4206C">
          <w:rPr>
            <w:lang w:val="en-GB"/>
          </w:rPr>
          <w:t>http://pubs.acs.org/doi/full/10.1021/acs.est.7b06148</w:t>
        </w:r>
      </w:hyperlink>
    </w:p>
    <w:p w14:paraId="79EE435F" w14:textId="77777777" w:rsidR="00E4206C" w:rsidRPr="00E4206C" w:rsidRDefault="00E4206C" w:rsidP="0010138E">
      <w:pPr>
        <w:pStyle w:val="Normalnumber"/>
        <w:numPr>
          <w:ilvl w:val="0"/>
          <w:numId w:val="9"/>
        </w:numPr>
        <w:snapToGrid w:val="0"/>
        <w:rPr>
          <w:lang w:val="en-GB"/>
        </w:rPr>
      </w:pPr>
      <w:r w:rsidRPr="00E4206C">
        <w:rPr>
          <w:lang w:val="en-GB"/>
        </w:rPr>
        <w:t xml:space="preserve">Selin H et al. 2018. Linking Science and Policy to support the implementation of the Minamata Convention on Mercury. Available at </w:t>
      </w:r>
      <w:hyperlink r:id="rId17" w:history="1">
        <w:r w:rsidRPr="00E4206C">
          <w:rPr>
            <w:lang w:val="en-GB"/>
          </w:rPr>
          <w:t>https://link.springer.com/journal/13280/47/2/page/1</w:t>
        </w:r>
      </w:hyperlink>
      <w:r w:rsidRPr="00E4206C">
        <w:rPr>
          <w:lang w:val="en-GB"/>
        </w:rPr>
        <w:t xml:space="preserve">. </w:t>
      </w:r>
    </w:p>
    <w:p w14:paraId="30901D66" w14:textId="11F2D73D" w:rsidR="00F12C21" w:rsidRDefault="00E4206C" w:rsidP="006A061B">
      <w:pPr>
        <w:pStyle w:val="Normalnumber"/>
        <w:numPr>
          <w:ilvl w:val="0"/>
          <w:numId w:val="1"/>
        </w:numPr>
        <w:tabs>
          <w:tab w:val="clear" w:pos="567"/>
        </w:tabs>
        <w:snapToGrid w:val="0"/>
        <w:rPr>
          <w:lang w:val="en-GB"/>
        </w:rPr>
      </w:pPr>
      <w:r>
        <w:rPr>
          <w:lang w:val="en-GB"/>
        </w:rPr>
        <w:t xml:space="preserve">A number of participants made presentations on </w:t>
      </w:r>
      <w:r w:rsidR="000015B4">
        <w:rPr>
          <w:lang w:val="en-GB"/>
        </w:rPr>
        <w:t xml:space="preserve">mercury monitoring and other activities related to effectiveness evaluation. These presentations are available to the group on the document cloud </w:t>
      </w:r>
      <w:hyperlink r:id="rId18" w:history="1">
        <w:r w:rsidR="000015B4" w:rsidRPr="003B4A16">
          <w:rPr>
            <w:rStyle w:val="Hyperlink"/>
            <w:lang w:val="en-GB"/>
          </w:rPr>
          <w:t>http://bit.ly/DoesMinamataWork</w:t>
        </w:r>
      </w:hyperlink>
      <w:r w:rsidR="000015B4">
        <w:rPr>
          <w:lang w:val="en-GB"/>
        </w:rPr>
        <w:t>.</w:t>
      </w:r>
    </w:p>
    <w:p w14:paraId="3CC6A870" w14:textId="2E848D8B" w:rsidR="00514962" w:rsidRDefault="00514962" w:rsidP="006A061B">
      <w:pPr>
        <w:pStyle w:val="Normalnumber"/>
        <w:numPr>
          <w:ilvl w:val="0"/>
          <w:numId w:val="1"/>
        </w:numPr>
        <w:tabs>
          <w:tab w:val="clear" w:pos="567"/>
        </w:tabs>
        <w:snapToGrid w:val="0"/>
        <w:rPr>
          <w:lang w:val="en-GB"/>
        </w:rPr>
      </w:pPr>
      <w:r>
        <w:rPr>
          <w:lang w:val="en-GB"/>
        </w:rPr>
        <w:t xml:space="preserve">The secretariat developed a working document </w:t>
      </w:r>
      <w:r w:rsidRPr="00514962">
        <w:rPr>
          <w:lang w:val="en-GB"/>
        </w:rPr>
        <w:t>UNEP/MC/COP.2/13*</w:t>
      </w:r>
      <w:r>
        <w:rPr>
          <w:lang w:val="en-GB"/>
        </w:rPr>
        <w:t xml:space="preserve"> to report to the Conference of the Parties at its second meeting on the work of the group. The report from the group was published as </w:t>
      </w:r>
      <w:r w:rsidRPr="00514962">
        <w:rPr>
          <w:lang w:val="en-GB"/>
        </w:rPr>
        <w:t>UNEP/MC/COP.2/INF/8</w:t>
      </w:r>
      <w:r>
        <w:rPr>
          <w:lang w:val="en-GB"/>
        </w:rPr>
        <w:t>. Comments on an earlier draft of the working document were received from the following:</w:t>
      </w:r>
    </w:p>
    <w:p w14:paraId="27532FB3" w14:textId="77777777" w:rsidR="00514962" w:rsidRPr="00514962" w:rsidRDefault="00514962" w:rsidP="0010138E">
      <w:pPr>
        <w:pStyle w:val="Normalnumber"/>
        <w:numPr>
          <w:ilvl w:val="0"/>
          <w:numId w:val="11"/>
        </w:numPr>
        <w:snapToGrid w:val="0"/>
        <w:rPr>
          <w:lang w:val="en-GB"/>
        </w:rPr>
      </w:pPr>
      <w:r w:rsidRPr="00514962">
        <w:rPr>
          <w:lang w:val="en-GB"/>
        </w:rPr>
        <w:t>Argentina</w:t>
      </w:r>
    </w:p>
    <w:p w14:paraId="3D59B800" w14:textId="77777777" w:rsidR="00514962" w:rsidRPr="00514962" w:rsidRDefault="00514962" w:rsidP="0010138E">
      <w:pPr>
        <w:pStyle w:val="Normalnumber"/>
        <w:numPr>
          <w:ilvl w:val="0"/>
          <w:numId w:val="11"/>
        </w:numPr>
        <w:snapToGrid w:val="0"/>
        <w:rPr>
          <w:lang w:val="en-GB"/>
        </w:rPr>
      </w:pPr>
      <w:r w:rsidRPr="00514962">
        <w:rPr>
          <w:lang w:val="en-GB"/>
        </w:rPr>
        <w:t>Canada</w:t>
      </w:r>
    </w:p>
    <w:p w14:paraId="35F4A6E7" w14:textId="77777777" w:rsidR="00514962" w:rsidRPr="00514962" w:rsidRDefault="00514962" w:rsidP="0010138E">
      <w:pPr>
        <w:pStyle w:val="Normalnumber"/>
        <w:numPr>
          <w:ilvl w:val="0"/>
          <w:numId w:val="11"/>
        </w:numPr>
        <w:snapToGrid w:val="0"/>
        <w:rPr>
          <w:lang w:val="en-GB"/>
        </w:rPr>
      </w:pPr>
      <w:r w:rsidRPr="00514962">
        <w:rPr>
          <w:lang w:val="en-GB"/>
        </w:rPr>
        <w:t>China</w:t>
      </w:r>
    </w:p>
    <w:p w14:paraId="05B3A9AA" w14:textId="77777777" w:rsidR="00514962" w:rsidRPr="00514962" w:rsidRDefault="00514962" w:rsidP="0010138E">
      <w:pPr>
        <w:pStyle w:val="Normalnumber"/>
        <w:numPr>
          <w:ilvl w:val="0"/>
          <w:numId w:val="11"/>
        </w:numPr>
        <w:snapToGrid w:val="0"/>
        <w:rPr>
          <w:lang w:val="en-GB"/>
        </w:rPr>
      </w:pPr>
      <w:r w:rsidRPr="00514962">
        <w:rPr>
          <w:lang w:val="en-GB"/>
        </w:rPr>
        <w:t>Denmark</w:t>
      </w:r>
    </w:p>
    <w:p w14:paraId="588085A5" w14:textId="77777777" w:rsidR="00514962" w:rsidRPr="00514962" w:rsidRDefault="00514962" w:rsidP="0010138E">
      <w:pPr>
        <w:pStyle w:val="Normalnumber"/>
        <w:numPr>
          <w:ilvl w:val="0"/>
          <w:numId w:val="11"/>
        </w:numPr>
        <w:snapToGrid w:val="0"/>
        <w:rPr>
          <w:lang w:val="en-GB"/>
        </w:rPr>
      </w:pPr>
      <w:r w:rsidRPr="00514962">
        <w:rPr>
          <w:lang w:val="en-GB"/>
        </w:rPr>
        <w:t>EU and its Member States</w:t>
      </w:r>
    </w:p>
    <w:p w14:paraId="5593EF32" w14:textId="77777777" w:rsidR="00514962" w:rsidRPr="00514962" w:rsidRDefault="00514962" w:rsidP="0010138E">
      <w:pPr>
        <w:pStyle w:val="Normalnumber"/>
        <w:numPr>
          <w:ilvl w:val="0"/>
          <w:numId w:val="11"/>
        </w:numPr>
        <w:snapToGrid w:val="0"/>
        <w:rPr>
          <w:lang w:val="en-GB"/>
        </w:rPr>
      </w:pPr>
      <w:r w:rsidRPr="00514962">
        <w:rPr>
          <w:lang w:val="en-GB"/>
        </w:rPr>
        <w:t>Japan</w:t>
      </w:r>
    </w:p>
    <w:p w14:paraId="274C2C5B" w14:textId="77777777" w:rsidR="00514962" w:rsidRPr="00514962" w:rsidRDefault="00514962" w:rsidP="0010138E">
      <w:pPr>
        <w:pStyle w:val="Normalnumber"/>
        <w:numPr>
          <w:ilvl w:val="0"/>
          <w:numId w:val="11"/>
        </w:numPr>
        <w:snapToGrid w:val="0"/>
        <w:rPr>
          <w:lang w:val="en-GB"/>
        </w:rPr>
      </w:pPr>
      <w:r w:rsidRPr="00514962">
        <w:rPr>
          <w:lang w:val="en-GB"/>
        </w:rPr>
        <w:t>Kenya</w:t>
      </w:r>
    </w:p>
    <w:p w14:paraId="304E54B5" w14:textId="77777777" w:rsidR="00514962" w:rsidRPr="00514962" w:rsidRDefault="00514962" w:rsidP="0010138E">
      <w:pPr>
        <w:pStyle w:val="Normalnumber"/>
        <w:numPr>
          <w:ilvl w:val="0"/>
          <w:numId w:val="11"/>
        </w:numPr>
        <w:snapToGrid w:val="0"/>
        <w:rPr>
          <w:lang w:val="en-GB"/>
        </w:rPr>
      </w:pPr>
      <w:r w:rsidRPr="00514962">
        <w:rPr>
          <w:lang w:val="en-GB"/>
        </w:rPr>
        <w:t>Norway</w:t>
      </w:r>
    </w:p>
    <w:p w14:paraId="48147FB1" w14:textId="77777777" w:rsidR="00514962" w:rsidRPr="00514962" w:rsidRDefault="00514962" w:rsidP="0010138E">
      <w:pPr>
        <w:pStyle w:val="Normalnumber"/>
        <w:numPr>
          <w:ilvl w:val="0"/>
          <w:numId w:val="11"/>
        </w:numPr>
        <w:snapToGrid w:val="0"/>
        <w:rPr>
          <w:lang w:val="en-GB"/>
        </w:rPr>
      </w:pPr>
      <w:r w:rsidRPr="00514962">
        <w:rPr>
          <w:lang w:val="en-GB"/>
        </w:rPr>
        <w:t>United States of America</w:t>
      </w:r>
    </w:p>
    <w:p w14:paraId="55737E45" w14:textId="77777777" w:rsidR="00514962" w:rsidRPr="00514962" w:rsidRDefault="00514962" w:rsidP="0010138E">
      <w:pPr>
        <w:pStyle w:val="Normalnumber"/>
        <w:numPr>
          <w:ilvl w:val="0"/>
          <w:numId w:val="11"/>
        </w:numPr>
        <w:snapToGrid w:val="0"/>
        <w:rPr>
          <w:lang w:val="fr-CH"/>
        </w:rPr>
      </w:pPr>
      <w:r w:rsidRPr="00514962">
        <w:rPr>
          <w:lang w:val="fr-CH"/>
        </w:rPr>
        <w:t>Centre de Recherche et d’Education pour le Developpement (CREPD)</w:t>
      </w:r>
    </w:p>
    <w:p w14:paraId="4ABFF628" w14:textId="77777777" w:rsidR="00514962" w:rsidRPr="00514962" w:rsidRDefault="00514962" w:rsidP="0010138E">
      <w:pPr>
        <w:pStyle w:val="Normalnumber"/>
        <w:numPr>
          <w:ilvl w:val="0"/>
          <w:numId w:val="11"/>
        </w:numPr>
        <w:snapToGrid w:val="0"/>
        <w:rPr>
          <w:lang w:val="en-GB"/>
        </w:rPr>
      </w:pPr>
      <w:r w:rsidRPr="00514962">
        <w:rPr>
          <w:lang w:val="en-GB"/>
        </w:rPr>
        <w:t>International POPs Elimination Network (IPEN)</w:t>
      </w:r>
    </w:p>
    <w:p w14:paraId="4153353F" w14:textId="77777777" w:rsidR="00514962" w:rsidRPr="00514962" w:rsidRDefault="00514962" w:rsidP="0010138E">
      <w:pPr>
        <w:pStyle w:val="Normalnumber"/>
        <w:numPr>
          <w:ilvl w:val="0"/>
          <w:numId w:val="11"/>
        </w:numPr>
        <w:snapToGrid w:val="0"/>
        <w:rPr>
          <w:lang w:val="en-GB"/>
        </w:rPr>
      </w:pPr>
      <w:r w:rsidRPr="00514962">
        <w:rPr>
          <w:lang w:val="en-GB"/>
        </w:rPr>
        <w:t>Maritime Aboriginal Peoples Council</w:t>
      </w:r>
    </w:p>
    <w:p w14:paraId="302E8E20" w14:textId="77777777" w:rsidR="00514962" w:rsidRPr="00514962" w:rsidRDefault="00514962" w:rsidP="0010138E">
      <w:pPr>
        <w:pStyle w:val="Normalnumber"/>
        <w:numPr>
          <w:ilvl w:val="0"/>
          <w:numId w:val="11"/>
        </w:numPr>
        <w:snapToGrid w:val="0"/>
        <w:rPr>
          <w:lang w:val="en-GB"/>
        </w:rPr>
      </w:pPr>
      <w:r w:rsidRPr="00514962">
        <w:rPr>
          <w:lang w:val="en-GB"/>
        </w:rPr>
        <w:lastRenderedPageBreak/>
        <w:t>UNIDO</w:t>
      </w:r>
    </w:p>
    <w:p w14:paraId="050F2C1C" w14:textId="77777777" w:rsidR="00514962" w:rsidRPr="00514962" w:rsidRDefault="00514962" w:rsidP="0010138E">
      <w:pPr>
        <w:pStyle w:val="Normalnumber"/>
        <w:numPr>
          <w:ilvl w:val="0"/>
          <w:numId w:val="11"/>
        </w:numPr>
        <w:snapToGrid w:val="0"/>
        <w:rPr>
          <w:lang w:val="en-GB"/>
        </w:rPr>
      </w:pPr>
      <w:r w:rsidRPr="00514962">
        <w:rPr>
          <w:lang w:val="en-GB"/>
        </w:rPr>
        <w:t>Zero Mercury Working Group</w:t>
      </w:r>
    </w:p>
    <w:p w14:paraId="321BD06A" w14:textId="77777777" w:rsidR="00514962" w:rsidRPr="00514962" w:rsidRDefault="00514962" w:rsidP="0010138E">
      <w:pPr>
        <w:pStyle w:val="Normalnumber"/>
        <w:numPr>
          <w:ilvl w:val="0"/>
          <w:numId w:val="11"/>
        </w:numPr>
        <w:snapToGrid w:val="0"/>
        <w:rPr>
          <w:lang w:val="en-GB"/>
        </w:rPr>
      </w:pPr>
      <w:r w:rsidRPr="00514962">
        <w:rPr>
          <w:lang w:val="en-GB"/>
        </w:rPr>
        <w:t>Mr. Nicola Pirrone</w:t>
      </w:r>
    </w:p>
    <w:p w14:paraId="699D8B3A" w14:textId="2E36E6BD" w:rsidR="00514962" w:rsidRDefault="00514962" w:rsidP="0010138E">
      <w:pPr>
        <w:pStyle w:val="Normalnumber"/>
        <w:numPr>
          <w:ilvl w:val="0"/>
          <w:numId w:val="11"/>
        </w:numPr>
        <w:snapToGrid w:val="0"/>
        <w:rPr>
          <w:lang w:val="en-GB"/>
        </w:rPr>
      </w:pPr>
      <w:r w:rsidRPr="00514962">
        <w:rPr>
          <w:lang w:val="en-GB"/>
        </w:rPr>
        <w:t>Ms. Noelle Selin</w:t>
      </w:r>
    </w:p>
    <w:p w14:paraId="0B3EA0F4" w14:textId="670FB805" w:rsidR="00514962" w:rsidRDefault="00514962" w:rsidP="006A061B">
      <w:pPr>
        <w:pStyle w:val="Normalnumber"/>
        <w:numPr>
          <w:ilvl w:val="0"/>
          <w:numId w:val="1"/>
        </w:numPr>
        <w:snapToGrid w:val="0"/>
        <w:rPr>
          <w:lang w:val="en-GB"/>
        </w:rPr>
      </w:pPr>
      <w:r>
        <w:rPr>
          <w:lang w:val="en-GB"/>
        </w:rPr>
        <w:t xml:space="preserve">These comments were made available at </w:t>
      </w:r>
      <w:hyperlink r:id="rId19" w:history="1">
        <w:r w:rsidRPr="003B4A16">
          <w:rPr>
            <w:rStyle w:val="Hyperlink"/>
            <w:lang w:val="en-GB"/>
          </w:rPr>
          <w:t>http://www.mercuryconvention.org/Meetings/COP2/SubmissionsforCOP2/tabid/6325/language/en-US/Default.aspx</w:t>
        </w:r>
      </w:hyperlink>
      <w:r>
        <w:rPr>
          <w:lang w:val="en-GB"/>
        </w:rPr>
        <w:t>.</w:t>
      </w:r>
    </w:p>
    <w:p w14:paraId="2ECCA346" w14:textId="7FD79FC5" w:rsidR="00754B40" w:rsidRDefault="00754B40" w:rsidP="006A061B">
      <w:pPr>
        <w:pStyle w:val="Normalnumber"/>
        <w:numPr>
          <w:ilvl w:val="0"/>
          <w:numId w:val="1"/>
        </w:numPr>
        <w:snapToGrid w:val="0"/>
        <w:rPr>
          <w:lang w:val="en-GB"/>
        </w:rPr>
      </w:pPr>
      <w:r>
        <w:rPr>
          <w:lang w:val="en-GB"/>
        </w:rPr>
        <w:t xml:space="preserve">The Conference of the Parties in its decision MC-2/11 requested parties, other governments and relevant organizations to continue to provide information on their monitoring programmes. Argentina, Japan, the Secretariat of the Barcelona Convention and the Mediterranean Action Plan and the World Health Organization submitted relevant information. These submissions are attached as annexes 1, 2, 3 and 4 respectively. </w:t>
      </w:r>
    </w:p>
    <w:p w14:paraId="7ACDE886" w14:textId="00894FF2" w:rsidR="00514962" w:rsidRDefault="00514962" w:rsidP="006A061B">
      <w:pPr>
        <w:pStyle w:val="Normalnumber"/>
        <w:numPr>
          <w:ilvl w:val="0"/>
          <w:numId w:val="1"/>
        </w:numPr>
        <w:snapToGrid w:val="0"/>
        <w:rPr>
          <w:lang w:val="en-GB"/>
        </w:rPr>
      </w:pPr>
      <w:r>
        <w:rPr>
          <w:lang w:val="en-GB"/>
        </w:rPr>
        <w:t xml:space="preserve">In preparation for the second meeting of the group, the following pieces of literature were submitted by members and other </w:t>
      </w:r>
      <w:proofErr w:type="gramStart"/>
      <w:r>
        <w:rPr>
          <w:lang w:val="en-GB"/>
        </w:rPr>
        <w:t>experts, and</w:t>
      </w:r>
      <w:proofErr w:type="gramEnd"/>
      <w:r>
        <w:rPr>
          <w:lang w:val="en-GB"/>
        </w:rPr>
        <w:t xml:space="preserve"> have been made available to the group on the document cloud </w:t>
      </w:r>
      <w:hyperlink r:id="rId20" w:history="1">
        <w:r w:rsidRPr="003B4A16">
          <w:rPr>
            <w:rStyle w:val="Hyperlink"/>
            <w:lang w:val="en-GB"/>
          </w:rPr>
          <w:t>http://bit.ly/DoesMinamataWork</w:t>
        </w:r>
      </w:hyperlink>
      <w:r>
        <w:rPr>
          <w:lang w:val="en-GB"/>
        </w:rPr>
        <w:t>.</w:t>
      </w:r>
    </w:p>
    <w:p w14:paraId="56F34BDF" w14:textId="77777777" w:rsidR="00514962" w:rsidRPr="00514962" w:rsidRDefault="00514962" w:rsidP="0010138E">
      <w:pPr>
        <w:pStyle w:val="Normalnumber"/>
        <w:numPr>
          <w:ilvl w:val="0"/>
          <w:numId w:val="12"/>
        </w:numPr>
        <w:snapToGrid w:val="0"/>
        <w:rPr>
          <w:lang w:val="en-GB"/>
        </w:rPr>
      </w:pPr>
      <w:r>
        <w:rPr>
          <w:lang w:val="en-GB"/>
        </w:rPr>
        <w:t xml:space="preserve"> </w:t>
      </w:r>
      <w:r w:rsidRPr="00514962">
        <w:rPr>
          <w:lang w:val="en-GB"/>
        </w:rPr>
        <w:t>Angot H et al. 2018. Global and Local Impacts of Delayed Mercury Mitigation Efforts.</w:t>
      </w:r>
    </w:p>
    <w:p w14:paraId="4EB28307" w14:textId="77777777" w:rsidR="00514962" w:rsidRPr="00514962" w:rsidRDefault="00514962" w:rsidP="0010138E">
      <w:pPr>
        <w:pStyle w:val="Normalnumber"/>
        <w:numPr>
          <w:ilvl w:val="0"/>
          <w:numId w:val="12"/>
        </w:numPr>
        <w:snapToGrid w:val="0"/>
        <w:rPr>
          <w:lang w:val="en-GB"/>
        </w:rPr>
      </w:pPr>
      <w:r w:rsidRPr="00514962">
        <w:rPr>
          <w:lang w:val="en-GB"/>
        </w:rPr>
        <w:t>EMEP. 2012. Long-term hanges of Heavy Metal Transboundary Pollution of the Environment (1990-2010)</w:t>
      </w:r>
    </w:p>
    <w:p w14:paraId="3159754A" w14:textId="77777777" w:rsidR="00514962" w:rsidRPr="00514962" w:rsidRDefault="00514962" w:rsidP="0010138E">
      <w:pPr>
        <w:pStyle w:val="Normalnumber"/>
        <w:numPr>
          <w:ilvl w:val="0"/>
          <w:numId w:val="12"/>
        </w:numPr>
        <w:snapToGrid w:val="0"/>
        <w:rPr>
          <w:lang w:val="en-GB"/>
        </w:rPr>
      </w:pPr>
      <w:r w:rsidRPr="00514962">
        <w:rPr>
          <w:lang w:val="en-GB"/>
        </w:rPr>
        <w:t>EMEP. 2018. Assessment of heavy metal transboundary pollution on global, regional and national scales</w:t>
      </w:r>
    </w:p>
    <w:p w14:paraId="4FF5783D" w14:textId="77777777" w:rsidR="00514962" w:rsidRPr="00514962" w:rsidRDefault="00514962" w:rsidP="0010138E">
      <w:pPr>
        <w:pStyle w:val="Normalnumber"/>
        <w:numPr>
          <w:ilvl w:val="0"/>
          <w:numId w:val="12"/>
        </w:numPr>
        <w:snapToGrid w:val="0"/>
        <w:rPr>
          <w:lang w:val="en-GB"/>
        </w:rPr>
      </w:pPr>
      <w:r w:rsidRPr="00514962">
        <w:rPr>
          <w:lang w:val="en-GB"/>
        </w:rPr>
        <w:t>Giang A and Selin N. 2016. Benefits of mercury controls for the United States</w:t>
      </w:r>
    </w:p>
    <w:p w14:paraId="0654A9AB" w14:textId="77777777" w:rsidR="00514962" w:rsidRPr="00514962" w:rsidRDefault="00514962" w:rsidP="0010138E">
      <w:pPr>
        <w:pStyle w:val="Normalnumber"/>
        <w:numPr>
          <w:ilvl w:val="0"/>
          <w:numId w:val="12"/>
        </w:numPr>
        <w:snapToGrid w:val="0"/>
        <w:rPr>
          <w:lang w:val="en-GB"/>
        </w:rPr>
      </w:pPr>
      <w:r w:rsidRPr="00514962">
        <w:rPr>
          <w:lang w:val="en-GB"/>
        </w:rPr>
        <w:t>Selin N. 2018. A proposed global metric to aid mercury pollution policy - The Minamata Convention needs policy-relevant insight</w:t>
      </w:r>
    </w:p>
    <w:p w14:paraId="3ABBFEF1" w14:textId="77777777" w:rsidR="00514962" w:rsidRPr="00514962" w:rsidRDefault="00514962" w:rsidP="0010138E">
      <w:pPr>
        <w:pStyle w:val="Normalnumber"/>
        <w:numPr>
          <w:ilvl w:val="0"/>
          <w:numId w:val="12"/>
        </w:numPr>
        <w:snapToGrid w:val="0"/>
        <w:rPr>
          <w:lang w:val="en-GB"/>
        </w:rPr>
      </w:pPr>
      <w:r w:rsidRPr="00514962">
        <w:rPr>
          <w:lang w:val="en-GB"/>
        </w:rPr>
        <w:t>Sharma BM et al. 2019. An overview of worldwide and regional time trends in total mercury levels in human blood and breast milk from 1966 to 2015 and their associations with health effects.</w:t>
      </w:r>
    </w:p>
    <w:p w14:paraId="1712ACA1" w14:textId="77777777" w:rsidR="00514962" w:rsidRPr="00514962" w:rsidRDefault="00514962" w:rsidP="0010138E">
      <w:pPr>
        <w:pStyle w:val="Normalnumber"/>
        <w:numPr>
          <w:ilvl w:val="0"/>
          <w:numId w:val="12"/>
        </w:numPr>
        <w:snapToGrid w:val="0"/>
        <w:rPr>
          <w:lang w:val="en-GB"/>
        </w:rPr>
      </w:pPr>
      <w:r w:rsidRPr="00514962">
        <w:rPr>
          <w:lang w:val="en-GB"/>
        </w:rPr>
        <w:t>Tørseth K et al. 2012. Introduction to the European Monitoring and Evaluation Programme (EMEP) and observed atmospheric composition change during 1972–2009</w:t>
      </w:r>
    </w:p>
    <w:p w14:paraId="3D01E8DF" w14:textId="793F8587" w:rsidR="000015B4" w:rsidRDefault="00514962" w:rsidP="0010138E">
      <w:pPr>
        <w:pStyle w:val="Normalnumber"/>
        <w:numPr>
          <w:ilvl w:val="0"/>
          <w:numId w:val="12"/>
        </w:numPr>
        <w:snapToGrid w:val="0"/>
        <w:rPr>
          <w:lang w:val="en-GB"/>
        </w:rPr>
      </w:pPr>
      <w:r w:rsidRPr="00514962">
        <w:rPr>
          <w:lang w:val="en-GB"/>
        </w:rPr>
        <w:t>Travnikov O and Ilyin I. 2009. The EMEP/MSC-E Mercury Modeling System. In N. Pirrone and R. Mason (eds.), Mercury Fate and Transport in the Global Atmosphere.</w:t>
      </w:r>
    </w:p>
    <w:p w14:paraId="14F28701" w14:textId="660D5C32" w:rsidR="000B42DF" w:rsidRDefault="000B42DF" w:rsidP="006A061B">
      <w:pPr>
        <w:pStyle w:val="Normalnumber"/>
        <w:numPr>
          <w:ilvl w:val="0"/>
          <w:numId w:val="1"/>
        </w:numPr>
        <w:snapToGrid w:val="0"/>
        <w:rPr>
          <w:lang w:val="en-GB"/>
        </w:rPr>
      </w:pPr>
      <w:r>
        <w:rPr>
          <w:lang w:val="en-GB"/>
        </w:rPr>
        <w:t xml:space="preserve">UN Environment published the Global Mercury Assessment 2018, available at </w:t>
      </w:r>
      <w:hyperlink r:id="rId21" w:history="1">
        <w:r w:rsidRPr="002A2902">
          <w:rPr>
            <w:rStyle w:val="Hyperlink"/>
            <w:lang w:val="en-GB"/>
          </w:rPr>
          <w:t>https://www.unenvironment.org/resources/publication/global-mercury-assessment-2018</w:t>
        </w:r>
      </w:hyperlink>
      <w:r w:rsidR="00C534F5">
        <w:rPr>
          <w:rStyle w:val="Hyperlink"/>
          <w:lang w:val="en-GB"/>
        </w:rPr>
        <w:t>. Key policy-relevant findings are attached as Annex 5.</w:t>
      </w:r>
      <w:bookmarkStart w:id="2" w:name="_GoBack"/>
      <w:bookmarkEnd w:id="2"/>
      <w:r>
        <w:rPr>
          <w:lang w:val="en-GB"/>
        </w:rPr>
        <w:t xml:space="preserve"> </w:t>
      </w:r>
    </w:p>
    <w:p w14:paraId="7A93A4B0" w14:textId="0D21EAC7" w:rsidR="00754B40" w:rsidRDefault="00754B40">
      <w:pPr>
        <w:tabs>
          <w:tab w:val="clear" w:pos="1247"/>
          <w:tab w:val="clear" w:pos="1814"/>
          <w:tab w:val="clear" w:pos="2381"/>
          <w:tab w:val="clear" w:pos="2948"/>
          <w:tab w:val="clear" w:pos="3515"/>
        </w:tabs>
        <w:rPr>
          <w:lang w:val="en-GB"/>
        </w:rPr>
      </w:pPr>
      <w:r>
        <w:rPr>
          <w:lang w:val="en-GB"/>
        </w:rPr>
        <w:br w:type="page"/>
      </w:r>
    </w:p>
    <w:p w14:paraId="69388B10" w14:textId="42F91DAB" w:rsidR="00754B40" w:rsidRPr="00193C4D" w:rsidRDefault="00754B40" w:rsidP="006A061B">
      <w:pPr>
        <w:pStyle w:val="Normalnumber"/>
        <w:numPr>
          <w:ilvl w:val="0"/>
          <w:numId w:val="0"/>
        </w:numPr>
        <w:snapToGrid w:val="0"/>
        <w:rPr>
          <w:b/>
          <w:bCs/>
          <w:sz w:val="24"/>
          <w:szCs w:val="24"/>
          <w:lang w:val="en-GB"/>
        </w:rPr>
      </w:pPr>
      <w:r w:rsidRPr="00193C4D">
        <w:rPr>
          <w:b/>
          <w:bCs/>
          <w:sz w:val="24"/>
          <w:szCs w:val="24"/>
          <w:lang w:val="en-GB"/>
        </w:rPr>
        <w:lastRenderedPageBreak/>
        <w:t>Annex 1: Submission from Argentina</w:t>
      </w:r>
    </w:p>
    <w:p w14:paraId="69F3F399" w14:textId="4ED5238D" w:rsidR="00754B40" w:rsidRDefault="00754B40" w:rsidP="006A061B">
      <w:pPr>
        <w:pStyle w:val="Normalnumber"/>
        <w:numPr>
          <w:ilvl w:val="0"/>
          <w:numId w:val="0"/>
        </w:numPr>
        <w:snapToGrid w:val="0"/>
        <w:rPr>
          <w:lang w:val="en-GB"/>
        </w:rPr>
      </w:pPr>
    </w:p>
    <w:p w14:paraId="6F4C993D" w14:textId="77777777" w:rsidR="00754B40" w:rsidRPr="00754B40" w:rsidRDefault="00754B40" w:rsidP="006A061B">
      <w:pPr>
        <w:pStyle w:val="Normalnumber"/>
        <w:numPr>
          <w:ilvl w:val="0"/>
          <w:numId w:val="0"/>
        </w:numPr>
        <w:snapToGrid w:val="0"/>
        <w:ind w:left="360"/>
        <w:rPr>
          <w:b/>
          <w:bCs/>
          <w:lang w:val="en-GB"/>
        </w:rPr>
      </w:pPr>
      <w:r w:rsidRPr="00754B40">
        <w:rPr>
          <w:b/>
          <w:bCs/>
          <w:lang w:val="en-GB"/>
        </w:rPr>
        <w:t>Effectiveness evaluation</w:t>
      </w:r>
    </w:p>
    <w:p w14:paraId="4BB7A207" w14:textId="74B8F1DC" w:rsidR="00754B40" w:rsidRPr="00754B40" w:rsidRDefault="00754B40" w:rsidP="006A061B">
      <w:pPr>
        <w:pStyle w:val="Normalnumber"/>
        <w:numPr>
          <w:ilvl w:val="0"/>
          <w:numId w:val="0"/>
        </w:numPr>
        <w:snapToGrid w:val="0"/>
        <w:ind w:left="360"/>
        <w:rPr>
          <w:lang w:val="en-GB"/>
        </w:rPr>
      </w:pPr>
      <w:r w:rsidRPr="00754B40">
        <w:rPr>
          <w:lang w:val="en-GB"/>
        </w:rPr>
        <w:t>This report is prepared in response of paragraph 4 of decision MC-2/10: “Effectiveness evaluation” of the</w:t>
      </w:r>
      <w:r>
        <w:rPr>
          <w:lang w:val="en-GB"/>
        </w:rPr>
        <w:t xml:space="preserve"> </w:t>
      </w:r>
      <w:r w:rsidRPr="00754B40">
        <w:rPr>
          <w:lang w:val="en-GB"/>
        </w:rPr>
        <w:t>Minamata Convention on Mercury. Regarding information on their monitoring programmes, Argentina has</w:t>
      </w:r>
      <w:r w:rsidR="00193C4D">
        <w:rPr>
          <w:lang w:val="en-GB"/>
        </w:rPr>
        <w:t xml:space="preserve"> </w:t>
      </w:r>
      <w:r w:rsidRPr="00754B40">
        <w:rPr>
          <w:lang w:val="en-GB"/>
        </w:rPr>
        <w:t>gathered information under the Minamata Initial Assessment developed in 2018. Chapter IX on the analysis</w:t>
      </w:r>
      <w:r w:rsidR="00193C4D">
        <w:rPr>
          <w:lang w:val="en-GB"/>
        </w:rPr>
        <w:t xml:space="preserve"> </w:t>
      </w:r>
      <w:r w:rsidRPr="00754B40">
        <w:rPr>
          <w:lang w:val="en-GB"/>
        </w:rPr>
        <w:t>and evaluation of the national capacities for mercury and its compounds monitoring is attached to this report.</w:t>
      </w:r>
      <w:r w:rsidR="00193C4D">
        <w:rPr>
          <w:lang w:val="en-GB"/>
        </w:rPr>
        <w:t xml:space="preserve"> (Available from </w:t>
      </w:r>
      <w:r w:rsidR="00193C4D" w:rsidRPr="00193C4D">
        <w:rPr>
          <w:lang w:val="en-GB"/>
        </w:rPr>
        <w:t>http://www.mercuryconvention.org/Meetings/Intersessionalwork/tabid/7857/language/en-US/Default.aspx</w:t>
      </w:r>
      <w:r w:rsidR="00193C4D">
        <w:rPr>
          <w:lang w:val="en-GB"/>
        </w:rPr>
        <w:t>)</w:t>
      </w:r>
    </w:p>
    <w:p w14:paraId="5ECFD609" w14:textId="77777777" w:rsidR="00754B40" w:rsidRPr="00754B40" w:rsidRDefault="00754B40" w:rsidP="006A061B">
      <w:pPr>
        <w:pStyle w:val="Normalnumber"/>
        <w:numPr>
          <w:ilvl w:val="0"/>
          <w:numId w:val="0"/>
        </w:numPr>
        <w:snapToGrid w:val="0"/>
        <w:ind w:left="360"/>
        <w:rPr>
          <w:lang w:val="en-GB"/>
        </w:rPr>
      </w:pPr>
      <w:r w:rsidRPr="00754B40">
        <w:rPr>
          <w:lang w:val="en-GB"/>
        </w:rPr>
        <w:t>The main conclusion on the information provided there are as follows:</w:t>
      </w:r>
    </w:p>
    <w:p w14:paraId="6075181D" w14:textId="0C67ED5B" w:rsidR="00754B40" w:rsidRPr="00754B40" w:rsidRDefault="00754B40" w:rsidP="006A061B">
      <w:pPr>
        <w:pStyle w:val="Normalnumber"/>
        <w:numPr>
          <w:ilvl w:val="0"/>
          <w:numId w:val="0"/>
        </w:numPr>
        <w:snapToGrid w:val="0"/>
        <w:ind w:left="360"/>
        <w:rPr>
          <w:lang w:val="en-GB"/>
        </w:rPr>
      </w:pPr>
      <w:r w:rsidRPr="00754B40">
        <w:rPr>
          <w:lang w:val="en-GB"/>
        </w:rPr>
        <w:t>Distribution of laboratories with technical capacity for analyzing mercury and mercury compounds is broad,</w:t>
      </w:r>
      <w:r w:rsidR="00193C4D">
        <w:rPr>
          <w:lang w:val="en-GB"/>
        </w:rPr>
        <w:t xml:space="preserve"> </w:t>
      </w:r>
      <w:r w:rsidRPr="00754B40">
        <w:rPr>
          <w:lang w:val="en-GB"/>
        </w:rPr>
        <w:t>however, the country does not have a network at the national level focused exclusively on the monitoring of</w:t>
      </w:r>
      <w:r w:rsidR="00193C4D">
        <w:rPr>
          <w:lang w:val="en-GB"/>
        </w:rPr>
        <w:t xml:space="preserve"> </w:t>
      </w:r>
      <w:r w:rsidRPr="00754B40">
        <w:rPr>
          <w:lang w:val="en-GB"/>
        </w:rPr>
        <w:t>mercury concentrations in the different environmental matrices on an integrated approach.</w:t>
      </w:r>
    </w:p>
    <w:p w14:paraId="37C35E74" w14:textId="003F9DCC" w:rsidR="00754B40" w:rsidRPr="00754B40" w:rsidRDefault="00754B40" w:rsidP="006A061B">
      <w:pPr>
        <w:pStyle w:val="Normalnumber"/>
        <w:numPr>
          <w:ilvl w:val="0"/>
          <w:numId w:val="0"/>
        </w:numPr>
        <w:snapToGrid w:val="0"/>
        <w:ind w:left="360"/>
        <w:rPr>
          <w:lang w:val="en-GB"/>
        </w:rPr>
      </w:pPr>
      <w:r w:rsidRPr="00754B40">
        <w:rPr>
          <w:lang w:val="en-GB"/>
        </w:rPr>
        <w:t>There are several existing networks at the national or subnational level (REDFEMA, REDARTOX, REDNALAB,</w:t>
      </w:r>
      <w:r w:rsidR="00193C4D">
        <w:rPr>
          <w:lang w:val="en-GB"/>
        </w:rPr>
        <w:t xml:space="preserve"> </w:t>
      </w:r>
      <w:r w:rsidRPr="00754B40">
        <w:rPr>
          <w:lang w:val="en-GB"/>
        </w:rPr>
        <w:t>etc). They have different approaches and look at different monitoring aspects. Regarding the difficulties</w:t>
      </w:r>
      <w:r w:rsidR="00193C4D">
        <w:rPr>
          <w:lang w:val="en-GB"/>
        </w:rPr>
        <w:t xml:space="preserve"> </w:t>
      </w:r>
      <w:r w:rsidRPr="00754B40">
        <w:rPr>
          <w:lang w:val="en-GB"/>
        </w:rPr>
        <w:t>encountered, we can conclude:</w:t>
      </w:r>
    </w:p>
    <w:p w14:paraId="5D0B6A38" w14:textId="77777777" w:rsidR="00754B40" w:rsidRPr="00193C4D" w:rsidRDefault="00754B40" w:rsidP="006A061B">
      <w:pPr>
        <w:pStyle w:val="Normalnumber"/>
        <w:numPr>
          <w:ilvl w:val="0"/>
          <w:numId w:val="0"/>
        </w:numPr>
        <w:snapToGrid w:val="0"/>
        <w:ind w:left="360"/>
        <w:rPr>
          <w:u w:val="single"/>
          <w:lang w:val="en-GB"/>
        </w:rPr>
      </w:pPr>
      <w:r w:rsidRPr="00193C4D">
        <w:rPr>
          <w:u w:val="single"/>
          <w:lang w:val="en-GB"/>
        </w:rPr>
        <w:t>About the information:</w:t>
      </w:r>
    </w:p>
    <w:p w14:paraId="2EA149EC" w14:textId="75DB2765" w:rsidR="00754B40" w:rsidRPr="00754B40" w:rsidRDefault="00754B40" w:rsidP="0010138E">
      <w:pPr>
        <w:pStyle w:val="Normalnumber"/>
        <w:numPr>
          <w:ilvl w:val="0"/>
          <w:numId w:val="13"/>
        </w:numPr>
        <w:snapToGrid w:val="0"/>
        <w:rPr>
          <w:lang w:val="en-GB"/>
        </w:rPr>
      </w:pPr>
      <w:r w:rsidRPr="00754B40">
        <w:rPr>
          <w:lang w:val="en-GB"/>
        </w:rPr>
        <w:t>There is some difficulty in accessing municipal and provincial data. Among them, the characteristics of the</w:t>
      </w:r>
      <w:r w:rsidR="00193C4D">
        <w:rPr>
          <w:lang w:val="en-GB"/>
        </w:rPr>
        <w:t xml:space="preserve"> </w:t>
      </w:r>
      <w:r w:rsidRPr="00754B40">
        <w:rPr>
          <w:lang w:val="en-GB"/>
        </w:rPr>
        <w:t>monitoring plans (frequency, operators, technologies) and their results.</w:t>
      </w:r>
    </w:p>
    <w:p w14:paraId="4C64BE29" w14:textId="71017D16" w:rsidR="00754B40" w:rsidRPr="00754B40" w:rsidRDefault="00754B40" w:rsidP="0010138E">
      <w:pPr>
        <w:pStyle w:val="Normalnumber"/>
        <w:numPr>
          <w:ilvl w:val="0"/>
          <w:numId w:val="13"/>
        </w:numPr>
        <w:snapToGrid w:val="0"/>
        <w:rPr>
          <w:lang w:val="en-GB"/>
        </w:rPr>
      </w:pPr>
      <w:r w:rsidRPr="00754B40">
        <w:rPr>
          <w:lang w:val="en-GB"/>
        </w:rPr>
        <w:t>The absence or lack of efficiency of harmonized information systems (for example, repositories of scientific</w:t>
      </w:r>
      <w:r w:rsidR="00193C4D">
        <w:rPr>
          <w:lang w:val="en-GB"/>
        </w:rPr>
        <w:t xml:space="preserve"> </w:t>
      </w:r>
      <w:r w:rsidRPr="00754B40">
        <w:rPr>
          <w:lang w:val="en-GB"/>
        </w:rPr>
        <w:t>documents and publications, and of directories of centers, laboratories or academic units) makes the collection</w:t>
      </w:r>
      <w:r w:rsidR="00193C4D">
        <w:rPr>
          <w:lang w:val="en-GB"/>
        </w:rPr>
        <w:t xml:space="preserve"> </w:t>
      </w:r>
      <w:r w:rsidRPr="00754B40">
        <w:rPr>
          <w:lang w:val="en-GB"/>
        </w:rPr>
        <w:t>of data complex.</w:t>
      </w:r>
    </w:p>
    <w:p w14:paraId="5E9E636D" w14:textId="6128B2F2" w:rsidR="00754B40" w:rsidRPr="00754B40" w:rsidRDefault="00754B40" w:rsidP="0010138E">
      <w:pPr>
        <w:pStyle w:val="Normalnumber"/>
        <w:numPr>
          <w:ilvl w:val="0"/>
          <w:numId w:val="13"/>
        </w:numPr>
        <w:snapToGrid w:val="0"/>
        <w:rPr>
          <w:lang w:val="en-GB"/>
        </w:rPr>
      </w:pPr>
      <w:r w:rsidRPr="00754B40">
        <w:rPr>
          <w:lang w:val="en-GB"/>
        </w:rPr>
        <w:t>Disparity between different jurisdictions can be seen in terms of the amount of monitoring data and its</w:t>
      </w:r>
      <w:r w:rsidR="00193C4D">
        <w:rPr>
          <w:lang w:val="en-GB"/>
        </w:rPr>
        <w:t xml:space="preserve"> </w:t>
      </w:r>
      <w:r w:rsidRPr="00754B40">
        <w:rPr>
          <w:lang w:val="en-GB"/>
        </w:rPr>
        <w:t>openness to the public.</w:t>
      </w:r>
    </w:p>
    <w:p w14:paraId="7D59393E" w14:textId="77777777" w:rsidR="00754B40" w:rsidRPr="00193C4D" w:rsidRDefault="00754B40" w:rsidP="006A061B">
      <w:pPr>
        <w:pStyle w:val="Normalnumber"/>
        <w:numPr>
          <w:ilvl w:val="0"/>
          <w:numId w:val="0"/>
        </w:numPr>
        <w:snapToGrid w:val="0"/>
        <w:ind w:left="360"/>
        <w:rPr>
          <w:u w:val="single"/>
          <w:lang w:val="en-GB"/>
        </w:rPr>
      </w:pPr>
      <w:r w:rsidRPr="00193C4D">
        <w:rPr>
          <w:u w:val="single"/>
          <w:lang w:val="en-GB"/>
        </w:rPr>
        <w:t>About the analytical capacity:</w:t>
      </w:r>
    </w:p>
    <w:p w14:paraId="0ECE3D72" w14:textId="605884E4" w:rsidR="00754B40" w:rsidRPr="00754B40" w:rsidRDefault="00754B40" w:rsidP="0010138E">
      <w:pPr>
        <w:pStyle w:val="Normalnumber"/>
        <w:numPr>
          <w:ilvl w:val="0"/>
          <w:numId w:val="13"/>
        </w:numPr>
        <w:snapToGrid w:val="0"/>
        <w:rPr>
          <w:lang w:val="en-GB"/>
        </w:rPr>
      </w:pPr>
      <w:r w:rsidRPr="00754B40">
        <w:rPr>
          <w:lang w:val="en-GB"/>
        </w:rPr>
        <w:t>Only two monitoring points for mercury in air are known, matrix considered of importance at the international</w:t>
      </w:r>
      <w:r w:rsidR="00193C4D">
        <w:rPr>
          <w:lang w:val="en-GB"/>
        </w:rPr>
        <w:t xml:space="preserve"> </w:t>
      </w:r>
      <w:r w:rsidRPr="00754B40">
        <w:rPr>
          <w:lang w:val="en-GB"/>
        </w:rPr>
        <w:t>level.</w:t>
      </w:r>
    </w:p>
    <w:p w14:paraId="488D53A5" w14:textId="3EEF179D" w:rsidR="00754B40" w:rsidRPr="00754B40" w:rsidRDefault="00754B40" w:rsidP="0010138E">
      <w:pPr>
        <w:pStyle w:val="Normalnumber"/>
        <w:numPr>
          <w:ilvl w:val="0"/>
          <w:numId w:val="13"/>
        </w:numPr>
        <w:snapToGrid w:val="0"/>
        <w:rPr>
          <w:lang w:val="en-GB"/>
        </w:rPr>
      </w:pPr>
      <w:r w:rsidRPr="00754B40">
        <w:rPr>
          <w:lang w:val="en-GB"/>
        </w:rPr>
        <w:t>The air mercury monitoring unit that is part of the consortium Global GMOS, encounters difficulties for its</w:t>
      </w:r>
      <w:r w:rsidR="00193C4D">
        <w:rPr>
          <w:lang w:val="en-GB"/>
        </w:rPr>
        <w:t xml:space="preserve"> </w:t>
      </w:r>
      <w:r w:rsidRPr="00754B40">
        <w:rPr>
          <w:lang w:val="en-GB"/>
        </w:rPr>
        <w:t>continuity and requires financial support.</w:t>
      </w:r>
    </w:p>
    <w:p w14:paraId="44EC0752" w14:textId="7569B461" w:rsidR="00754B40" w:rsidRPr="00754B40" w:rsidRDefault="00754B40" w:rsidP="0010138E">
      <w:pPr>
        <w:pStyle w:val="Normalnumber"/>
        <w:numPr>
          <w:ilvl w:val="0"/>
          <w:numId w:val="13"/>
        </w:numPr>
        <w:snapToGrid w:val="0"/>
        <w:rPr>
          <w:lang w:val="en-GB"/>
        </w:rPr>
      </w:pPr>
      <w:r w:rsidRPr="00754B40">
        <w:rPr>
          <w:lang w:val="en-GB"/>
        </w:rPr>
        <w:t>Regarding monitoring in hazardous waste disposal areas and in the disposal of solid urban waste, it was only</w:t>
      </w:r>
      <w:r w:rsidR="00193C4D">
        <w:rPr>
          <w:lang w:val="en-GB"/>
        </w:rPr>
        <w:t xml:space="preserve"> </w:t>
      </w:r>
      <w:r w:rsidRPr="00754B40">
        <w:rPr>
          <w:lang w:val="en-GB"/>
        </w:rPr>
        <w:t>possible to access public information in fillings of a single operator.</w:t>
      </w:r>
    </w:p>
    <w:p w14:paraId="46A76024" w14:textId="7339DEFA" w:rsidR="00754B40" w:rsidRPr="00754B40" w:rsidRDefault="00754B40" w:rsidP="0010138E">
      <w:pPr>
        <w:pStyle w:val="Normalnumber"/>
        <w:numPr>
          <w:ilvl w:val="0"/>
          <w:numId w:val="13"/>
        </w:numPr>
        <w:snapToGrid w:val="0"/>
        <w:rPr>
          <w:lang w:val="en-GB"/>
        </w:rPr>
      </w:pPr>
      <w:r w:rsidRPr="00754B40">
        <w:rPr>
          <w:lang w:val="en-GB"/>
        </w:rPr>
        <w:t>The technological capacity of the private sector is guaranteed and most of the tests are accredited by the</w:t>
      </w:r>
      <w:r w:rsidR="00193C4D">
        <w:rPr>
          <w:lang w:val="en-GB"/>
        </w:rPr>
        <w:t xml:space="preserve"> </w:t>
      </w:r>
      <w:r w:rsidRPr="00754B40">
        <w:rPr>
          <w:lang w:val="en-GB"/>
        </w:rPr>
        <w:t>OAA.</w:t>
      </w:r>
    </w:p>
    <w:p w14:paraId="596B6F8B" w14:textId="0E2C12D6" w:rsidR="00754B40" w:rsidRPr="00754B40" w:rsidRDefault="00754B40" w:rsidP="0010138E">
      <w:pPr>
        <w:pStyle w:val="Normalnumber"/>
        <w:numPr>
          <w:ilvl w:val="0"/>
          <w:numId w:val="13"/>
        </w:numPr>
        <w:snapToGrid w:val="0"/>
        <w:rPr>
          <w:lang w:val="en-GB"/>
        </w:rPr>
      </w:pPr>
      <w:r w:rsidRPr="00754B40">
        <w:rPr>
          <w:lang w:val="en-GB"/>
        </w:rPr>
        <w:t>There is a need to deepen knowledge about the state of technological capacity and human resources of the</w:t>
      </w:r>
      <w:r w:rsidR="00193C4D">
        <w:rPr>
          <w:lang w:val="en-GB"/>
        </w:rPr>
        <w:t xml:space="preserve"> </w:t>
      </w:r>
      <w:r w:rsidRPr="00754B40">
        <w:rPr>
          <w:lang w:val="en-GB"/>
        </w:rPr>
        <w:t>public sector (state of equipment, availability of reagents and other inputs, amount of personnel, among others),</w:t>
      </w:r>
      <w:r w:rsidR="00193C4D">
        <w:rPr>
          <w:lang w:val="en-GB"/>
        </w:rPr>
        <w:t xml:space="preserve"> </w:t>
      </w:r>
      <w:proofErr w:type="gramStart"/>
      <w:r w:rsidRPr="00754B40">
        <w:rPr>
          <w:lang w:val="en-GB"/>
        </w:rPr>
        <w:t>taking into account</w:t>
      </w:r>
      <w:proofErr w:type="gramEnd"/>
      <w:r w:rsidRPr="00754B40">
        <w:rPr>
          <w:lang w:val="en-GB"/>
        </w:rPr>
        <w:t xml:space="preserve"> that some institutions currently highlight certain difficulties in relation to this aspect.</w:t>
      </w:r>
      <w:r w:rsidR="00193C4D">
        <w:rPr>
          <w:lang w:val="en-GB"/>
        </w:rPr>
        <w:t xml:space="preserve"> </w:t>
      </w:r>
      <w:r w:rsidRPr="00754B40">
        <w:rPr>
          <w:lang w:val="en-GB"/>
        </w:rPr>
        <w:t>Although interlaboratory aptitude testing mechanisms are known, recognizes the need to strengthen</w:t>
      </w:r>
      <w:r w:rsidR="00193C4D">
        <w:rPr>
          <w:lang w:val="en-GB"/>
        </w:rPr>
        <w:t xml:space="preserve"> </w:t>
      </w:r>
      <w:r w:rsidRPr="00754B40">
        <w:rPr>
          <w:lang w:val="en-GB"/>
        </w:rPr>
        <w:t>institutional capacity to ensure the quality of the results.</w:t>
      </w:r>
    </w:p>
    <w:p w14:paraId="09A310D9" w14:textId="77777777" w:rsidR="00754B40" w:rsidRPr="00193C4D" w:rsidRDefault="00754B40" w:rsidP="006A061B">
      <w:pPr>
        <w:pStyle w:val="Normalnumber"/>
        <w:numPr>
          <w:ilvl w:val="0"/>
          <w:numId w:val="0"/>
        </w:numPr>
        <w:snapToGrid w:val="0"/>
        <w:ind w:left="360"/>
        <w:rPr>
          <w:u w:val="single"/>
          <w:lang w:val="en-GB"/>
        </w:rPr>
      </w:pPr>
      <w:r w:rsidRPr="00193C4D">
        <w:rPr>
          <w:u w:val="single"/>
          <w:lang w:val="en-GB"/>
        </w:rPr>
        <w:t>On the articulation between government agencies of different levels and jurisdictions:</w:t>
      </w:r>
    </w:p>
    <w:p w14:paraId="16E6B6C4" w14:textId="3E2C3EEC" w:rsidR="00754B40" w:rsidRPr="00754B40" w:rsidRDefault="00754B40" w:rsidP="0010138E">
      <w:pPr>
        <w:pStyle w:val="Normalnumber"/>
        <w:numPr>
          <w:ilvl w:val="0"/>
          <w:numId w:val="13"/>
        </w:numPr>
        <w:snapToGrid w:val="0"/>
        <w:rPr>
          <w:lang w:val="en-GB"/>
        </w:rPr>
      </w:pPr>
      <w:r w:rsidRPr="00754B40">
        <w:rPr>
          <w:lang w:val="en-GB"/>
        </w:rPr>
        <w:t>Absence of a joint policy for the design of monitoring plans, the monitoring and control of the quality of the</w:t>
      </w:r>
      <w:r w:rsidR="00193C4D">
        <w:rPr>
          <w:lang w:val="en-GB"/>
        </w:rPr>
        <w:t xml:space="preserve"> </w:t>
      </w:r>
      <w:r w:rsidRPr="00754B40">
        <w:rPr>
          <w:lang w:val="en-GB"/>
        </w:rPr>
        <w:t>compartments between the various agencies involved</w:t>
      </w:r>
    </w:p>
    <w:p w14:paraId="47637341" w14:textId="4276AC1E" w:rsidR="00754B40" w:rsidRPr="00754B40" w:rsidRDefault="00754B40" w:rsidP="0010138E">
      <w:pPr>
        <w:pStyle w:val="Normalnumber"/>
        <w:numPr>
          <w:ilvl w:val="0"/>
          <w:numId w:val="13"/>
        </w:numPr>
        <w:snapToGrid w:val="0"/>
        <w:rPr>
          <w:lang w:val="en-GB"/>
        </w:rPr>
      </w:pPr>
      <w:r w:rsidRPr="00754B40">
        <w:rPr>
          <w:lang w:val="en-GB"/>
        </w:rPr>
        <w:t>Absence of cooperation networks between the different actors. Without documentary records of this type, it is</w:t>
      </w:r>
      <w:r w:rsidR="00193C4D">
        <w:rPr>
          <w:lang w:val="en-GB"/>
        </w:rPr>
        <w:t xml:space="preserve"> </w:t>
      </w:r>
      <w:r w:rsidRPr="00754B40">
        <w:rPr>
          <w:lang w:val="en-GB"/>
        </w:rPr>
        <w:t>expected that the results shown here will be useful in guiding the improvement efforts of the territorial coverage</w:t>
      </w:r>
      <w:r w:rsidR="00193C4D">
        <w:rPr>
          <w:lang w:val="en-GB"/>
        </w:rPr>
        <w:t xml:space="preserve"> </w:t>
      </w:r>
      <w:r w:rsidRPr="00754B40">
        <w:rPr>
          <w:lang w:val="en-GB"/>
        </w:rPr>
        <w:t>of the monitoring according to the national situation.</w:t>
      </w:r>
    </w:p>
    <w:p w14:paraId="61C1B26F" w14:textId="7E599418" w:rsidR="00754B40" w:rsidRDefault="00754B40" w:rsidP="006A061B">
      <w:pPr>
        <w:pStyle w:val="Normalnumber"/>
        <w:numPr>
          <w:ilvl w:val="0"/>
          <w:numId w:val="0"/>
        </w:numPr>
        <w:snapToGrid w:val="0"/>
        <w:ind w:left="360"/>
        <w:rPr>
          <w:lang w:val="en-GB"/>
        </w:rPr>
      </w:pPr>
      <w:r w:rsidRPr="00754B40">
        <w:rPr>
          <w:lang w:val="en-GB"/>
        </w:rPr>
        <w:t>Although it has been possible to identify a good part of the technological capacity installed and / or in</w:t>
      </w:r>
      <w:r w:rsidR="00193C4D">
        <w:rPr>
          <w:lang w:val="en-GB"/>
        </w:rPr>
        <w:t xml:space="preserve"> </w:t>
      </w:r>
      <w:r w:rsidRPr="00754B40">
        <w:rPr>
          <w:lang w:val="en-GB"/>
        </w:rPr>
        <w:t>operation, it is essential to achieve harmonized work at the national level to ensure the continuity and</w:t>
      </w:r>
      <w:r w:rsidR="00193C4D">
        <w:rPr>
          <w:lang w:val="en-GB"/>
        </w:rPr>
        <w:t xml:space="preserve"> </w:t>
      </w:r>
      <w:r w:rsidRPr="00754B40">
        <w:rPr>
          <w:lang w:val="en-GB"/>
        </w:rPr>
        <w:t>improvement of monitoring programs, and the correct generation and dissemination of information. Future</w:t>
      </w:r>
      <w:r w:rsidR="00193C4D">
        <w:rPr>
          <w:lang w:val="en-GB"/>
        </w:rPr>
        <w:t xml:space="preserve"> </w:t>
      </w:r>
      <w:r w:rsidRPr="00754B40">
        <w:rPr>
          <w:lang w:val="en-GB"/>
        </w:rPr>
        <w:t>efforts could be aimed at deepening knowledge about the particular situation of institutions in relation to their</w:t>
      </w:r>
      <w:r w:rsidR="00193C4D">
        <w:rPr>
          <w:lang w:val="en-GB"/>
        </w:rPr>
        <w:t xml:space="preserve"> </w:t>
      </w:r>
      <w:r w:rsidRPr="00754B40">
        <w:rPr>
          <w:lang w:val="en-GB"/>
        </w:rPr>
        <w:t>resources (technological, human), and ensuring coherence among monitoring activities considering in their</w:t>
      </w:r>
      <w:r w:rsidR="00193C4D">
        <w:rPr>
          <w:lang w:val="en-GB"/>
        </w:rPr>
        <w:t xml:space="preserve"> </w:t>
      </w:r>
      <w:r w:rsidRPr="00754B40">
        <w:rPr>
          <w:lang w:val="en-GB"/>
        </w:rPr>
        <w:t>design the priority sources and the potentially exposed populations identified in the present report.</w:t>
      </w:r>
    </w:p>
    <w:p w14:paraId="4D9367EF" w14:textId="2B07288C" w:rsidR="00193C4D" w:rsidRDefault="00193C4D" w:rsidP="006A061B">
      <w:pPr>
        <w:tabs>
          <w:tab w:val="clear" w:pos="1247"/>
          <w:tab w:val="clear" w:pos="1814"/>
          <w:tab w:val="clear" w:pos="2381"/>
          <w:tab w:val="clear" w:pos="2948"/>
          <w:tab w:val="clear" w:pos="3515"/>
        </w:tabs>
        <w:snapToGrid w:val="0"/>
        <w:rPr>
          <w:lang w:val="en-GB"/>
        </w:rPr>
      </w:pPr>
      <w:r>
        <w:rPr>
          <w:lang w:val="en-GB"/>
        </w:rPr>
        <w:br w:type="page"/>
      </w:r>
    </w:p>
    <w:p w14:paraId="4CAB4BD7" w14:textId="6074E6FA" w:rsidR="00193C4D" w:rsidRPr="00193C4D" w:rsidRDefault="00193C4D" w:rsidP="006A061B">
      <w:pPr>
        <w:pStyle w:val="Normalnumber"/>
        <w:numPr>
          <w:ilvl w:val="0"/>
          <w:numId w:val="0"/>
        </w:numPr>
        <w:snapToGrid w:val="0"/>
        <w:rPr>
          <w:b/>
          <w:bCs/>
          <w:sz w:val="24"/>
          <w:szCs w:val="24"/>
          <w:lang w:val="en-GB"/>
        </w:rPr>
      </w:pPr>
      <w:r w:rsidRPr="00193C4D">
        <w:rPr>
          <w:b/>
          <w:bCs/>
          <w:sz w:val="24"/>
          <w:szCs w:val="24"/>
          <w:lang w:val="en-GB"/>
        </w:rPr>
        <w:lastRenderedPageBreak/>
        <w:t>Annex 2: Submission from Japan</w:t>
      </w:r>
    </w:p>
    <w:p w14:paraId="6B48702E" w14:textId="77777777" w:rsidR="00193C4D" w:rsidRPr="00193C4D" w:rsidRDefault="00193C4D" w:rsidP="006A061B">
      <w:pPr>
        <w:snapToGrid w:val="0"/>
      </w:pPr>
    </w:p>
    <w:p w14:paraId="5504857A" w14:textId="77777777" w:rsidR="00193C4D" w:rsidRPr="00193C4D" w:rsidRDefault="00193C4D" w:rsidP="006A061B">
      <w:pPr>
        <w:snapToGrid w:val="0"/>
        <w:rPr>
          <w:lang w:val="en-US"/>
        </w:rPr>
      </w:pPr>
      <w:r w:rsidRPr="00193C4D">
        <w:rPr>
          <w:lang w:val="en-US"/>
        </w:rPr>
        <w:t>Pursuant to the Decision MC-2/10 of the COP2 of the Minamata Convention, parties, other governments and relevant organizations are requested to provide information on their monitoring programme to the secretariat. Hereunder, Japan submits relevant information to supplement document UNEP/MC/COP.2/INF/8. This submission supersedes Japan’s previous submission for the “information on the availability of monitoring data” for INC7 based on request for further work made at INC6.</w:t>
      </w:r>
    </w:p>
    <w:p w14:paraId="29818166" w14:textId="77777777" w:rsidR="00193C4D" w:rsidRPr="00193C4D" w:rsidRDefault="00193C4D" w:rsidP="006A061B">
      <w:pPr>
        <w:snapToGrid w:val="0"/>
        <w:rPr>
          <w:lang w:val="en-US"/>
        </w:rPr>
      </w:pPr>
      <w:r w:rsidRPr="00193C4D">
        <w:rPr>
          <w:lang w:val="en-US"/>
        </w:rPr>
        <w:t xml:space="preserve"> </w:t>
      </w:r>
      <w:r w:rsidRPr="00193C4D">
        <w:rPr>
          <w:rFonts w:hint="eastAsia"/>
          <w:lang w:val="en-US"/>
        </w:rPr>
        <w:t xml:space="preserve"> </w:t>
      </w:r>
    </w:p>
    <w:p w14:paraId="684DE4FE" w14:textId="77777777" w:rsidR="00193C4D" w:rsidRPr="00193C4D" w:rsidRDefault="00193C4D" w:rsidP="00193C4D">
      <w:pPr>
        <w:rPr>
          <w:rFonts w:hint="eastAsia"/>
          <w:lang w:val="en-US"/>
        </w:rPr>
      </w:pPr>
    </w:p>
    <w:p w14:paraId="0F56D44B" w14:textId="77777777" w:rsidR="00193C4D" w:rsidRPr="00193C4D" w:rsidRDefault="00193C4D" w:rsidP="00193C4D">
      <w:pPr>
        <w:rPr>
          <w:lang w:val="en-US"/>
        </w:rPr>
        <w:sectPr w:rsidR="00193C4D" w:rsidRPr="00193C4D" w:rsidSect="00193C4D">
          <w:footerReference w:type="even" r:id="rId22"/>
          <w:footerReference w:type="default" r:id="rId23"/>
          <w:footerReference w:type="first" r:id="rId24"/>
          <w:type w:val="continuous"/>
          <w:pgSz w:w="11907" w:h="16839" w:code="9"/>
          <w:pgMar w:top="1134" w:right="851" w:bottom="1134" w:left="1134" w:header="851" w:footer="283" w:gutter="0"/>
          <w:cols w:space="425"/>
          <w:docGrid w:type="lines" w:linePitch="360"/>
        </w:sectPr>
      </w:pPr>
    </w:p>
    <w:p w14:paraId="111B09EE" w14:textId="77777777" w:rsidR="00193C4D" w:rsidRPr="00193C4D" w:rsidRDefault="00193C4D" w:rsidP="00193C4D">
      <w:pPr>
        <w:spacing w:line="100" w:lineRule="exact"/>
        <w:rPr>
          <w:lang w:val="en-US"/>
        </w:rPr>
      </w:pPr>
    </w:p>
    <w:p w14:paraId="5558AA47" w14:textId="77777777" w:rsidR="00193C4D" w:rsidRPr="00623446" w:rsidRDefault="00193C4D" w:rsidP="00193C4D">
      <w:pPr>
        <w:pStyle w:val="Caption"/>
        <w:jc w:val="center"/>
        <w:rPr>
          <w:rFonts w:ascii="Times New Roman" w:hAnsi="Times New Roman"/>
        </w:rPr>
      </w:pPr>
      <w:r w:rsidRPr="00623446">
        <w:rPr>
          <w:rFonts w:ascii="Times New Roman" w:hAnsi="Times New Roman"/>
        </w:rPr>
        <w:t>Table 1. Monitoring conducted by Ministry of the Environment (MOE) Japan</w:t>
      </w:r>
    </w:p>
    <w:tbl>
      <w:tblPr>
        <w:tblW w:w="2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701"/>
        <w:gridCol w:w="1984"/>
        <w:gridCol w:w="3969"/>
        <w:gridCol w:w="3544"/>
        <w:gridCol w:w="3119"/>
        <w:gridCol w:w="5100"/>
      </w:tblGrid>
      <w:tr w:rsidR="00193C4D" w:rsidRPr="00193C4D" w14:paraId="6D43B58C" w14:textId="77777777" w:rsidTr="00C9628F">
        <w:trPr>
          <w:tblHeader/>
          <w:jc w:val="center"/>
        </w:trPr>
        <w:tc>
          <w:tcPr>
            <w:tcW w:w="1842" w:type="dxa"/>
            <w:tcBorders>
              <w:bottom w:val="double" w:sz="4" w:space="0" w:color="auto"/>
            </w:tcBorders>
            <w:shd w:val="clear" w:color="auto" w:fill="D9D9D9"/>
            <w:vAlign w:val="center"/>
          </w:tcPr>
          <w:p w14:paraId="4589562F" w14:textId="77777777" w:rsidR="00193C4D" w:rsidRPr="00623446" w:rsidRDefault="00193C4D" w:rsidP="00C9628F">
            <w:pPr>
              <w:spacing w:line="280" w:lineRule="exact"/>
              <w:jc w:val="center"/>
            </w:pPr>
            <w:r w:rsidRPr="00623446">
              <w:t>Programme</w:t>
            </w:r>
          </w:p>
        </w:tc>
        <w:tc>
          <w:tcPr>
            <w:tcW w:w="1701" w:type="dxa"/>
            <w:tcBorders>
              <w:bottom w:val="double" w:sz="4" w:space="0" w:color="auto"/>
            </w:tcBorders>
            <w:shd w:val="clear" w:color="auto" w:fill="D9D9D9"/>
            <w:vAlign w:val="center"/>
          </w:tcPr>
          <w:p w14:paraId="40BC3499" w14:textId="77777777" w:rsidR="00193C4D" w:rsidRPr="00623446" w:rsidRDefault="00193C4D" w:rsidP="00C9628F">
            <w:pPr>
              <w:spacing w:line="280" w:lineRule="exact"/>
              <w:jc w:val="center"/>
            </w:pPr>
            <w:r w:rsidRPr="00623446">
              <w:t>Media</w:t>
            </w:r>
          </w:p>
        </w:tc>
        <w:tc>
          <w:tcPr>
            <w:tcW w:w="1984" w:type="dxa"/>
            <w:tcBorders>
              <w:bottom w:val="double" w:sz="4" w:space="0" w:color="auto"/>
            </w:tcBorders>
            <w:shd w:val="clear" w:color="auto" w:fill="D9D9D9"/>
            <w:vAlign w:val="center"/>
          </w:tcPr>
          <w:p w14:paraId="0F3A9E29" w14:textId="77777777" w:rsidR="00193C4D" w:rsidRPr="00623446" w:rsidRDefault="00193C4D" w:rsidP="00C9628F">
            <w:pPr>
              <w:spacing w:line="280" w:lineRule="exact"/>
              <w:jc w:val="center"/>
            </w:pPr>
            <w:r w:rsidRPr="00623446">
              <w:t>Mercury species</w:t>
            </w:r>
          </w:p>
        </w:tc>
        <w:tc>
          <w:tcPr>
            <w:tcW w:w="3969" w:type="dxa"/>
            <w:tcBorders>
              <w:bottom w:val="double" w:sz="4" w:space="0" w:color="auto"/>
            </w:tcBorders>
            <w:shd w:val="clear" w:color="auto" w:fill="D9D9D9"/>
            <w:vAlign w:val="center"/>
          </w:tcPr>
          <w:p w14:paraId="56D256CC" w14:textId="77777777" w:rsidR="00193C4D" w:rsidRPr="00623446" w:rsidRDefault="00193C4D" w:rsidP="00C9628F">
            <w:pPr>
              <w:spacing w:line="280" w:lineRule="exact"/>
              <w:jc w:val="center"/>
            </w:pPr>
            <w:r w:rsidRPr="00623446">
              <w:t>Methodology / analytical method</w:t>
            </w:r>
          </w:p>
        </w:tc>
        <w:tc>
          <w:tcPr>
            <w:tcW w:w="3544" w:type="dxa"/>
            <w:tcBorders>
              <w:bottom w:val="double" w:sz="4" w:space="0" w:color="auto"/>
            </w:tcBorders>
            <w:shd w:val="clear" w:color="auto" w:fill="D9D9D9"/>
            <w:vAlign w:val="center"/>
          </w:tcPr>
          <w:p w14:paraId="5E58AA06" w14:textId="77777777" w:rsidR="00193C4D" w:rsidRPr="00623446" w:rsidRDefault="00193C4D" w:rsidP="00C9628F">
            <w:pPr>
              <w:spacing w:line="280" w:lineRule="exact"/>
              <w:jc w:val="center"/>
            </w:pPr>
            <w:r w:rsidRPr="00623446">
              <w:t>Location / number of samples</w:t>
            </w:r>
          </w:p>
        </w:tc>
        <w:tc>
          <w:tcPr>
            <w:tcW w:w="3119" w:type="dxa"/>
            <w:tcBorders>
              <w:bottom w:val="double" w:sz="4" w:space="0" w:color="auto"/>
            </w:tcBorders>
            <w:shd w:val="clear" w:color="auto" w:fill="D9D9D9"/>
            <w:vAlign w:val="center"/>
          </w:tcPr>
          <w:p w14:paraId="0A7F80D3" w14:textId="77777777" w:rsidR="00193C4D" w:rsidRPr="00623446" w:rsidRDefault="00193C4D" w:rsidP="00C9628F">
            <w:pPr>
              <w:spacing w:line="280" w:lineRule="exact"/>
              <w:jc w:val="center"/>
            </w:pPr>
            <w:r w:rsidRPr="00623446">
              <w:t>Monitoring period and frequency</w:t>
            </w:r>
          </w:p>
        </w:tc>
        <w:tc>
          <w:tcPr>
            <w:tcW w:w="5100" w:type="dxa"/>
            <w:tcBorders>
              <w:bottom w:val="double" w:sz="4" w:space="0" w:color="auto"/>
            </w:tcBorders>
            <w:shd w:val="clear" w:color="auto" w:fill="D9D9D9"/>
            <w:vAlign w:val="center"/>
          </w:tcPr>
          <w:p w14:paraId="587DCD8E" w14:textId="77777777" w:rsidR="00193C4D" w:rsidRPr="00193C4D" w:rsidRDefault="00193C4D" w:rsidP="00C9628F">
            <w:pPr>
              <w:spacing w:line="280" w:lineRule="exact"/>
              <w:jc w:val="center"/>
              <w:rPr>
                <w:lang w:val="en-US"/>
              </w:rPr>
            </w:pPr>
            <w:r w:rsidRPr="00193C4D">
              <w:rPr>
                <w:lang w:val="en-US"/>
              </w:rPr>
              <w:t>Details of available data (as of January 2019)</w:t>
            </w:r>
          </w:p>
        </w:tc>
      </w:tr>
      <w:tr w:rsidR="00193C4D" w:rsidRPr="00193C4D" w14:paraId="489EA760" w14:textId="77777777" w:rsidTr="00C9628F">
        <w:trPr>
          <w:trHeight w:val="650"/>
          <w:jc w:val="center"/>
        </w:trPr>
        <w:tc>
          <w:tcPr>
            <w:tcW w:w="1842" w:type="dxa"/>
            <w:vMerge w:val="restart"/>
            <w:tcBorders>
              <w:top w:val="double" w:sz="4" w:space="0" w:color="auto"/>
            </w:tcBorders>
          </w:tcPr>
          <w:p w14:paraId="5998AA74" w14:textId="77777777" w:rsidR="00193C4D" w:rsidRPr="00193C4D" w:rsidRDefault="00193C4D" w:rsidP="00C9628F">
            <w:pPr>
              <w:spacing w:line="280" w:lineRule="exact"/>
              <w:rPr>
                <w:vertAlign w:val="superscript"/>
                <w:lang w:val="en-US"/>
              </w:rPr>
            </w:pPr>
            <w:r w:rsidRPr="00193C4D">
              <w:rPr>
                <w:lang w:val="en-US"/>
              </w:rPr>
              <w:t xml:space="preserve">Background Monitoring Survey for Atmospheric Mercury and Other Metal Element Concentrations in </w:t>
            </w:r>
            <w:proofErr w:type="gramStart"/>
            <w:r w:rsidRPr="00193C4D">
              <w:rPr>
                <w:lang w:val="en-US"/>
              </w:rPr>
              <w:t>Aerosols</w:t>
            </w:r>
            <w:r w:rsidRPr="00193C4D">
              <w:rPr>
                <w:vertAlign w:val="superscript"/>
                <w:lang w:val="en-US"/>
              </w:rPr>
              <w:t>[</w:t>
            </w:r>
            <w:proofErr w:type="gramEnd"/>
            <w:r w:rsidRPr="00193C4D">
              <w:rPr>
                <w:vertAlign w:val="superscript"/>
                <w:lang w:val="en-US"/>
              </w:rPr>
              <w:t>1]</w:t>
            </w:r>
          </w:p>
        </w:tc>
        <w:tc>
          <w:tcPr>
            <w:tcW w:w="1701" w:type="dxa"/>
            <w:tcBorders>
              <w:top w:val="double" w:sz="4" w:space="0" w:color="auto"/>
            </w:tcBorders>
            <w:shd w:val="clear" w:color="auto" w:fill="auto"/>
          </w:tcPr>
          <w:p w14:paraId="50D001E0" w14:textId="77777777" w:rsidR="00193C4D" w:rsidRPr="00623446" w:rsidRDefault="00193C4D" w:rsidP="00C9628F">
            <w:pPr>
              <w:spacing w:line="280" w:lineRule="exact"/>
            </w:pPr>
            <w:r w:rsidRPr="00623446">
              <w:t>Air</w:t>
            </w:r>
          </w:p>
        </w:tc>
        <w:tc>
          <w:tcPr>
            <w:tcW w:w="1984" w:type="dxa"/>
            <w:tcBorders>
              <w:top w:val="double" w:sz="4" w:space="0" w:color="auto"/>
            </w:tcBorders>
            <w:shd w:val="clear" w:color="auto" w:fill="auto"/>
          </w:tcPr>
          <w:p w14:paraId="56E4D121" w14:textId="77777777" w:rsidR="00193C4D" w:rsidRPr="00193C4D" w:rsidRDefault="00193C4D" w:rsidP="00C9628F">
            <w:pPr>
              <w:spacing w:line="280" w:lineRule="exact"/>
              <w:rPr>
                <w:lang w:val="en-US"/>
              </w:rPr>
            </w:pPr>
            <w:r w:rsidRPr="00193C4D">
              <w:rPr>
                <w:lang w:val="en-US"/>
              </w:rPr>
              <w:t>Speciated mercury</w:t>
            </w:r>
          </w:p>
          <w:p w14:paraId="2337C844" w14:textId="77777777" w:rsidR="00193C4D" w:rsidRPr="00193C4D" w:rsidRDefault="00193C4D" w:rsidP="00C9628F">
            <w:pPr>
              <w:spacing w:line="280" w:lineRule="exact"/>
              <w:ind w:leftChars="47" w:left="216" w:hangingChars="61" w:hanging="122"/>
              <w:rPr>
                <w:lang w:val="en-US"/>
              </w:rPr>
            </w:pPr>
            <w:r w:rsidRPr="00193C4D">
              <w:rPr>
                <w:lang w:val="en-US"/>
              </w:rPr>
              <w:t>- Gaseous elemental mercury (GEM)</w:t>
            </w:r>
          </w:p>
          <w:p w14:paraId="2E0A940C" w14:textId="77777777" w:rsidR="00193C4D" w:rsidRPr="00193C4D" w:rsidRDefault="00193C4D" w:rsidP="00C9628F">
            <w:pPr>
              <w:spacing w:line="280" w:lineRule="exact"/>
              <w:ind w:leftChars="47" w:left="216" w:hangingChars="61" w:hanging="122"/>
              <w:rPr>
                <w:lang w:val="en-US"/>
              </w:rPr>
            </w:pPr>
            <w:r w:rsidRPr="00193C4D">
              <w:rPr>
                <w:lang w:val="en-US"/>
              </w:rPr>
              <w:t>- Gaseous oxidized mercury (GOM)</w:t>
            </w:r>
          </w:p>
          <w:p w14:paraId="66DE64CD" w14:textId="77777777" w:rsidR="00193C4D" w:rsidRPr="00193C4D" w:rsidRDefault="00193C4D" w:rsidP="00C9628F">
            <w:pPr>
              <w:spacing w:line="280" w:lineRule="exact"/>
              <w:ind w:leftChars="47" w:left="216" w:hangingChars="61" w:hanging="122"/>
              <w:rPr>
                <w:lang w:val="en-US"/>
              </w:rPr>
            </w:pPr>
            <w:r w:rsidRPr="00193C4D">
              <w:rPr>
                <w:lang w:val="en-US"/>
              </w:rPr>
              <w:t>- Particulate-bound mercury (PBM)</w:t>
            </w:r>
          </w:p>
        </w:tc>
        <w:tc>
          <w:tcPr>
            <w:tcW w:w="3969" w:type="dxa"/>
            <w:tcBorders>
              <w:top w:val="double" w:sz="4" w:space="0" w:color="auto"/>
            </w:tcBorders>
          </w:tcPr>
          <w:p w14:paraId="7CCE0182" w14:textId="77777777" w:rsidR="00193C4D" w:rsidRPr="00193C4D" w:rsidRDefault="00193C4D" w:rsidP="00C9628F">
            <w:pPr>
              <w:spacing w:line="280" w:lineRule="exact"/>
              <w:rPr>
                <w:lang w:val="en-US"/>
              </w:rPr>
            </w:pPr>
            <w:r w:rsidRPr="00193C4D">
              <w:rPr>
                <w:lang w:val="en-US"/>
              </w:rPr>
              <w:t>Using Tekran</w:t>
            </w:r>
          </w:p>
          <w:p w14:paraId="061CCDCB" w14:textId="77777777" w:rsidR="00193C4D" w:rsidRPr="00193C4D" w:rsidRDefault="00193C4D" w:rsidP="00C9628F">
            <w:pPr>
              <w:spacing w:line="280" w:lineRule="exact"/>
              <w:ind w:leftChars="50" w:left="224" w:hangingChars="62" w:hanging="124"/>
              <w:rPr>
                <w:lang w:val="en-US"/>
              </w:rPr>
            </w:pPr>
            <w:r w:rsidRPr="00193C4D">
              <w:rPr>
                <w:lang w:val="en-US"/>
              </w:rPr>
              <w:t>- Cold vapor atomic fluorescence spectrometry with denuder collection for GOM and quartz fiber filter collection for PBM (heating vaporization method)</w:t>
            </w:r>
          </w:p>
        </w:tc>
        <w:tc>
          <w:tcPr>
            <w:tcW w:w="3544" w:type="dxa"/>
            <w:tcBorders>
              <w:top w:val="double" w:sz="4" w:space="0" w:color="auto"/>
            </w:tcBorders>
          </w:tcPr>
          <w:p w14:paraId="1A0F9813" w14:textId="77777777" w:rsidR="00193C4D" w:rsidRPr="00623446" w:rsidRDefault="00193C4D" w:rsidP="00C9628F">
            <w:pPr>
              <w:spacing w:line="280" w:lineRule="exact"/>
            </w:pPr>
            <w:r w:rsidRPr="00623446">
              <w:t>Cape Hedo (Okinawa pref.)</w:t>
            </w:r>
          </w:p>
          <w:p w14:paraId="6349D4A3" w14:textId="77777777" w:rsidR="00193C4D" w:rsidRPr="00623446" w:rsidRDefault="00193C4D" w:rsidP="00C9628F">
            <w:pPr>
              <w:spacing w:line="280" w:lineRule="exact"/>
            </w:pPr>
            <w:r w:rsidRPr="00623446">
              <w:t>Oga Peninsula (Akita pref.)</w:t>
            </w:r>
          </w:p>
        </w:tc>
        <w:tc>
          <w:tcPr>
            <w:tcW w:w="3119" w:type="dxa"/>
            <w:tcBorders>
              <w:top w:val="double" w:sz="4" w:space="0" w:color="auto"/>
            </w:tcBorders>
          </w:tcPr>
          <w:p w14:paraId="226F52D9" w14:textId="77777777" w:rsidR="00193C4D" w:rsidRPr="00193C4D" w:rsidRDefault="00193C4D" w:rsidP="00C9628F">
            <w:pPr>
              <w:spacing w:line="280" w:lineRule="exact"/>
              <w:ind w:rightChars="-25" w:right="-50"/>
              <w:rPr>
                <w:lang w:val="en-US"/>
              </w:rPr>
            </w:pPr>
            <w:r w:rsidRPr="00193C4D">
              <w:rPr>
                <w:lang w:val="en-US"/>
              </w:rPr>
              <w:t>Cape Hedo: Since Oct. 2007 (GEM)</w:t>
            </w:r>
          </w:p>
          <w:p w14:paraId="23CA1C4F" w14:textId="77777777" w:rsidR="00193C4D" w:rsidRPr="00193C4D" w:rsidRDefault="00193C4D" w:rsidP="00C9628F">
            <w:pPr>
              <w:spacing w:line="280" w:lineRule="exact"/>
              <w:ind w:leftChars="218" w:left="436" w:rightChars="-25" w:right="-50"/>
              <w:rPr>
                <w:lang w:val="en-US"/>
              </w:rPr>
            </w:pPr>
            <w:r w:rsidRPr="00193C4D">
              <w:rPr>
                <w:lang w:val="en-US"/>
              </w:rPr>
              <w:t>Since Oct. 2009 (GOM, PBM)</w:t>
            </w:r>
          </w:p>
          <w:p w14:paraId="1BACD57F" w14:textId="77777777" w:rsidR="00193C4D" w:rsidRPr="00193C4D" w:rsidRDefault="00193C4D" w:rsidP="00C9628F">
            <w:pPr>
              <w:spacing w:line="280" w:lineRule="exact"/>
              <w:rPr>
                <w:lang w:val="en-US"/>
              </w:rPr>
            </w:pPr>
            <w:r w:rsidRPr="00193C4D">
              <w:rPr>
                <w:lang w:val="en-US"/>
              </w:rPr>
              <w:t>Oga Peninsula: Since Aug. 2014</w:t>
            </w:r>
          </w:p>
          <w:p w14:paraId="508737F6" w14:textId="77777777" w:rsidR="00193C4D" w:rsidRPr="00193C4D" w:rsidRDefault="00193C4D" w:rsidP="00C9628F">
            <w:pPr>
              <w:spacing w:line="280" w:lineRule="exact"/>
              <w:rPr>
                <w:lang w:val="en-US"/>
              </w:rPr>
            </w:pPr>
            <w:r w:rsidRPr="00193C4D">
              <w:rPr>
                <w:lang w:val="en-US"/>
              </w:rPr>
              <w:t>Continuous sampling</w:t>
            </w:r>
          </w:p>
          <w:p w14:paraId="6E7AB580" w14:textId="77777777" w:rsidR="00193C4D" w:rsidRPr="00193C4D" w:rsidRDefault="00193C4D" w:rsidP="00C9628F">
            <w:pPr>
              <w:spacing w:line="280" w:lineRule="exact"/>
              <w:ind w:leftChars="50" w:left="214" w:hangingChars="57" w:hanging="114"/>
              <w:rPr>
                <w:lang w:val="en-US"/>
              </w:rPr>
            </w:pPr>
            <w:r w:rsidRPr="00193C4D">
              <w:rPr>
                <w:lang w:val="en-US"/>
              </w:rPr>
              <w:t>- 16 measurements per day (hourly value for GEM)</w:t>
            </w:r>
          </w:p>
          <w:p w14:paraId="7491E73C" w14:textId="77777777" w:rsidR="00193C4D" w:rsidRPr="00193C4D" w:rsidRDefault="00193C4D" w:rsidP="00C9628F">
            <w:pPr>
              <w:spacing w:line="280" w:lineRule="exact"/>
              <w:ind w:leftChars="50" w:left="214" w:hangingChars="57" w:hanging="114"/>
              <w:rPr>
                <w:lang w:val="en-US"/>
              </w:rPr>
            </w:pPr>
            <w:r w:rsidRPr="00193C4D">
              <w:rPr>
                <w:lang w:val="en-US"/>
              </w:rPr>
              <w:t>- 8 measurements per day (two-hour value for GOM and PBM)</w:t>
            </w:r>
          </w:p>
        </w:tc>
        <w:tc>
          <w:tcPr>
            <w:tcW w:w="5100" w:type="dxa"/>
            <w:tcBorders>
              <w:top w:val="double" w:sz="4" w:space="0" w:color="auto"/>
            </w:tcBorders>
          </w:tcPr>
          <w:p w14:paraId="1C60CCD4" w14:textId="77777777" w:rsidR="00193C4D" w:rsidRPr="00193C4D" w:rsidDel="00A56FB3" w:rsidRDefault="00193C4D" w:rsidP="00C9628F">
            <w:pPr>
              <w:spacing w:line="280" w:lineRule="exact"/>
              <w:rPr>
                <w:lang w:val="en-US"/>
              </w:rPr>
            </w:pPr>
            <w:r w:rsidRPr="00193C4D">
              <w:rPr>
                <w:lang w:val="en-US"/>
              </w:rPr>
              <w:t xml:space="preserve">Monitoring results until FY2017 are available as individual data. </w:t>
            </w:r>
            <w:r w:rsidRPr="00193C4D">
              <w:rPr>
                <w:spacing w:val="-2"/>
                <w:lang w:val="en-US"/>
              </w:rPr>
              <w:t>The</w:t>
            </w:r>
            <w:r w:rsidRPr="00193C4D">
              <w:rPr>
                <w:lang w:val="en-US"/>
              </w:rPr>
              <w:t xml:space="preserve"> dataset includes </w:t>
            </w:r>
            <w:r w:rsidRPr="00193C4D">
              <w:rPr>
                <w:spacing w:val="-2"/>
                <w:lang w:val="en-US"/>
              </w:rPr>
              <w:t xml:space="preserve">latitude/longitude, meteorological elements (wind speed and direction, temperature, humidity, precipitation, atmospheric pressure, </w:t>
            </w:r>
            <w:proofErr w:type="gramStart"/>
            <w:r w:rsidRPr="00193C4D">
              <w:rPr>
                <w:spacing w:val="-2"/>
                <w:lang w:val="en-US"/>
              </w:rPr>
              <w:t>etc.)</w:t>
            </w:r>
            <w:r w:rsidRPr="00193C4D">
              <w:rPr>
                <w:spacing w:val="-2"/>
                <w:vertAlign w:val="superscript"/>
                <w:lang w:val="en-US"/>
              </w:rPr>
              <w:t>*</w:t>
            </w:r>
            <w:proofErr w:type="gramEnd"/>
            <w:r w:rsidRPr="00193C4D">
              <w:rPr>
                <w:spacing w:val="-2"/>
                <w:vertAlign w:val="superscript"/>
                <w:lang w:val="en-US"/>
              </w:rPr>
              <w:t>1</w:t>
            </w:r>
            <w:r w:rsidRPr="00193C4D">
              <w:rPr>
                <w:spacing w:val="-2"/>
                <w:lang w:val="en-US"/>
              </w:rPr>
              <w:t>, and metals measuring results of 23 elements (lead, cadmium, copper, zinc, arsenic, etc.)</w:t>
            </w:r>
            <w:r w:rsidRPr="00193C4D">
              <w:rPr>
                <w:spacing w:val="-2"/>
                <w:vertAlign w:val="superscript"/>
                <w:lang w:val="en-US"/>
              </w:rPr>
              <w:t>*2</w:t>
            </w:r>
            <w:r w:rsidRPr="00193C4D">
              <w:rPr>
                <w:spacing w:val="-2"/>
                <w:lang w:val="en-US"/>
              </w:rPr>
              <w:t xml:space="preserve"> </w:t>
            </w:r>
            <w:r w:rsidRPr="00193C4D">
              <w:rPr>
                <w:b/>
                <w:spacing w:val="-2"/>
                <w:lang w:val="en-US"/>
              </w:rPr>
              <w:t>.</w:t>
            </w:r>
          </w:p>
        </w:tc>
      </w:tr>
      <w:tr w:rsidR="00193C4D" w:rsidRPr="00193C4D" w14:paraId="6057BD6A" w14:textId="77777777" w:rsidTr="00C9628F">
        <w:trPr>
          <w:trHeight w:val="570"/>
          <w:jc w:val="center"/>
        </w:trPr>
        <w:tc>
          <w:tcPr>
            <w:tcW w:w="1842" w:type="dxa"/>
            <w:vMerge/>
          </w:tcPr>
          <w:p w14:paraId="0987D6DC" w14:textId="77777777" w:rsidR="00193C4D" w:rsidRPr="00193C4D" w:rsidRDefault="00193C4D" w:rsidP="00C9628F">
            <w:pPr>
              <w:spacing w:line="280" w:lineRule="exact"/>
              <w:rPr>
                <w:lang w:val="en-US"/>
              </w:rPr>
            </w:pPr>
          </w:p>
        </w:tc>
        <w:tc>
          <w:tcPr>
            <w:tcW w:w="1701" w:type="dxa"/>
            <w:tcBorders>
              <w:top w:val="single" w:sz="4" w:space="0" w:color="auto"/>
            </w:tcBorders>
            <w:shd w:val="clear" w:color="auto" w:fill="auto"/>
          </w:tcPr>
          <w:p w14:paraId="3B4A6640" w14:textId="77777777" w:rsidR="00193C4D" w:rsidRPr="00623446" w:rsidRDefault="00193C4D" w:rsidP="00C9628F">
            <w:pPr>
              <w:spacing w:line="280" w:lineRule="exact"/>
            </w:pPr>
            <w:r w:rsidRPr="00623446">
              <w:t>Precipitation</w:t>
            </w:r>
          </w:p>
        </w:tc>
        <w:tc>
          <w:tcPr>
            <w:tcW w:w="1984" w:type="dxa"/>
            <w:tcBorders>
              <w:top w:val="single" w:sz="4" w:space="0" w:color="auto"/>
            </w:tcBorders>
            <w:shd w:val="clear" w:color="auto" w:fill="auto"/>
          </w:tcPr>
          <w:p w14:paraId="30418529" w14:textId="77777777" w:rsidR="00193C4D" w:rsidRPr="00623446" w:rsidRDefault="00193C4D" w:rsidP="00C9628F">
            <w:pPr>
              <w:spacing w:line="280" w:lineRule="exact"/>
            </w:pPr>
            <w:r w:rsidRPr="00623446">
              <w:t>Total mercury (THg)</w:t>
            </w:r>
          </w:p>
        </w:tc>
        <w:tc>
          <w:tcPr>
            <w:tcW w:w="3969" w:type="dxa"/>
          </w:tcPr>
          <w:p w14:paraId="5C9E3C8D" w14:textId="77777777" w:rsidR="00193C4D" w:rsidRPr="00623446" w:rsidRDefault="00193C4D" w:rsidP="00C9628F">
            <w:pPr>
              <w:spacing w:line="280" w:lineRule="exact"/>
            </w:pPr>
            <w:r w:rsidRPr="00623446">
              <w:t>Equivalent EPA method 1631, Revision E</w:t>
            </w:r>
          </w:p>
        </w:tc>
        <w:tc>
          <w:tcPr>
            <w:tcW w:w="3544" w:type="dxa"/>
          </w:tcPr>
          <w:p w14:paraId="3D85D214" w14:textId="77777777" w:rsidR="00193C4D" w:rsidRPr="00623446" w:rsidRDefault="00193C4D" w:rsidP="00C9628F">
            <w:pPr>
              <w:spacing w:line="280" w:lineRule="exact"/>
            </w:pPr>
            <w:r w:rsidRPr="00623446">
              <w:t>Cape Hedo (Okinawa pref.)</w:t>
            </w:r>
          </w:p>
          <w:p w14:paraId="51D90F79" w14:textId="77777777" w:rsidR="00193C4D" w:rsidRPr="00623446" w:rsidRDefault="00193C4D" w:rsidP="00C9628F">
            <w:pPr>
              <w:spacing w:line="280" w:lineRule="exact"/>
            </w:pPr>
            <w:r w:rsidRPr="00623446">
              <w:t>Oga Peninsula (Akita pref.)</w:t>
            </w:r>
          </w:p>
        </w:tc>
        <w:tc>
          <w:tcPr>
            <w:tcW w:w="3119" w:type="dxa"/>
          </w:tcPr>
          <w:p w14:paraId="0F33765E" w14:textId="77777777" w:rsidR="00193C4D" w:rsidRPr="00193C4D" w:rsidRDefault="00193C4D" w:rsidP="00C9628F">
            <w:pPr>
              <w:spacing w:line="280" w:lineRule="exact"/>
              <w:rPr>
                <w:lang w:val="en-US"/>
              </w:rPr>
            </w:pPr>
            <w:r w:rsidRPr="00193C4D">
              <w:rPr>
                <w:lang w:val="en-US"/>
              </w:rPr>
              <w:t xml:space="preserve">Cape Hedo: Since Apr. 2008 </w:t>
            </w:r>
          </w:p>
          <w:p w14:paraId="4450ACB8" w14:textId="77777777" w:rsidR="00193C4D" w:rsidRPr="00193C4D" w:rsidRDefault="00193C4D" w:rsidP="00C9628F">
            <w:pPr>
              <w:spacing w:line="280" w:lineRule="exact"/>
              <w:rPr>
                <w:lang w:val="en-US"/>
              </w:rPr>
            </w:pPr>
            <w:r w:rsidRPr="00193C4D">
              <w:rPr>
                <w:lang w:val="en-US"/>
              </w:rPr>
              <w:t>Oga Peninsula: Since Sep. 2014</w:t>
            </w:r>
          </w:p>
          <w:p w14:paraId="65FEEE00" w14:textId="77777777" w:rsidR="00193C4D" w:rsidRPr="00623446" w:rsidRDefault="00193C4D" w:rsidP="00C9628F">
            <w:pPr>
              <w:spacing w:line="280" w:lineRule="exact"/>
            </w:pPr>
            <w:r w:rsidRPr="00623446">
              <w:t>Weekly</w:t>
            </w:r>
          </w:p>
          <w:p w14:paraId="7FFD6A0F" w14:textId="77777777" w:rsidR="00193C4D" w:rsidRPr="00623446" w:rsidRDefault="00193C4D" w:rsidP="00C9628F">
            <w:pPr>
              <w:spacing w:line="280" w:lineRule="exact"/>
            </w:pPr>
            <w:r w:rsidRPr="00623446">
              <w:t>7-day continuous sampling</w:t>
            </w:r>
          </w:p>
        </w:tc>
        <w:tc>
          <w:tcPr>
            <w:tcW w:w="5100" w:type="dxa"/>
          </w:tcPr>
          <w:p w14:paraId="37DACF84" w14:textId="77777777" w:rsidR="00193C4D" w:rsidRPr="00193C4D" w:rsidDel="00964B79" w:rsidRDefault="00193C4D" w:rsidP="00C9628F">
            <w:pPr>
              <w:spacing w:line="280" w:lineRule="exact"/>
              <w:rPr>
                <w:lang w:val="en-US"/>
              </w:rPr>
            </w:pPr>
            <w:r w:rsidRPr="00193C4D">
              <w:rPr>
                <w:lang w:val="en-US"/>
              </w:rPr>
              <w:t xml:space="preserve">Monitoring results until FY2017 are available as individual data. </w:t>
            </w:r>
            <w:r w:rsidRPr="00193C4D">
              <w:rPr>
                <w:spacing w:val="-2"/>
                <w:lang w:val="en-US"/>
              </w:rPr>
              <w:t>The</w:t>
            </w:r>
            <w:r w:rsidRPr="00193C4D">
              <w:rPr>
                <w:lang w:val="en-US"/>
              </w:rPr>
              <w:t xml:space="preserve"> dataset includes latitude/longitude, meteorological elements (wind speed and direction, temperature, humidity, precipitation, atmospheric pressure, </w:t>
            </w:r>
            <w:proofErr w:type="gramStart"/>
            <w:r w:rsidRPr="00193C4D">
              <w:rPr>
                <w:lang w:val="en-US"/>
              </w:rPr>
              <w:t>etc.)</w:t>
            </w:r>
            <w:r w:rsidRPr="00193C4D">
              <w:rPr>
                <w:vertAlign w:val="superscript"/>
                <w:lang w:val="en-US"/>
              </w:rPr>
              <w:t>*</w:t>
            </w:r>
            <w:proofErr w:type="gramEnd"/>
            <w:r w:rsidRPr="00193C4D">
              <w:rPr>
                <w:vertAlign w:val="superscript"/>
                <w:lang w:val="en-US"/>
              </w:rPr>
              <w:t>1</w:t>
            </w:r>
            <w:r w:rsidRPr="00193C4D">
              <w:rPr>
                <w:lang w:val="en-US"/>
              </w:rPr>
              <w:t>, wet deposition, and sample amounts.</w:t>
            </w:r>
          </w:p>
        </w:tc>
      </w:tr>
      <w:tr w:rsidR="00193C4D" w:rsidRPr="00193C4D" w14:paraId="2AA3CFE5" w14:textId="77777777" w:rsidTr="00C9628F">
        <w:trPr>
          <w:jc w:val="center"/>
        </w:trPr>
        <w:tc>
          <w:tcPr>
            <w:tcW w:w="1842" w:type="dxa"/>
          </w:tcPr>
          <w:p w14:paraId="210A69C5" w14:textId="77777777" w:rsidR="00193C4D" w:rsidRPr="00623446" w:rsidRDefault="00193C4D" w:rsidP="00C9628F">
            <w:pPr>
              <w:spacing w:line="280" w:lineRule="exact"/>
              <w:rPr>
                <w:vertAlign w:val="superscript"/>
              </w:rPr>
            </w:pPr>
            <w:r w:rsidRPr="00623446">
              <w:t xml:space="preserve">Monitoring Surveillance of Hazardous Air </w:t>
            </w:r>
            <w:proofErr w:type="gramStart"/>
            <w:r w:rsidRPr="00623446">
              <w:t>Pollutants</w:t>
            </w:r>
            <w:r w:rsidRPr="00623446">
              <w:rPr>
                <w:vertAlign w:val="superscript"/>
              </w:rPr>
              <w:t>[</w:t>
            </w:r>
            <w:proofErr w:type="gramEnd"/>
            <w:r w:rsidRPr="00623446">
              <w:rPr>
                <w:vertAlign w:val="superscript"/>
              </w:rPr>
              <w:t>2]</w:t>
            </w:r>
          </w:p>
        </w:tc>
        <w:tc>
          <w:tcPr>
            <w:tcW w:w="1701" w:type="dxa"/>
            <w:tcBorders>
              <w:top w:val="single" w:sz="4" w:space="0" w:color="auto"/>
            </w:tcBorders>
            <w:shd w:val="clear" w:color="auto" w:fill="auto"/>
          </w:tcPr>
          <w:p w14:paraId="27887160" w14:textId="77777777" w:rsidR="00193C4D" w:rsidRPr="00623446" w:rsidRDefault="00193C4D" w:rsidP="00C9628F">
            <w:pPr>
              <w:spacing w:line="280" w:lineRule="exact"/>
            </w:pPr>
            <w:r w:rsidRPr="00623446">
              <w:t>Air</w:t>
            </w:r>
          </w:p>
        </w:tc>
        <w:tc>
          <w:tcPr>
            <w:tcW w:w="1984" w:type="dxa"/>
            <w:tcBorders>
              <w:top w:val="single" w:sz="4" w:space="0" w:color="auto"/>
            </w:tcBorders>
            <w:shd w:val="clear" w:color="auto" w:fill="auto"/>
          </w:tcPr>
          <w:p w14:paraId="38723C4D" w14:textId="77777777" w:rsidR="00193C4D" w:rsidRPr="00623446" w:rsidRDefault="00193C4D" w:rsidP="00C9628F">
            <w:pPr>
              <w:spacing w:line="280" w:lineRule="exact"/>
            </w:pPr>
            <w:r w:rsidRPr="00623446">
              <w:t>Total gaseous mercury (TGM)</w:t>
            </w:r>
          </w:p>
        </w:tc>
        <w:tc>
          <w:tcPr>
            <w:tcW w:w="3969" w:type="dxa"/>
          </w:tcPr>
          <w:p w14:paraId="11803A4E" w14:textId="77777777" w:rsidR="00193C4D" w:rsidRPr="00193C4D" w:rsidRDefault="00193C4D" w:rsidP="00C9628F">
            <w:pPr>
              <w:spacing w:line="280" w:lineRule="exact"/>
              <w:rPr>
                <w:lang w:val="en-US"/>
              </w:rPr>
            </w:pPr>
            <w:r w:rsidRPr="00193C4D">
              <w:rPr>
                <w:lang w:val="en-US"/>
              </w:rPr>
              <w:t>Atomic absorption spectrometry with gold amalgamation and heating vaporization (following “Monitoring Manual for Hazardous Air Pollution Survey” (MOE, 2011))</w:t>
            </w:r>
          </w:p>
        </w:tc>
        <w:tc>
          <w:tcPr>
            <w:tcW w:w="3544" w:type="dxa"/>
          </w:tcPr>
          <w:p w14:paraId="7F497E20" w14:textId="77777777" w:rsidR="00193C4D" w:rsidRPr="00623446" w:rsidRDefault="00193C4D" w:rsidP="00C9628F">
            <w:pPr>
              <w:spacing w:line="280" w:lineRule="exact"/>
            </w:pPr>
            <w:r w:rsidRPr="00623446">
              <w:t>Nationwide 261 sites (in FY2016)</w:t>
            </w:r>
          </w:p>
          <w:p w14:paraId="41788FE1" w14:textId="77777777" w:rsidR="00193C4D" w:rsidRPr="00623446" w:rsidRDefault="00193C4D" w:rsidP="00C9628F">
            <w:pPr>
              <w:spacing w:line="280" w:lineRule="exact"/>
            </w:pPr>
            <w:r w:rsidRPr="00623446">
              <w:t xml:space="preserve"> - Ambient air 214 sites</w:t>
            </w:r>
          </w:p>
          <w:p w14:paraId="49348720" w14:textId="77777777" w:rsidR="00193C4D" w:rsidRPr="00623446" w:rsidRDefault="00193C4D" w:rsidP="00C9628F">
            <w:pPr>
              <w:spacing w:line="280" w:lineRule="exact"/>
              <w:ind w:firstLineChars="50" w:firstLine="100"/>
            </w:pPr>
            <w:r w:rsidRPr="00623446">
              <w:t>- Stationary sources 18 sites</w:t>
            </w:r>
          </w:p>
          <w:p w14:paraId="7F30AF09" w14:textId="77777777" w:rsidR="00193C4D" w:rsidRPr="00623446" w:rsidRDefault="00193C4D" w:rsidP="00C9628F">
            <w:pPr>
              <w:spacing w:line="280" w:lineRule="exact"/>
              <w:ind w:firstLineChars="50" w:firstLine="100"/>
            </w:pPr>
            <w:r w:rsidRPr="00623446">
              <w:t>- Roadside 39 sites</w:t>
            </w:r>
          </w:p>
        </w:tc>
        <w:tc>
          <w:tcPr>
            <w:tcW w:w="3119" w:type="dxa"/>
          </w:tcPr>
          <w:p w14:paraId="09B7F95D" w14:textId="77777777" w:rsidR="00193C4D" w:rsidRPr="00193C4D" w:rsidRDefault="00193C4D" w:rsidP="00C9628F">
            <w:pPr>
              <w:spacing w:line="280" w:lineRule="exact"/>
              <w:rPr>
                <w:lang w:val="en-US"/>
              </w:rPr>
            </w:pPr>
            <w:r w:rsidRPr="00193C4D">
              <w:rPr>
                <w:lang w:val="en-US"/>
              </w:rPr>
              <w:t>Since FY1998</w:t>
            </w:r>
          </w:p>
          <w:p w14:paraId="71E61975" w14:textId="77777777" w:rsidR="00193C4D" w:rsidRPr="00193C4D" w:rsidRDefault="00193C4D" w:rsidP="00C9628F">
            <w:pPr>
              <w:spacing w:line="280" w:lineRule="exact"/>
              <w:rPr>
                <w:lang w:val="en-US"/>
              </w:rPr>
            </w:pPr>
            <w:r w:rsidRPr="00193C4D">
              <w:rPr>
                <w:lang w:val="en-US"/>
              </w:rPr>
              <w:t>Monthly</w:t>
            </w:r>
          </w:p>
          <w:p w14:paraId="236B91F2" w14:textId="77777777" w:rsidR="00193C4D" w:rsidRPr="00193C4D" w:rsidRDefault="00193C4D" w:rsidP="00C9628F">
            <w:pPr>
              <w:spacing w:line="280" w:lineRule="exact"/>
              <w:rPr>
                <w:lang w:val="en-US"/>
              </w:rPr>
            </w:pPr>
            <w:proofErr w:type="gramStart"/>
            <w:r w:rsidRPr="00193C4D">
              <w:rPr>
                <w:lang w:val="en-US"/>
              </w:rPr>
              <w:t>24 hour</w:t>
            </w:r>
            <w:proofErr w:type="gramEnd"/>
            <w:r w:rsidRPr="00193C4D">
              <w:rPr>
                <w:lang w:val="en-US"/>
              </w:rPr>
              <w:t xml:space="preserve"> continuous sampling</w:t>
            </w:r>
          </w:p>
        </w:tc>
        <w:tc>
          <w:tcPr>
            <w:tcW w:w="5100" w:type="dxa"/>
            <w:tcBorders>
              <w:bottom w:val="single" w:sz="4" w:space="0" w:color="auto"/>
            </w:tcBorders>
          </w:tcPr>
          <w:p w14:paraId="70CAAEE1" w14:textId="77777777" w:rsidR="00193C4D" w:rsidRPr="00193C4D" w:rsidRDefault="00193C4D" w:rsidP="00C9628F">
            <w:pPr>
              <w:spacing w:line="280" w:lineRule="exact"/>
              <w:rPr>
                <w:lang w:val="en-US"/>
              </w:rPr>
            </w:pPr>
            <w:r w:rsidRPr="00193C4D">
              <w:rPr>
                <w:lang w:val="en-US"/>
              </w:rPr>
              <w:t xml:space="preserve">Monitoring results until FY2016 are available as individual </w:t>
            </w:r>
            <w:proofErr w:type="gramStart"/>
            <w:r w:rsidRPr="00193C4D">
              <w:rPr>
                <w:lang w:val="en-US"/>
              </w:rPr>
              <w:t>data.</w:t>
            </w:r>
            <w:r w:rsidRPr="00193C4D">
              <w:rPr>
                <w:vertAlign w:val="superscript"/>
                <w:lang w:val="en-US"/>
              </w:rPr>
              <w:t>[</w:t>
            </w:r>
            <w:proofErr w:type="gramEnd"/>
            <w:r w:rsidRPr="00193C4D">
              <w:rPr>
                <w:vertAlign w:val="superscript"/>
                <w:lang w:val="en-US"/>
              </w:rPr>
              <w:t>3]</w:t>
            </w:r>
            <w:r w:rsidRPr="00193C4D">
              <w:rPr>
                <w:lang w:val="en-US"/>
              </w:rPr>
              <w:t xml:space="preserve"> </w:t>
            </w:r>
            <w:r w:rsidRPr="00193C4D">
              <w:rPr>
                <w:spacing w:val="-2"/>
                <w:lang w:val="en-US"/>
              </w:rPr>
              <w:t>The</w:t>
            </w:r>
            <w:r w:rsidRPr="00193C4D">
              <w:rPr>
                <w:lang w:val="en-US"/>
              </w:rPr>
              <w:t xml:space="preserve"> dataset includes latitude/longitude, sampling date, meteorological elements (weather, wind speed and direction, temperature, humidity, precipitation, and atmospheric pressure), detection limit, and measurement results of hazardous air pollutants (chromium, nickel, arsenic, beryllium, manganese, acrylonitrile, vinyl chloride, etc.).</w:t>
            </w:r>
            <w:r w:rsidRPr="00193C4D" w:rsidDel="00B847AF">
              <w:rPr>
                <w:lang w:val="en-US"/>
              </w:rPr>
              <w:t xml:space="preserve"> </w:t>
            </w:r>
          </w:p>
        </w:tc>
      </w:tr>
      <w:tr w:rsidR="00193C4D" w:rsidRPr="00193C4D" w14:paraId="57C1C436" w14:textId="77777777" w:rsidTr="00C9628F">
        <w:trPr>
          <w:trHeight w:val="1130"/>
          <w:jc w:val="center"/>
        </w:trPr>
        <w:tc>
          <w:tcPr>
            <w:tcW w:w="1842" w:type="dxa"/>
          </w:tcPr>
          <w:p w14:paraId="696B5C3B" w14:textId="77777777" w:rsidR="00193C4D" w:rsidRPr="00193C4D" w:rsidRDefault="00193C4D" w:rsidP="00C9628F">
            <w:pPr>
              <w:spacing w:line="280" w:lineRule="exact"/>
              <w:rPr>
                <w:vertAlign w:val="superscript"/>
                <w:lang w:val="en-US"/>
              </w:rPr>
            </w:pPr>
            <w:r w:rsidRPr="00193C4D">
              <w:rPr>
                <w:lang w:val="en-US"/>
              </w:rPr>
              <w:t xml:space="preserve">Water Quality Survey of Public Water </w:t>
            </w:r>
            <w:proofErr w:type="gramStart"/>
            <w:r w:rsidRPr="00193C4D">
              <w:rPr>
                <w:lang w:val="en-US"/>
              </w:rPr>
              <w:t>Areas</w:t>
            </w:r>
            <w:r w:rsidRPr="00193C4D">
              <w:rPr>
                <w:vertAlign w:val="superscript"/>
                <w:lang w:val="en-US"/>
              </w:rPr>
              <w:t>[</w:t>
            </w:r>
            <w:proofErr w:type="gramEnd"/>
            <w:r w:rsidRPr="00193C4D">
              <w:rPr>
                <w:vertAlign w:val="superscript"/>
                <w:lang w:val="en-US"/>
              </w:rPr>
              <w:t>4]</w:t>
            </w:r>
          </w:p>
        </w:tc>
        <w:tc>
          <w:tcPr>
            <w:tcW w:w="1701" w:type="dxa"/>
            <w:tcBorders>
              <w:top w:val="single" w:sz="4" w:space="0" w:color="auto"/>
            </w:tcBorders>
            <w:shd w:val="clear" w:color="auto" w:fill="auto"/>
          </w:tcPr>
          <w:p w14:paraId="56BE2DAE" w14:textId="77777777" w:rsidR="00193C4D" w:rsidRPr="00193C4D" w:rsidRDefault="00193C4D" w:rsidP="00C9628F">
            <w:pPr>
              <w:spacing w:line="280" w:lineRule="exact"/>
              <w:rPr>
                <w:lang w:val="en-US"/>
              </w:rPr>
            </w:pPr>
            <w:r w:rsidRPr="00193C4D">
              <w:rPr>
                <w:lang w:val="en-US"/>
              </w:rPr>
              <w:t>Water</w:t>
            </w:r>
          </w:p>
          <w:p w14:paraId="58EB5BC7" w14:textId="77777777" w:rsidR="00193C4D" w:rsidRPr="00193C4D" w:rsidRDefault="00193C4D" w:rsidP="00C9628F">
            <w:pPr>
              <w:spacing w:line="280" w:lineRule="exact"/>
              <w:rPr>
                <w:lang w:val="en-US"/>
              </w:rPr>
            </w:pPr>
            <w:r w:rsidRPr="00193C4D">
              <w:rPr>
                <w:lang w:val="en-US"/>
              </w:rPr>
              <w:t xml:space="preserve"> - River</w:t>
            </w:r>
          </w:p>
          <w:p w14:paraId="582CCCE4" w14:textId="77777777" w:rsidR="00193C4D" w:rsidRPr="00193C4D" w:rsidRDefault="00193C4D" w:rsidP="00C9628F">
            <w:pPr>
              <w:spacing w:line="280" w:lineRule="exact"/>
              <w:ind w:firstLineChars="50" w:firstLine="100"/>
              <w:rPr>
                <w:lang w:val="en-US"/>
              </w:rPr>
            </w:pPr>
            <w:r w:rsidRPr="00193C4D">
              <w:rPr>
                <w:lang w:val="en-US"/>
              </w:rPr>
              <w:t>- Lake/Reservoir</w:t>
            </w:r>
          </w:p>
          <w:p w14:paraId="49BD1A5F" w14:textId="77777777" w:rsidR="00193C4D" w:rsidRPr="00193C4D" w:rsidRDefault="00193C4D" w:rsidP="00C9628F">
            <w:pPr>
              <w:spacing w:line="280" w:lineRule="exact"/>
              <w:ind w:firstLineChars="50" w:firstLine="100"/>
              <w:rPr>
                <w:lang w:val="en-US"/>
              </w:rPr>
            </w:pPr>
            <w:r w:rsidRPr="00193C4D">
              <w:rPr>
                <w:lang w:val="en-US"/>
              </w:rPr>
              <w:t>- Sea</w:t>
            </w:r>
          </w:p>
        </w:tc>
        <w:tc>
          <w:tcPr>
            <w:tcW w:w="1984" w:type="dxa"/>
            <w:tcBorders>
              <w:top w:val="single" w:sz="4" w:space="0" w:color="auto"/>
            </w:tcBorders>
            <w:shd w:val="clear" w:color="auto" w:fill="auto"/>
          </w:tcPr>
          <w:p w14:paraId="76A99CA7" w14:textId="77777777" w:rsidR="00193C4D" w:rsidRPr="00623446" w:rsidRDefault="00193C4D" w:rsidP="00C9628F">
            <w:pPr>
              <w:spacing w:line="280" w:lineRule="exact"/>
              <w:ind w:rightChars="-50" w:right="-100"/>
            </w:pPr>
            <w:r w:rsidRPr="00623446">
              <w:t>THg</w:t>
            </w:r>
          </w:p>
          <w:p w14:paraId="63EBB351" w14:textId="77777777" w:rsidR="00193C4D" w:rsidRPr="00623446" w:rsidRDefault="00193C4D" w:rsidP="00C9628F">
            <w:pPr>
              <w:spacing w:line="280" w:lineRule="exact"/>
              <w:ind w:rightChars="-50" w:right="-100"/>
            </w:pPr>
            <w:r w:rsidRPr="00623446">
              <w:t>Alkyl mercury</w:t>
            </w:r>
          </w:p>
        </w:tc>
        <w:tc>
          <w:tcPr>
            <w:tcW w:w="3969" w:type="dxa"/>
          </w:tcPr>
          <w:p w14:paraId="644B25FB" w14:textId="77777777" w:rsidR="00193C4D" w:rsidRPr="00193C4D" w:rsidRDefault="00193C4D" w:rsidP="00C9628F">
            <w:pPr>
              <w:spacing w:line="280" w:lineRule="exact"/>
              <w:rPr>
                <w:lang w:val="en-US"/>
              </w:rPr>
            </w:pPr>
            <w:r w:rsidRPr="00193C4D">
              <w:rPr>
                <w:lang w:val="en-US"/>
              </w:rPr>
              <w:t>THg: Atomic absorption spectrometry</w:t>
            </w:r>
          </w:p>
          <w:p w14:paraId="31FCFC2E" w14:textId="77777777" w:rsidR="00193C4D" w:rsidRPr="00193C4D" w:rsidRDefault="00193C4D" w:rsidP="00C9628F">
            <w:pPr>
              <w:spacing w:line="280" w:lineRule="exact"/>
              <w:rPr>
                <w:lang w:val="en-US"/>
              </w:rPr>
            </w:pPr>
            <w:r w:rsidRPr="00193C4D">
              <w:rPr>
                <w:lang w:val="en-US"/>
              </w:rPr>
              <w:t>Alkyl mercury: Gas chromatography analysis</w:t>
            </w:r>
          </w:p>
          <w:p w14:paraId="51633D10" w14:textId="77777777" w:rsidR="00193C4D" w:rsidRPr="00193C4D" w:rsidRDefault="00193C4D" w:rsidP="00C9628F">
            <w:pPr>
              <w:spacing w:line="280" w:lineRule="exact"/>
              <w:rPr>
                <w:lang w:val="en-US"/>
              </w:rPr>
            </w:pPr>
            <w:r w:rsidRPr="00193C4D">
              <w:rPr>
                <w:lang w:val="en-US"/>
              </w:rPr>
              <w:t>(following “Monitoring Manual for Water Quality Survey” (MOE, 1961))</w:t>
            </w:r>
          </w:p>
        </w:tc>
        <w:tc>
          <w:tcPr>
            <w:tcW w:w="3544" w:type="dxa"/>
          </w:tcPr>
          <w:p w14:paraId="672A6C2C" w14:textId="77777777" w:rsidR="00193C4D" w:rsidRPr="00193C4D" w:rsidRDefault="00193C4D" w:rsidP="00C9628F">
            <w:pPr>
              <w:spacing w:line="280" w:lineRule="exact"/>
              <w:ind w:left="200" w:hangingChars="100" w:hanging="200"/>
              <w:rPr>
                <w:lang w:val="en-US"/>
              </w:rPr>
            </w:pPr>
            <w:r w:rsidRPr="00193C4D">
              <w:rPr>
                <w:lang w:val="en-US"/>
              </w:rPr>
              <w:t>THg: River 2,928 sites, Lake/Reservoir 241 sites, Sea 834 sites (in FY2016)</w:t>
            </w:r>
          </w:p>
          <w:p w14:paraId="6184BA43" w14:textId="77777777" w:rsidR="00193C4D" w:rsidRPr="00193C4D" w:rsidRDefault="00193C4D" w:rsidP="00C9628F">
            <w:pPr>
              <w:spacing w:line="280" w:lineRule="exact"/>
              <w:ind w:left="200" w:hangingChars="100" w:hanging="200"/>
              <w:rPr>
                <w:lang w:val="en-US"/>
              </w:rPr>
            </w:pPr>
            <w:r w:rsidRPr="00193C4D">
              <w:rPr>
                <w:lang w:val="en-US"/>
              </w:rPr>
              <w:t>Alkyl mercury: River 505 sites, Lake/Reservoir 65 sites, Sea 167 sites (in FY2016)</w:t>
            </w:r>
          </w:p>
        </w:tc>
        <w:tc>
          <w:tcPr>
            <w:tcW w:w="3119" w:type="dxa"/>
          </w:tcPr>
          <w:p w14:paraId="3BEA73DB" w14:textId="77777777" w:rsidR="00193C4D" w:rsidRPr="00623446" w:rsidRDefault="00193C4D" w:rsidP="00C9628F">
            <w:pPr>
              <w:spacing w:line="280" w:lineRule="exact"/>
            </w:pPr>
            <w:r w:rsidRPr="00623446">
              <w:t>Since 1971</w:t>
            </w:r>
          </w:p>
          <w:p w14:paraId="2C6B7865" w14:textId="77777777" w:rsidR="00193C4D" w:rsidRPr="00623446" w:rsidRDefault="00193C4D" w:rsidP="00C9628F">
            <w:pPr>
              <w:spacing w:line="280" w:lineRule="exact"/>
            </w:pPr>
            <w:r w:rsidRPr="00623446">
              <w:t>Monthly in general</w:t>
            </w:r>
          </w:p>
        </w:tc>
        <w:tc>
          <w:tcPr>
            <w:tcW w:w="5100" w:type="dxa"/>
          </w:tcPr>
          <w:p w14:paraId="31F67A62" w14:textId="77777777" w:rsidR="00193C4D" w:rsidRPr="00193C4D" w:rsidRDefault="00193C4D" w:rsidP="00C9628F">
            <w:pPr>
              <w:spacing w:line="280" w:lineRule="exact"/>
              <w:rPr>
                <w:lang w:val="en-US"/>
              </w:rPr>
            </w:pPr>
            <w:r w:rsidRPr="00193C4D">
              <w:rPr>
                <w:lang w:val="en-US"/>
              </w:rPr>
              <w:t xml:space="preserve">Monitoring results until FY2016 are available as individual </w:t>
            </w:r>
            <w:proofErr w:type="gramStart"/>
            <w:r w:rsidRPr="00193C4D">
              <w:rPr>
                <w:lang w:val="en-US"/>
              </w:rPr>
              <w:t>data.</w:t>
            </w:r>
            <w:r w:rsidRPr="00193C4D">
              <w:rPr>
                <w:vertAlign w:val="superscript"/>
                <w:lang w:val="en-US"/>
              </w:rPr>
              <w:t>[</w:t>
            </w:r>
            <w:proofErr w:type="gramEnd"/>
            <w:r w:rsidRPr="00193C4D">
              <w:rPr>
                <w:vertAlign w:val="superscript"/>
                <w:lang w:val="en-US"/>
              </w:rPr>
              <w:t>5]</w:t>
            </w:r>
            <w:r w:rsidRPr="00193C4D">
              <w:rPr>
                <w:lang w:val="en-US"/>
              </w:rPr>
              <w:t xml:space="preserve"> </w:t>
            </w:r>
            <w:r w:rsidRPr="00193C4D">
              <w:rPr>
                <w:spacing w:val="-2"/>
                <w:lang w:val="en-US"/>
              </w:rPr>
              <w:t>The</w:t>
            </w:r>
            <w:r w:rsidRPr="00193C4D">
              <w:rPr>
                <w:lang w:val="en-US"/>
              </w:rPr>
              <w:t xml:space="preserve"> dataset includes latitude/longitude, sampling date, depth, and substances of environmental quality standards for water (cadmium, lead, chromium(VI), arsenic, total cyanide, etc.).</w:t>
            </w:r>
            <w:r w:rsidRPr="00193C4D" w:rsidDel="00B847AF">
              <w:rPr>
                <w:lang w:val="en-US"/>
              </w:rPr>
              <w:t xml:space="preserve"> </w:t>
            </w:r>
          </w:p>
        </w:tc>
      </w:tr>
      <w:tr w:rsidR="00193C4D" w:rsidRPr="00623446" w14:paraId="5B6DB8AD" w14:textId="77777777" w:rsidTr="00C9628F">
        <w:trPr>
          <w:jc w:val="center"/>
        </w:trPr>
        <w:tc>
          <w:tcPr>
            <w:tcW w:w="1842" w:type="dxa"/>
          </w:tcPr>
          <w:p w14:paraId="3F9137D0" w14:textId="77777777" w:rsidR="00193C4D" w:rsidRPr="00623446" w:rsidRDefault="00193C4D" w:rsidP="00C9628F">
            <w:pPr>
              <w:spacing w:line="280" w:lineRule="exact"/>
              <w:rPr>
                <w:vertAlign w:val="superscript"/>
              </w:rPr>
            </w:pPr>
            <w:r w:rsidRPr="00623446">
              <w:t xml:space="preserve">Marine Environment Monitoring </w:t>
            </w:r>
            <w:proofErr w:type="gramStart"/>
            <w:r w:rsidRPr="00623446">
              <w:t>Survey</w:t>
            </w:r>
            <w:r w:rsidRPr="00623446">
              <w:rPr>
                <w:vertAlign w:val="superscript"/>
              </w:rPr>
              <w:t>[</w:t>
            </w:r>
            <w:proofErr w:type="gramEnd"/>
            <w:r w:rsidRPr="00623446">
              <w:rPr>
                <w:vertAlign w:val="superscript"/>
              </w:rPr>
              <w:t>6], [7]</w:t>
            </w:r>
          </w:p>
        </w:tc>
        <w:tc>
          <w:tcPr>
            <w:tcW w:w="1701" w:type="dxa"/>
            <w:tcBorders>
              <w:top w:val="single" w:sz="4" w:space="0" w:color="auto"/>
            </w:tcBorders>
            <w:shd w:val="clear" w:color="auto" w:fill="auto"/>
          </w:tcPr>
          <w:p w14:paraId="41170B7E" w14:textId="77777777" w:rsidR="00193C4D" w:rsidRPr="00193C4D" w:rsidRDefault="00193C4D" w:rsidP="00C9628F">
            <w:pPr>
              <w:spacing w:line="280" w:lineRule="exact"/>
              <w:rPr>
                <w:lang w:val="en-US"/>
              </w:rPr>
            </w:pPr>
            <w:r w:rsidRPr="00193C4D">
              <w:rPr>
                <w:lang w:val="en-US"/>
              </w:rPr>
              <w:t>Seawater</w:t>
            </w:r>
          </w:p>
          <w:p w14:paraId="2C20ADF3" w14:textId="77777777" w:rsidR="00193C4D" w:rsidRPr="00193C4D" w:rsidRDefault="00193C4D" w:rsidP="00C9628F">
            <w:pPr>
              <w:spacing w:line="280" w:lineRule="exact"/>
              <w:ind w:firstLineChars="50" w:firstLine="100"/>
              <w:rPr>
                <w:lang w:val="en-US"/>
              </w:rPr>
            </w:pPr>
            <w:r w:rsidRPr="00193C4D">
              <w:rPr>
                <w:lang w:val="en-US"/>
              </w:rPr>
              <w:t>- Surface water</w:t>
            </w:r>
          </w:p>
          <w:p w14:paraId="7CBE208F" w14:textId="77777777" w:rsidR="00193C4D" w:rsidRPr="00193C4D" w:rsidRDefault="00193C4D" w:rsidP="00C9628F">
            <w:pPr>
              <w:spacing w:line="280" w:lineRule="exact"/>
              <w:ind w:firstLineChars="50" w:firstLine="100"/>
              <w:rPr>
                <w:lang w:val="en-US"/>
              </w:rPr>
            </w:pPr>
            <w:r w:rsidRPr="00193C4D">
              <w:rPr>
                <w:lang w:val="en-US"/>
              </w:rPr>
              <w:t>- Deep water</w:t>
            </w:r>
          </w:p>
          <w:p w14:paraId="24F413A0" w14:textId="77777777" w:rsidR="00193C4D" w:rsidRPr="00193C4D" w:rsidRDefault="00193C4D" w:rsidP="00C9628F">
            <w:pPr>
              <w:spacing w:line="280" w:lineRule="exact"/>
              <w:rPr>
                <w:lang w:val="en-US"/>
              </w:rPr>
            </w:pPr>
            <w:r w:rsidRPr="00193C4D">
              <w:rPr>
                <w:lang w:val="en-US"/>
              </w:rPr>
              <w:t>Sea sediment</w:t>
            </w:r>
          </w:p>
          <w:p w14:paraId="42A19666" w14:textId="77777777" w:rsidR="00193C4D" w:rsidRPr="00623446" w:rsidRDefault="00193C4D" w:rsidP="00C9628F">
            <w:pPr>
              <w:spacing w:line="280" w:lineRule="exact"/>
            </w:pPr>
            <w:r w:rsidRPr="00623446">
              <w:t>Biota</w:t>
            </w:r>
          </w:p>
          <w:p w14:paraId="4C13A683" w14:textId="77777777" w:rsidR="00193C4D" w:rsidRPr="00623446" w:rsidRDefault="00193C4D" w:rsidP="00C9628F">
            <w:pPr>
              <w:spacing w:line="280" w:lineRule="exact"/>
            </w:pPr>
            <w:r w:rsidRPr="00623446">
              <w:t xml:space="preserve"> - Marine species</w:t>
            </w:r>
          </w:p>
        </w:tc>
        <w:tc>
          <w:tcPr>
            <w:tcW w:w="1984" w:type="dxa"/>
            <w:tcBorders>
              <w:top w:val="single" w:sz="4" w:space="0" w:color="auto"/>
            </w:tcBorders>
            <w:shd w:val="clear" w:color="auto" w:fill="auto"/>
          </w:tcPr>
          <w:p w14:paraId="28E7D92A" w14:textId="77777777" w:rsidR="00193C4D" w:rsidRPr="00623446" w:rsidRDefault="00193C4D" w:rsidP="00C9628F">
            <w:pPr>
              <w:spacing w:line="280" w:lineRule="exact"/>
            </w:pPr>
            <w:r w:rsidRPr="00623446">
              <w:t>THg</w:t>
            </w:r>
          </w:p>
        </w:tc>
        <w:tc>
          <w:tcPr>
            <w:tcW w:w="3969" w:type="dxa"/>
          </w:tcPr>
          <w:p w14:paraId="6182F779" w14:textId="77777777" w:rsidR="00193C4D" w:rsidRPr="00193C4D" w:rsidRDefault="00193C4D" w:rsidP="00C9628F">
            <w:pPr>
              <w:spacing w:line="280" w:lineRule="exact"/>
              <w:rPr>
                <w:lang w:val="en-US"/>
              </w:rPr>
            </w:pPr>
            <w:r w:rsidRPr="00193C4D">
              <w:rPr>
                <w:lang w:val="en-US"/>
              </w:rPr>
              <w:t xml:space="preserve">Seawater: </w:t>
            </w:r>
          </w:p>
          <w:p w14:paraId="785CC747" w14:textId="77777777" w:rsidR="00193C4D" w:rsidRPr="00193C4D" w:rsidRDefault="00193C4D" w:rsidP="00C9628F">
            <w:pPr>
              <w:spacing w:line="280" w:lineRule="exact"/>
              <w:ind w:leftChars="50" w:left="312" w:hangingChars="106" w:hanging="212"/>
              <w:rPr>
                <w:lang w:val="en-US"/>
              </w:rPr>
            </w:pPr>
            <w:r w:rsidRPr="00193C4D">
              <w:rPr>
                <w:lang w:val="en-US"/>
              </w:rPr>
              <w:t>(a) Heated vaporization atomic absorption spectrometry with reduced vaporization and gold amalgamation</w:t>
            </w:r>
          </w:p>
          <w:p w14:paraId="1A55E555" w14:textId="77777777" w:rsidR="00193C4D" w:rsidRPr="00193C4D" w:rsidRDefault="00193C4D" w:rsidP="00C9628F">
            <w:pPr>
              <w:spacing w:line="280" w:lineRule="exact"/>
              <w:ind w:leftChars="50" w:left="312" w:hangingChars="106" w:hanging="212"/>
              <w:rPr>
                <w:lang w:val="en-US"/>
              </w:rPr>
            </w:pPr>
            <w:r w:rsidRPr="00193C4D">
              <w:rPr>
                <w:lang w:val="en-US"/>
              </w:rPr>
              <w:t>(b) Atomic fluorescence spectrometry with Cr</w:t>
            </w:r>
            <w:r w:rsidRPr="00193C4D">
              <w:rPr>
                <w:vertAlign w:val="superscript"/>
                <w:lang w:val="en-US"/>
              </w:rPr>
              <w:t>2+</w:t>
            </w:r>
            <w:r w:rsidRPr="00193C4D">
              <w:rPr>
                <w:lang w:val="en-US"/>
              </w:rPr>
              <w:t xml:space="preserve"> reduced vaporization</w:t>
            </w:r>
          </w:p>
          <w:p w14:paraId="6C4BAF24" w14:textId="77777777" w:rsidR="00193C4D" w:rsidRPr="00193C4D" w:rsidRDefault="00193C4D" w:rsidP="00C9628F">
            <w:pPr>
              <w:spacing w:line="280" w:lineRule="exact"/>
              <w:ind w:left="566" w:hangingChars="283" w:hanging="566"/>
              <w:rPr>
                <w:lang w:val="en-US"/>
              </w:rPr>
            </w:pPr>
            <w:r w:rsidRPr="00193C4D">
              <w:rPr>
                <w:lang w:val="en-US"/>
              </w:rPr>
              <w:t xml:space="preserve">Sediment and biota: </w:t>
            </w:r>
          </w:p>
          <w:p w14:paraId="2E8AD9F0" w14:textId="77777777" w:rsidR="00193C4D" w:rsidRPr="00193C4D" w:rsidRDefault="00193C4D" w:rsidP="00C9628F">
            <w:pPr>
              <w:spacing w:line="280" w:lineRule="exact"/>
              <w:ind w:leftChars="50" w:left="312" w:hangingChars="106" w:hanging="212"/>
              <w:rPr>
                <w:lang w:val="en-US"/>
              </w:rPr>
            </w:pPr>
            <w:r w:rsidRPr="00193C4D">
              <w:rPr>
                <w:lang w:val="en-US"/>
              </w:rPr>
              <w:t>(a) After acid digestion, analyzed using the same method as water media (a)</w:t>
            </w:r>
          </w:p>
          <w:p w14:paraId="1FD7885B" w14:textId="77777777" w:rsidR="00193C4D" w:rsidRPr="00193C4D" w:rsidRDefault="00193C4D" w:rsidP="00C9628F">
            <w:pPr>
              <w:spacing w:line="280" w:lineRule="exact"/>
              <w:ind w:leftChars="50" w:left="312" w:hangingChars="106" w:hanging="212"/>
              <w:rPr>
                <w:lang w:val="en-US"/>
              </w:rPr>
            </w:pPr>
            <w:r w:rsidRPr="00193C4D">
              <w:rPr>
                <w:lang w:val="en-US"/>
              </w:rPr>
              <w:t>(b) Microwave digestion and ICP-MS measurement</w:t>
            </w:r>
          </w:p>
          <w:p w14:paraId="2A96DF6E" w14:textId="77777777" w:rsidR="00193C4D" w:rsidRPr="00193C4D" w:rsidRDefault="00193C4D" w:rsidP="00C9628F">
            <w:pPr>
              <w:spacing w:line="280" w:lineRule="exact"/>
              <w:rPr>
                <w:lang w:val="en-US"/>
              </w:rPr>
            </w:pPr>
            <w:r w:rsidRPr="00193C4D">
              <w:rPr>
                <w:lang w:val="en-US"/>
              </w:rPr>
              <w:t>(following “Marine Environment Monitoring Guideline” (MOE, 2000))</w:t>
            </w:r>
          </w:p>
        </w:tc>
        <w:tc>
          <w:tcPr>
            <w:tcW w:w="3544" w:type="dxa"/>
          </w:tcPr>
          <w:p w14:paraId="790646AA" w14:textId="77777777" w:rsidR="00193C4D" w:rsidRPr="00193C4D" w:rsidRDefault="00193C4D" w:rsidP="00C9628F">
            <w:pPr>
              <w:spacing w:line="280" w:lineRule="exact"/>
              <w:rPr>
                <w:lang w:val="en-US"/>
              </w:rPr>
            </w:pPr>
            <w:r w:rsidRPr="00193C4D">
              <w:rPr>
                <w:lang w:val="en-US"/>
              </w:rPr>
              <w:t>Seawater and sediment:</w:t>
            </w:r>
          </w:p>
          <w:p w14:paraId="00D1E172" w14:textId="77777777" w:rsidR="00193C4D" w:rsidRPr="00193C4D" w:rsidRDefault="00193C4D" w:rsidP="00C9628F">
            <w:pPr>
              <w:spacing w:line="280" w:lineRule="exact"/>
              <w:ind w:leftChars="50" w:left="214" w:hangingChars="57" w:hanging="114"/>
              <w:rPr>
                <w:lang w:val="en-US"/>
              </w:rPr>
            </w:pPr>
            <w:r w:rsidRPr="00193C4D">
              <w:rPr>
                <w:lang w:val="en-US"/>
              </w:rPr>
              <w:t xml:space="preserve">- Coastal sea and offshore </w:t>
            </w:r>
            <w:proofErr w:type="gramStart"/>
            <w:r w:rsidRPr="00193C4D">
              <w:rPr>
                <w:lang w:val="en-US"/>
              </w:rPr>
              <w:t>deep sea</w:t>
            </w:r>
            <w:proofErr w:type="gramEnd"/>
            <w:r w:rsidRPr="00193C4D">
              <w:rPr>
                <w:lang w:val="en-US"/>
              </w:rPr>
              <w:t xml:space="preserve"> area around Japan</w:t>
            </w:r>
          </w:p>
          <w:p w14:paraId="0EC2854B" w14:textId="77777777" w:rsidR="00193C4D" w:rsidRPr="00193C4D" w:rsidRDefault="00193C4D" w:rsidP="00C9628F">
            <w:pPr>
              <w:spacing w:line="280" w:lineRule="exact"/>
              <w:ind w:leftChars="50" w:left="214" w:hangingChars="57" w:hanging="114"/>
              <w:rPr>
                <w:lang w:val="en-US"/>
              </w:rPr>
            </w:pPr>
            <w:r w:rsidRPr="00193C4D">
              <w:rPr>
                <w:lang w:val="en-US"/>
              </w:rPr>
              <w:t>- 8 survey lines (surveillance for land-based pollution)</w:t>
            </w:r>
          </w:p>
          <w:p w14:paraId="57804E89" w14:textId="77777777" w:rsidR="00193C4D" w:rsidRPr="00193C4D" w:rsidRDefault="00193C4D" w:rsidP="00C9628F">
            <w:pPr>
              <w:spacing w:line="280" w:lineRule="exact"/>
              <w:ind w:leftChars="50" w:left="214" w:hangingChars="57" w:hanging="114"/>
              <w:rPr>
                <w:lang w:val="en-US"/>
              </w:rPr>
            </w:pPr>
            <w:r w:rsidRPr="00193C4D">
              <w:rPr>
                <w:lang w:val="en-US"/>
              </w:rPr>
              <w:t>- 1-2 areas per year (surveillance on pollution caused by ocean dumping of wastes)</w:t>
            </w:r>
          </w:p>
          <w:p w14:paraId="7051BD43" w14:textId="77777777" w:rsidR="00193C4D" w:rsidRPr="00193C4D" w:rsidRDefault="00193C4D" w:rsidP="00C9628F">
            <w:pPr>
              <w:spacing w:line="280" w:lineRule="exact"/>
              <w:rPr>
                <w:lang w:val="en-US"/>
              </w:rPr>
            </w:pPr>
            <w:r w:rsidRPr="00193C4D">
              <w:rPr>
                <w:lang w:val="en-US"/>
              </w:rPr>
              <w:t xml:space="preserve">Biota: </w:t>
            </w:r>
          </w:p>
          <w:p w14:paraId="0AD6B39F" w14:textId="77777777" w:rsidR="00193C4D" w:rsidRPr="00193C4D" w:rsidRDefault="00193C4D" w:rsidP="00C9628F">
            <w:pPr>
              <w:spacing w:line="280" w:lineRule="exact"/>
              <w:ind w:leftChars="50" w:left="214" w:hangingChars="57" w:hanging="114"/>
              <w:rPr>
                <w:lang w:val="en-US"/>
              </w:rPr>
            </w:pPr>
            <w:r w:rsidRPr="00193C4D">
              <w:rPr>
                <w:lang w:val="en-US"/>
              </w:rPr>
              <w:t>- 4 bay areas and 4 offshore sea areas around Japan</w:t>
            </w:r>
          </w:p>
          <w:p w14:paraId="69B58D09" w14:textId="77777777" w:rsidR="00193C4D" w:rsidRPr="00193C4D" w:rsidRDefault="00193C4D" w:rsidP="00C9628F">
            <w:pPr>
              <w:spacing w:line="280" w:lineRule="exact"/>
              <w:ind w:leftChars="50" w:left="214" w:hangingChars="57" w:hanging="114"/>
              <w:rPr>
                <w:lang w:val="en-US"/>
              </w:rPr>
            </w:pPr>
            <w:r w:rsidRPr="00193C4D">
              <w:rPr>
                <w:lang w:val="en-US"/>
              </w:rPr>
              <w:t>- Target organism: Mussles, Benthic sharks, Squids, Cods, Crustaceans</w:t>
            </w:r>
          </w:p>
        </w:tc>
        <w:tc>
          <w:tcPr>
            <w:tcW w:w="3119" w:type="dxa"/>
          </w:tcPr>
          <w:p w14:paraId="74F08DE6" w14:textId="77777777" w:rsidR="00193C4D" w:rsidRPr="00193C4D" w:rsidRDefault="00193C4D" w:rsidP="00C9628F">
            <w:pPr>
              <w:spacing w:line="280" w:lineRule="exact"/>
              <w:rPr>
                <w:lang w:val="en-US"/>
              </w:rPr>
            </w:pPr>
            <w:r w:rsidRPr="00193C4D">
              <w:rPr>
                <w:lang w:val="en-US"/>
              </w:rPr>
              <w:t>Annually</w:t>
            </w:r>
          </w:p>
          <w:p w14:paraId="4B80A584" w14:textId="77777777" w:rsidR="00193C4D" w:rsidRPr="00193C4D" w:rsidRDefault="00193C4D" w:rsidP="00C9628F">
            <w:pPr>
              <w:spacing w:line="280" w:lineRule="exact"/>
              <w:rPr>
                <w:lang w:val="en-US"/>
              </w:rPr>
            </w:pPr>
          </w:p>
          <w:p w14:paraId="215AA7A0" w14:textId="77777777" w:rsidR="00193C4D" w:rsidRPr="00193C4D" w:rsidRDefault="00193C4D" w:rsidP="00C9628F">
            <w:pPr>
              <w:spacing w:line="280" w:lineRule="exact"/>
              <w:rPr>
                <w:lang w:val="en-US"/>
              </w:rPr>
            </w:pPr>
            <w:r w:rsidRPr="00193C4D">
              <w:rPr>
                <w:lang w:val="en-US"/>
              </w:rPr>
              <w:t xml:space="preserve">Seawater and sediment: </w:t>
            </w:r>
          </w:p>
          <w:p w14:paraId="2DDD6377" w14:textId="77777777" w:rsidR="00193C4D" w:rsidRPr="00193C4D" w:rsidRDefault="00193C4D" w:rsidP="00C9628F">
            <w:pPr>
              <w:spacing w:line="280" w:lineRule="exact"/>
              <w:ind w:leftChars="50" w:left="100"/>
              <w:rPr>
                <w:lang w:val="en-US"/>
              </w:rPr>
            </w:pPr>
            <w:r w:rsidRPr="00193C4D">
              <w:rPr>
                <w:lang w:val="en-US"/>
              </w:rPr>
              <w:t>Since FY1975</w:t>
            </w:r>
          </w:p>
          <w:p w14:paraId="213DAADE" w14:textId="77777777" w:rsidR="00193C4D" w:rsidRPr="00193C4D" w:rsidRDefault="00193C4D" w:rsidP="00C9628F">
            <w:pPr>
              <w:spacing w:line="280" w:lineRule="exact"/>
              <w:ind w:leftChars="50" w:left="100"/>
              <w:rPr>
                <w:lang w:val="en-US"/>
              </w:rPr>
            </w:pPr>
            <w:r w:rsidRPr="00193C4D">
              <w:rPr>
                <w:lang w:val="en-US"/>
              </w:rPr>
              <w:t>The survey is planned to cover Japanese water in 8 years (2-</w:t>
            </w:r>
            <w:proofErr w:type="gramStart"/>
            <w:r w:rsidRPr="00193C4D">
              <w:rPr>
                <w:lang w:val="en-US"/>
              </w:rPr>
              <w:t>10 year</w:t>
            </w:r>
            <w:proofErr w:type="gramEnd"/>
            <w:r w:rsidRPr="00193C4D">
              <w:rPr>
                <w:lang w:val="en-US"/>
              </w:rPr>
              <w:t xml:space="preserve"> intervals per survey line).</w:t>
            </w:r>
          </w:p>
          <w:p w14:paraId="55D0C9EF" w14:textId="77777777" w:rsidR="00193C4D" w:rsidRPr="00193C4D" w:rsidRDefault="00193C4D" w:rsidP="00C9628F">
            <w:pPr>
              <w:spacing w:line="280" w:lineRule="exact"/>
              <w:rPr>
                <w:lang w:val="en-US"/>
              </w:rPr>
            </w:pPr>
            <w:r w:rsidRPr="00193C4D">
              <w:rPr>
                <w:lang w:val="en-US"/>
              </w:rPr>
              <w:t xml:space="preserve">Biota: </w:t>
            </w:r>
          </w:p>
          <w:p w14:paraId="45DFB402" w14:textId="77777777" w:rsidR="00193C4D" w:rsidRPr="00193C4D" w:rsidRDefault="00193C4D" w:rsidP="00C9628F">
            <w:pPr>
              <w:spacing w:line="280" w:lineRule="exact"/>
              <w:ind w:leftChars="50" w:left="100"/>
              <w:rPr>
                <w:lang w:val="en-US"/>
              </w:rPr>
            </w:pPr>
            <w:r w:rsidRPr="00193C4D">
              <w:rPr>
                <w:lang w:val="en-US"/>
              </w:rPr>
              <w:t>Since FY1998</w:t>
            </w:r>
          </w:p>
          <w:p w14:paraId="320996EE" w14:textId="77777777" w:rsidR="00193C4D" w:rsidRPr="00193C4D" w:rsidRDefault="00193C4D" w:rsidP="00C9628F">
            <w:pPr>
              <w:spacing w:line="280" w:lineRule="exact"/>
              <w:ind w:leftChars="50" w:left="100"/>
              <w:rPr>
                <w:lang w:val="en-US"/>
              </w:rPr>
            </w:pPr>
            <w:r w:rsidRPr="00193C4D">
              <w:rPr>
                <w:lang w:val="en-US"/>
              </w:rPr>
              <w:t>Bay areas and offshore sea areas are surveyed alternately every year after FY2008.</w:t>
            </w:r>
          </w:p>
        </w:tc>
        <w:tc>
          <w:tcPr>
            <w:tcW w:w="5100" w:type="dxa"/>
            <w:tcBorders>
              <w:bottom w:val="single" w:sz="4" w:space="0" w:color="auto"/>
            </w:tcBorders>
          </w:tcPr>
          <w:p w14:paraId="34EFF903" w14:textId="77777777" w:rsidR="00193C4D" w:rsidRPr="00193C4D" w:rsidRDefault="00193C4D" w:rsidP="00C9628F">
            <w:pPr>
              <w:spacing w:line="280" w:lineRule="exact"/>
              <w:rPr>
                <w:lang w:val="en-US"/>
              </w:rPr>
            </w:pPr>
            <w:r w:rsidRPr="00193C4D">
              <w:rPr>
                <w:lang w:val="en-US"/>
              </w:rPr>
              <w:t xml:space="preserve">Monitoring results until FY2015 are available as individual </w:t>
            </w:r>
            <w:proofErr w:type="gramStart"/>
            <w:r w:rsidRPr="00193C4D">
              <w:rPr>
                <w:lang w:val="en-US"/>
              </w:rPr>
              <w:t>data.</w:t>
            </w:r>
            <w:r w:rsidRPr="00193C4D">
              <w:rPr>
                <w:vertAlign w:val="superscript"/>
                <w:lang w:val="en-US"/>
              </w:rPr>
              <w:t>[</w:t>
            </w:r>
            <w:proofErr w:type="gramEnd"/>
            <w:r w:rsidRPr="00193C4D">
              <w:rPr>
                <w:vertAlign w:val="superscript"/>
                <w:lang w:val="en-US"/>
              </w:rPr>
              <w:t>3]</w:t>
            </w:r>
            <w:r w:rsidRPr="00193C4D">
              <w:rPr>
                <w:lang w:val="en-US"/>
              </w:rPr>
              <w:t xml:space="preserve"> </w:t>
            </w:r>
            <w:r w:rsidRPr="00193C4D">
              <w:rPr>
                <w:spacing w:val="-2"/>
                <w:lang w:val="en-US"/>
              </w:rPr>
              <w:t>The</w:t>
            </w:r>
            <w:r w:rsidRPr="00193C4D">
              <w:rPr>
                <w:lang w:val="en-US"/>
              </w:rPr>
              <w:t xml:space="preserve"> dataset includes:</w:t>
            </w:r>
          </w:p>
          <w:p w14:paraId="7530A5AE" w14:textId="77777777" w:rsidR="00193C4D" w:rsidRPr="00193C4D" w:rsidRDefault="00193C4D" w:rsidP="00C9628F">
            <w:pPr>
              <w:spacing w:line="280" w:lineRule="exact"/>
              <w:ind w:leftChars="50" w:left="312" w:hangingChars="106" w:hanging="212"/>
              <w:rPr>
                <w:lang w:val="en-US"/>
              </w:rPr>
            </w:pPr>
            <w:r w:rsidRPr="00193C4D">
              <w:rPr>
                <w:lang w:val="en-US"/>
              </w:rPr>
              <w:t>- latitude/longitude, sampling depth, water temperature, salinity, pH, dissolved oxygen, nutrient, chlorophyll a, cadmium, lead, copper, PCB, dioxins, etc. (seawater)</w:t>
            </w:r>
          </w:p>
          <w:p w14:paraId="6650E9E3" w14:textId="77777777" w:rsidR="00193C4D" w:rsidRPr="00623446" w:rsidRDefault="00193C4D" w:rsidP="00C9628F">
            <w:pPr>
              <w:spacing w:line="280" w:lineRule="exact"/>
              <w:ind w:leftChars="50" w:left="312" w:hangingChars="106" w:hanging="212"/>
            </w:pPr>
            <w:r w:rsidRPr="00193C4D">
              <w:rPr>
                <w:lang w:val="en-US"/>
              </w:rPr>
              <w:t xml:space="preserve">- latitude/longitude, moisture content, median diameter, total nitrogen, total phosphorous, organic carbon, sulfide, cadmium, lead, copper, chromium, PCB, dioxins, etc. </w:t>
            </w:r>
            <w:r w:rsidRPr="00623446">
              <w:t>(sediment)</w:t>
            </w:r>
          </w:p>
          <w:p w14:paraId="49299609" w14:textId="77777777" w:rsidR="00193C4D" w:rsidRPr="00623446" w:rsidRDefault="00193C4D" w:rsidP="00C9628F">
            <w:pPr>
              <w:spacing w:line="280" w:lineRule="exact"/>
              <w:ind w:leftChars="50" w:left="312" w:hangingChars="106" w:hanging="212"/>
            </w:pPr>
            <w:r w:rsidRPr="00623446">
              <w:t>- latitude/longitude, lipid content, PCB, dioxins, etc. (biota)</w:t>
            </w:r>
            <w:r w:rsidRPr="00623446" w:rsidDel="00C15ED0">
              <w:t xml:space="preserve"> </w:t>
            </w:r>
          </w:p>
        </w:tc>
      </w:tr>
      <w:tr w:rsidR="00193C4D" w:rsidRPr="00193C4D" w14:paraId="2583FD3C" w14:textId="77777777" w:rsidTr="00C9628F">
        <w:trPr>
          <w:jc w:val="center"/>
        </w:trPr>
        <w:tc>
          <w:tcPr>
            <w:tcW w:w="1842" w:type="dxa"/>
            <w:vMerge w:val="restart"/>
          </w:tcPr>
          <w:p w14:paraId="1B52A3C9" w14:textId="77777777" w:rsidR="00193C4D" w:rsidRPr="00193C4D" w:rsidRDefault="00193C4D" w:rsidP="00C9628F">
            <w:pPr>
              <w:spacing w:line="280" w:lineRule="exact"/>
              <w:rPr>
                <w:vertAlign w:val="superscript"/>
                <w:lang w:val="en-US"/>
              </w:rPr>
            </w:pPr>
            <w:r w:rsidRPr="00193C4D">
              <w:rPr>
                <w:lang w:val="en-US"/>
              </w:rPr>
              <w:t>Japan environment and children’s study (JECS</w:t>
            </w:r>
            <w:proofErr w:type="gramStart"/>
            <w:r w:rsidRPr="00193C4D">
              <w:rPr>
                <w:lang w:val="en-US"/>
              </w:rPr>
              <w:t>)</w:t>
            </w:r>
            <w:r w:rsidRPr="00193C4D">
              <w:rPr>
                <w:vertAlign w:val="superscript"/>
                <w:lang w:val="en-US"/>
              </w:rPr>
              <w:t>[</w:t>
            </w:r>
            <w:proofErr w:type="gramEnd"/>
            <w:r w:rsidRPr="00193C4D">
              <w:rPr>
                <w:vertAlign w:val="superscript"/>
                <w:lang w:val="en-US"/>
              </w:rPr>
              <w:t>8]</w:t>
            </w:r>
          </w:p>
        </w:tc>
        <w:tc>
          <w:tcPr>
            <w:tcW w:w="1701" w:type="dxa"/>
            <w:tcBorders>
              <w:top w:val="single" w:sz="4" w:space="0" w:color="auto"/>
              <w:bottom w:val="single" w:sz="4" w:space="0" w:color="auto"/>
            </w:tcBorders>
            <w:shd w:val="clear" w:color="auto" w:fill="auto"/>
          </w:tcPr>
          <w:p w14:paraId="4C620ED1" w14:textId="77777777" w:rsidR="00193C4D" w:rsidRPr="00623446" w:rsidRDefault="00193C4D" w:rsidP="00C9628F">
            <w:pPr>
              <w:spacing w:line="280" w:lineRule="exact"/>
            </w:pPr>
            <w:r w:rsidRPr="00623446">
              <w:t>Human</w:t>
            </w:r>
          </w:p>
          <w:p w14:paraId="68DF35A0" w14:textId="77777777" w:rsidR="00193C4D" w:rsidRPr="00623446" w:rsidRDefault="00193C4D" w:rsidP="00C9628F">
            <w:pPr>
              <w:spacing w:line="280" w:lineRule="exact"/>
            </w:pPr>
            <w:r w:rsidRPr="00623446">
              <w:t xml:space="preserve"> - Maternal blood</w:t>
            </w:r>
          </w:p>
        </w:tc>
        <w:tc>
          <w:tcPr>
            <w:tcW w:w="1984" w:type="dxa"/>
            <w:vMerge w:val="restart"/>
            <w:tcBorders>
              <w:top w:val="single" w:sz="4" w:space="0" w:color="auto"/>
            </w:tcBorders>
            <w:shd w:val="clear" w:color="auto" w:fill="auto"/>
          </w:tcPr>
          <w:p w14:paraId="561922D3" w14:textId="77777777" w:rsidR="00193C4D" w:rsidRPr="00623446" w:rsidRDefault="00193C4D" w:rsidP="00C9628F">
            <w:pPr>
              <w:spacing w:line="280" w:lineRule="exact"/>
            </w:pPr>
            <w:r w:rsidRPr="00623446">
              <w:t>THg</w:t>
            </w:r>
          </w:p>
          <w:p w14:paraId="1D59E17B" w14:textId="77777777" w:rsidR="00193C4D" w:rsidRPr="00623446" w:rsidRDefault="00193C4D" w:rsidP="00C9628F">
            <w:pPr>
              <w:spacing w:line="280" w:lineRule="exact"/>
            </w:pPr>
            <w:r w:rsidRPr="00623446">
              <w:t>Methyl mercury (MeHg)</w:t>
            </w:r>
          </w:p>
        </w:tc>
        <w:tc>
          <w:tcPr>
            <w:tcW w:w="3969" w:type="dxa"/>
            <w:vMerge w:val="restart"/>
          </w:tcPr>
          <w:p w14:paraId="1C2BE395" w14:textId="77777777" w:rsidR="00193C4D" w:rsidRPr="00193C4D" w:rsidRDefault="00193C4D" w:rsidP="00C9628F">
            <w:pPr>
              <w:spacing w:line="280" w:lineRule="exact"/>
              <w:rPr>
                <w:lang w:val="en-US"/>
              </w:rPr>
            </w:pPr>
            <w:r w:rsidRPr="00193C4D">
              <w:rPr>
                <w:lang w:val="en-US"/>
              </w:rPr>
              <w:t>Blood samples collected at approximately 22th-28th week of pregnancy</w:t>
            </w:r>
          </w:p>
        </w:tc>
        <w:tc>
          <w:tcPr>
            <w:tcW w:w="3544" w:type="dxa"/>
            <w:vMerge w:val="restart"/>
          </w:tcPr>
          <w:p w14:paraId="5AC691EF" w14:textId="77777777" w:rsidR="00193C4D" w:rsidRPr="00193C4D" w:rsidRDefault="00193C4D" w:rsidP="00C9628F">
            <w:pPr>
              <w:spacing w:line="280" w:lineRule="exact"/>
              <w:rPr>
                <w:lang w:val="en-US"/>
              </w:rPr>
            </w:pPr>
            <w:r w:rsidRPr="00193C4D">
              <w:rPr>
                <w:lang w:val="en-US"/>
              </w:rPr>
              <w:t>Nationalwide 15 areas</w:t>
            </w:r>
          </w:p>
          <w:p w14:paraId="0ED9709E" w14:textId="77777777" w:rsidR="00193C4D" w:rsidRPr="00193C4D" w:rsidRDefault="00193C4D" w:rsidP="00C9628F">
            <w:pPr>
              <w:spacing w:line="280" w:lineRule="exact"/>
              <w:rPr>
                <w:lang w:val="en-US"/>
              </w:rPr>
            </w:pPr>
            <w:r w:rsidRPr="00193C4D">
              <w:rPr>
                <w:lang w:val="en-US"/>
              </w:rPr>
              <w:t>Approximately 100,000 pregnant women</w:t>
            </w:r>
          </w:p>
          <w:p w14:paraId="46C21B5D" w14:textId="77777777" w:rsidR="00193C4D" w:rsidRPr="00193C4D" w:rsidRDefault="00193C4D" w:rsidP="00C9628F">
            <w:pPr>
              <w:spacing w:line="280" w:lineRule="exact"/>
              <w:rPr>
                <w:lang w:val="en-US"/>
              </w:rPr>
            </w:pPr>
            <w:r w:rsidRPr="00193C4D">
              <w:rPr>
                <w:lang w:val="en-US"/>
              </w:rPr>
              <w:t>(60,000 blood samples were determined.)</w:t>
            </w:r>
          </w:p>
        </w:tc>
        <w:tc>
          <w:tcPr>
            <w:tcW w:w="3119" w:type="dxa"/>
          </w:tcPr>
          <w:p w14:paraId="1FA0A0F2" w14:textId="77777777" w:rsidR="00193C4D" w:rsidRPr="00623446" w:rsidRDefault="00193C4D" w:rsidP="00C9628F">
            <w:pPr>
              <w:spacing w:line="280" w:lineRule="exact"/>
            </w:pPr>
            <w:r w:rsidRPr="00623446">
              <w:t>Since 2014</w:t>
            </w:r>
          </w:p>
        </w:tc>
        <w:tc>
          <w:tcPr>
            <w:tcW w:w="5100" w:type="dxa"/>
            <w:vMerge w:val="restart"/>
          </w:tcPr>
          <w:p w14:paraId="704B1570" w14:textId="77777777" w:rsidR="00193C4D" w:rsidRPr="00193C4D" w:rsidRDefault="00193C4D" w:rsidP="00C9628F">
            <w:pPr>
              <w:spacing w:line="280" w:lineRule="exact"/>
              <w:rPr>
                <w:lang w:val="en-US"/>
              </w:rPr>
            </w:pPr>
            <w:r w:rsidRPr="00193C4D">
              <w:rPr>
                <w:lang w:val="en-US"/>
              </w:rPr>
              <w:t xml:space="preserve">Monitoring results are available as statistics. </w:t>
            </w:r>
          </w:p>
          <w:p w14:paraId="0B826C5E" w14:textId="77777777" w:rsidR="00193C4D" w:rsidRPr="00193C4D" w:rsidRDefault="00193C4D" w:rsidP="00C9628F">
            <w:pPr>
              <w:spacing w:line="280" w:lineRule="exact"/>
              <w:rPr>
                <w:lang w:val="en-US"/>
              </w:rPr>
            </w:pPr>
            <w:r w:rsidRPr="00193C4D">
              <w:rPr>
                <w:lang w:val="en-US"/>
              </w:rPr>
              <w:t>Identified health conditions, ambient environment and lifestyles of participants (pregnant women and children) through questionnaires.</w:t>
            </w:r>
          </w:p>
        </w:tc>
      </w:tr>
      <w:tr w:rsidR="00193C4D" w:rsidRPr="00193C4D" w14:paraId="7C9E0639" w14:textId="77777777" w:rsidTr="00C9628F">
        <w:trPr>
          <w:jc w:val="center"/>
        </w:trPr>
        <w:tc>
          <w:tcPr>
            <w:tcW w:w="1842" w:type="dxa"/>
            <w:vMerge/>
          </w:tcPr>
          <w:p w14:paraId="5396AB48" w14:textId="77777777" w:rsidR="00193C4D" w:rsidRPr="00193C4D" w:rsidRDefault="00193C4D" w:rsidP="00C9628F">
            <w:pPr>
              <w:spacing w:line="280" w:lineRule="exact"/>
              <w:rPr>
                <w:lang w:val="en-US"/>
              </w:rPr>
            </w:pPr>
          </w:p>
        </w:tc>
        <w:tc>
          <w:tcPr>
            <w:tcW w:w="1701" w:type="dxa"/>
            <w:tcBorders>
              <w:top w:val="single" w:sz="4" w:space="0" w:color="auto"/>
              <w:bottom w:val="single" w:sz="4" w:space="0" w:color="auto"/>
            </w:tcBorders>
            <w:shd w:val="clear" w:color="auto" w:fill="auto"/>
          </w:tcPr>
          <w:p w14:paraId="5635C3BE" w14:textId="77777777" w:rsidR="00193C4D" w:rsidRPr="00193C4D" w:rsidRDefault="00193C4D" w:rsidP="00C9628F">
            <w:pPr>
              <w:spacing w:line="280" w:lineRule="exact"/>
              <w:ind w:leftChars="47" w:left="216" w:hangingChars="61" w:hanging="122"/>
              <w:rPr>
                <w:lang w:val="en-US"/>
              </w:rPr>
            </w:pPr>
            <w:r w:rsidRPr="00193C4D">
              <w:rPr>
                <w:lang w:val="en-US"/>
              </w:rPr>
              <w:t>- Umbilical cord blood</w:t>
            </w:r>
          </w:p>
          <w:p w14:paraId="67A34103" w14:textId="77777777" w:rsidR="00193C4D" w:rsidRPr="00193C4D" w:rsidRDefault="00193C4D" w:rsidP="00C9628F">
            <w:pPr>
              <w:spacing w:line="280" w:lineRule="exact"/>
              <w:rPr>
                <w:lang w:val="en-US"/>
              </w:rPr>
            </w:pPr>
            <w:r w:rsidRPr="00193C4D">
              <w:rPr>
                <w:lang w:val="en-US"/>
              </w:rPr>
              <w:t xml:space="preserve"> - Urine</w:t>
            </w:r>
          </w:p>
          <w:p w14:paraId="7D020CFE" w14:textId="77777777" w:rsidR="00193C4D" w:rsidRPr="00193C4D" w:rsidRDefault="00193C4D" w:rsidP="00C9628F">
            <w:pPr>
              <w:spacing w:line="280" w:lineRule="exact"/>
              <w:rPr>
                <w:lang w:val="en-US"/>
              </w:rPr>
            </w:pPr>
            <w:r w:rsidRPr="00193C4D">
              <w:rPr>
                <w:lang w:val="en-US"/>
              </w:rPr>
              <w:t xml:space="preserve"> - Breast Milk</w:t>
            </w:r>
          </w:p>
          <w:p w14:paraId="52B9649C" w14:textId="77777777" w:rsidR="00193C4D" w:rsidRPr="00623446" w:rsidRDefault="00193C4D" w:rsidP="00C9628F">
            <w:pPr>
              <w:spacing w:line="280" w:lineRule="exact"/>
            </w:pPr>
            <w:r w:rsidRPr="00193C4D">
              <w:rPr>
                <w:lang w:val="en-US"/>
              </w:rPr>
              <w:t xml:space="preserve"> </w:t>
            </w:r>
            <w:r w:rsidRPr="00623446">
              <w:t>- Hair</w:t>
            </w:r>
          </w:p>
          <w:p w14:paraId="2D5583B9" w14:textId="77777777" w:rsidR="00193C4D" w:rsidRPr="00623446" w:rsidRDefault="00193C4D" w:rsidP="00C9628F">
            <w:pPr>
              <w:spacing w:line="280" w:lineRule="exact"/>
            </w:pPr>
          </w:p>
          <w:p w14:paraId="44AB1BE2" w14:textId="77777777" w:rsidR="00193C4D" w:rsidRPr="00623446" w:rsidRDefault="00193C4D" w:rsidP="00C9628F">
            <w:pPr>
              <w:spacing w:line="280" w:lineRule="exact"/>
            </w:pPr>
          </w:p>
        </w:tc>
        <w:tc>
          <w:tcPr>
            <w:tcW w:w="1984" w:type="dxa"/>
            <w:vMerge/>
            <w:tcBorders>
              <w:bottom w:val="single" w:sz="4" w:space="0" w:color="auto"/>
            </w:tcBorders>
            <w:shd w:val="clear" w:color="auto" w:fill="auto"/>
          </w:tcPr>
          <w:p w14:paraId="73599879" w14:textId="77777777" w:rsidR="00193C4D" w:rsidRPr="00623446" w:rsidRDefault="00193C4D" w:rsidP="00C9628F">
            <w:pPr>
              <w:spacing w:line="280" w:lineRule="exact"/>
            </w:pPr>
          </w:p>
        </w:tc>
        <w:tc>
          <w:tcPr>
            <w:tcW w:w="3969" w:type="dxa"/>
            <w:vMerge/>
          </w:tcPr>
          <w:p w14:paraId="4F3B3EF6" w14:textId="77777777" w:rsidR="00193C4D" w:rsidRPr="00623446" w:rsidRDefault="00193C4D" w:rsidP="00C9628F">
            <w:pPr>
              <w:spacing w:line="280" w:lineRule="exact"/>
            </w:pPr>
          </w:p>
        </w:tc>
        <w:tc>
          <w:tcPr>
            <w:tcW w:w="3544" w:type="dxa"/>
            <w:vMerge/>
          </w:tcPr>
          <w:p w14:paraId="2EEB3783" w14:textId="77777777" w:rsidR="00193C4D" w:rsidRPr="00623446" w:rsidRDefault="00193C4D" w:rsidP="00C9628F">
            <w:pPr>
              <w:spacing w:line="280" w:lineRule="exact"/>
            </w:pPr>
          </w:p>
        </w:tc>
        <w:tc>
          <w:tcPr>
            <w:tcW w:w="3119" w:type="dxa"/>
          </w:tcPr>
          <w:p w14:paraId="10BD75C2" w14:textId="77777777" w:rsidR="00193C4D" w:rsidRPr="00193C4D" w:rsidRDefault="00193C4D" w:rsidP="00C9628F">
            <w:pPr>
              <w:spacing w:line="280" w:lineRule="exact"/>
              <w:rPr>
                <w:lang w:val="en-US"/>
              </w:rPr>
            </w:pPr>
            <w:r w:rsidRPr="00193C4D">
              <w:rPr>
                <w:lang w:val="en-US"/>
              </w:rPr>
              <w:t>Start analyzing a part of cord blood samples</w:t>
            </w:r>
          </w:p>
        </w:tc>
        <w:tc>
          <w:tcPr>
            <w:tcW w:w="5100" w:type="dxa"/>
            <w:vMerge/>
          </w:tcPr>
          <w:p w14:paraId="4F5B4CCC" w14:textId="77777777" w:rsidR="00193C4D" w:rsidRPr="00193C4D" w:rsidRDefault="00193C4D" w:rsidP="00C9628F">
            <w:pPr>
              <w:spacing w:line="280" w:lineRule="exact"/>
              <w:rPr>
                <w:lang w:val="en-US"/>
              </w:rPr>
            </w:pPr>
          </w:p>
        </w:tc>
      </w:tr>
      <w:tr w:rsidR="00193C4D" w:rsidRPr="00193C4D" w14:paraId="0DD05A09" w14:textId="77777777" w:rsidTr="00C9628F">
        <w:trPr>
          <w:jc w:val="center"/>
        </w:trPr>
        <w:tc>
          <w:tcPr>
            <w:tcW w:w="1842" w:type="dxa"/>
          </w:tcPr>
          <w:p w14:paraId="5561A9EC" w14:textId="77777777" w:rsidR="00193C4D" w:rsidRPr="00193C4D" w:rsidRDefault="00193C4D" w:rsidP="00C9628F">
            <w:pPr>
              <w:spacing w:line="280" w:lineRule="exact"/>
              <w:rPr>
                <w:lang w:val="en-US"/>
              </w:rPr>
            </w:pPr>
            <w:r w:rsidRPr="00193C4D">
              <w:rPr>
                <w:lang w:val="en-US"/>
              </w:rPr>
              <w:lastRenderedPageBreak/>
              <w:t>Survey of the Exposure</w:t>
            </w:r>
          </w:p>
          <w:p w14:paraId="1EC0AE42" w14:textId="77777777" w:rsidR="00193C4D" w:rsidRPr="00193C4D" w:rsidRDefault="00193C4D" w:rsidP="00C9628F">
            <w:pPr>
              <w:spacing w:line="280" w:lineRule="exact"/>
              <w:rPr>
                <w:lang w:val="en-US"/>
              </w:rPr>
            </w:pPr>
            <w:r w:rsidRPr="00193C4D">
              <w:rPr>
                <w:lang w:val="en-US"/>
              </w:rPr>
              <w:t>to chemical compounds</w:t>
            </w:r>
          </w:p>
          <w:p w14:paraId="60E9E68D" w14:textId="77777777" w:rsidR="00193C4D" w:rsidRPr="00623446" w:rsidRDefault="00193C4D" w:rsidP="00C9628F">
            <w:pPr>
              <w:spacing w:line="280" w:lineRule="exact"/>
              <w:rPr>
                <w:vertAlign w:val="superscript"/>
              </w:rPr>
            </w:pPr>
            <w:proofErr w:type="gramStart"/>
            <w:r w:rsidRPr="00623446">
              <w:t>in</w:t>
            </w:r>
            <w:proofErr w:type="gramEnd"/>
            <w:r w:rsidRPr="00623446">
              <w:t xml:space="preserve"> Human</w:t>
            </w:r>
            <w:r w:rsidRPr="00623446">
              <w:rPr>
                <w:vertAlign w:val="superscript"/>
              </w:rPr>
              <w:t>[9]</w:t>
            </w:r>
          </w:p>
        </w:tc>
        <w:tc>
          <w:tcPr>
            <w:tcW w:w="1701" w:type="dxa"/>
            <w:tcBorders>
              <w:top w:val="single" w:sz="4" w:space="0" w:color="auto"/>
              <w:bottom w:val="single" w:sz="4" w:space="0" w:color="auto"/>
            </w:tcBorders>
            <w:shd w:val="clear" w:color="auto" w:fill="auto"/>
          </w:tcPr>
          <w:p w14:paraId="083EA17E" w14:textId="77777777" w:rsidR="00193C4D" w:rsidRPr="00623446" w:rsidRDefault="00193C4D" w:rsidP="00C9628F">
            <w:pPr>
              <w:spacing w:line="280" w:lineRule="exact"/>
            </w:pPr>
            <w:r w:rsidRPr="00623446">
              <w:t>Human</w:t>
            </w:r>
          </w:p>
          <w:p w14:paraId="65C61252" w14:textId="77777777" w:rsidR="00193C4D" w:rsidRPr="00623446" w:rsidRDefault="00193C4D" w:rsidP="00C9628F">
            <w:pPr>
              <w:spacing w:line="280" w:lineRule="exact"/>
            </w:pPr>
            <w:r w:rsidRPr="00623446">
              <w:t xml:space="preserve"> - Blood</w:t>
            </w:r>
          </w:p>
          <w:p w14:paraId="7AB9D2CA" w14:textId="77777777" w:rsidR="00193C4D" w:rsidRPr="00623446" w:rsidRDefault="00193C4D" w:rsidP="00C9628F">
            <w:pPr>
              <w:spacing w:line="280" w:lineRule="exact"/>
            </w:pPr>
            <w:r w:rsidRPr="00623446">
              <w:t xml:space="preserve"> - Food</w:t>
            </w:r>
          </w:p>
        </w:tc>
        <w:tc>
          <w:tcPr>
            <w:tcW w:w="1984" w:type="dxa"/>
            <w:tcBorders>
              <w:top w:val="single" w:sz="4" w:space="0" w:color="auto"/>
              <w:bottom w:val="single" w:sz="4" w:space="0" w:color="auto"/>
            </w:tcBorders>
            <w:shd w:val="clear" w:color="auto" w:fill="auto"/>
          </w:tcPr>
          <w:p w14:paraId="45D88B04" w14:textId="77777777" w:rsidR="00193C4D" w:rsidRPr="00193C4D" w:rsidRDefault="00193C4D" w:rsidP="00C9628F">
            <w:pPr>
              <w:spacing w:line="280" w:lineRule="exact"/>
              <w:rPr>
                <w:lang w:val="en-US"/>
              </w:rPr>
            </w:pPr>
            <w:r w:rsidRPr="00193C4D">
              <w:rPr>
                <w:lang w:val="en-US"/>
              </w:rPr>
              <w:t>Blood: THg</w:t>
            </w:r>
          </w:p>
          <w:p w14:paraId="1F59E735" w14:textId="77777777" w:rsidR="00193C4D" w:rsidRPr="00193C4D" w:rsidRDefault="00193C4D" w:rsidP="00C9628F">
            <w:pPr>
              <w:spacing w:line="280" w:lineRule="exact"/>
              <w:rPr>
                <w:lang w:val="en-US"/>
              </w:rPr>
            </w:pPr>
            <w:r w:rsidRPr="00193C4D">
              <w:rPr>
                <w:lang w:val="en-US"/>
              </w:rPr>
              <w:t>Food: THg, MeHg</w:t>
            </w:r>
          </w:p>
        </w:tc>
        <w:tc>
          <w:tcPr>
            <w:tcW w:w="3969" w:type="dxa"/>
          </w:tcPr>
          <w:p w14:paraId="57078C0F" w14:textId="77777777" w:rsidR="00193C4D" w:rsidRPr="00193C4D" w:rsidRDefault="00193C4D" w:rsidP="00C9628F">
            <w:pPr>
              <w:spacing w:line="280" w:lineRule="exact"/>
              <w:rPr>
                <w:lang w:val="en-US"/>
              </w:rPr>
            </w:pPr>
            <w:r w:rsidRPr="00193C4D">
              <w:rPr>
                <w:lang w:val="en-US"/>
              </w:rPr>
              <w:t>Age: 40-59 years</w:t>
            </w:r>
          </w:p>
          <w:p w14:paraId="5794F0F1" w14:textId="77777777" w:rsidR="00193C4D" w:rsidRPr="00193C4D" w:rsidRDefault="00193C4D" w:rsidP="00C9628F">
            <w:pPr>
              <w:spacing w:line="280" w:lineRule="exact"/>
              <w:ind w:left="200" w:hangingChars="100" w:hanging="200"/>
              <w:rPr>
                <w:lang w:val="en-US"/>
              </w:rPr>
            </w:pPr>
            <w:r w:rsidRPr="00193C4D">
              <w:rPr>
                <w:lang w:val="en-US"/>
              </w:rPr>
              <w:t>Blood (THg): Acid digestion and cold vapor atomic absorption spectrometry</w:t>
            </w:r>
          </w:p>
          <w:p w14:paraId="07EC310F" w14:textId="77777777" w:rsidR="00193C4D" w:rsidRPr="00193C4D" w:rsidRDefault="00193C4D" w:rsidP="00C9628F">
            <w:pPr>
              <w:spacing w:line="280" w:lineRule="exact"/>
              <w:ind w:left="200" w:hangingChars="100" w:hanging="200"/>
              <w:rPr>
                <w:lang w:val="en-US"/>
              </w:rPr>
            </w:pPr>
            <w:r w:rsidRPr="00193C4D">
              <w:rPr>
                <w:lang w:val="en-US"/>
              </w:rPr>
              <w:t>Food (THg): Freeze drying, acid digestion and cold vapor atomic absorption spectrometry</w:t>
            </w:r>
          </w:p>
          <w:p w14:paraId="0B22C852" w14:textId="77777777" w:rsidR="00193C4D" w:rsidRPr="00193C4D" w:rsidRDefault="00193C4D" w:rsidP="00C9628F">
            <w:pPr>
              <w:spacing w:line="280" w:lineRule="exact"/>
              <w:ind w:left="200" w:hangingChars="100" w:hanging="200"/>
              <w:rPr>
                <w:lang w:val="en-US"/>
              </w:rPr>
            </w:pPr>
            <w:r w:rsidRPr="00193C4D">
              <w:rPr>
                <w:lang w:val="en-US"/>
              </w:rPr>
              <w:t>Food (MeHg): Freeze drying, dithizone extraction, and GC-ECD measurement</w:t>
            </w:r>
          </w:p>
        </w:tc>
        <w:tc>
          <w:tcPr>
            <w:tcW w:w="3544" w:type="dxa"/>
          </w:tcPr>
          <w:p w14:paraId="506BAA49" w14:textId="77777777" w:rsidR="00193C4D" w:rsidRPr="00193C4D" w:rsidRDefault="00193C4D" w:rsidP="00C9628F">
            <w:pPr>
              <w:spacing w:line="280" w:lineRule="exact"/>
              <w:rPr>
                <w:lang w:val="en-US"/>
              </w:rPr>
            </w:pPr>
            <w:r w:rsidRPr="00193C4D">
              <w:rPr>
                <w:lang w:val="en-US"/>
              </w:rPr>
              <w:t>Nationalwide (Urban, agricultural, and fishery area)</w:t>
            </w:r>
          </w:p>
          <w:p w14:paraId="4D708AB6" w14:textId="77777777" w:rsidR="00193C4D" w:rsidRPr="00193C4D" w:rsidRDefault="00193C4D" w:rsidP="00C9628F">
            <w:pPr>
              <w:spacing w:line="280" w:lineRule="exact"/>
              <w:rPr>
                <w:lang w:val="en-US"/>
              </w:rPr>
            </w:pPr>
            <w:r w:rsidRPr="00193C4D">
              <w:rPr>
                <w:lang w:val="en-US"/>
              </w:rPr>
              <w:t>Blood: Approximately 80 people per year</w:t>
            </w:r>
          </w:p>
          <w:p w14:paraId="718639F0" w14:textId="77777777" w:rsidR="00193C4D" w:rsidRPr="00193C4D" w:rsidRDefault="00193C4D" w:rsidP="00C9628F">
            <w:pPr>
              <w:spacing w:line="280" w:lineRule="exact"/>
              <w:ind w:leftChars="289" w:left="578"/>
              <w:rPr>
                <w:lang w:val="en-US"/>
              </w:rPr>
            </w:pPr>
            <w:r w:rsidRPr="00193C4D">
              <w:rPr>
                <w:lang w:val="en-US"/>
              </w:rPr>
              <w:t>Total 490 people in 2011-2016</w:t>
            </w:r>
          </w:p>
          <w:p w14:paraId="45699383" w14:textId="77777777" w:rsidR="00193C4D" w:rsidRPr="00193C4D" w:rsidRDefault="00193C4D" w:rsidP="00C9628F">
            <w:pPr>
              <w:spacing w:line="280" w:lineRule="exact"/>
              <w:rPr>
                <w:lang w:val="en-US"/>
              </w:rPr>
            </w:pPr>
            <w:r w:rsidRPr="00193C4D">
              <w:rPr>
                <w:lang w:val="en-US"/>
              </w:rPr>
              <w:t>Food: 15 people per year</w:t>
            </w:r>
          </w:p>
          <w:p w14:paraId="7E4CF502" w14:textId="77777777" w:rsidR="00193C4D" w:rsidRPr="00193C4D" w:rsidRDefault="00193C4D" w:rsidP="00C9628F">
            <w:pPr>
              <w:spacing w:line="280" w:lineRule="exact"/>
              <w:ind w:leftChars="249" w:left="498"/>
              <w:rPr>
                <w:lang w:val="en-US"/>
              </w:rPr>
            </w:pPr>
            <w:r w:rsidRPr="00193C4D">
              <w:rPr>
                <w:lang w:val="en-US"/>
              </w:rPr>
              <w:t>Total 90 people in 2011-2016</w:t>
            </w:r>
          </w:p>
        </w:tc>
        <w:tc>
          <w:tcPr>
            <w:tcW w:w="3119" w:type="dxa"/>
          </w:tcPr>
          <w:p w14:paraId="6960478F" w14:textId="77777777" w:rsidR="00193C4D" w:rsidRPr="00193C4D" w:rsidRDefault="00193C4D" w:rsidP="00C9628F">
            <w:pPr>
              <w:spacing w:line="280" w:lineRule="exact"/>
              <w:rPr>
                <w:lang w:val="en-US"/>
              </w:rPr>
            </w:pPr>
            <w:r w:rsidRPr="00193C4D">
              <w:rPr>
                <w:lang w:val="en-US"/>
              </w:rPr>
              <w:t>Since 2011</w:t>
            </w:r>
          </w:p>
          <w:p w14:paraId="2DA62047" w14:textId="77777777" w:rsidR="00193C4D" w:rsidRPr="00193C4D" w:rsidRDefault="00193C4D" w:rsidP="00C9628F">
            <w:pPr>
              <w:spacing w:line="280" w:lineRule="exact"/>
              <w:rPr>
                <w:lang w:val="en-US"/>
              </w:rPr>
            </w:pPr>
            <w:r w:rsidRPr="00193C4D">
              <w:rPr>
                <w:lang w:val="en-US"/>
              </w:rPr>
              <w:t>Annually</w:t>
            </w:r>
          </w:p>
          <w:p w14:paraId="593109C6" w14:textId="77777777" w:rsidR="00193C4D" w:rsidRPr="00193C4D" w:rsidRDefault="00193C4D" w:rsidP="00C9628F">
            <w:pPr>
              <w:spacing w:line="280" w:lineRule="exact"/>
              <w:rPr>
                <w:lang w:val="en-US"/>
              </w:rPr>
            </w:pPr>
            <w:r w:rsidRPr="00193C4D">
              <w:rPr>
                <w:lang w:val="en-US"/>
              </w:rPr>
              <w:t>3 regions per year</w:t>
            </w:r>
          </w:p>
        </w:tc>
        <w:tc>
          <w:tcPr>
            <w:tcW w:w="5100" w:type="dxa"/>
          </w:tcPr>
          <w:p w14:paraId="4950E3CB" w14:textId="77777777" w:rsidR="00193C4D" w:rsidRPr="00193C4D" w:rsidRDefault="00193C4D" w:rsidP="00C9628F">
            <w:pPr>
              <w:spacing w:line="280" w:lineRule="exact"/>
              <w:rPr>
                <w:lang w:val="en-US"/>
              </w:rPr>
            </w:pPr>
            <w:r w:rsidRPr="00193C4D">
              <w:rPr>
                <w:lang w:val="en-US"/>
              </w:rPr>
              <w:t>Monitoring results until FY2016 are available as statistics: mean, standard deviation, median, and range. Tissues are also analyzed for lead, cadmium, total arsenic, copper, selenium, zinc, manganese, dioxins, POPs, etc.</w:t>
            </w:r>
          </w:p>
          <w:p w14:paraId="3F3FCE0B" w14:textId="77777777" w:rsidR="00193C4D" w:rsidRPr="00193C4D" w:rsidRDefault="00193C4D" w:rsidP="00C9628F">
            <w:pPr>
              <w:spacing w:line="280" w:lineRule="exact"/>
              <w:rPr>
                <w:lang w:val="en-US"/>
              </w:rPr>
            </w:pPr>
            <w:r w:rsidRPr="00193C4D">
              <w:rPr>
                <w:lang w:val="en-US"/>
              </w:rPr>
              <w:t>Information on personal medical history, residential history, occupational history, smoking habit, dietary history, lifestyle, and birth history are collected by questionnaire and individual interviews.</w:t>
            </w:r>
          </w:p>
        </w:tc>
      </w:tr>
    </w:tbl>
    <w:p w14:paraId="0D1ABD2D" w14:textId="77777777" w:rsidR="00193C4D" w:rsidRPr="00193C4D" w:rsidRDefault="00193C4D" w:rsidP="00193C4D">
      <w:pPr>
        <w:spacing w:line="240" w:lineRule="exact"/>
        <w:ind w:leftChars="135" w:left="270"/>
        <w:rPr>
          <w:sz w:val="18"/>
          <w:szCs w:val="18"/>
          <w:lang w:val="en-US"/>
        </w:rPr>
      </w:pPr>
      <w:r w:rsidRPr="00193C4D">
        <w:rPr>
          <w:sz w:val="18"/>
          <w:szCs w:val="18"/>
          <w:lang w:val="en-US"/>
        </w:rPr>
        <w:t xml:space="preserve">*1: Observation results in nearby meteorological observation stations. </w:t>
      </w:r>
      <w:r w:rsidRPr="00193C4D">
        <w:rPr>
          <w:sz w:val="18"/>
          <w:szCs w:val="18"/>
          <w:lang w:val="en-US"/>
        </w:rPr>
        <w:tab/>
      </w:r>
      <w:r w:rsidRPr="00193C4D">
        <w:rPr>
          <w:sz w:val="18"/>
          <w:szCs w:val="18"/>
          <w:lang w:val="en-US"/>
        </w:rPr>
        <w:tab/>
        <w:t>*2: 7-day continuous sampling</w:t>
      </w:r>
    </w:p>
    <w:p w14:paraId="55D819C6"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 xml:space="preserve">References </w:t>
      </w:r>
      <w:r w:rsidRPr="00193C4D">
        <w:rPr>
          <w:sz w:val="18"/>
          <w:szCs w:val="18"/>
          <w:lang w:val="en-US"/>
        </w:rPr>
        <w:tab/>
        <w:t>[1]</w:t>
      </w:r>
      <w:r w:rsidRPr="00193C4D">
        <w:rPr>
          <w:sz w:val="18"/>
          <w:szCs w:val="18"/>
          <w:lang w:val="en-US"/>
        </w:rPr>
        <w:tab/>
        <w:t xml:space="preserve">MOE, 2018. “Results on Background Monitoring Survey for Atmospheric Mercury and Other Metal Element Concentrations in Aerosols”, Online: https://www.env.go.jp/en/chemi/mercury/bms2017.html </w:t>
      </w:r>
    </w:p>
    <w:p w14:paraId="5E61A422"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[2]</w:t>
      </w:r>
      <w:r w:rsidRPr="00193C4D">
        <w:rPr>
          <w:sz w:val="18"/>
          <w:szCs w:val="18"/>
          <w:lang w:val="en-US"/>
        </w:rPr>
        <w:tab/>
        <w:t>MOE. “Monitoring Surveillance of Hazardous Air Pollutants”, Online: https://www.env.go.jp/air/osen/monitoring/ (in Japanese).</w:t>
      </w:r>
    </w:p>
    <w:p w14:paraId="62E29912"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[3]</w:t>
      </w:r>
      <w:r w:rsidRPr="00193C4D">
        <w:rPr>
          <w:sz w:val="18"/>
          <w:szCs w:val="18"/>
          <w:lang w:val="en-US"/>
        </w:rPr>
        <w:tab/>
        <w:t>National Institute for Environmental Studies. “Environment-GIS”, Online: http://tenbou.nies.go.jp/gis/ (in Japanese).</w:t>
      </w:r>
    </w:p>
    <w:p w14:paraId="2A1736E2"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[4]</w:t>
      </w:r>
      <w:r w:rsidRPr="00193C4D">
        <w:rPr>
          <w:sz w:val="18"/>
          <w:szCs w:val="18"/>
          <w:lang w:val="en-US"/>
        </w:rPr>
        <w:tab/>
        <w:t>MOE. “Water Quality Survey of Public Water Areas”, Online: https://www.env.go.jp/water/suiiki/index.html (in Japanese).</w:t>
      </w:r>
    </w:p>
    <w:p w14:paraId="57A152CB"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[5]</w:t>
      </w:r>
      <w:r w:rsidRPr="00193C4D">
        <w:rPr>
          <w:sz w:val="18"/>
          <w:szCs w:val="18"/>
          <w:lang w:val="en-US"/>
        </w:rPr>
        <w:tab/>
        <w:t>MOE. “Water Environment Information”, Online: https://water-pub.env.go.jp/water-pub/mizu-site/ (in Japanese).</w:t>
      </w:r>
    </w:p>
    <w:p w14:paraId="62F215A7"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[6]</w:t>
      </w:r>
      <w:r w:rsidRPr="00193C4D">
        <w:rPr>
          <w:sz w:val="18"/>
          <w:szCs w:val="18"/>
          <w:lang w:val="en-US"/>
        </w:rPr>
        <w:tab/>
        <w:t>MOE. “Marine Environment Monitoring Survey”, Online: http://www.env.go.jp/water/kaiyo/monitoring.html (in Japanese).</w:t>
      </w:r>
    </w:p>
    <w:p w14:paraId="7C3594AF"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[7]</w:t>
      </w:r>
      <w:r w:rsidRPr="00193C4D">
        <w:rPr>
          <w:sz w:val="18"/>
          <w:szCs w:val="18"/>
          <w:lang w:val="en-US"/>
        </w:rPr>
        <w:tab/>
        <w:t xml:space="preserve">MOE, Oct. 2009. “Present Status of Marine Pollution in the Sea around Japan”, Online: http://www.env.go.jp/water/kaiyo/monitoring/status_report/en-1.pdf, http://www.env.go.jp/water/kaiyo/monitoring/status_report/en-2.pdf </w:t>
      </w:r>
    </w:p>
    <w:p w14:paraId="2E9608CB"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[8]</w:t>
      </w:r>
      <w:r w:rsidRPr="00193C4D">
        <w:rPr>
          <w:sz w:val="18"/>
          <w:szCs w:val="18"/>
          <w:lang w:val="en-US"/>
        </w:rPr>
        <w:tab/>
        <w:t xml:space="preserve">MOE. “Japan Environment and Children’s Study (JECS)”, Online: http://www.env.go.jp/chemi/ceh/en/index.html </w:t>
      </w:r>
    </w:p>
    <w:p w14:paraId="4CDC1A1A"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[9]</w:t>
      </w:r>
      <w:r w:rsidRPr="00193C4D">
        <w:rPr>
          <w:sz w:val="18"/>
          <w:szCs w:val="18"/>
          <w:lang w:val="en-US"/>
        </w:rPr>
        <w:tab/>
        <w:t>MOE, 2017. “The Exposure to chemical compounds in the Japanese People”, Online:</w:t>
      </w:r>
      <w:r w:rsidRPr="00193C4D">
        <w:rPr>
          <w:lang w:val="en-US"/>
        </w:rPr>
        <w:t xml:space="preserve"> </w:t>
      </w:r>
      <w:r w:rsidRPr="00193C4D">
        <w:rPr>
          <w:sz w:val="18"/>
          <w:szCs w:val="18"/>
          <w:lang w:val="en-US"/>
        </w:rPr>
        <w:t xml:space="preserve">https://www.env.go.jp/chemi/dioxin/pamph/cd/2017en_full.pdf </w:t>
      </w:r>
    </w:p>
    <w:p w14:paraId="32E246CA" w14:textId="77777777" w:rsidR="00193C4D" w:rsidRPr="00193C4D" w:rsidRDefault="00193C4D" w:rsidP="00193C4D">
      <w:pPr>
        <w:rPr>
          <w:lang w:val="en-US"/>
        </w:rPr>
      </w:pPr>
    </w:p>
    <w:p w14:paraId="2DC28A14" w14:textId="77777777" w:rsidR="00193C4D" w:rsidRPr="00623446" w:rsidRDefault="00193C4D" w:rsidP="00193C4D">
      <w:pPr>
        <w:pStyle w:val="Caption"/>
        <w:jc w:val="center"/>
        <w:rPr>
          <w:rFonts w:ascii="Times New Roman" w:hAnsi="Times New Roman"/>
        </w:rPr>
      </w:pPr>
      <w:r w:rsidRPr="00623446">
        <w:rPr>
          <w:rFonts w:ascii="Times New Roman" w:hAnsi="Times New Roman"/>
        </w:rPr>
        <w:t>Table 2. Monitoring conducted by National Institute for Minamata Disease (NIMD)</w:t>
      </w:r>
    </w:p>
    <w:tbl>
      <w:tblPr>
        <w:tblW w:w="2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701"/>
        <w:gridCol w:w="1984"/>
        <w:gridCol w:w="4111"/>
        <w:gridCol w:w="2835"/>
        <w:gridCol w:w="3827"/>
        <w:gridCol w:w="4959"/>
      </w:tblGrid>
      <w:tr w:rsidR="00193C4D" w:rsidRPr="00193C4D" w14:paraId="5D20F9C3" w14:textId="77777777" w:rsidTr="00C9628F">
        <w:trPr>
          <w:tblHeader/>
          <w:jc w:val="center"/>
        </w:trPr>
        <w:tc>
          <w:tcPr>
            <w:tcW w:w="1842" w:type="dxa"/>
            <w:tcBorders>
              <w:bottom w:val="double" w:sz="4" w:space="0" w:color="auto"/>
            </w:tcBorders>
            <w:shd w:val="clear" w:color="auto" w:fill="D9D9D9"/>
            <w:vAlign w:val="center"/>
          </w:tcPr>
          <w:p w14:paraId="1B37DAD0" w14:textId="77777777" w:rsidR="00193C4D" w:rsidRPr="00623446" w:rsidRDefault="00193C4D" w:rsidP="00C9628F">
            <w:pPr>
              <w:spacing w:line="280" w:lineRule="exact"/>
              <w:jc w:val="center"/>
            </w:pPr>
            <w:r w:rsidRPr="00623446">
              <w:t>Programme</w:t>
            </w:r>
          </w:p>
        </w:tc>
        <w:tc>
          <w:tcPr>
            <w:tcW w:w="1701" w:type="dxa"/>
            <w:tcBorders>
              <w:bottom w:val="double" w:sz="4" w:space="0" w:color="auto"/>
            </w:tcBorders>
            <w:shd w:val="clear" w:color="auto" w:fill="D9D9D9"/>
            <w:vAlign w:val="center"/>
          </w:tcPr>
          <w:p w14:paraId="48D22438" w14:textId="77777777" w:rsidR="00193C4D" w:rsidRPr="00623446" w:rsidRDefault="00193C4D" w:rsidP="00C9628F">
            <w:pPr>
              <w:spacing w:line="280" w:lineRule="exact"/>
              <w:jc w:val="center"/>
            </w:pPr>
            <w:r w:rsidRPr="00623446">
              <w:t>Media</w:t>
            </w:r>
          </w:p>
        </w:tc>
        <w:tc>
          <w:tcPr>
            <w:tcW w:w="1984" w:type="dxa"/>
            <w:tcBorders>
              <w:bottom w:val="double" w:sz="4" w:space="0" w:color="auto"/>
            </w:tcBorders>
            <w:shd w:val="clear" w:color="auto" w:fill="D9D9D9"/>
            <w:vAlign w:val="center"/>
          </w:tcPr>
          <w:p w14:paraId="40C45D33" w14:textId="77777777" w:rsidR="00193C4D" w:rsidRPr="00623446" w:rsidRDefault="00193C4D" w:rsidP="00C9628F">
            <w:pPr>
              <w:spacing w:line="280" w:lineRule="exact"/>
              <w:jc w:val="center"/>
            </w:pPr>
            <w:r w:rsidRPr="00623446">
              <w:t>Mercury species</w:t>
            </w:r>
          </w:p>
        </w:tc>
        <w:tc>
          <w:tcPr>
            <w:tcW w:w="4111" w:type="dxa"/>
            <w:tcBorders>
              <w:bottom w:val="double" w:sz="4" w:space="0" w:color="auto"/>
            </w:tcBorders>
            <w:shd w:val="clear" w:color="auto" w:fill="D9D9D9"/>
            <w:vAlign w:val="center"/>
          </w:tcPr>
          <w:p w14:paraId="483833BC" w14:textId="77777777" w:rsidR="00193C4D" w:rsidRPr="00623446" w:rsidRDefault="00193C4D" w:rsidP="00C9628F">
            <w:pPr>
              <w:spacing w:line="280" w:lineRule="exact"/>
              <w:jc w:val="center"/>
            </w:pPr>
            <w:r w:rsidRPr="00623446">
              <w:t>Methodology / analytical method</w:t>
            </w:r>
          </w:p>
        </w:tc>
        <w:tc>
          <w:tcPr>
            <w:tcW w:w="2835" w:type="dxa"/>
            <w:tcBorders>
              <w:bottom w:val="double" w:sz="4" w:space="0" w:color="auto"/>
            </w:tcBorders>
            <w:shd w:val="clear" w:color="auto" w:fill="D9D9D9"/>
            <w:vAlign w:val="center"/>
          </w:tcPr>
          <w:p w14:paraId="2F2594B4" w14:textId="77777777" w:rsidR="00193C4D" w:rsidRPr="00623446" w:rsidRDefault="00193C4D" w:rsidP="00C9628F">
            <w:pPr>
              <w:spacing w:line="280" w:lineRule="exact"/>
              <w:jc w:val="center"/>
            </w:pPr>
            <w:r w:rsidRPr="00623446">
              <w:t>Location / number of samples</w:t>
            </w:r>
          </w:p>
        </w:tc>
        <w:tc>
          <w:tcPr>
            <w:tcW w:w="3827" w:type="dxa"/>
            <w:tcBorders>
              <w:bottom w:val="double" w:sz="4" w:space="0" w:color="auto"/>
            </w:tcBorders>
            <w:shd w:val="clear" w:color="auto" w:fill="D9D9D9"/>
            <w:vAlign w:val="center"/>
          </w:tcPr>
          <w:p w14:paraId="4FC69C53" w14:textId="77777777" w:rsidR="00193C4D" w:rsidRPr="00623446" w:rsidRDefault="00193C4D" w:rsidP="00C9628F">
            <w:pPr>
              <w:spacing w:line="280" w:lineRule="exact"/>
              <w:jc w:val="center"/>
            </w:pPr>
            <w:r w:rsidRPr="00623446">
              <w:t>Monitoring period and frequency</w:t>
            </w:r>
          </w:p>
        </w:tc>
        <w:tc>
          <w:tcPr>
            <w:tcW w:w="4959" w:type="dxa"/>
            <w:tcBorders>
              <w:bottom w:val="double" w:sz="4" w:space="0" w:color="auto"/>
            </w:tcBorders>
            <w:shd w:val="clear" w:color="auto" w:fill="D9D9D9"/>
            <w:vAlign w:val="center"/>
          </w:tcPr>
          <w:p w14:paraId="1167FB50" w14:textId="77777777" w:rsidR="00193C4D" w:rsidRPr="00193C4D" w:rsidRDefault="00193C4D" w:rsidP="00C9628F">
            <w:pPr>
              <w:spacing w:line="280" w:lineRule="exact"/>
              <w:jc w:val="center"/>
              <w:rPr>
                <w:lang w:val="en-US"/>
              </w:rPr>
            </w:pPr>
            <w:r w:rsidRPr="00193C4D">
              <w:rPr>
                <w:lang w:val="en-US"/>
              </w:rPr>
              <w:t>Details of available data (as of January 2019)</w:t>
            </w:r>
          </w:p>
        </w:tc>
      </w:tr>
      <w:tr w:rsidR="00193C4D" w:rsidRPr="00193C4D" w14:paraId="7881ED93" w14:textId="77777777" w:rsidTr="00C9628F">
        <w:trPr>
          <w:jc w:val="center"/>
        </w:trPr>
        <w:tc>
          <w:tcPr>
            <w:tcW w:w="1842" w:type="dxa"/>
            <w:vMerge w:val="restart"/>
          </w:tcPr>
          <w:p w14:paraId="551A958A" w14:textId="77777777" w:rsidR="00193C4D" w:rsidRPr="00623446" w:rsidRDefault="00193C4D" w:rsidP="00C9628F">
            <w:pPr>
              <w:spacing w:line="280" w:lineRule="exact"/>
            </w:pPr>
            <w:r w:rsidRPr="00623446">
              <w:t>-</w:t>
            </w:r>
          </w:p>
        </w:tc>
        <w:tc>
          <w:tcPr>
            <w:tcW w:w="1701" w:type="dxa"/>
            <w:vMerge w:val="restart"/>
            <w:tcBorders>
              <w:top w:val="single" w:sz="4" w:space="0" w:color="auto"/>
            </w:tcBorders>
            <w:shd w:val="clear" w:color="auto" w:fill="auto"/>
          </w:tcPr>
          <w:p w14:paraId="77E7B7F4" w14:textId="77777777" w:rsidR="00193C4D" w:rsidRPr="00623446" w:rsidRDefault="00193C4D" w:rsidP="00C9628F">
            <w:pPr>
              <w:spacing w:line="280" w:lineRule="exact"/>
            </w:pPr>
            <w:r w:rsidRPr="00623446">
              <w:t>Air</w:t>
            </w:r>
          </w:p>
          <w:p w14:paraId="0F891044" w14:textId="77777777" w:rsidR="00193C4D" w:rsidRPr="00623446" w:rsidRDefault="00193C4D" w:rsidP="00C9628F">
            <w:pPr>
              <w:spacing w:line="280" w:lineRule="exact"/>
            </w:pPr>
            <w:r w:rsidRPr="00623446">
              <w:t>Precipitation</w:t>
            </w:r>
          </w:p>
        </w:tc>
        <w:tc>
          <w:tcPr>
            <w:tcW w:w="1984" w:type="dxa"/>
            <w:vMerge w:val="restart"/>
            <w:tcBorders>
              <w:top w:val="single" w:sz="4" w:space="0" w:color="auto"/>
            </w:tcBorders>
            <w:shd w:val="clear" w:color="auto" w:fill="auto"/>
          </w:tcPr>
          <w:p w14:paraId="1841C7AA" w14:textId="77777777" w:rsidR="00193C4D" w:rsidRPr="00193C4D" w:rsidRDefault="00193C4D" w:rsidP="00C9628F">
            <w:pPr>
              <w:spacing w:line="280" w:lineRule="exact"/>
              <w:ind w:left="174" w:hangingChars="87" w:hanging="174"/>
              <w:rPr>
                <w:lang w:val="en-US"/>
              </w:rPr>
            </w:pPr>
            <w:r w:rsidRPr="00193C4D">
              <w:rPr>
                <w:lang w:val="en-US"/>
              </w:rPr>
              <w:t>Air: Speciated mercury (GEM, GOM, PBM), PBM, TGM</w:t>
            </w:r>
          </w:p>
          <w:p w14:paraId="2E9578C2" w14:textId="77777777" w:rsidR="00193C4D" w:rsidRPr="00623446" w:rsidRDefault="00193C4D" w:rsidP="00C9628F">
            <w:pPr>
              <w:spacing w:line="280" w:lineRule="exact"/>
            </w:pPr>
            <w:proofErr w:type="gramStart"/>
            <w:r w:rsidRPr="00623446">
              <w:t>Precipitation:</w:t>
            </w:r>
            <w:proofErr w:type="gramEnd"/>
            <w:r w:rsidRPr="00623446">
              <w:t xml:space="preserve"> </w:t>
            </w:r>
          </w:p>
          <w:p w14:paraId="37468690" w14:textId="77777777" w:rsidR="00193C4D" w:rsidRPr="00623446" w:rsidRDefault="00193C4D" w:rsidP="00C9628F">
            <w:pPr>
              <w:spacing w:line="280" w:lineRule="exact"/>
              <w:ind w:firstLineChars="100" w:firstLine="200"/>
            </w:pPr>
            <w:r w:rsidRPr="00623446">
              <w:t>THg, MeHg</w:t>
            </w:r>
          </w:p>
        </w:tc>
        <w:tc>
          <w:tcPr>
            <w:tcW w:w="4111" w:type="dxa"/>
            <w:vMerge w:val="restart"/>
          </w:tcPr>
          <w:p w14:paraId="27A52538" w14:textId="77777777" w:rsidR="00193C4D" w:rsidRPr="00193C4D" w:rsidRDefault="00193C4D" w:rsidP="00C9628F">
            <w:pPr>
              <w:spacing w:line="280" w:lineRule="exact"/>
              <w:ind w:left="200" w:hangingChars="100" w:hanging="200"/>
              <w:rPr>
                <w:lang w:val="en-US"/>
              </w:rPr>
            </w:pPr>
            <w:r w:rsidRPr="00193C4D">
              <w:rPr>
                <w:lang w:val="en-US"/>
              </w:rPr>
              <w:t xml:space="preserve">Speciated mercury: Atomic absorption spectrometry with gold amalgamation and heating vaporization (following “Monitoring Manual for Hazardous Air Pollution Survey”, (MOE, 2011)) </w:t>
            </w:r>
          </w:p>
          <w:p w14:paraId="0591A632" w14:textId="77777777" w:rsidR="00193C4D" w:rsidRPr="00193C4D" w:rsidRDefault="00193C4D" w:rsidP="00C9628F">
            <w:pPr>
              <w:spacing w:line="280" w:lineRule="exact"/>
              <w:ind w:left="1168" w:hangingChars="584" w:hanging="1168"/>
              <w:rPr>
                <w:lang w:val="en-US"/>
              </w:rPr>
            </w:pPr>
            <w:r w:rsidRPr="00193C4D">
              <w:rPr>
                <w:lang w:val="en-US"/>
              </w:rPr>
              <w:t>PBM: Filter pack method</w:t>
            </w:r>
          </w:p>
          <w:p w14:paraId="3FA17F44" w14:textId="77777777" w:rsidR="00193C4D" w:rsidRPr="00193C4D" w:rsidRDefault="00193C4D" w:rsidP="00C9628F">
            <w:pPr>
              <w:spacing w:line="280" w:lineRule="exact"/>
              <w:ind w:left="200" w:hangingChars="100" w:hanging="200"/>
              <w:rPr>
                <w:lang w:val="en-US"/>
              </w:rPr>
            </w:pPr>
            <w:r w:rsidRPr="00193C4D">
              <w:rPr>
                <w:lang w:val="en-US"/>
              </w:rPr>
              <w:t>TGM: Continuous mercury monitor using gold amalgamation and cold vapor atomic fluorescence spectrometry (Nippon Instruments Co., Ltd.)</w:t>
            </w:r>
          </w:p>
          <w:p w14:paraId="319C28E6" w14:textId="77777777" w:rsidR="00193C4D" w:rsidRPr="00193C4D" w:rsidRDefault="00193C4D" w:rsidP="00C9628F">
            <w:pPr>
              <w:spacing w:line="280" w:lineRule="exact"/>
              <w:ind w:left="200" w:hangingChars="100" w:hanging="200"/>
              <w:rPr>
                <w:lang w:val="en-US"/>
              </w:rPr>
            </w:pPr>
            <w:r w:rsidRPr="00193C4D">
              <w:rPr>
                <w:lang w:val="en-US"/>
              </w:rPr>
              <w:t>THg and MeHg: Equivalent EPA method 1631, Revision E</w:t>
            </w:r>
          </w:p>
        </w:tc>
        <w:tc>
          <w:tcPr>
            <w:tcW w:w="2835" w:type="dxa"/>
            <w:tcBorders>
              <w:bottom w:val="single" w:sz="4" w:space="0" w:color="auto"/>
            </w:tcBorders>
          </w:tcPr>
          <w:p w14:paraId="4ED9C730" w14:textId="77777777" w:rsidR="00193C4D" w:rsidRPr="00623446" w:rsidRDefault="00193C4D" w:rsidP="00C9628F">
            <w:pPr>
              <w:spacing w:line="280" w:lineRule="exact"/>
            </w:pPr>
            <w:r w:rsidRPr="00623446">
              <w:t>Minamata (Kumamoto pref.)</w:t>
            </w:r>
          </w:p>
        </w:tc>
        <w:tc>
          <w:tcPr>
            <w:tcW w:w="3827" w:type="dxa"/>
            <w:tcBorders>
              <w:bottom w:val="single" w:sz="4" w:space="0" w:color="auto"/>
            </w:tcBorders>
          </w:tcPr>
          <w:p w14:paraId="13BB48CB" w14:textId="77777777" w:rsidR="00193C4D" w:rsidRPr="00193C4D" w:rsidRDefault="00193C4D" w:rsidP="00C9628F">
            <w:pPr>
              <w:spacing w:line="280" w:lineRule="exact"/>
              <w:ind w:left="200" w:hangingChars="100" w:hanging="200"/>
              <w:rPr>
                <w:lang w:val="en-US"/>
              </w:rPr>
            </w:pPr>
            <w:r w:rsidRPr="00193C4D">
              <w:rPr>
                <w:lang w:val="en-US"/>
              </w:rPr>
              <w:t>Speciated mercury: Jan. 2011- Dec. 2013, 6-8 days every month or season</w:t>
            </w:r>
          </w:p>
          <w:p w14:paraId="12E44ABF" w14:textId="77777777" w:rsidR="00193C4D" w:rsidRPr="00193C4D" w:rsidRDefault="00193C4D" w:rsidP="00C9628F">
            <w:pPr>
              <w:spacing w:line="280" w:lineRule="exact"/>
              <w:rPr>
                <w:lang w:val="en-US"/>
              </w:rPr>
            </w:pPr>
            <w:r w:rsidRPr="00193C4D">
              <w:rPr>
                <w:lang w:val="en-US"/>
              </w:rPr>
              <w:t>PBM: Since Sep. 2008, weekly</w:t>
            </w:r>
          </w:p>
          <w:p w14:paraId="5B14414D" w14:textId="77777777" w:rsidR="00193C4D" w:rsidRPr="00193C4D" w:rsidRDefault="00193C4D" w:rsidP="00C9628F">
            <w:pPr>
              <w:spacing w:line="280" w:lineRule="exact"/>
              <w:ind w:left="200" w:hangingChars="100" w:hanging="200"/>
              <w:rPr>
                <w:lang w:val="en-US"/>
              </w:rPr>
            </w:pPr>
            <w:r w:rsidRPr="00193C4D">
              <w:rPr>
                <w:lang w:val="en-US"/>
              </w:rPr>
              <w:t>TGM: Since Mar. 2011, continuous sampling</w:t>
            </w:r>
          </w:p>
          <w:p w14:paraId="3319FE7D" w14:textId="77777777" w:rsidR="00193C4D" w:rsidRPr="00193C4D" w:rsidRDefault="00193C4D" w:rsidP="00C9628F">
            <w:pPr>
              <w:spacing w:line="280" w:lineRule="exact"/>
              <w:rPr>
                <w:lang w:val="en-US"/>
              </w:rPr>
            </w:pPr>
            <w:r w:rsidRPr="00193C4D">
              <w:rPr>
                <w:lang w:val="en-US"/>
              </w:rPr>
              <w:t>Precipitation: Since Sep. 2008, weekly (MeHg finished measurement in May 2013)</w:t>
            </w:r>
          </w:p>
        </w:tc>
        <w:tc>
          <w:tcPr>
            <w:tcW w:w="4959" w:type="dxa"/>
          </w:tcPr>
          <w:p w14:paraId="0744E13F" w14:textId="77777777" w:rsidR="00193C4D" w:rsidRPr="00193C4D" w:rsidRDefault="00193C4D" w:rsidP="00C9628F">
            <w:pPr>
              <w:spacing w:line="280" w:lineRule="exact"/>
              <w:rPr>
                <w:lang w:val="en-US"/>
              </w:rPr>
            </w:pPr>
            <w:r w:rsidRPr="00193C4D">
              <w:rPr>
                <w:lang w:val="en-US"/>
              </w:rPr>
              <w:t>Monitoring results are available as individual data. Heavy metal concentrations in atmosphere, carbon monoxide, and meteorological elements are also observed.</w:t>
            </w:r>
            <w:r w:rsidRPr="00193C4D" w:rsidDel="00A727F0">
              <w:rPr>
                <w:lang w:val="en-US"/>
              </w:rPr>
              <w:t xml:space="preserve"> </w:t>
            </w:r>
          </w:p>
        </w:tc>
      </w:tr>
      <w:tr w:rsidR="00193C4D" w:rsidRPr="00193C4D" w14:paraId="785F2163" w14:textId="77777777" w:rsidTr="00C9628F">
        <w:trPr>
          <w:trHeight w:val="817"/>
          <w:jc w:val="center"/>
        </w:trPr>
        <w:tc>
          <w:tcPr>
            <w:tcW w:w="1842" w:type="dxa"/>
            <w:vMerge/>
          </w:tcPr>
          <w:p w14:paraId="2B840961" w14:textId="77777777" w:rsidR="00193C4D" w:rsidRPr="00193C4D" w:rsidRDefault="00193C4D" w:rsidP="00C9628F">
            <w:pPr>
              <w:spacing w:line="280" w:lineRule="exact"/>
              <w:rPr>
                <w:lang w:val="en-US"/>
              </w:rPr>
            </w:pPr>
          </w:p>
        </w:tc>
        <w:tc>
          <w:tcPr>
            <w:tcW w:w="1701" w:type="dxa"/>
            <w:vMerge/>
            <w:shd w:val="clear" w:color="auto" w:fill="auto"/>
          </w:tcPr>
          <w:p w14:paraId="03689427" w14:textId="77777777" w:rsidR="00193C4D" w:rsidRPr="00193C4D" w:rsidRDefault="00193C4D" w:rsidP="00C9628F">
            <w:pPr>
              <w:spacing w:line="280" w:lineRule="exact"/>
              <w:rPr>
                <w:lang w:val="en-US"/>
              </w:rPr>
            </w:pPr>
          </w:p>
        </w:tc>
        <w:tc>
          <w:tcPr>
            <w:tcW w:w="1984" w:type="dxa"/>
            <w:vMerge/>
            <w:shd w:val="clear" w:color="auto" w:fill="auto"/>
          </w:tcPr>
          <w:p w14:paraId="5E083B56" w14:textId="77777777" w:rsidR="00193C4D" w:rsidRPr="00193C4D" w:rsidRDefault="00193C4D" w:rsidP="00C9628F">
            <w:pPr>
              <w:spacing w:line="280" w:lineRule="exact"/>
              <w:rPr>
                <w:lang w:val="en-US"/>
              </w:rPr>
            </w:pPr>
          </w:p>
        </w:tc>
        <w:tc>
          <w:tcPr>
            <w:tcW w:w="4111" w:type="dxa"/>
            <w:vMerge/>
          </w:tcPr>
          <w:p w14:paraId="7CD941A8" w14:textId="77777777" w:rsidR="00193C4D" w:rsidRPr="00193C4D" w:rsidRDefault="00193C4D" w:rsidP="00C9628F">
            <w:pPr>
              <w:spacing w:line="280" w:lineRule="exact"/>
              <w:rPr>
                <w:lang w:val="en-US"/>
              </w:rPr>
            </w:pPr>
          </w:p>
        </w:tc>
        <w:tc>
          <w:tcPr>
            <w:tcW w:w="2835" w:type="dxa"/>
            <w:tcBorders>
              <w:bottom w:val="single" w:sz="4" w:space="0" w:color="auto"/>
            </w:tcBorders>
          </w:tcPr>
          <w:p w14:paraId="35B8CE0E" w14:textId="77777777" w:rsidR="00193C4D" w:rsidRPr="00623446" w:rsidRDefault="00193C4D" w:rsidP="00C9628F">
            <w:pPr>
              <w:spacing w:line="280" w:lineRule="exact"/>
            </w:pPr>
            <w:r w:rsidRPr="00623446">
              <w:t>Hirado (Nagasaki pref.)</w:t>
            </w:r>
          </w:p>
        </w:tc>
        <w:tc>
          <w:tcPr>
            <w:tcW w:w="3827" w:type="dxa"/>
            <w:tcBorders>
              <w:bottom w:val="single" w:sz="4" w:space="0" w:color="auto"/>
            </w:tcBorders>
          </w:tcPr>
          <w:p w14:paraId="0DC5CB07" w14:textId="77777777" w:rsidR="00193C4D" w:rsidRPr="00193C4D" w:rsidRDefault="00193C4D" w:rsidP="00C9628F">
            <w:pPr>
              <w:spacing w:line="280" w:lineRule="exact"/>
              <w:ind w:left="200" w:hangingChars="100" w:hanging="200"/>
              <w:rPr>
                <w:lang w:val="en-US"/>
              </w:rPr>
            </w:pPr>
            <w:r w:rsidRPr="00193C4D">
              <w:rPr>
                <w:lang w:val="en-US"/>
              </w:rPr>
              <w:t>Speciated mercury: Aug. 2011- Apr. 2014, 6-8 days every season</w:t>
            </w:r>
          </w:p>
          <w:p w14:paraId="780A7A25" w14:textId="77777777" w:rsidR="00193C4D" w:rsidRPr="00193C4D" w:rsidRDefault="00193C4D" w:rsidP="00C9628F">
            <w:pPr>
              <w:spacing w:line="280" w:lineRule="exact"/>
              <w:rPr>
                <w:lang w:val="en-US"/>
              </w:rPr>
            </w:pPr>
            <w:r w:rsidRPr="00193C4D">
              <w:rPr>
                <w:lang w:val="en-US"/>
              </w:rPr>
              <w:t>PBM: Since Jun. 2011, weekly</w:t>
            </w:r>
          </w:p>
          <w:p w14:paraId="44FCDCE5" w14:textId="77777777" w:rsidR="00193C4D" w:rsidRPr="00193C4D" w:rsidRDefault="00193C4D" w:rsidP="00C9628F">
            <w:pPr>
              <w:spacing w:line="280" w:lineRule="exact"/>
              <w:rPr>
                <w:lang w:val="en-US"/>
              </w:rPr>
            </w:pPr>
            <w:r w:rsidRPr="00193C4D">
              <w:rPr>
                <w:lang w:val="en-US"/>
              </w:rPr>
              <w:t>Precipitation: Since Sep. 2008, weekly (MeHg finished measurement in May 2013)</w:t>
            </w:r>
          </w:p>
        </w:tc>
        <w:tc>
          <w:tcPr>
            <w:tcW w:w="4959" w:type="dxa"/>
            <w:tcBorders>
              <w:bottom w:val="single" w:sz="4" w:space="0" w:color="auto"/>
            </w:tcBorders>
          </w:tcPr>
          <w:p w14:paraId="33B315FC" w14:textId="77777777" w:rsidR="00193C4D" w:rsidRPr="00193C4D" w:rsidRDefault="00193C4D" w:rsidP="00C9628F">
            <w:pPr>
              <w:spacing w:line="280" w:lineRule="exact"/>
              <w:rPr>
                <w:lang w:val="en-US"/>
              </w:rPr>
            </w:pPr>
            <w:r w:rsidRPr="00193C4D">
              <w:rPr>
                <w:lang w:val="en-US"/>
              </w:rPr>
              <w:t>Monitoring results are available as individual data. Heavy metal concentrations in atmosphere and meteorological elements are also observed.</w:t>
            </w:r>
            <w:r w:rsidRPr="00193C4D" w:rsidDel="00A727F0">
              <w:rPr>
                <w:lang w:val="en-US"/>
              </w:rPr>
              <w:t xml:space="preserve"> </w:t>
            </w:r>
          </w:p>
        </w:tc>
      </w:tr>
      <w:tr w:rsidR="00193C4D" w:rsidRPr="00193C4D" w14:paraId="14E018EB" w14:textId="77777777" w:rsidTr="00C9628F">
        <w:trPr>
          <w:jc w:val="center"/>
        </w:trPr>
        <w:tc>
          <w:tcPr>
            <w:tcW w:w="1842" w:type="dxa"/>
            <w:vMerge/>
          </w:tcPr>
          <w:p w14:paraId="7490BFAF" w14:textId="77777777" w:rsidR="00193C4D" w:rsidRPr="00193C4D" w:rsidRDefault="00193C4D" w:rsidP="00C9628F">
            <w:pPr>
              <w:spacing w:line="280" w:lineRule="exact"/>
              <w:rPr>
                <w:lang w:val="en-US"/>
              </w:rPr>
            </w:pPr>
          </w:p>
        </w:tc>
        <w:tc>
          <w:tcPr>
            <w:tcW w:w="1701" w:type="dxa"/>
            <w:vMerge/>
            <w:shd w:val="clear" w:color="auto" w:fill="auto"/>
          </w:tcPr>
          <w:p w14:paraId="70168BFD" w14:textId="77777777" w:rsidR="00193C4D" w:rsidRPr="00193C4D" w:rsidRDefault="00193C4D" w:rsidP="00C9628F">
            <w:pPr>
              <w:spacing w:line="280" w:lineRule="exact"/>
              <w:rPr>
                <w:lang w:val="en-US"/>
              </w:rPr>
            </w:pPr>
          </w:p>
        </w:tc>
        <w:tc>
          <w:tcPr>
            <w:tcW w:w="1984" w:type="dxa"/>
            <w:shd w:val="clear" w:color="auto" w:fill="auto"/>
          </w:tcPr>
          <w:p w14:paraId="2C056D03" w14:textId="77777777" w:rsidR="00193C4D" w:rsidRPr="00193C4D" w:rsidRDefault="00193C4D" w:rsidP="00C9628F">
            <w:pPr>
              <w:spacing w:line="280" w:lineRule="exact"/>
              <w:ind w:left="174" w:hangingChars="87" w:hanging="174"/>
              <w:rPr>
                <w:lang w:val="en-US"/>
              </w:rPr>
            </w:pPr>
            <w:r w:rsidRPr="00193C4D">
              <w:rPr>
                <w:lang w:val="en-US"/>
              </w:rPr>
              <w:t xml:space="preserve">Air: Speciated mercury (GEM, GOM, PBM), PBM </w:t>
            </w:r>
          </w:p>
          <w:p w14:paraId="6733C88E" w14:textId="77777777" w:rsidR="00193C4D" w:rsidRPr="00623446" w:rsidRDefault="00193C4D" w:rsidP="00C9628F">
            <w:pPr>
              <w:spacing w:line="280" w:lineRule="exact"/>
            </w:pPr>
            <w:proofErr w:type="gramStart"/>
            <w:r w:rsidRPr="00623446">
              <w:t>Precipitation:</w:t>
            </w:r>
            <w:proofErr w:type="gramEnd"/>
            <w:r w:rsidRPr="00623446">
              <w:t xml:space="preserve"> THg</w:t>
            </w:r>
          </w:p>
        </w:tc>
        <w:tc>
          <w:tcPr>
            <w:tcW w:w="4111" w:type="dxa"/>
          </w:tcPr>
          <w:p w14:paraId="48A1DFD4" w14:textId="77777777" w:rsidR="00193C4D" w:rsidRPr="00193C4D" w:rsidRDefault="00193C4D" w:rsidP="00C9628F">
            <w:pPr>
              <w:spacing w:line="280" w:lineRule="exact"/>
              <w:rPr>
                <w:lang w:val="en-US"/>
              </w:rPr>
            </w:pPr>
            <w:r w:rsidRPr="00193C4D">
              <w:rPr>
                <w:lang w:val="en-US"/>
              </w:rPr>
              <w:t>Speciated mercury: Using Tekran</w:t>
            </w:r>
          </w:p>
          <w:p w14:paraId="0514A59B" w14:textId="77777777" w:rsidR="00193C4D" w:rsidRPr="00193C4D" w:rsidRDefault="00193C4D" w:rsidP="00C9628F">
            <w:pPr>
              <w:spacing w:line="280" w:lineRule="exact"/>
              <w:ind w:leftChars="50" w:left="224" w:hangingChars="62" w:hanging="124"/>
              <w:rPr>
                <w:lang w:val="en-US"/>
              </w:rPr>
            </w:pPr>
            <w:r w:rsidRPr="00193C4D">
              <w:rPr>
                <w:lang w:val="en-US"/>
              </w:rPr>
              <w:t>- Cold vapor atomic fluorescence spectrometry with denuder collection for GOM and quartz fiber filter collection for PBM (heating vaporization method)</w:t>
            </w:r>
          </w:p>
          <w:p w14:paraId="0421D9C5" w14:textId="77777777" w:rsidR="00193C4D" w:rsidRPr="00193C4D" w:rsidRDefault="00193C4D" w:rsidP="00C9628F">
            <w:pPr>
              <w:spacing w:line="280" w:lineRule="exact"/>
              <w:rPr>
                <w:lang w:val="en-US"/>
              </w:rPr>
            </w:pPr>
            <w:r w:rsidRPr="00193C4D">
              <w:rPr>
                <w:lang w:val="en-US"/>
              </w:rPr>
              <w:t>PBM: Filter pack method</w:t>
            </w:r>
          </w:p>
          <w:p w14:paraId="21ABFF5C" w14:textId="77777777" w:rsidR="00193C4D" w:rsidRPr="00193C4D" w:rsidRDefault="00193C4D" w:rsidP="00C9628F">
            <w:pPr>
              <w:spacing w:line="280" w:lineRule="exact"/>
              <w:rPr>
                <w:lang w:val="en-US"/>
              </w:rPr>
            </w:pPr>
            <w:r w:rsidRPr="00193C4D">
              <w:rPr>
                <w:lang w:val="en-US"/>
              </w:rPr>
              <w:t>THg: Equivalent EPA method 1631, Revision E</w:t>
            </w:r>
          </w:p>
        </w:tc>
        <w:tc>
          <w:tcPr>
            <w:tcW w:w="2835" w:type="dxa"/>
            <w:tcBorders>
              <w:bottom w:val="single" w:sz="4" w:space="0" w:color="auto"/>
            </w:tcBorders>
          </w:tcPr>
          <w:p w14:paraId="5E702704" w14:textId="77777777" w:rsidR="00193C4D" w:rsidRPr="00623446" w:rsidRDefault="00193C4D" w:rsidP="00C9628F">
            <w:pPr>
              <w:spacing w:line="280" w:lineRule="exact"/>
            </w:pPr>
            <w:r w:rsidRPr="00623446">
              <w:t>Fukuoka (Fukuoka pref.)</w:t>
            </w:r>
          </w:p>
        </w:tc>
        <w:tc>
          <w:tcPr>
            <w:tcW w:w="3827" w:type="dxa"/>
            <w:tcBorders>
              <w:bottom w:val="single" w:sz="4" w:space="0" w:color="auto"/>
            </w:tcBorders>
          </w:tcPr>
          <w:p w14:paraId="0F959FF2" w14:textId="77777777" w:rsidR="00193C4D" w:rsidRPr="00193C4D" w:rsidRDefault="00193C4D" w:rsidP="00C9628F">
            <w:pPr>
              <w:spacing w:line="280" w:lineRule="exact"/>
              <w:ind w:left="510" w:hangingChars="255" w:hanging="510"/>
              <w:rPr>
                <w:lang w:val="en-US"/>
              </w:rPr>
            </w:pPr>
            <w:r w:rsidRPr="00193C4D">
              <w:rPr>
                <w:lang w:val="en-US"/>
              </w:rPr>
              <w:t>Speciated mercury: Since Jun. 2013 (continuous sampling)</w:t>
            </w:r>
          </w:p>
          <w:p w14:paraId="7A25B212" w14:textId="77777777" w:rsidR="00193C4D" w:rsidRPr="00193C4D" w:rsidRDefault="00193C4D" w:rsidP="00C9628F">
            <w:pPr>
              <w:spacing w:line="280" w:lineRule="exact"/>
              <w:rPr>
                <w:lang w:val="en-US"/>
              </w:rPr>
            </w:pPr>
            <w:r w:rsidRPr="00193C4D">
              <w:rPr>
                <w:lang w:val="en-US"/>
              </w:rPr>
              <w:t>PBM: Since Jun. 2013, weekly</w:t>
            </w:r>
          </w:p>
          <w:p w14:paraId="132D4E5C" w14:textId="77777777" w:rsidR="00193C4D" w:rsidRPr="00193C4D" w:rsidRDefault="00193C4D" w:rsidP="00C9628F">
            <w:pPr>
              <w:spacing w:line="280" w:lineRule="exact"/>
              <w:ind w:left="510" w:hangingChars="255" w:hanging="510"/>
              <w:rPr>
                <w:lang w:val="en-US"/>
              </w:rPr>
            </w:pPr>
            <w:r w:rsidRPr="00193C4D">
              <w:rPr>
                <w:lang w:val="en-US"/>
              </w:rPr>
              <w:t>Precipitation: Since Jun. 2013, weekly</w:t>
            </w:r>
          </w:p>
        </w:tc>
        <w:tc>
          <w:tcPr>
            <w:tcW w:w="4959" w:type="dxa"/>
            <w:tcBorders>
              <w:bottom w:val="single" w:sz="4" w:space="0" w:color="auto"/>
            </w:tcBorders>
          </w:tcPr>
          <w:p w14:paraId="4C23CF9A" w14:textId="77777777" w:rsidR="00193C4D" w:rsidRPr="00193C4D" w:rsidRDefault="00193C4D" w:rsidP="00C9628F">
            <w:pPr>
              <w:spacing w:line="280" w:lineRule="exact"/>
              <w:rPr>
                <w:lang w:val="en-US"/>
              </w:rPr>
            </w:pPr>
            <w:r w:rsidRPr="00193C4D">
              <w:rPr>
                <w:lang w:val="en-US"/>
              </w:rPr>
              <w:t xml:space="preserve">Monitoring results are available as individual data. Meteorological elements are also observed. </w:t>
            </w:r>
          </w:p>
        </w:tc>
      </w:tr>
      <w:tr w:rsidR="00193C4D" w:rsidRPr="00623446" w14:paraId="4A1EC3D6" w14:textId="77777777" w:rsidTr="00C9628F">
        <w:trPr>
          <w:jc w:val="center"/>
        </w:trPr>
        <w:tc>
          <w:tcPr>
            <w:tcW w:w="1842" w:type="dxa"/>
            <w:vMerge/>
          </w:tcPr>
          <w:p w14:paraId="7428BE45" w14:textId="77777777" w:rsidR="00193C4D" w:rsidRPr="00193C4D" w:rsidRDefault="00193C4D" w:rsidP="00C9628F">
            <w:pPr>
              <w:spacing w:line="280" w:lineRule="exact"/>
              <w:rPr>
                <w:lang w:val="en-US"/>
              </w:rPr>
            </w:pPr>
          </w:p>
        </w:tc>
        <w:tc>
          <w:tcPr>
            <w:tcW w:w="1701" w:type="dxa"/>
            <w:vMerge/>
            <w:shd w:val="clear" w:color="auto" w:fill="auto"/>
          </w:tcPr>
          <w:p w14:paraId="5A18412B" w14:textId="77777777" w:rsidR="00193C4D" w:rsidRPr="00193C4D" w:rsidRDefault="00193C4D" w:rsidP="00C9628F">
            <w:pPr>
              <w:spacing w:line="280" w:lineRule="exact"/>
              <w:rPr>
                <w:lang w:val="en-US"/>
              </w:rPr>
            </w:pPr>
          </w:p>
        </w:tc>
        <w:tc>
          <w:tcPr>
            <w:tcW w:w="1984" w:type="dxa"/>
            <w:shd w:val="clear" w:color="auto" w:fill="auto"/>
          </w:tcPr>
          <w:p w14:paraId="6F89023C" w14:textId="77777777" w:rsidR="00193C4D" w:rsidRPr="00623446" w:rsidRDefault="00193C4D" w:rsidP="00C9628F">
            <w:pPr>
              <w:spacing w:line="280" w:lineRule="exact"/>
            </w:pPr>
            <w:proofErr w:type="gramStart"/>
            <w:r w:rsidRPr="00623446">
              <w:t>Air:</w:t>
            </w:r>
            <w:proofErr w:type="gramEnd"/>
            <w:r w:rsidRPr="00623446">
              <w:t xml:space="preserve"> PBM</w:t>
            </w:r>
          </w:p>
          <w:p w14:paraId="76279C0C" w14:textId="77777777" w:rsidR="00193C4D" w:rsidRPr="00623446" w:rsidRDefault="00193C4D" w:rsidP="00C9628F">
            <w:pPr>
              <w:spacing w:line="280" w:lineRule="exact"/>
            </w:pPr>
            <w:proofErr w:type="gramStart"/>
            <w:r w:rsidRPr="00623446">
              <w:t>Precipitation:</w:t>
            </w:r>
            <w:proofErr w:type="gramEnd"/>
            <w:r w:rsidRPr="00623446">
              <w:t xml:space="preserve"> THg</w:t>
            </w:r>
          </w:p>
        </w:tc>
        <w:tc>
          <w:tcPr>
            <w:tcW w:w="4111" w:type="dxa"/>
          </w:tcPr>
          <w:p w14:paraId="689A7A0F" w14:textId="77777777" w:rsidR="00193C4D" w:rsidRPr="00193C4D" w:rsidRDefault="00193C4D" w:rsidP="00C9628F">
            <w:pPr>
              <w:spacing w:line="280" w:lineRule="exact"/>
              <w:rPr>
                <w:lang w:val="en-US"/>
              </w:rPr>
            </w:pPr>
            <w:r w:rsidRPr="00193C4D">
              <w:rPr>
                <w:lang w:val="en-US"/>
              </w:rPr>
              <w:t>PBM: Filter pack method</w:t>
            </w:r>
          </w:p>
          <w:p w14:paraId="09497B7A" w14:textId="77777777" w:rsidR="00193C4D" w:rsidRPr="00193C4D" w:rsidRDefault="00193C4D" w:rsidP="00C9628F">
            <w:pPr>
              <w:spacing w:line="280" w:lineRule="exact"/>
              <w:rPr>
                <w:lang w:val="en-US"/>
              </w:rPr>
            </w:pPr>
            <w:r w:rsidRPr="00193C4D">
              <w:rPr>
                <w:lang w:val="en-US"/>
              </w:rPr>
              <w:t>THg: Equivalent EPA method 1631, Revision E</w:t>
            </w:r>
          </w:p>
        </w:tc>
        <w:tc>
          <w:tcPr>
            <w:tcW w:w="2835" w:type="dxa"/>
            <w:tcBorders>
              <w:bottom w:val="single" w:sz="4" w:space="0" w:color="auto"/>
            </w:tcBorders>
          </w:tcPr>
          <w:p w14:paraId="6312AB9E" w14:textId="77777777" w:rsidR="00193C4D" w:rsidRPr="00623446" w:rsidRDefault="00193C4D" w:rsidP="00C9628F">
            <w:pPr>
              <w:spacing w:line="280" w:lineRule="exact"/>
            </w:pPr>
            <w:r w:rsidRPr="00623446">
              <w:t>Omaezaki (Shizuoka pref.)</w:t>
            </w:r>
          </w:p>
        </w:tc>
        <w:tc>
          <w:tcPr>
            <w:tcW w:w="3827" w:type="dxa"/>
            <w:tcBorders>
              <w:bottom w:val="single" w:sz="4" w:space="0" w:color="auto"/>
            </w:tcBorders>
          </w:tcPr>
          <w:p w14:paraId="5E4EC45B" w14:textId="77777777" w:rsidR="00193C4D" w:rsidRPr="00193C4D" w:rsidRDefault="00193C4D" w:rsidP="00C9628F">
            <w:pPr>
              <w:spacing w:line="280" w:lineRule="exact"/>
              <w:rPr>
                <w:lang w:val="en-US"/>
              </w:rPr>
            </w:pPr>
            <w:r w:rsidRPr="00193C4D">
              <w:rPr>
                <w:lang w:val="en-US"/>
              </w:rPr>
              <w:t>PBM: Since Dec. 2013, weekly</w:t>
            </w:r>
          </w:p>
          <w:p w14:paraId="0ECFCFD9" w14:textId="77777777" w:rsidR="00193C4D" w:rsidRPr="00193C4D" w:rsidRDefault="00193C4D" w:rsidP="00C9628F">
            <w:pPr>
              <w:spacing w:line="280" w:lineRule="exact"/>
              <w:ind w:left="200" w:hangingChars="100" w:hanging="200"/>
              <w:rPr>
                <w:lang w:val="en-US"/>
              </w:rPr>
            </w:pPr>
            <w:r w:rsidRPr="00193C4D">
              <w:rPr>
                <w:lang w:val="en-US"/>
              </w:rPr>
              <w:t>Precipitation: Since Dec. 2013, weekly</w:t>
            </w:r>
          </w:p>
        </w:tc>
        <w:tc>
          <w:tcPr>
            <w:tcW w:w="4959" w:type="dxa"/>
            <w:tcBorders>
              <w:bottom w:val="single" w:sz="4" w:space="0" w:color="auto"/>
            </w:tcBorders>
          </w:tcPr>
          <w:p w14:paraId="556563D0" w14:textId="77777777" w:rsidR="00193C4D" w:rsidRPr="00193C4D" w:rsidRDefault="00193C4D" w:rsidP="00C9628F">
            <w:pPr>
              <w:spacing w:line="280" w:lineRule="exact"/>
              <w:rPr>
                <w:lang w:val="en-US"/>
              </w:rPr>
            </w:pPr>
            <w:r w:rsidRPr="00193C4D">
              <w:rPr>
                <w:lang w:val="en-US"/>
              </w:rPr>
              <w:t>Monitoring results are available as individual data.</w:t>
            </w:r>
          </w:p>
          <w:p w14:paraId="2DB3144E" w14:textId="77777777" w:rsidR="00193C4D" w:rsidRPr="00623446" w:rsidRDefault="00193C4D" w:rsidP="00C9628F">
            <w:pPr>
              <w:spacing w:line="280" w:lineRule="exact"/>
            </w:pPr>
            <w:r w:rsidRPr="00623446">
              <w:t>Precipitation is also observed.</w:t>
            </w:r>
          </w:p>
        </w:tc>
      </w:tr>
    </w:tbl>
    <w:p w14:paraId="194BB7DF"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References</w:t>
      </w:r>
      <w:r w:rsidRPr="00193C4D">
        <w:rPr>
          <w:sz w:val="18"/>
          <w:szCs w:val="18"/>
          <w:lang w:val="en-US"/>
        </w:rPr>
        <w:tab/>
        <w:t>[1]</w:t>
      </w:r>
      <w:r w:rsidRPr="00193C4D">
        <w:rPr>
          <w:sz w:val="18"/>
          <w:szCs w:val="18"/>
          <w:lang w:val="en-US"/>
        </w:rPr>
        <w:tab/>
        <w:t xml:space="preserve">Marumoto, K. and Matsuyama, A. (2014). Mercury speciation in wet deposition samples collected from a coastal area of Minamata Bay. </w:t>
      </w:r>
      <w:r w:rsidRPr="00193C4D">
        <w:rPr>
          <w:i/>
          <w:sz w:val="18"/>
          <w:szCs w:val="18"/>
          <w:lang w:val="en-US"/>
        </w:rPr>
        <w:t>Atmospheric Environment</w:t>
      </w:r>
      <w:r w:rsidRPr="00193C4D">
        <w:rPr>
          <w:sz w:val="18"/>
          <w:szCs w:val="18"/>
          <w:lang w:val="en-US"/>
        </w:rPr>
        <w:t xml:space="preserve"> </w:t>
      </w:r>
      <w:r w:rsidRPr="00193C4D">
        <w:rPr>
          <w:b/>
          <w:sz w:val="18"/>
          <w:szCs w:val="18"/>
          <w:lang w:val="en-US"/>
        </w:rPr>
        <w:t>86</w:t>
      </w:r>
      <w:r w:rsidRPr="00193C4D">
        <w:rPr>
          <w:sz w:val="18"/>
          <w:szCs w:val="18"/>
          <w:lang w:val="en-US"/>
        </w:rPr>
        <w:t>, 220-227.</w:t>
      </w:r>
    </w:p>
    <w:p w14:paraId="08D9924C"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[2]</w:t>
      </w:r>
      <w:r w:rsidRPr="00193C4D">
        <w:rPr>
          <w:sz w:val="18"/>
          <w:szCs w:val="18"/>
          <w:lang w:val="en-US"/>
        </w:rPr>
        <w:tab/>
        <w:t xml:space="preserve">Marumoto, K., Hayashi, M., Takami, A. (2015). Atmospheric mercury concentrations at two sites in the Kyushu Islands, Japan, and evidence of long-range transport from East Asia. </w:t>
      </w:r>
      <w:r w:rsidRPr="00193C4D">
        <w:rPr>
          <w:i/>
          <w:sz w:val="18"/>
          <w:szCs w:val="18"/>
          <w:lang w:val="en-US"/>
        </w:rPr>
        <w:t>Atmospheric Environment</w:t>
      </w:r>
      <w:r w:rsidRPr="00193C4D">
        <w:rPr>
          <w:sz w:val="18"/>
          <w:szCs w:val="18"/>
          <w:lang w:val="en-US"/>
        </w:rPr>
        <w:t xml:space="preserve"> </w:t>
      </w:r>
      <w:r w:rsidRPr="00193C4D">
        <w:rPr>
          <w:b/>
          <w:sz w:val="18"/>
          <w:szCs w:val="18"/>
          <w:lang w:val="en-US"/>
        </w:rPr>
        <w:t>117</w:t>
      </w:r>
      <w:r w:rsidRPr="00193C4D">
        <w:rPr>
          <w:sz w:val="18"/>
          <w:szCs w:val="18"/>
          <w:lang w:val="en-US"/>
        </w:rPr>
        <w:t>, 147-155.</w:t>
      </w:r>
    </w:p>
    <w:p w14:paraId="0DAF2FA0" w14:textId="77777777" w:rsidR="00193C4D" w:rsidRDefault="00193C4D" w:rsidP="00193C4D">
      <w:pPr>
        <w:spacing w:line="240" w:lineRule="exact"/>
        <w:rPr>
          <w:sz w:val="18"/>
          <w:szCs w:val="18"/>
          <w:lang w:val="en-US"/>
        </w:rPr>
      </w:pPr>
    </w:p>
    <w:p w14:paraId="1DCE2E80" w14:textId="60508FF2" w:rsidR="00193C4D" w:rsidRPr="00193C4D" w:rsidRDefault="00193C4D" w:rsidP="00193C4D">
      <w:pPr>
        <w:spacing w:line="240" w:lineRule="exact"/>
        <w:rPr>
          <w:sz w:val="18"/>
          <w:szCs w:val="18"/>
          <w:lang w:val="en-US"/>
        </w:rPr>
        <w:sectPr w:rsidR="00193C4D" w:rsidRPr="00193C4D" w:rsidSect="00532230">
          <w:pgSz w:w="23811" w:h="16838" w:orient="landscape" w:code="8"/>
          <w:pgMar w:top="1134" w:right="1134" w:bottom="851" w:left="1134" w:header="851" w:footer="283" w:gutter="0"/>
          <w:cols w:space="425"/>
          <w:docGrid w:type="lines" w:linePitch="360"/>
        </w:sectPr>
      </w:pPr>
    </w:p>
    <w:p w14:paraId="23BFCF94" w14:textId="14C2D881" w:rsidR="00193C4D" w:rsidRPr="00193C4D" w:rsidRDefault="00193C4D" w:rsidP="00193C4D">
      <w:pPr>
        <w:spacing w:line="100" w:lineRule="exact"/>
        <w:rPr>
          <w:lang w:val="en-US"/>
        </w:rPr>
      </w:pPr>
    </w:p>
    <w:p w14:paraId="108B2554" w14:textId="77777777" w:rsidR="00193C4D" w:rsidRPr="00623446" w:rsidRDefault="00193C4D" w:rsidP="00193C4D">
      <w:pPr>
        <w:pStyle w:val="Caption"/>
        <w:jc w:val="center"/>
        <w:rPr>
          <w:rFonts w:ascii="Times New Roman" w:hAnsi="Times New Roman"/>
        </w:rPr>
      </w:pPr>
      <w:r w:rsidRPr="00623446">
        <w:rPr>
          <w:rFonts w:ascii="Times New Roman" w:hAnsi="Times New Roman"/>
        </w:rPr>
        <w:t>Table 3. Monitoring conducted by Japan Meteorological Agency (JMA)</w:t>
      </w:r>
    </w:p>
    <w:tbl>
      <w:tblPr>
        <w:tblW w:w="2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701"/>
        <w:gridCol w:w="1984"/>
        <w:gridCol w:w="3969"/>
        <w:gridCol w:w="3544"/>
        <w:gridCol w:w="3260"/>
        <w:gridCol w:w="4959"/>
      </w:tblGrid>
      <w:tr w:rsidR="00193C4D" w:rsidRPr="00193C4D" w14:paraId="496E4D1A" w14:textId="77777777" w:rsidTr="00C9628F">
        <w:trPr>
          <w:tblHeader/>
          <w:jc w:val="center"/>
        </w:trPr>
        <w:tc>
          <w:tcPr>
            <w:tcW w:w="1842" w:type="dxa"/>
            <w:tcBorders>
              <w:bottom w:val="double" w:sz="4" w:space="0" w:color="auto"/>
            </w:tcBorders>
            <w:shd w:val="clear" w:color="auto" w:fill="D9D9D9"/>
            <w:vAlign w:val="center"/>
          </w:tcPr>
          <w:p w14:paraId="4523C2B6" w14:textId="77777777" w:rsidR="00193C4D" w:rsidRPr="00623446" w:rsidRDefault="00193C4D" w:rsidP="00C9628F">
            <w:pPr>
              <w:spacing w:line="280" w:lineRule="exact"/>
              <w:jc w:val="center"/>
            </w:pPr>
            <w:r w:rsidRPr="00623446">
              <w:t>Programme</w:t>
            </w:r>
          </w:p>
        </w:tc>
        <w:tc>
          <w:tcPr>
            <w:tcW w:w="1701" w:type="dxa"/>
            <w:tcBorders>
              <w:bottom w:val="double" w:sz="4" w:space="0" w:color="auto"/>
            </w:tcBorders>
            <w:shd w:val="clear" w:color="auto" w:fill="D9D9D9"/>
            <w:vAlign w:val="center"/>
          </w:tcPr>
          <w:p w14:paraId="07F186A1" w14:textId="77777777" w:rsidR="00193C4D" w:rsidRPr="00623446" w:rsidRDefault="00193C4D" w:rsidP="00C9628F">
            <w:pPr>
              <w:spacing w:line="280" w:lineRule="exact"/>
              <w:jc w:val="center"/>
            </w:pPr>
            <w:r w:rsidRPr="00623446">
              <w:t>Media</w:t>
            </w:r>
          </w:p>
        </w:tc>
        <w:tc>
          <w:tcPr>
            <w:tcW w:w="1984" w:type="dxa"/>
            <w:tcBorders>
              <w:bottom w:val="double" w:sz="4" w:space="0" w:color="auto"/>
            </w:tcBorders>
            <w:shd w:val="clear" w:color="auto" w:fill="D9D9D9"/>
            <w:vAlign w:val="center"/>
          </w:tcPr>
          <w:p w14:paraId="57C67F0A" w14:textId="77777777" w:rsidR="00193C4D" w:rsidRPr="00623446" w:rsidRDefault="00193C4D" w:rsidP="00C9628F">
            <w:pPr>
              <w:spacing w:line="280" w:lineRule="exact"/>
              <w:jc w:val="center"/>
            </w:pPr>
            <w:r w:rsidRPr="00623446">
              <w:t>Mercury species</w:t>
            </w:r>
          </w:p>
        </w:tc>
        <w:tc>
          <w:tcPr>
            <w:tcW w:w="3969" w:type="dxa"/>
            <w:tcBorders>
              <w:bottom w:val="double" w:sz="4" w:space="0" w:color="auto"/>
            </w:tcBorders>
            <w:shd w:val="clear" w:color="auto" w:fill="D9D9D9"/>
            <w:vAlign w:val="center"/>
          </w:tcPr>
          <w:p w14:paraId="75049771" w14:textId="77777777" w:rsidR="00193C4D" w:rsidRPr="00623446" w:rsidRDefault="00193C4D" w:rsidP="00C9628F">
            <w:pPr>
              <w:spacing w:line="280" w:lineRule="exact"/>
              <w:jc w:val="center"/>
            </w:pPr>
            <w:r w:rsidRPr="00623446">
              <w:t>Methodology / analytical method</w:t>
            </w:r>
          </w:p>
        </w:tc>
        <w:tc>
          <w:tcPr>
            <w:tcW w:w="3544" w:type="dxa"/>
            <w:tcBorders>
              <w:bottom w:val="double" w:sz="4" w:space="0" w:color="auto"/>
            </w:tcBorders>
            <w:shd w:val="clear" w:color="auto" w:fill="D9D9D9"/>
            <w:vAlign w:val="center"/>
          </w:tcPr>
          <w:p w14:paraId="4C32D112" w14:textId="77777777" w:rsidR="00193C4D" w:rsidRPr="00623446" w:rsidRDefault="00193C4D" w:rsidP="00C9628F">
            <w:pPr>
              <w:spacing w:line="280" w:lineRule="exact"/>
              <w:jc w:val="center"/>
            </w:pPr>
            <w:r w:rsidRPr="00623446">
              <w:t>Location / number of samples</w:t>
            </w:r>
          </w:p>
        </w:tc>
        <w:tc>
          <w:tcPr>
            <w:tcW w:w="3260" w:type="dxa"/>
            <w:tcBorders>
              <w:bottom w:val="double" w:sz="4" w:space="0" w:color="auto"/>
            </w:tcBorders>
            <w:shd w:val="clear" w:color="auto" w:fill="D9D9D9"/>
            <w:vAlign w:val="center"/>
          </w:tcPr>
          <w:p w14:paraId="548B85AA" w14:textId="77777777" w:rsidR="00193C4D" w:rsidRPr="00623446" w:rsidRDefault="00193C4D" w:rsidP="00C9628F">
            <w:pPr>
              <w:spacing w:line="280" w:lineRule="exact"/>
              <w:jc w:val="center"/>
            </w:pPr>
            <w:r w:rsidRPr="00623446">
              <w:t>Monitoring period and frequency</w:t>
            </w:r>
          </w:p>
        </w:tc>
        <w:tc>
          <w:tcPr>
            <w:tcW w:w="4959" w:type="dxa"/>
            <w:tcBorders>
              <w:bottom w:val="double" w:sz="4" w:space="0" w:color="auto"/>
            </w:tcBorders>
            <w:shd w:val="clear" w:color="auto" w:fill="D9D9D9"/>
            <w:vAlign w:val="center"/>
          </w:tcPr>
          <w:p w14:paraId="0793BAB4" w14:textId="77777777" w:rsidR="00193C4D" w:rsidRPr="00193C4D" w:rsidRDefault="00193C4D" w:rsidP="00C9628F">
            <w:pPr>
              <w:spacing w:line="280" w:lineRule="exact"/>
              <w:jc w:val="center"/>
              <w:rPr>
                <w:lang w:val="en-US"/>
              </w:rPr>
            </w:pPr>
            <w:r w:rsidRPr="00193C4D">
              <w:rPr>
                <w:lang w:val="en-US"/>
              </w:rPr>
              <w:t>Details of available data (as of January 2019)</w:t>
            </w:r>
          </w:p>
        </w:tc>
      </w:tr>
      <w:tr w:rsidR="00193C4D" w:rsidRPr="00193C4D" w14:paraId="49A25638" w14:textId="77777777" w:rsidTr="00C9628F">
        <w:trPr>
          <w:trHeight w:val="735"/>
          <w:jc w:val="center"/>
        </w:trPr>
        <w:tc>
          <w:tcPr>
            <w:tcW w:w="1842" w:type="dxa"/>
            <w:vMerge w:val="restart"/>
            <w:tcBorders>
              <w:top w:val="double" w:sz="4" w:space="0" w:color="auto"/>
            </w:tcBorders>
          </w:tcPr>
          <w:p w14:paraId="2790C3C0" w14:textId="77777777" w:rsidR="00193C4D" w:rsidRPr="00193C4D" w:rsidRDefault="00193C4D" w:rsidP="00C9628F">
            <w:pPr>
              <w:spacing w:line="280" w:lineRule="exact"/>
              <w:rPr>
                <w:vertAlign w:val="superscript"/>
                <w:lang w:val="en-US"/>
              </w:rPr>
            </w:pPr>
            <w:r w:rsidRPr="00193C4D">
              <w:rPr>
                <w:lang w:val="en-US"/>
              </w:rPr>
              <w:t xml:space="preserve">Atmospheric and Marine Environment </w:t>
            </w:r>
            <w:proofErr w:type="gramStart"/>
            <w:r w:rsidRPr="00193C4D">
              <w:rPr>
                <w:lang w:val="en-US"/>
              </w:rPr>
              <w:t>Monitoring</w:t>
            </w:r>
            <w:r w:rsidRPr="00193C4D">
              <w:rPr>
                <w:vertAlign w:val="superscript"/>
                <w:lang w:val="en-US"/>
              </w:rPr>
              <w:t>[</w:t>
            </w:r>
            <w:proofErr w:type="gramEnd"/>
            <w:r w:rsidRPr="00193C4D">
              <w:rPr>
                <w:vertAlign w:val="superscript"/>
                <w:lang w:val="en-US"/>
              </w:rPr>
              <w:t>1], [2], [3]</w:t>
            </w:r>
          </w:p>
        </w:tc>
        <w:tc>
          <w:tcPr>
            <w:tcW w:w="1701" w:type="dxa"/>
            <w:tcBorders>
              <w:top w:val="double" w:sz="4" w:space="0" w:color="auto"/>
            </w:tcBorders>
            <w:shd w:val="clear" w:color="auto" w:fill="auto"/>
          </w:tcPr>
          <w:p w14:paraId="77B26667" w14:textId="77777777" w:rsidR="00193C4D" w:rsidRPr="00623446" w:rsidRDefault="00193C4D" w:rsidP="00C9628F">
            <w:pPr>
              <w:spacing w:line="280" w:lineRule="exact"/>
            </w:pPr>
            <w:r w:rsidRPr="00623446">
              <w:t>Precipitation</w:t>
            </w:r>
          </w:p>
        </w:tc>
        <w:tc>
          <w:tcPr>
            <w:tcW w:w="1984" w:type="dxa"/>
            <w:tcBorders>
              <w:top w:val="double" w:sz="4" w:space="0" w:color="auto"/>
            </w:tcBorders>
            <w:shd w:val="clear" w:color="auto" w:fill="auto"/>
          </w:tcPr>
          <w:p w14:paraId="120F6C77" w14:textId="77777777" w:rsidR="00193C4D" w:rsidRPr="00623446" w:rsidRDefault="00193C4D" w:rsidP="00C9628F">
            <w:pPr>
              <w:spacing w:line="280" w:lineRule="exact"/>
            </w:pPr>
            <w:r w:rsidRPr="00623446">
              <w:t>THg</w:t>
            </w:r>
          </w:p>
        </w:tc>
        <w:tc>
          <w:tcPr>
            <w:tcW w:w="3969" w:type="dxa"/>
            <w:tcBorders>
              <w:top w:val="double" w:sz="4" w:space="0" w:color="auto"/>
            </w:tcBorders>
          </w:tcPr>
          <w:p w14:paraId="74C0CC32" w14:textId="77777777" w:rsidR="00193C4D" w:rsidRPr="00193C4D" w:rsidRDefault="00193C4D" w:rsidP="00C9628F">
            <w:pPr>
              <w:spacing w:line="280" w:lineRule="exact"/>
              <w:rPr>
                <w:lang w:val="en-US"/>
              </w:rPr>
            </w:pPr>
            <w:r w:rsidRPr="00193C4D">
              <w:rPr>
                <w:lang w:val="en-US"/>
              </w:rPr>
              <w:t>Cold vaper atomic absorption spectrophotometry (following method of World Meteorological Organization (</w:t>
            </w:r>
            <w:proofErr w:type="gramStart"/>
            <w:r w:rsidRPr="00193C4D">
              <w:rPr>
                <w:lang w:val="en-US"/>
              </w:rPr>
              <w:t>WMO)  (</w:t>
            </w:r>
            <w:proofErr w:type="gramEnd"/>
            <w:r w:rsidRPr="00193C4D">
              <w:rPr>
                <w:lang w:val="en-US"/>
              </w:rPr>
              <w:t>2004))</w:t>
            </w:r>
          </w:p>
        </w:tc>
        <w:tc>
          <w:tcPr>
            <w:tcW w:w="3544" w:type="dxa"/>
            <w:tcBorders>
              <w:top w:val="double" w:sz="4" w:space="0" w:color="auto"/>
              <w:bottom w:val="dotted" w:sz="4" w:space="0" w:color="auto"/>
            </w:tcBorders>
          </w:tcPr>
          <w:p w14:paraId="2366987F" w14:textId="77777777" w:rsidR="00193C4D" w:rsidRPr="00193C4D" w:rsidRDefault="00193C4D" w:rsidP="00C9628F">
            <w:pPr>
              <w:spacing w:line="280" w:lineRule="exact"/>
              <w:rPr>
                <w:lang w:val="es-ES"/>
              </w:rPr>
            </w:pPr>
            <w:r w:rsidRPr="00193C4D">
              <w:rPr>
                <w:lang w:val="es-ES"/>
              </w:rPr>
              <w:t>Minamitorishima (Tokyo Metropolis)</w:t>
            </w:r>
          </w:p>
          <w:p w14:paraId="31F4FD34" w14:textId="77777777" w:rsidR="00193C4D" w:rsidRPr="00193C4D" w:rsidRDefault="00193C4D" w:rsidP="00C9628F">
            <w:pPr>
              <w:spacing w:line="280" w:lineRule="exact"/>
              <w:rPr>
                <w:lang w:val="es-ES"/>
              </w:rPr>
            </w:pPr>
            <w:r w:rsidRPr="00193C4D">
              <w:rPr>
                <w:lang w:val="es-ES"/>
              </w:rPr>
              <w:t>Ryori (Iwate pref.)</w:t>
            </w:r>
          </w:p>
        </w:tc>
        <w:tc>
          <w:tcPr>
            <w:tcW w:w="3260" w:type="dxa"/>
            <w:tcBorders>
              <w:top w:val="double" w:sz="4" w:space="0" w:color="auto"/>
              <w:bottom w:val="dotted" w:sz="4" w:space="0" w:color="auto"/>
            </w:tcBorders>
          </w:tcPr>
          <w:p w14:paraId="1EA28F28" w14:textId="77777777" w:rsidR="00193C4D" w:rsidRPr="00193C4D" w:rsidRDefault="00193C4D" w:rsidP="00C9628F">
            <w:pPr>
              <w:spacing w:line="280" w:lineRule="exact"/>
              <w:rPr>
                <w:lang w:val="en-US"/>
              </w:rPr>
            </w:pPr>
            <w:r w:rsidRPr="00193C4D">
              <w:rPr>
                <w:lang w:val="en-US"/>
              </w:rPr>
              <w:t>Minamitorishima: Since Jan. 1996</w:t>
            </w:r>
          </w:p>
          <w:p w14:paraId="5D5AAE26" w14:textId="77777777" w:rsidR="00193C4D" w:rsidRPr="00193C4D" w:rsidRDefault="00193C4D" w:rsidP="00C9628F">
            <w:pPr>
              <w:spacing w:line="280" w:lineRule="exact"/>
              <w:rPr>
                <w:lang w:val="en-US"/>
              </w:rPr>
            </w:pPr>
            <w:r w:rsidRPr="00193C4D">
              <w:rPr>
                <w:lang w:val="en-US"/>
              </w:rPr>
              <w:t>Ryori: Jan. 1976- Dec. 2011</w:t>
            </w:r>
          </w:p>
          <w:p w14:paraId="7AD7BF9E" w14:textId="77777777" w:rsidR="00193C4D" w:rsidRPr="00623446" w:rsidRDefault="00193C4D" w:rsidP="00C9628F">
            <w:pPr>
              <w:spacing w:line="280" w:lineRule="exact"/>
            </w:pPr>
            <w:r w:rsidRPr="00623446">
              <w:t>Daily</w:t>
            </w:r>
          </w:p>
        </w:tc>
        <w:tc>
          <w:tcPr>
            <w:tcW w:w="4959" w:type="dxa"/>
            <w:tcBorders>
              <w:top w:val="double" w:sz="4" w:space="0" w:color="auto"/>
            </w:tcBorders>
          </w:tcPr>
          <w:p w14:paraId="41DF0C1B" w14:textId="77777777" w:rsidR="00193C4D" w:rsidRPr="00193C4D" w:rsidRDefault="00193C4D" w:rsidP="00C9628F">
            <w:pPr>
              <w:spacing w:line="280" w:lineRule="exact"/>
              <w:rPr>
                <w:lang w:val="en-US"/>
              </w:rPr>
            </w:pPr>
            <w:r w:rsidRPr="00193C4D">
              <w:rPr>
                <w:lang w:val="en-US"/>
              </w:rPr>
              <w:t>Monitoring results until FY2016 are available as individual data. The dataset includes sampling date, precipitation, sample amount, pH, electrical conductivity, alkalinity, concentrations of cadmium, ammonium ion, sodium ion, potassium ion, calcium ion, magnesium ion, chloride, nitrite ion, nitrate ion, and sulfate ion.</w:t>
            </w:r>
          </w:p>
          <w:p w14:paraId="24E03D74" w14:textId="77777777" w:rsidR="00193C4D" w:rsidRPr="00193C4D" w:rsidDel="00A56FB3" w:rsidRDefault="00193C4D" w:rsidP="00C9628F">
            <w:pPr>
              <w:spacing w:line="280" w:lineRule="exact"/>
              <w:rPr>
                <w:lang w:val="en-US"/>
              </w:rPr>
            </w:pPr>
            <w:r w:rsidRPr="00193C4D">
              <w:rPr>
                <w:lang w:val="en-US"/>
              </w:rPr>
              <w:t>Meteorological elements (maximum wind speed and wind direction) are also observed.</w:t>
            </w:r>
            <w:r w:rsidRPr="00193C4D" w:rsidDel="001143B1">
              <w:rPr>
                <w:lang w:val="en-US"/>
              </w:rPr>
              <w:t xml:space="preserve"> </w:t>
            </w:r>
          </w:p>
        </w:tc>
      </w:tr>
      <w:tr w:rsidR="00193C4D" w:rsidRPr="00193C4D" w14:paraId="04915F8A" w14:textId="77777777" w:rsidTr="00C9628F">
        <w:trPr>
          <w:jc w:val="center"/>
        </w:trPr>
        <w:tc>
          <w:tcPr>
            <w:tcW w:w="1842" w:type="dxa"/>
            <w:vMerge/>
          </w:tcPr>
          <w:p w14:paraId="73D27C54" w14:textId="77777777" w:rsidR="00193C4D" w:rsidRPr="00193C4D" w:rsidRDefault="00193C4D" w:rsidP="00C9628F">
            <w:pPr>
              <w:spacing w:line="280" w:lineRule="exact"/>
              <w:rPr>
                <w:lang w:val="en-US"/>
              </w:rPr>
            </w:pPr>
          </w:p>
        </w:tc>
        <w:tc>
          <w:tcPr>
            <w:tcW w:w="1701" w:type="dxa"/>
            <w:tcBorders>
              <w:top w:val="single" w:sz="4" w:space="0" w:color="auto"/>
            </w:tcBorders>
            <w:shd w:val="clear" w:color="auto" w:fill="auto"/>
          </w:tcPr>
          <w:p w14:paraId="6CF8A87C" w14:textId="77777777" w:rsidR="00193C4D" w:rsidRPr="00193C4D" w:rsidRDefault="00193C4D" w:rsidP="00C9628F">
            <w:pPr>
              <w:spacing w:line="280" w:lineRule="exact"/>
              <w:rPr>
                <w:lang w:val="en-US"/>
              </w:rPr>
            </w:pPr>
            <w:r w:rsidRPr="00193C4D">
              <w:rPr>
                <w:lang w:val="en-US"/>
              </w:rPr>
              <w:t>Seawater</w:t>
            </w:r>
          </w:p>
          <w:p w14:paraId="1A64948F" w14:textId="77777777" w:rsidR="00193C4D" w:rsidRPr="00193C4D" w:rsidRDefault="00193C4D" w:rsidP="00C9628F">
            <w:pPr>
              <w:spacing w:line="280" w:lineRule="exact"/>
              <w:rPr>
                <w:lang w:val="en-US"/>
              </w:rPr>
            </w:pPr>
            <w:r w:rsidRPr="00193C4D">
              <w:rPr>
                <w:lang w:val="en-US"/>
              </w:rPr>
              <w:t xml:space="preserve"> - Surface water</w:t>
            </w:r>
          </w:p>
          <w:p w14:paraId="1FA40100" w14:textId="77777777" w:rsidR="00193C4D" w:rsidRPr="00193C4D" w:rsidRDefault="00193C4D" w:rsidP="00C9628F">
            <w:pPr>
              <w:spacing w:line="280" w:lineRule="exact"/>
              <w:rPr>
                <w:lang w:val="en-US"/>
              </w:rPr>
            </w:pPr>
            <w:r w:rsidRPr="00193C4D">
              <w:rPr>
                <w:lang w:val="en-US"/>
              </w:rPr>
              <w:t xml:space="preserve"> - Deep water</w:t>
            </w:r>
          </w:p>
        </w:tc>
        <w:tc>
          <w:tcPr>
            <w:tcW w:w="1984" w:type="dxa"/>
            <w:tcBorders>
              <w:top w:val="single" w:sz="4" w:space="0" w:color="auto"/>
            </w:tcBorders>
            <w:shd w:val="clear" w:color="auto" w:fill="auto"/>
          </w:tcPr>
          <w:p w14:paraId="71C728AD" w14:textId="77777777" w:rsidR="00193C4D" w:rsidRPr="00623446" w:rsidRDefault="00193C4D" w:rsidP="00C9628F">
            <w:pPr>
              <w:spacing w:line="280" w:lineRule="exact"/>
            </w:pPr>
            <w:r w:rsidRPr="00623446">
              <w:t>THg</w:t>
            </w:r>
          </w:p>
        </w:tc>
        <w:tc>
          <w:tcPr>
            <w:tcW w:w="3969" w:type="dxa"/>
          </w:tcPr>
          <w:p w14:paraId="00706039" w14:textId="77777777" w:rsidR="00193C4D" w:rsidRPr="00193C4D" w:rsidRDefault="00193C4D" w:rsidP="00C9628F">
            <w:pPr>
              <w:spacing w:line="280" w:lineRule="exact"/>
              <w:rPr>
                <w:lang w:val="en-US"/>
              </w:rPr>
            </w:pPr>
            <w:r w:rsidRPr="00193C4D">
              <w:rPr>
                <w:lang w:val="en-US"/>
              </w:rPr>
              <w:t xml:space="preserve">Water samples are collected at the depth of 0m and approximately 1,000m. </w:t>
            </w:r>
          </w:p>
          <w:p w14:paraId="7228296B" w14:textId="77777777" w:rsidR="00193C4D" w:rsidRPr="00623446" w:rsidRDefault="00193C4D" w:rsidP="00C9628F">
            <w:pPr>
              <w:spacing w:line="280" w:lineRule="exact"/>
            </w:pPr>
            <w:proofErr w:type="gramStart"/>
            <w:r w:rsidRPr="00623446">
              <w:t>Analysis:</w:t>
            </w:r>
            <w:proofErr w:type="gramEnd"/>
            <w:r w:rsidRPr="00623446">
              <w:t xml:space="preserve"> Flameless atomic absorption spectrophotometry</w:t>
            </w:r>
          </w:p>
          <w:p w14:paraId="09C9EF5A" w14:textId="77777777" w:rsidR="00193C4D" w:rsidRPr="00623446" w:rsidRDefault="00193C4D" w:rsidP="00C9628F">
            <w:pPr>
              <w:spacing w:line="280" w:lineRule="exact"/>
              <w:rPr>
                <w:highlight w:val="yellow"/>
              </w:rPr>
            </w:pPr>
          </w:p>
        </w:tc>
        <w:tc>
          <w:tcPr>
            <w:tcW w:w="3544" w:type="dxa"/>
          </w:tcPr>
          <w:p w14:paraId="22F009EB" w14:textId="77777777" w:rsidR="00193C4D" w:rsidRPr="00193C4D" w:rsidRDefault="00193C4D" w:rsidP="00C9628F">
            <w:pPr>
              <w:spacing w:line="280" w:lineRule="exact"/>
              <w:rPr>
                <w:lang w:val="en-US"/>
              </w:rPr>
            </w:pPr>
            <w:r w:rsidRPr="00193C4D">
              <w:rPr>
                <w:lang w:val="en-US"/>
              </w:rPr>
              <w:t>Sea area around Japan (9 sites) and the western North Pacific (long 137E and 165E observation lines.)</w:t>
            </w:r>
          </w:p>
          <w:p w14:paraId="6DB93504" w14:textId="77777777" w:rsidR="00193C4D" w:rsidRPr="00193C4D" w:rsidRDefault="00193C4D" w:rsidP="00C9628F">
            <w:pPr>
              <w:spacing w:line="280" w:lineRule="exact"/>
              <w:ind w:leftChars="100" w:left="200"/>
              <w:rPr>
                <w:lang w:val="en-US"/>
              </w:rPr>
            </w:pPr>
          </w:p>
        </w:tc>
        <w:tc>
          <w:tcPr>
            <w:tcW w:w="3260" w:type="dxa"/>
          </w:tcPr>
          <w:p w14:paraId="7533C094" w14:textId="77777777" w:rsidR="00193C4D" w:rsidRPr="00193C4D" w:rsidRDefault="00193C4D" w:rsidP="00C9628F">
            <w:pPr>
              <w:spacing w:line="280" w:lineRule="exact"/>
              <w:rPr>
                <w:lang w:val="en-US"/>
              </w:rPr>
            </w:pPr>
            <w:r w:rsidRPr="00193C4D">
              <w:rPr>
                <w:lang w:val="en-US"/>
              </w:rPr>
              <w:t>Since 1972</w:t>
            </w:r>
          </w:p>
          <w:p w14:paraId="5D6FDDC8" w14:textId="77777777" w:rsidR="00193C4D" w:rsidRPr="00193C4D" w:rsidRDefault="00193C4D" w:rsidP="00C9628F">
            <w:pPr>
              <w:spacing w:line="280" w:lineRule="exact"/>
              <w:rPr>
                <w:lang w:val="en-US"/>
              </w:rPr>
            </w:pPr>
            <w:r w:rsidRPr="00193C4D">
              <w:rPr>
                <w:lang w:val="en-US"/>
              </w:rPr>
              <w:t>(Reliable data is available since 1995. Several monitoring sites were altered in 2010.)</w:t>
            </w:r>
          </w:p>
          <w:p w14:paraId="279C30C7" w14:textId="77777777" w:rsidR="00193C4D" w:rsidRPr="00193C4D" w:rsidRDefault="00193C4D" w:rsidP="00C9628F">
            <w:pPr>
              <w:spacing w:line="280" w:lineRule="exact"/>
              <w:rPr>
                <w:lang w:val="en-US"/>
              </w:rPr>
            </w:pPr>
            <w:r w:rsidRPr="00193C4D">
              <w:rPr>
                <w:lang w:val="en-US"/>
              </w:rPr>
              <w:t>Seasonally (1-4 times per year in each site)</w:t>
            </w:r>
          </w:p>
        </w:tc>
        <w:tc>
          <w:tcPr>
            <w:tcW w:w="4959" w:type="dxa"/>
            <w:tcBorders>
              <w:bottom w:val="single" w:sz="4" w:space="0" w:color="auto"/>
            </w:tcBorders>
          </w:tcPr>
          <w:p w14:paraId="2E080415" w14:textId="77777777" w:rsidR="00193C4D" w:rsidRPr="00193C4D" w:rsidRDefault="00193C4D" w:rsidP="00C9628F">
            <w:pPr>
              <w:spacing w:line="280" w:lineRule="exact"/>
              <w:rPr>
                <w:lang w:val="en-US"/>
              </w:rPr>
            </w:pPr>
            <w:r w:rsidRPr="00193C4D">
              <w:rPr>
                <w:lang w:val="en-US"/>
              </w:rPr>
              <w:t>Monitoring results until FY2016 are available as individual data. The dataset includes sampling date, latitude/longitude, sampling depth, water temperature, salinity, and concentrations of cadmium.</w:t>
            </w:r>
            <w:r w:rsidRPr="00193C4D" w:rsidDel="00F8584E">
              <w:rPr>
                <w:lang w:val="en-US"/>
              </w:rPr>
              <w:t xml:space="preserve"> </w:t>
            </w:r>
          </w:p>
        </w:tc>
      </w:tr>
    </w:tbl>
    <w:p w14:paraId="580AF6AA"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 xml:space="preserve">References </w:t>
      </w:r>
      <w:r w:rsidRPr="00193C4D">
        <w:rPr>
          <w:sz w:val="18"/>
          <w:szCs w:val="18"/>
          <w:lang w:val="en-US"/>
        </w:rPr>
        <w:tab/>
        <w:t>[1]</w:t>
      </w:r>
      <w:r w:rsidRPr="00193C4D">
        <w:rPr>
          <w:sz w:val="18"/>
          <w:szCs w:val="18"/>
          <w:lang w:val="en-US"/>
        </w:rPr>
        <w:tab/>
        <w:t>JMA. “Annual Report on Atmospheric and Marine Environment Monitoring Data”, Online: https://www.data.jma.go.jp/gmd/env/data/report/data/index_e.html</w:t>
      </w:r>
    </w:p>
    <w:p w14:paraId="37A5C72D"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[2]</w:t>
      </w:r>
      <w:r w:rsidRPr="00193C4D">
        <w:rPr>
          <w:sz w:val="18"/>
          <w:szCs w:val="18"/>
          <w:lang w:val="en-US"/>
        </w:rPr>
        <w:tab/>
        <w:t>JMA. “Chemical analysis of precipitation and dry deposition”, Online: https://www.data.jma.go.jp/gmd/env/acid/acid_obs.html (in Japanese).</w:t>
      </w:r>
    </w:p>
    <w:p w14:paraId="6DD6E701"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[3]</w:t>
      </w:r>
      <w:r w:rsidRPr="00193C4D">
        <w:rPr>
          <w:sz w:val="18"/>
          <w:szCs w:val="18"/>
          <w:lang w:val="en-US"/>
        </w:rPr>
        <w:tab/>
        <w:t>JMA, 2015. “Health Diagnosis of the Ocean, Comprehensive Diagnosis Result - rev. 2”, Online: http://www.data.jma.go.jp/kaiyou/shindan/sougou/index.html (in Japanese).</w:t>
      </w:r>
    </w:p>
    <w:p w14:paraId="68691383" w14:textId="77777777" w:rsidR="00193C4D" w:rsidRPr="00193C4D" w:rsidRDefault="00193C4D" w:rsidP="00193C4D">
      <w:pPr>
        <w:rPr>
          <w:lang w:val="en-US"/>
        </w:rPr>
      </w:pPr>
    </w:p>
    <w:p w14:paraId="221E7610" w14:textId="77777777" w:rsidR="00193C4D" w:rsidRPr="00193C4D" w:rsidRDefault="00193C4D" w:rsidP="00193C4D">
      <w:pPr>
        <w:rPr>
          <w:lang w:val="en-US"/>
        </w:rPr>
      </w:pPr>
    </w:p>
    <w:p w14:paraId="05A405C1" w14:textId="77777777" w:rsidR="00193C4D" w:rsidRPr="00623446" w:rsidRDefault="00193C4D" w:rsidP="00193C4D">
      <w:pPr>
        <w:pStyle w:val="Caption"/>
        <w:jc w:val="center"/>
        <w:rPr>
          <w:rFonts w:ascii="Times New Roman" w:hAnsi="Times New Roman"/>
        </w:rPr>
      </w:pPr>
      <w:r w:rsidRPr="00623446">
        <w:rPr>
          <w:rFonts w:ascii="Times New Roman" w:hAnsi="Times New Roman"/>
        </w:rPr>
        <w:t>Table 4. Monitoring conducted by Japan Coast Guard</w:t>
      </w:r>
    </w:p>
    <w:tbl>
      <w:tblPr>
        <w:tblW w:w="2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701"/>
        <w:gridCol w:w="1984"/>
        <w:gridCol w:w="3969"/>
        <w:gridCol w:w="3686"/>
        <w:gridCol w:w="2977"/>
        <w:gridCol w:w="5100"/>
      </w:tblGrid>
      <w:tr w:rsidR="00193C4D" w:rsidRPr="00193C4D" w14:paraId="15B69046" w14:textId="77777777" w:rsidTr="00C9628F">
        <w:trPr>
          <w:tblHeader/>
          <w:jc w:val="center"/>
        </w:trPr>
        <w:tc>
          <w:tcPr>
            <w:tcW w:w="1842" w:type="dxa"/>
            <w:tcBorders>
              <w:bottom w:val="double" w:sz="4" w:space="0" w:color="auto"/>
            </w:tcBorders>
            <w:shd w:val="clear" w:color="auto" w:fill="D9D9D9"/>
            <w:vAlign w:val="center"/>
          </w:tcPr>
          <w:p w14:paraId="007D6A99" w14:textId="77777777" w:rsidR="00193C4D" w:rsidRPr="00623446" w:rsidRDefault="00193C4D" w:rsidP="00C9628F">
            <w:pPr>
              <w:spacing w:line="280" w:lineRule="exact"/>
              <w:jc w:val="center"/>
            </w:pPr>
            <w:r w:rsidRPr="00623446">
              <w:t>Programme</w:t>
            </w:r>
          </w:p>
        </w:tc>
        <w:tc>
          <w:tcPr>
            <w:tcW w:w="1701" w:type="dxa"/>
            <w:tcBorders>
              <w:bottom w:val="double" w:sz="4" w:space="0" w:color="auto"/>
            </w:tcBorders>
            <w:shd w:val="clear" w:color="auto" w:fill="D9D9D9"/>
            <w:vAlign w:val="center"/>
          </w:tcPr>
          <w:p w14:paraId="666F2CDF" w14:textId="77777777" w:rsidR="00193C4D" w:rsidRPr="00623446" w:rsidRDefault="00193C4D" w:rsidP="00C9628F">
            <w:pPr>
              <w:spacing w:line="280" w:lineRule="exact"/>
              <w:jc w:val="center"/>
            </w:pPr>
            <w:r w:rsidRPr="00623446">
              <w:t>Media</w:t>
            </w:r>
          </w:p>
        </w:tc>
        <w:tc>
          <w:tcPr>
            <w:tcW w:w="1984" w:type="dxa"/>
            <w:tcBorders>
              <w:bottom w:val="double" w:sz="4" w:space="0" w:color="auto"/>
            </w:tcBorders>
            <w:shd w:val="clear" w:color="auto" w:fill="D9D9D9"/>
            <w:vAlign w:val="center"/>
          </w:tcPr>
          <w:p w14:paraId="5219572E" w14:textId="77777777" w:rsidR="00193C4D" w:rsidRPr="00623446" w:rsidRDefault="00193C4D" w:rsidP="00C9628F">
            <w:pPr>
              <w:spacing w:line="280" w:lineRule="exact"/>
              <w:jc w:val="center"/>
            </w:pPr>
            <w:r w:rsidRPr="00623446">
              <w:t>Mercury species</w:t>
            </w:r>
          </w:p>
        </w:tc>
        <w:tc>
          <w:tcPr>
            <w:tcW w:w="3969" w:type="dxa"/>
            <w:tcBorders>
              <w:bottom w:val="double" w:sz="4" w:space="0" w:color="auto"/>
            </w:tcBorders>
            <w:shd w:val="clear" w:color="auto" w:fill="D9D9D9"/>
            <w:vAlign w:val="center"/>
          </w:tcPr>
          <w:p w14:paraId="313261CB" w14:textId="77777777" w:rsidR="00193C4D" w:rsidRPr="00623446" w:rsidRDefault="00193C4D" w:rsidP="00C9628F">
            <w:pPr>
              <w:spacing w:line="280" w:lineRule="exact"/>
              <w:jc w:val="center"/>
            </w:pPr>
            <w:r w:rsidRPr="00623446">
              <w:t>Methodology / analytical method</w:t>
            </w:r>
          </w:p>
        </w:tc>
        <w:tc>
          <w:tcPr>
            <w:tcW w:w="3686" w:type="dxa"/>
            <w:tcBorders>
              <w:bottom w:val="double" w:sz="4" w:space="0" w:color="auto"/>
            </w:tcBorders>
            <w:shd w:val="clear" w:color="auto" w:fill="D9D9D9"/>
            <w:vAlign w:val="center"/>
          </w:tcPr>
          <w:p w14:paraId="74DE79AA" w14:textId="77777777" w:rsidR="00193C4D" w:rsidRPr="00623446" w:rsidRDefault="00193C4D" w:rsidP="00C9628F">
            <w:pPr>
              <w:spacing w:line="280" w:lineRule="exact"/>
              <w:jc w:val="center"/>
            </w:pPr>
            <w:r w:rsidRPr="00623446">
              <w:t>Location / number of samples</w:t>
            </w:r>
          </w:p>
        </w:tc>
        <w:tc>
          <w:tcPr>
            <w:tcW w:w="2977" w:type="dxa"/>
            <w:tcBorders>
              <w:bottom w:val="double" w:sz="4" w:space="0" w:color="auto"/>
            </w:tcBorders>
            <w:shd w:val="clear" w:color="auto" w:fill="D9D9D9"/>
            <w:vAlign w:val="center"/>
          </w:tcPr>
          <w:p w14:paraId="15EE758F" w14:textId="77777777" w:rsidR="00193C4D" w:rsidRPr="00623446" w:rsidRDefault="00193C4D" w:rsidP="00C9628F">
            <w:pPr>
              <w:spacing w:line="280" w:lineRule="exact"/>
              <w:jc w:val="center"/>
            </w:pPr>
            <w:r w:rsidRPr="00623446">
              <w:t>Monitoring period and frequency</w:t>
            </w:r>
          </w:p>
        </w:tc>
        <w:tc>
          <w:tcPr>
            <w:tcW w:w="5100" w:type="dxa"/>
            <w:tcBorders>
              <w:bottom w:val="double" w:sz="4" w:space="0" w:color="auto"/>
            </w:tcBorders>
            <w:shd w:val="clear" w:color="auto" w:fill="D9D9D9"/>
            <w:vAlign w:val="center"/>
          </w:tcPr>
          <w:p w14:paraId="782099BB" w14:textId="77777777" w:rsidR="00193C4D" w:rsidRPr="00193C4D" w:rsidRDefault="00193C4D" w:rsidP="00C9628F">
            <w:pPr>
              <w:spacing w:line="280" w:lineRule="exact"/>
              <w:jc w:val="center"/>
              <w:rPr>
                <w:lang w:val="en-US"/>
              </w:rPr>
            </w:pPr>
            <w:r w:rsidRPr="00193C4D">
              <w:rPr>
                <w:lang w:val="en-US"/>
              </w:rPr>
              <w:t>Details of available data (as of January 2019)</w:t>
            </w:r>
          </w:p>
        </w:tc>
      </w:tr>
      <w:tr w:rsidR="00193C4D" w:rsidRPr="00193C4D" w14:paraId="1DA63BAC" w14:textId="77777777" w:rsidTr="00C9628F">
        <w:trPr>
          <w:trHeight w:val="735"/>
          <w:jc w:val="center"/>
        </w:trPr>
        <w:tc>
          <w:tcPr>
            <w:tcW w:w="1842" w:type="dxa"/>
          </w:tcPr>
          <w:p w14:paraId="17C9924B" w14:textId="77777777" w:rsidR="00193C4D" w:rsidRPr="00193C4D" w:rsidRDefault="00193C4D" w:rsidP="00C9628F">
            <w:pPr>
              <w:spacing w:line="280" w:lineRule="exact"/>
              <w:rPr>
                <w:vertAlign w:val="superscript"/>
                <w:lang w:val="en-US"/>
              </w:rPr>
            </w:pPr>
            <w:r w:rsidRPr="00193C4D">
              <w:rPr>
                <w:lang w:val="en-US"/>
              </w:rPr>
              <w:t xml:space="preserve">Report of Marine Pollution </w:t>
            </w:r>
            <w:proofErr w:type="gramStart"/>
            <w:r w:rsidRPr="00193C4D">
              <w:rPr>
                <w:lang w:val="en-US"/>
              </w:rPr>
              <w:t>Surveys</w:t>
            </w:r>
            <w:r w:rsidRPr="00193C4D">
              <w:rPr>
                <w:vertAlign w:val="superscript"/>
                <w:lang w:val="en-US"/>
              </w:rPr>
              <w:t>[</w:t>
            </w:r>
            <w:proofErr w:type="gramEnd"/>
            <w:r w:rsidRPr="00193C4D">
              <w:rPr>
                <w:vertAlign w:val="superscript"/>
                <w:lang w:val="en-US"/>
              </w:rPr>
              <w:t>1]</w:t>
            </w:r>
          </w:p>
        </w:tc>
        <w:tc>
          <w:tcPr>
            <w:tcW w:w="1701" w:type="dxa"/>
            <w:tcBorders>
              <w:bottom w:val="single" w:sz="4" w:space="0" w:color="auto"/>
            </w:tcBorders>
            <w:shd w:val="clear" w:color="auto" w:fill="auto"/>
          </w:tcPr>
          <w:p w14:paraId="2AFDF7F3" w14:textId="77777777" w:rsidR="00193C4D" w:rsidRPr="00193C4D" w:rsidRDefault="00193C4D" w:rsidP="00C9628F">
            <w:pPr>
              <w:spacing w:line="280" w:lineRule="exact"/>
              <w:ind w:rightChars="-50" w:right="-100"/>
              <w:rPr>
                <w:lang w:val="es-ES"/>
              </w:rPr>
            </w:pPr>
            <w:r w:rsidRPr="00193C4D">
              <w:rPr>
                <w:lang w:val="es-ES"/>
              </w:rPr>
              <w:t>Surface sea water</w:t>
            </w:r>
          </w:p>
          <w:p w14:paraId="6C1E01A9" w14:textId="77777777" w:rsidR="00193C4D" w:rsidRPr="00193C4D" w:rsidRDefault="00193C4D" w:rsidP="00C9628F">
            <w:pPr>
              <w:spacing w:line="280" w:lineRule="exact"/>
              <w:rPr>
                <w:lang w:val="es-ES"/>
              </w:rPr>
            </w:pPr>
            <w:r w:rsidRPr="00193C4D">
              <w:rPr>
                <w:lang w:val="es-ES"/>
              </w:rPr>
              <w:t>Sea sediment</w:t>
            </w:r>
          </w:p>
        </w:tc>
        <w:tc>
          <w:tcPr>
            <w:tcW w:w="1984" w:type="dxa"/>
            <w:tcBorders>
              <w:bottom w:val="single" w:sz="4" w:space="0" w:color="auto"/>
            </w:tcBorders>
            <w:shd w:val="clear" w:color="auto" w:fill="auto"/>
          </w:tcPr>
          <w:p w14:paraId="5632AF2C" w14:textId="77777777" w:rsidR="00193C4D" w:rsidRPr="00623446" w:rsidRDefault="00193C4D" w:rsidP="00C9628F">
            <w:pPr>
              <w:spacing w:line="280" w:lineRule="exact"/>
            </w:pPr>
            <w:r w:rsidRPr="00623446">
              <w:t>THg</w:t>
            </w:r>
          </w:p>
        </w:tc>
        <w:tc>
          <w:tcPr>
            <w:tcW w:w="3969" w:type="dxa"/>
          </w:tcPr>
          <w:p w14:paraId="717711B5" w14:textId="77777777" w:rsidR="00193C4D" w:rsidRPr="00193C4D" w:rsidRDefault="00193C4D" w:rsidP="00C9628F">
            <w:pPr>
              <w:spacing w:line="280" w:lineRule="exact"/>
              <w:ind w:left="200" w:hangingChars="100" w:hanging="200"/>
              <w:rPr>
                <w:lang w:val="en-US"/>
              </w:rPr>
            </w:pPr>
            <w:r w:rsidRPr="00193C4D">
              <w:rPr>
                <w:lang w:val="en-US"/>
              </w:rPr>
              <w:t>Seawater: Atomic fluorescence spectrometry (cold vapor method) with reduced vaporization and gold trap separation</w:t>
            </w:r>
          </w:p>
          <w:p w14:paraId="7FEF4E14" w14:textId="77777777" w:rsidR="00193C4D" w:rsidRPr="00193C4D" w:rsidRDefault="00193C4D" w:rsidP="00C9628F">
            <w:pPr>
              <w:spacing w:line="280" w:lineRule="exact"/>
              <w:ind w:left="200" w:hangingChars="100" w:hanging="200"/>
              <w:rPr>
                <w:lang w:val="en-US"/>
              </w:rPr>
            </w:pPr>
            <w:r w:rsidRPr="00193C4D">
              <w:rPr>
                <w:lang w:val="en-US"/>
              </w:rPr>
              <w:t>Sediment: Atomic absorption spectrophotometry (cold vapor method) with heating vaporization, and in turn gold trap separation</w:t>
            </w:r>
          </w:p>
        </w:tc>
        <w:tc>
          <w:tcPr>
            <w:tcW w:w="3686" w:type="dxa"/>
            <w:tcBorders>
              <w:top w:val="dotted" w:sz="4" w:space="0" w:color="auto"/>
            </w:tcBorders>
          </w:tcPr>
          <w:p w14:paraId="1A9342E3" w14:textId="77777777" w:rsidR="00193C4D" w:rsidRPr="00193C4D" w:rsidRDefault="00193C4D" w:rsidP="00C9628F">
            <w:pPr>
              <w:spacing w:line="280" w:lineRule="exact"/>
              <w:rPr>
                <w:lang w:val="en-US"/>
              </w:rPr>
            </w:pPr>
            <w:r w:rsidRPr="00193C4D">
              <w:rPr>
                <w:lang w:val="en-US"/>
              </w:rPr>
              <w:t>13 coastal seas, 53 sites (including Tokyo Bay, Ise Bay, and Osaka Bay) and offshore sea area 10 sites</w:t>
            </w:r>
          </w:p>
          <w:p w14:paraId="1E79CE6A" w14:textId="77777777" w:rsidR="00193C4D" w:rsidRPr="00193C4D" w:rsidRDefault="00193C4D" w:rsidP="00C9628F">
            <w:pPr>
              <w:spacing w:line="280" w:lineRule="exact"/>
              <w:rPr>
                <w:lang w:val="en-US"/>
              </w:rPr>
            </w:pPr>
          </w:p>
        </w:tc>
        <w:tc>
          <w:tcPr>
            <w:tcW w:w="2977" w:type="dxa"/>
            <w:tcBorders>
              <w:top w:val="dotted" w:sz="4" w:space="0" w:color="auto"/>
            </w:tcBorders>
          </w:tcPr>
          <w:p w14:paraId="41F08B14" w14:textId="77777777" w:rsidR="00193C4D" w:rsidRPr="00623446" w:rsidRDefault="00193C4D" w:rsidP="00C9628F">
            <w:pPr>
              <w:spacing w:line="280" w:lineRule="exact"/>
              <w:ind w:left="510" w:hangingChars="255" w:hanging="510"/>
            </w:pPr>
            <w:r w:rsidRPr="00623446">
              <w:t>Since 1973</w:t>
            </w:r>
          </w:p>
          <w:p w14:paraId="44145E8C" w14:textId="77777777" w:rsidR="00193C4D" w:rsidRPr="00623446" w:rsidRDefault="00193C4D" w:rsidP="00C9628F">
            <w:pPr>
              <w:spacing w:line="280" w:lineRule="exact"/>
              <w:ind w:left="510" w:hangingChars="255" w:hanging="510"/>
            </w:pPr>
            <w:r w:rsidRPr="00623446">
              <w:t>Annually</w:t>
            </w:r>
          </w:p>
        </w:tc>
        <w:tc>
          <w:tcPr>
            <w:tcW w:w="5100" w:type="dxa"/>
          </w:tcPr>
          <w:p w14:paraId="5C7C0A5B" w14:textId="77777777" w:rsidR="00193C4D" w:rsidRPr="00193C4D" w:rsidRDefault="00193C4D" w:rsidP="00C9628F">
            <w:pPr>
              <w:spacing w:line="280" w:lineRule="exact"/>
              <w:rPr>
                <w:lang w:val="en-US"/>
              </w:rPr>
            </w:pPr>
            <w:r w:rsidRPr="00193C4D">
              <w:rPr>
                <w:lang w:val="en-US"/>
              </w:rPr>
              <w:t>Monitoring results until FY2016 are available as individual data. The dataset includes sampling date, latitude/longitude, and depth.</w:t>
            </w:r>
            <w:r w:rsidRPr="00193C4D" w:rsidDel="00515885">
              <w:rPr>
                <w:lang w:val="en-US"/>
              </w:rPr>
              <w:t xml:space="preserve"> </w:t>
            </w:r>
            <w:r w:rsidRPr="00193C4D">
              <w:rPr>
                <w:lang w:val="en-US"/>
              </w:rPr>
              <w:t>Sea water monitoring additionally include sampling depth, water temperature, salinity, pH, dissolved oxygen, chemical oxygen demand, concentrations of oil (Aliphatic Hydrocarbons) and cadmium. Sediment monitoring results include ignition loss, particle size distribution, bottom character, concentrations of oil (Aliphatic Hydrocarbons), PCB, TBT, cadmium, copper, zinc, chromium, and lead.</w:t>
            </w:r>
          </w:p>
        </w:tc>
      </w:tr>
    </w:tbl>
    <w:p w14:paraId="0D4BFD92"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 xml:space="preserve">References </w:t>
      </w:r>
      <w:r w:rsidRPr="00193C4D">
        <w:rPr>
          <w:sz w:val="18"/>
          <w:szCs w:val="18"/>
          <w:lang w:val="en-US"/>
        </w:rPr>
        <w:tab/>
        <w:t>[1]</w:t>
      </w:r>
      <w:r w:rsidRPr="00193C4D">
        <w:rPr>
          <w:sz w:val="18"/>
          <w:szCs w:val="18"/>
          <w:lang w:val="en-US"/>
        </w:rPr>
        <w:tab/>
        <w:t>The Hydrographic and Oceanographic Department, Japan Coast Guard. “Report of Marine Pollution Surveys”, Online: http://www1.kaiho.mlit.go.jp/KANKYO/OSEN/osen.html (in Japanese).</w:t>
      </w:r>
    </w:p>
    <w:p w14:paraId="374B737A" w14:textId="77777777" w:rsidR="00193C4D" w:rsidRPr="00193C4D" w:rsidRDefault="00193C4D" w:rsidP="00193C4D">
      <w:pPr>
        <w:ind w:leftChars="337" w:left="674"/>
        <w:rPr>
          <w:lang w:val="en-US"/>
        </w:rPr>
      </w:pPr>
    </w:p>
    <w:p w14:paraId="6499D3F4" w14:textId="77777777" w:rsidR="00193C4D" w:rsidRPr="00193C4D" w:rsidRDefault="00193C4D" w:rsidP="00193C4D">
      <w:pPr>
        <w:spacing w:line="100" w:lineRule="exact"/>
        <w:ind w:leftChars="337" w:left="674"/>
        <w:rPr>
          <w:lang w:val="en-US"/>
        </w:rPr>
      </w:pPr>
      <w:r w:rsidRPr="00193C4D">
        <w:rPr>
          <w:lang w:val="en-US"/>
        </w:rPr>
        <w:br w:type="page"/>
      </w:r>
    </w:p>
    <w:p w14:paraId="7C65202A" w14:textId="77777777" w:rsidR="00193C4D" w:rsidRPr="00623446" w:rsidRDefault="00193C4D" w:rsidP="00193C4D">
      <w:pPr>
        <w:pStyle w:val="Caption"/>
        <w:jc w:val="center"/>
        <w:rPr>
          <w:rFonts w:ascii="Times New Roman" w:hAnsi="Times New Roman"/>
        </w:rPr>
      </w:pPr>
      <w:r w:rsidRPr="00623446">
        <w:rPr>
          <w:rFonts w:ascii="Times New Roman" w:hAnsi="Times New Roman"/>
        </w:rPr>
        <w:lastRenderedPageBreak/>
        <w:t>Table 5. Monitoring conducted by Ministry of Agriculture, Forestry and Fisheries (MAFF)</w:t>
      </w:r>
    </w:p>
    <w:tbl>
      <w:tblPr>
        <w:tblW w:w="2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43"/>
        <w:gridCol w:w="1984"/>
        <w:gridCol w:w="3969"/>
        <w:gridCol w:w="3828"/>
        <w:gridCol w:w="2976"/>
        <w:gridCol w:w="4959"/>
      </w:tblGrid>
      <w:tr w:rsidR="00193C4D" w:rsidRPr="00193C4D" w14:paraId="16F4FA68" w14:textId="77777777" w:rsidTr="00C9628F">
        <w:trPr>
          <w:tblHeader/>
          <w:jc w:val="center"/>
        </w:trPr>
        <w:tc>
          <w:tcPr>
            <w:tcW w:w="1700" w:type="dxa"/>
            <w:tcBorders>
              <w:bottom w:val="double" w:sz="4" w:space="0" w:color="auto"/>
            </w:tcBorders>
            <w:shd w:val="clear" w:color="auto" w:fill="D9D9D9"/>
            <w:vAlign w:val="center"/>
          </w:tcPr>
          <w:p w14:paraId="4E8FD402" w14:textId="77777777" w:rsidR="00193C4D" w:rsidRPr="00623446" w:rsidRDefault="00193C4D" w:rsidP="00C9628F">
            <w:pPr>
              <w:spacing w:line="280" w:lineRule="exact"/>
              <w:jc w:val="center"/>
            </w:pPr>
            <w:r w:rsidRPr="00623446">
              <w:t>Programme</w:t>
            </w:r>
          </w:p>
        </w:tc>
        <w:tc>
          <w:tcPr>
            <w:tcW w:w="1843" w:type="dxa"/>
            <w:tcBorders>
              <w:bottom w:val="double" w:sz="4" w:space="0" w:color="auto"/>
            </w:tcBorders>
            <w:shd w:val="clear" w:color="auto" w:fill="D9D9D9"/>
            <w:vAlign w:val="center"/>
          </w:tcPr>
          <w:p w14:paraId="7EC5282A" w14:textId="77777777" w:rsidR="00193C4D" w:rsidRPr="00623446" w:rsidRDefault="00193C4D" w:rsidP="00C9628F">
            <w:pPr>
              <w:spacing w:line="280" w:lineRule="exact"/>
              <w:jc w:val="center"/>
            </w:pPr>
            <w:r w:rsidRPr="00623446">
              <w:t>Media</w:t>
            </w:r>
          </w:p>
        </w:tc>
        <w:tc>
          <w:tcPr>
            <w:tcW w:w="1984" w:type="dxa"/>
            <w:tcBorders>
              <w:bottom w:val="double" w:sz="4" w:space="0" w:color="auto"/>
            </w:tcBorders>
            <w:shd w:val="clear" w:color="auto" w:fill="D9D9D9"/>
            <w:vAlign w:val="center"/>
          </w:tcPr>
          <w:p w14:paraId="6CA2D27C" w14:textId="77777777" w:rsidR="00193C4D" w:rsidRPr="00623446" w:rsidRDefault="00193C4D" w:rsidP="00C9628F">
            <w:pPr>
              <w:spacing w:line="280" w:lineRule="exact"/>
              <w:jc w:val="center"/>
            </w:pPr>
            <w:r w:rsidRPr="00623446">
              <w:t>Mercury species</w:t>
            </w:r>
          </w:p>
        </w:tc>
        <w:tc>
          <w:tcPr>
            <w:tcW w:w="3969" w:type="dxa"/>
            <w:tcBorders>
              <w:bottom w:val="double" w:sz="4" w:space="0" w:color="auto"/>
            </w:tcBorders>
            <w:shd w:val="clear" w:color="auto" w:fill="D9D9D9"/>
            <w:vAlign w:val="center"/>
          </w:tcPr>
          <w:p w14:paraId="3D71C95F" w14:textId="77777777" w:rsidR="00193C4D" w:rsidRPr="00623446" w:rsidRDefault="00193C4D" w:rsidP="00C9628F">
            <w:pPr>
              <w:spacing w:line="280" w:lineRule="exact"/>
              <w:jc w:val="center"/>
            </w:pPr>
            <w:r w:rsidRPr="00623446">
              <w:t>Methodology / analytical method</w:t>
            </w:r>
          </w:p>
        </w:tc>
        <w:tc>
          <w:tcPr>
            <w:tcW w:w="3828" w:type="dxa"/>
            <w:tcBorders>
              <w:bottom w:val="double" w:sz="4" w:space="0" w:color="auto"/>
            </w:tcBorders>
            <w:shd w:val="clear" w:color="auto" w:fill="D9D9D9"/>
            <w:vAlign w:val="center"/>
          </w:tcPr>
          <w:p w14:paraId="514711C2" w14:textId="77777777" w:rsidR="00193C4D" w:rsidRPr="00623446" w:rsidRDefault="00193C4D" w:rsidP="00C9628F">
            <w:pPr>
              <w:spacing w:line="280" w:lineRule="exact"/>
              <w:jc w:val="center"/>
            </w:pPr>
            <w:r w:rsidRPr="00623446">
              <w:t>Location / number of samples</w:t>
            </w:r>
          </w:p>
        </w:tc>
        <w:tc>
          <w:tcPr>
            <w:tcW w:w="2976" w:type="dxa"/>
            <w:tcBorders>
              <w:bottom w:val="double" w:sz="4" w:space="0" w:color="auto"/>
            </w:tcBorders>
            <w:shd w:val="clear" w:color="auto" w:fill="D9D9D9"/>
            <w:vAlign w:val="center"/>
          </w:tcPr>
          <w:p w14:paraId="2E812DEC" w14:textId="77777777" w:rsidR="00193C4D" w:rsidRPr="00623446" w:rsidRDefault="00193C4D" w:rsidP="00C9628F">
            <w:pPr>
              <w:spacing w:line="280" w:lineRule="exact"/>
              <w:jc w:val="center"/>
            </w:pPr>
            <w:r w:rsidRPr="00623446">
              <w:t>Monitoring period and frequency</w:t>
            </w:r>
          </w:p>
        </w:tc>
        <w:tc>
          <w:tcPr>
            <w:tcW w:w="4959" w:type="dxa"/>
            <w:tcBorders>
              <w:bottom w:val="double" w:sz="4" w:space="0" w:color="auto"/>
            </w:tcBorders>
            <w:shd w:val="clear" w:color="auto" w:fill="D9D9D9"/>
            <w:vAlign w:val="center"/>
          </w:tcPr>
          <w:p w14:paraId="2CCB8689" w14:textId="77777777" w:rsidR="00193C4D" w:rsidRPr="00193C4D" w:rsidRDefault="00193C4D" w:rsidP="00C9628F">
            <w:pPr>
              <w:spacing w:line="280" w:lineRule="exact"/>
              <w:jc w:val="center"/>
              <w:rPr>
                <w:lang w:val="en-US"/>
              </w:rPr>
            </w:pPr>
            <w:r w:rsidRPr="00193C4D">
              <w:rPr>
                <w:lang w:val="en-US"/>
              </w:rPr>
              <w:t>Details of available data (as of January 2019)</w:t>
            </w:r>
          </w:p>
        </w:tc>
      </w:tr>
      <w:tr w:rsidR="00193C4D" w:rsidRPr="00193C4D" w14:paraId="6F32DDF6" w14:textId="77777777" w:rsidTr="00C9628F">
        <w:trPr>
          <w:trHeight w:val="735"/>
          <w:jc w:val="center"/>
        </w:trPr>
        <w:tc>
          <w:tcPr>
            <w:tcW w:w="1700" w:type="dxa"/>
            <w:vMerge w:val="restart"/>
          </w:tcPr>
          <w:p w14:paraId="4F3729F1" w14:textId="77777777" w:rsidR="00193C4D" w:rsidRPr="00193C4D" w:rsidRDefault="00193C4D" w:rsidP="00C9628F">
            <w:pPr>
              <w:spacing w:line="280" w:lineRule="exact"/>
              <w:rPr>
                <w:vertAlign w:val="superscript"/>
                <w:lang w:val="en-US"/>
              </w:rPr>
            </w:pPr>
            <w:r w:rsidRPr="00193C4D">
              <w:rPr>
                <w:lang w:val="en-US"/>
              </w:rPr>
              <w:t xml:space="preserve">Monitoring for Chemical Hazards in </w:t>
            </w:r>
            <w:proofErr w:type="gramStart"/>
            <w:r w:rsidRPr="00193C4D">
              <w:rPr>
                <w:lang w:val="en-US"/>
              </w:rPr>
              <w:t>Foods</w:t>
            </w:r>
            <w:r w:rsidRPr="00193C4D">
              <w:rPr>
                <w:vertAlign w:val="superscript"/>
                <w:lang w:val="en-US"/>
              </w:rPr>
              <w:t>[</w:t>
            </w:r>
            <w:proofErr w:type="gramEnd"/>
            <w:r w:rsidRPr="00193C4D">
              <w:rPr>
                <w:vertAlign w:val="superscript"/>
                <w:lang w:val="en-US"/>
              </w:rPr>
              <w:t>1], [2], [3], [4]</w:t>
            </w:r>
          </w:p>
        </w:tc>
        <w:tc>
          <w:tcPr>
            <w:tcW w:w="1843" w:type="dxa"/>
            <w:tcBorders>
              <w:bottom w:val="single" w:sz="4" w:space="0" w:color="auto"/>
            </w:tcBorders>
            <w:shd w:val="clear" w:color="auto" w:fill="auto"/>
          </w:tcPr>
          <w:p w14:paraId="1250EB4E" w14:textId="77777777" w:rsidR="00193C4D" w:rsidRPr="00193C4D" w:rsidRDefault="00193C4D" w:rsidP="00C9628F">
            <w:pPr>
              <w:spacing w:line="280" w:lineRule="exact"/>
              <w:rPr>
                <w:lang w:val="en-US"/>
              </w:rPr>
            </w:pPr>
            <w:r w:rsidRPr="00193C4D">
              <w:rPr>
                <w:lang w:val="en-US"/>
              </w:rPr>
              <w:t>Food</w:t>
            </w:r>
          </w:p>
          <w:p w14:paraId="455FC044" w14:textId="77777777" w:rsidR="00193C4D" w:rsidRPr="00193C4D" w:rsidRDefault="00193C4D" w:rsidP="00C9628F">
            <w:pPr>
              <w:spacing w:line="280" w:lineRule="exact"/>
              <w:ind w:leftChars="50" w:left="230" w:hangingChars="65" w:hanging="130"/>
              <w:rPr>
                <w:lang w:val="en-US"/>
              </w:rPr>
            </w:pPr>
            <w:r w:rsidRPr="00193C4D">
              <w:rPr>
                <w:lang w:val="en-US"/>
              </w:rPr>
              <w:t>- Agricultural products</w:t>
            </w:r>
          </w:p>
          <w:p w14:paraId="055FBBA3" w14:textId="77777777" w:rsidR="00193C4D" w:rsidRPr="00193C4D" w:rsidRDefault="00193C4D" w:rsidP="00C9628F">
            <w:pPr>
              <w:spacing w:line="280" w:lineRule="exact"/>
              <w:ind w:leftChars="50" w:left="230" w:hangingChars="65" w:hanging="130"/>
              <w:rPr>
                <w:lang w:val="en-US"/>
              </w:rPr>
            </w:pPr>
            <w:r w:rsidRPr="00193C4D">
              <w:rPr>
                <w:lang w:val="en-US"/>
              </w:rPr>
              <w:t>- Fishery products</w:t>
            </w:r>
          </w:p>
        </w:tc>
        <w:tc>
          <w:tcPr>
            <w:tcW w:w="1984" w:type="dxa"/>
            <w:tcBorders>
              <w:bottom w:val="single" w:sz="4" w:space="0" w:color="auto"/>
            </w:tcBorders>
            <w:shd w:val="clear" w:color="auto" w:fill="auto"/>
          </w:tcPr>
          <w:p w14:paraId="44AE01E7" w14:textId="77777777" w:rsidR="00193C4D" w:rsidRPr="00193C4D" w:rsidRDefault="00193C4D" w:rsidP="00C9628F">
            <w:pPr>
              <w:spacing w:line="280" w:lineRule="exact"/>
              <w:rPr>
                <w:lang w:val="en-US"/>
              </w:rPr>
            </w:pPr>
            <w:r w:rsidRPr="00193C4D">
              <w:rPr>
                <w:lang w:val="en-US"/>
              </w:rPr>
              <w:t>Agricultural products: THg</w:t>
            </w:r>
          </w:p>
          <w:p w14:paraId="628BE2C4" w14:textId="77777777" w:rsidR="00193C4D" w:rsidRPr="00193C4D" w:rsidRDefault="00193C4D" w:rsidP="00C9628F">
            <w:pPr>
              <w:spacing w:line="280" w:lineRule="exact"/>
              <w:rPr>
                <w:lang w:val="en-US"/>
              </w:rPr>
            </w:pPr>
          </w:p>
          <w:p w14:paraId="2B876FF7" w14:textId="77777777" w:rsidR="00193C4D" w:rsidRPr="00193C4D" w:rsidRDefault="00193C4D" w:rsidP="00C9628F">
            <w:pPr>
              <w:spacing w:line="280" w:lineRule="exact"/>
              <w:rPr>
                <w:lang w:val="en-US"/>
              </w:rPr>
            </w:pPr>
            <w:r w:rsidRPr="00193C4D">
              <w:rPr>
                <w:lang w:val="en-US"/>
              </w:rPr>
              <w:t>Fishery products: THg, MeHg</w:t>
            </w:r>
          </w:p>
        </w:tc>
        <w:tc>
          <w:tcPr>
            <w:tcW w:w="3969" w:type="dxa"/>
          </w:tcPr>
          <w:p w14:paraId="05DF2CC1" w14:textId="77777777" w:rsidR="00193C4D" w:rsidRPr="00193C4D" w:rsidRDefault="00193C4D" w:rsidP="00C9628F">
            <w:pPr>
              <w:spacing w:line="280" w:lineRule="exact"/>
              <w:rPr>
                <w:lang w:val="en-US"/>
              </w:rPr>
            </w:pPr>
            <w:r w:rsidRPr="00193C4D">
              <w:rPr>
                <w:lang w:val="en-US"/>
              </w:rPr>
              <w:t>Rice, wheat and soybeans were obtained from grain drying and processing facilities.  Vegetables and fruits were obtained from fields and collection/shipment facilities. Fishery products were obtained at main fishing ports and edible portion was used for analysis.</w:t>
            </w:r>
          </w:p>
          <w:p w14:paraId="5DC4894E" w14:textId="77777777" w:rsidR="00193C4D" w:rsidRPr="00193C4D" w:rsidRDefault="00193C4D" w:rsidP="00C9628F">
            <w:pPr>
              <w:spacing w:line="280" w:lineRule="exact"/>
              <w:rPr>
                <w:lang w:val="en-US"/>
              </w:rPr>
            </w:pPr>
          </w:p>
          <w:p w14:paraId="57D46115" w14:textId="77777777" w:rsidR="00193C4D" w:rsidRPr="00193C4D" w:rsidRDefault="00193C4D" w:rsidP="00C9628F">
            <w:pPr>
              <w:spacing w:line="280" w:lineRule="exact"/>
              <w:rPr>
                <w:lang w:val="en-US"/>
              </w:rPr>
            </w:pPr>
            <w:r w:rsidRPr="00193C4D">
              <w:rPr>
                <w:lang w:val="en-US"/>
              </w:rPr>
              <w:t>THg analysis of agricultural products:</w:t>
            </w:r>
          </w:p>
          <w:p w14:paraId="099D441D" w14:textId="77777777" w:rsidR="00193C4D" w:rsidRPr="00193C4D" w:rsidRDefault="00193C4D" w:rsidP="00C9628F">
            <w:pPr>
              <w:spacing w:line="280" w:lineRule="exact"/>
              <w:ind w:leftChars="100" w:left="200"/>
              <w:rPr>
                <w:lang w:val="en-US"/>
              </w:rPr>
            </w:pPr>
            <w:r w:rsidRPr="00193C4D">
              <w:rPr>
                <w:lang w:val="en-US"/>
              </w:rPr>
              <w:t>Wet digestion and atomic absorption spectrophotometry with reduced vaporization (Equivalent AOAC Official Method 971.21)</w:t>
            </w:r>
          </w:p>
          <w:p w14:paraId="714ACC12" w14:textId="77777777" w:rsidR="00193C4D" w:rsidRPr="00193C4D" w:rsidRDefault="00193C4D" w:rsidP="00C9628F">
            <w:pPr>
              <w:spacing w:line="280" w:lineRule="exact"/>
              <w:rPr>
                <w:lang w:val="en-US"/>
              </w:rPr>
            </w:pPr>
            <w:r w:rsidRPr="00193C4D">
              <w:rPr>
                <w:lang w:val="en-US"/>
              </w:rPr>
              <w:t>THg analysis of fishery products:</w:t>
            </w:r>
          </w:p>
          <w:p w14:paraId="5D83CFF0" w14:textId="77777777" w:rsidR="00193C4D" w:rsidRPr="00193C4D" w:rsidRDefault="00193C4D" w:rsidP="00C9628F">
            <w:pPr>
              <w:spacing w:line="280" w:lineRule="exact"/>
              <w:ind w:leftChars="100" w:left="200"/>
              <w:rPr>
                <w:lang w:val="en-US"/>
              </w:rPr>
            </w:pPr>
            <w:r w:rsidRPr="00193C4D">
              <w:rPr>
                <w:lang w:val="en-US"/>
              </w:rPr>
              <w:t>Using mercury analyzer HG-200 (Hiranuma Inc.) after digestion with nitric acid, perchloric acid and sulfuric acid.</w:t>
            </w:r>
          </w:p>
          <w:p w14:paraId="24CD1EB4" w14:textId="77777777" w:rsidR="00193C4D" w:rsidRPr="00193C4D" w:rsidRDefault="00193C4D" w:rsidP="00C9628F">
            <w:pPr>
              <w:spacing w:line="280" w:lineRule="exact"/>
              <w:rPr>
                <w:lang w:val="en-US"/>
              </w:rPr>
            </w:pPr>
            <w:r w:rsidRPr="00193C4D">
              <w:rPr>
                <w:lang w:val="en-US"/>
              </w:rPr>
              <w:t>MeHg analysis of fishery products:</w:t>
            </w:r>
          </w:p>
          <w:p w14:paraId="6C1FA42C" w14:textId="77777777" w:rsidR="00193C4D" w:rsidRPr="00193C4D" w:rsidRDefault="00193C4D" w:rsidP="00C9628F">
            <w:pPr>
              <w:spacing w:line="280" w:lineRule="exact"/>
              <w:ind w:leftChars="100" w:left="200"/>
              <w:rPr>
                <w:lang w:val="en-US"/>
              </w:rPr>
            </w:pPr>
            <w:r w:rsidRPr="00193C4D">
              <w:rPr>
                <w:lang w:val="en-US"/>
              </w:rPr>
              <w:t>Gas chromatography analysis after solvent extraction with solutions of chloric acid, benzene, cysteine</w:t>
            </w:r>
          </w:p>
        </w:tc>
        <w:tc>
          <w:tcPr>
            <w:tcW w:w="3828" w:type="dxa"/>
            <w:tcBorders>
              <w:top w:val="dotted" w:sz="4" w:space="0" w:color="auto"/>
            </w:tcBorders>
          </w:tcPr>
          <w:p w14:paraId="14EA2273" w14:textId="77777777" w:rsidR="00193C4D" w:rsidRPr="00193C4D" w:rsidRDefault="00193C4D" w:rsidP="00C9628F">
            <w:pPr>
              <w:spacing w:line="280" w:lineRule="exact"/>
              <w:rPr>
                <w:lang w:val="en-US"/>
              </w:rPr>
            </w:pPr>
            <w:r w:rsidRPr="00193C4D">
              <w:rPr>
                <w:lang w:val="en-US"/>
              </w:rPr>
              <w:t>Agricultural products: 31 food items (grains, beans, vegetables, fruits, etc.)</w:t>
            </w:r>
          </w:p>
          <w:p w14:paraId="75384FFE" w14:textId="77777777" w:rsidR="00193C4D" w:rsidRPr="00193C4D" w:rsidRDefault="00193C4D" w:rsidP="00C9628F">
            <w:pPr>
              <w:spacing w:line="280" w:lineRule="exact"/>
              <w:ind w:leftChars="50" w:left="200" w:hangingChars="50" w:hanging="100"/>
              <w:rPr>
                <w:lang w:val="en-US"/>
              </w:rPr>
            </w:pPr>
            <w:r w:rsidRPr="00193C4D">
              <w:rPr>
                <w:lang w:val="en-US"/>
              </w:rPr>
              <w:t>- Total 1,420 samples</w:t>
            </w:r>
          </w:p>
          <w:p w14:paraId="0C61C8A6" w14:textId="77777777" w:rsidR="00193C4D" w:rsidRPr="00193C4D" w:rsidRDefault="00193C4D" w:rsidP="00C9628F">
            <w:pPr>
              <w:spacing w:line="280" w:lineRule="exact"/>
              <w:rPr>
                <w:lang w:val="en-US"/>
              </w:rPr>
            </w:pPr>
            <w:r w:rsidRPr="00193C4D">
              <w:rPr>
                <w:lang w:val="en-US"/>
              </w:rPr>
              <w:t>Fishery products: Tunas, Marlins, Splendid alfonsino, Blue shark, Cods</w:t>
            </w:r>
          </w:p>
          <w:p w14:paraId="1E5B4812" w14:textId="77777777" w:rsidR="00193C4D" w:rsidRPr="00193C4D" w:rsidRDefault="00193C4D" w:rsidP="00C9628F">
            <w:pPr>
              <w:spacing w:line="280" w:lineRule="exact"/>
              <w:ind w:leftChars="50" w:left="200" w:hangingChars="50" w:hanging="100"/>
              <w:rPr>
                <w:lang w:val="en-US"/>
              </w:rPr>
            </w:pPr>
            <w:r w:rsidRPr="00193C4D">
              <w:rPr>
                <w:lang w:val="en-US"/>
              </w:rPr>
              <w:t>- Total 1,800 samples (120 samples for each 15 fish species) within 4 fiscal years</w:t>
            </w:r>
          </w:p>
        </w:tc>
        <w:tc>
          <w:tcPr>
            <w:tcW w:w="2976" w:type="dxa"/>
            <w:tcBorders>
              <w:top w:val="dotted" w:sz="4" w:space="0" w:color="auto"/>
            </w:tcBorders>
          </w:tcPr>
          <w:p w14:paraId="2EE8A41F" w14:textId="77777777" w:rsidR="00193C4D" w:rsidRPr="00193C4D" w:rsidRDefault="00193C4D" w:rsidP="00C9628F">
            <w:pPr>
              <w:spacing w:line="280" w:lineRule="exact"/>
              <w:rPr>
                <w:lang w:val="en-US"/>
              </w:rPr>
            </w:pPr>
            <w:r w:rsidRPr="00193C4D">
              <w:rPr>
                <w:lang w:val="en-US"/>
              </w:rPr>
              <w:t xml:space="preserve">Agricultural products: </w:t>
            </w:r>
          </w:p>
          <w:p w14:paraId="2DECFAFA" w14:textId="77777777" w:rsidR="00193C4D" w:rsidRPr="00193C4D" w:rsidRDefault="00193C4D" w:rsidP="00C9628F">
            <w:pPr>
              <w:spacing w:line="280" w:lineRule="exact"/>
              <w:ind w:firstLineChars="50" w:firstLine="100"/>
              <w:rPr>
                <w:lang w:val="en-US"/>
              </w:rPr>
            </w:pPr>
            <w:r w:rsidRPr="00193C4D">
              <w:rPr>
                <w:lang w:val="en-US"/>
              </w:rPr>
              <w:t>In FY2006</w:t>
            </w:r>
          </w:p>
          <w:p w14:paraId="776507C2" w14:textId="77777777" w:rsidR="00193C4D" w:rsidRPr="00193C4D" w:rsidRDefault="00193C4D" w:rsidP="00C9628F">
            <w:pPr>
              <w:spacing w:line="280" w:lineRule="exact"/>
              <w:rPr>
                <w:lang w:val="en-US"/>
              </w:rPr>
            </w:pPr>
            <w:r w:rsidRPr="00193C4D">
              <w:rPr>
                <w:lang w:val="en-US"/>
              </w:rPr>
              <w:t xml:space="preserve">Fishery products: </w:t>
            </w:r>
          </w:p>
          <w:p w14:paraId="79E78D7E" w14:textId="77777777" w:rsidR="00193C4D" w:rsidRPr="00623446" w:rsidRDefault="00193C4D" w:rsidP="00C9628F">
            <w:pPr>
              <w:spacing w:line="280" w:lineRule="exact"/>
              <w:ind w:firstLineChars="50" w:firstLine="100"/>
            </w:pPr>
            <w:r w:rsidRPr="00623446">
              <w:t>In FY2007-2010</w:t>
            </w:r>
          </w:p>
          <w:p w14:paraId="432C09E4" w14:textId="77777777" w:rsidR="00193C4D" w:rsidRPr="00623446" w:rsidRDefault="00193C4D" w:rsidP="00C9628F">
            <w:pPr>
              <w:spacing w:line="280" w:lineRule="exact"/>
              <w:ind w:left="510" w:hangingChars="255" w:hanging="510"/>
            </w:pPr>
          </w:p>
        </w:tc>
        <w:tc>
          <w:tcPr>
            <w:tcW w:w="4959" w:type="dxa"/>
          </w:tcPr>
          <w:p w14:paraId="0B84580F" w14:textId="77777777" w:rsidR="00193C4D" w:rsidRPr="00193C4D" w:rsidRDefault="00193C4D" w:rsidP="00C9628F">
            <w:pPr>
              <w:spacing w:line="280" w:lineRule="exact"/>
              <w:rPr>
                <w:lang w:val="en-US"/>
              </w:rPr>
            </w:pPr>
            <w:r w:rsidRPr="00193C4D">
              <w:rPr>
                <w:lang w:val="en-US"/>
              </w:rPr>
              <w:t>FY2007-FY2010 monitoring results are available as statistics: mean, median, minimum, maximum, detection limit (0.01 mg/kg), and a number of undetected samples.</w:t>
            </w:r>
          </w:p>
        </w:tc>
      </w:tr>
      <w:tr w:rsidR="00193C4D" w:rsidRPr="00193C4D" w14:paraId="3371BD98" w14:textId="77777777" w:rsidTr="00C9628F">
        <w:trPr>
          <w:jc w:val="center"/>
        </w:trPr>
        <w:tc>
          <w:tcPr>
            <w:tcW w:w="1700" w:type="dxa"/>
            <w:vMerge/>
          </w:tcPr>
          <w:p w14:paraId="0D7A0E25" w14:textId="77777777" w:rsidR="00193C4D" w:rsidRPr="00193C4D" w:rsidRDefault="00193C4D" w:rsidP="00C9628F">
            <w:pPr>
              <w:spacing w:line="280" w:lineRule="exact"/>
              <w:rPr>
                <w:lang w:val="en-US"/>
              </w:rPr>
            </w:pPr>
          </w:p>
        </w:tc>
        <w:tc>
          <w:tcPr>
            <w:tcW w:w="1843" w:type="dxa"/>
            <w:tcBorders>
              <w:top w:val="single" w:sz="4" w:space="0" w:color="auto"/>
            </w:tcBorders>
            <w:shd w:val="clear" w:color="auto" w:fill="auto"/>
          </w:tcPr>
          <w:p w14:paraId="1E7D6AF3" w14:textId="77777777" w:rsidR="00193C4D" w:rsidRPr="00623446" w:rsidRDefault="00193C4D" w:rsidP="00C9628F">
            <w:pPr>
              <w:spacing w:line="280" w:lineRule="exact"/>
            </w:pPr>
            <w:r w:rsidRPr="00623446">
              <w:t>Food</w:t>
            </w:r>
          </w:p>
          <w:p w14:paraId="4C7CA705" w14:textId="77777777" w:rsidR="00193C4D" w:rsidRPr="00623446" w:rsidRDefault="00193C4D" w:rsidP="00C9628F">
            <w:pPr>
              <w:spacing w:line="280" w:lineRule="exact"/>
              <w:ind w:left="230" w:hangingChars="115" w:hanging="230"/>
            </w:pPr>
            <w:r w:rsidRPr="00623446">
              <w:t xml:space="preserve"> - Canned vegetables</w:t>
            </w:r>
          </w:p>
        </w:tc>
        <w:tc>
          <w:tcPr>
            <w:tcW w:w="1984" w:type="dxa"/>
            <w:tcBorders>
              <w:top w:val="single" w:sz="4" w:space="0" w:color="auto"/>
            </w:tcBorders>
            <w:shd w:val="clear" w:color="auto" w:fill="auto"/>
          </w:tcPr>
          <w:p w14:paraId="6520543D" w14:textId="77777777" w:rsidR="00193C4D" w:rsidRPr="00623446" w:rsidRDefault="00193C4D" w:rsidP="00C9628F">
            <w:pPr>
              <w:spacing w:line="280" w:lineRule="exact"/>
            </w:pPr>
            <w:r w:rsidRPr="00623446">
              <w:t>THg</w:t>
            </w:r>
          </w:p>
        </w:tc>
        <w:tc>
          <w:tcPr>
            <w:tcW w:w="3969" w:type="dxa"/>
          </w:tcPr>
          <w:p w14:paraId="244C97CE" w14:textId="77777777" w:rsidR="00193C4D" w:rsidRPr="00193C4D" w:rsidRDefault="00193C4D" w:rsidP="00C9628F">
            <w:pPr>
              <w:spacing w:line="280" w:lineRule="exact"/>
              <w:rPr>
                <w:lang w:val="en-US"/>
              </w:rPr>
            </w:pPr>
            <w:r w:rsidRPr="00193C4D">
              <w:rPr>
                <w:lang w:val="en-US"/>
              </w:rPr>
              <w:t>Cans were purchased at supermarkets and at retail stores in Tokyo region.</w:t>
            </w:r>
          </w:p>
          <w:p w14:paraId="2968860A" w14:textId="77777777" w:rsidR="00193C4D" w:rsidRPr="00193C4D" w:rsidRDefault="00193C4D" w:rsidP="00C9628F">
            <w:pPr>
              <w:spacing w:line="280" w:lineRule="exact"/>
              <w:ind w:left="200" w:hangingChars="100" w:hanging="200"/>
              <w:rPr>
                <w:lang w:val="en-US"/>
              </w:rPr>
            </w:pPr>
          </w:p>
          <w:p w14:paraId="29EAFD0F" w14:textId="77777777" w:rsidR="00193C4D" w:rsidRPr="00193C4D" w:rsidRDefault="00193C4D" w:rsidP="00C9628F">
            <w:pPr>
              <w:spacing w:line="280" w:lineRule="exact"/>
              <w:ind w:left="200" w:hangingChars="100" w:hanging="200"/>
              <w:rPr>
                <w:lang w:val="en-US"/>
              </w:rPr>
            </w:pPr>
            <w:r w:rsidRPr="00193C4D">
              <w:rPr>
                <w:lang w:val="en-US"/>
              </w:rPr>
              <w:t>Analysis: Microwave digestion and ICP-MS measurement</w:t>
            </w:r>
          </w:p>
        </w:tc>
        <w:tc>
          <w:tcPr>
            <w:tcW w:w="3828" w:type="dxa"/>
          </w:tcPr>
          <w:p w14:paraId="36FAF09B" w14:textId="77777777" w:rsidR="00193C4D" w:rsidRPr="00193C4D" w:rsidRDefault="00193C4D" w:rsidP="00C9628F">
            <w:pPr>
              <w:spacing w:line="280" w:lineRule="exact"/>
              <w:rPr>
                <w:lang w:val="en-US"/>
              </w:rPr>
            </w:pPr>
            <w:r w:rsidRPr="00193C4D">
              <w:rPr>
                <w:lang w:val="en-US"/>
              </w:rPr>
              <w:t>Sweet corns: 39 samples</w:t>
            </w:r>
          </w:p>
          <w:p w14:paraId="53ED4113" w14:textId="77777777" w:rsidR="00193C4D" w:rsidRPr="00193C4D" w:rsidRDefault="00193C4D" w:rsidP="00C9628F">
            <w:pPr>
              <w:spacing w:line="280" w:lineRule="exact"/>
              <w:rPr>
                <w:lang w:val="en-US"/>
              </w:rPr>
            </w:pPr>
            <w:r w:rsidRPr="00193C4D">
              <w:rPr>
                <w:lang w:val="en-US"/>
              </w:rPr>
              <w:t>Red beans: 39 samples</w:t>
            </w:r>
          </w:p>
          <w:p w14:paraId="4FE65CC7" w14:textId="77777777" w:rsidR="00193C4D" w:rsidRPr="00623446" w:rsidRDefault="00193C4D" w:rsidP="00C9628F">
            <w:pPr>
              <w:spacing w:line="280" w:lineRule="exact"/>
            </w:pPr>
            <w:proofErr w:type="gramStart"/>
            <w:r w:rsidRPr="00623446">
              <w:t>Tomatoes:</w:t>
            </w:r>
            <w:proofErr w:type="gramEnd"/>
            <w:r w:rsidRPr="00623446">
              <w:t xml:space="preserve"> 33 sample</w:t>
            </w:r>
          </w:p>
        </w:tc>
        <w:tc>
          <w:tcPr>
            <w:tcW w:w="2976" w:type="dxa"/>
          </w:tcPr>
          <w:p w14:paraId="53822731" w14:textId="77777777" w:rsidR="00193C4D" w:rsidRPr="00623446" w:rsidRDefault="00193C4D" w:rsidP="00C9628F">
            <w:pPr>
              <w:spacing w:line="280" w:lineRule="exact"/>
            </w:pPr>
            <w:r w:rsidRPr="00623446">
              <w:t>In FY2011</w:t>
            </w:r>
          </w:p>
        </w:tc>
        <w:tc>
          <w:tcPr>
            <w:tcW w:w="4959" w:type="dxa"/>
            <w:tcBorders>
              <w:bottom w:val="single" w:sz="4" w:space="0" w:color="auto"/>
            </w:tcBorders>
          </w:tcPr>
          <w:p w14:paraId="43266807" w14:textId="77777777" w:rsidR="00193C4D" w:rsidRPr="00193C4D" w:rsidRDefault="00193C4D" w:rsidP="00C9628F">
            <w:pPr>
              <w:spacing w:line="280" w:lineRule="exact"/>
              <w:rPr>
                <w:lang w:val="en-US"/>
              </w:rPr>
            </w:pPr>
            <w:r w:rsidRPr="00193C4D">
              <w:rPr>
                <w:lang w:val="en-US"/>
              </w:rPr>
              <w:t>FY2011 monitoring results are available as statistics: mean, median, minimum, maximum, detection limit (0.01 mg/kg), and a number of undetected samples.</w:t>
            </w:r>
          </w:p>
        </w:tc>
      </w:tr>
      <w:tr w:rsidR="00193C4D" w:rsidRPr="00193C4D" w14:paraId="6BCB6373" w14:textId="77777777" w:rsidTr="00C9628F">
        <w:trPr>
          <w:jc w:val="center"/>
        </w:trPr>
        <w:tc>
          <w:tcPr>
            <w:tcW w:w="1700" w:type="dxa"/>
            <w:vMerge/>
          </w:tcPr>
          <w:p w14:paraId="2D833D06" w14:textId="77777777" w:rsidR="00193C4D" w:rsidRPr="00193C4D" w:rsidRDefault="00193C4D" w:rsidP="00C9628F">
            <w:pPr>
              <w:spacing w:line="280" w:lineRule="exact"/>
              <w:rPr>
                <w:lang w:val="en-US"/>
              </w:rPr>
            </w:pPr>
          </w:p>
        </w:tc>
        <w:tc>
          <w:tcPr>
            <w:tcW w:w="1843" w:type="dxa"/>
            <w:tcBorders>
              <w:top w:val="single" w:sz="4" w:space="0" w:color="auto"/>
              <w:bottom w:val="single" w:sz="4" w:space="0" w:color="auto"/>
            </w:tcBorders>
            <w:shd w:val="clear" w:color="auto" w:fill="auto"/>
          </w:tcPr>
          <w:p w14:paraId="1EC8C9A0" w14:textId="77777777" w:rsidR="00193C4D" w:rsidRPr="00193C4D" w:rsidRDefault="00193C4D" w:rsidP="00C9628F">
            <w:pPr>
              <w:spacing w:line="280" w:lineRule="exact"/>
              <w:rPr>
                <w:lang w:val="en-US"/>
              </w:rPr>
            </w:pPr>
            <w:r w:rsidRPr="00193C4D">
              <w:rPr>
                <w:lang w:val="en-US"/>
              </w:rPr>
              <w:t>Food</w:t>
            </w:r>
          </w:p>
          <w:p w14:paraId="17EBCCAE" w14:textId="77777777" w:rsidR="00193C4D" w:rsidRPr="00193C4D" w:rsidRDefault="00193C4D" w:rsidP="00C9628F">
            <w:pPr>
              <w:spacing w:line="280" w:lineRule="exact"/>
              <w:ind w:leftChars="50" w:left="230" w:hangingChars="65" w:hanging="130"/>
              <w:rPr>
                <w:lang w:val="en-US"/>
              </w:rPr>
            </w:pPr>
            <w:r w:rsidRPr="00193C4D">
              <w:rPr>
                <w:lang w:val="en-US"/>
              </w:rPr>
              <w:t>- Agricultural products</w:t>
            </w:r>
          </w:p>
          <w:p w14:paraId="4C17E29D" w14:textId="77777777" w:rsidR="00193C4D" w:rsidRPr="00193C4D" w:rsidRDefault="00193C4D" w:rsidP="00C9628F">
            <w:pPr>
              <w:spacing w:line="280" w:lineRule="exact"/>
              <w:ind w:leftChars="50" w:left="230" w:hangingChars="65" w:hanging="130"/>
              <w:rPr>
                <w:lang w:val="en-US"/>
              </w:rPr>
            </w:pPr>
            <w:r w:rsidRPr="00193C4D">
              <w:rPr>
                <w:lang w:val="en-US"/>
              </w:rPr>
              <w:t>- Livestock products</w:t>
            </w:r>
          </w:p>
          <w:p w14:paraId="4B5D6BBD" w14:textId="77777777" w:rsidR="00193C4D" w:rsidRPr="00193C4D" w:rsidRDefault="00193C4D" w:rsidP="00C9628F">
            <w:pPr>
              <w:spacing w:line="280" w:lineRule="exact"/>
              <w:ind w:leftChars="50" w:left="230" w:hangingChars="65" w:hanging="130"/>
              <w:rPr>
                <w:lang w:val="en-US"/>
              </w:rPr>
            </w:pPr>
            <w:r w:rsidRPr="00193C4D">
              <w:rPr>
                <w:lang w:val="en-US"/>
              </w:rPr>
              <w:t>- Processed food</w:t>
            </w:r>
          </w:p>
        </w:tc>
        <w:tc>
          <w:tcPr>
            <w:tcW w:w="1984" w:type="dxa"/>
            <w:tcBorders>
              <w:top w:val="single" w:sz="4" w:space="0" w:color="auto"/>
              <w:bottom w:val="single" w:sz="4" w:space="0" w:color="auto"/>
            </w:tcBorders>
            <w:shd w:val="clear" w:color="auto" w:fill="auto"/>
          </w:tcPr>
          <w:p w14:paraId="59FB0F2B" w14:textId="77777777" w:rsidR="00193C4D" w:rsidRPr="00623446" w:rsidRDefault="00193C4D" w:rsidP="00C9628F">
            <w:pPr>
              <w:spacing w:line="280" w:lineRule="exact"/>
            </w:pPr>
            <w:r w:rsidRPr="00623446">
              <w:t>THg</w:t>
            </w:r>
          </w:p>
        </w:tc>
        <w:tc>
          <w:tcPr>
            <w:tcW w:w="3969" w:type="dxa"/>
            <w:vMerge w:val="restart"/>
          </w:tcPr>
          <w:p w14:paraId="0F81D8D7" w14:textId="77777777" w:rsidR="00193C4D" w:rsidRPr="00193C4D" w:rsidRDefault="00193C4D" w:rsidP="00C9628F">
            <w:pPr>
              <w:spacing w:line="280" w:lineRule="exact"/>
              <w:rPr>
                <w:lang w:val="en-US"/>
              </w:rPr>
            </w:pPr>
            <w:r w:rsidRPr="00193C4D">
              <w:rPr>
                <w:lang w:val="en-US"/>
              </w:rPr>
              <w:t>Food samples were purchased at department stores and at local supermarkets all over Japan.</w:t>
            </w:r>
          </w:p>
          <w:p w14:paraId="03685905" w14:textId="77777777" w:rsidR="00193C4D" w:rsidRPr="00193C4D" w:rsidRDefault="00193C4D" w:rsidP="00C9628F">
            <w:pPr>
              <w:spacing w:line="280" w:lineRule="exact"/>
              <w:ind w:left="200" w:hangingChars="100" w:hanging="200"/>
              <w:rPr>
                <w:lang w:val="en-US"/>
              </w:rPr>
            </w:pPr>
          </w:p>
          <w:p w14:paraId="552BCF09" w14:textId="77777777" w:rsidR="00193C4D" w:rsidRPr="00193C4D" w:rsidRDefault="00193C4D" w:rsidP="00C9628F">
            <w:pPr>
              <w:spacing w:line="280" w:lineRule="exact"/>
              <w:ind w:left="200" w:hangingChars="100" w:hanging="200"/>
              <w:rPr>
                <w:lang w:val="en-US"/>
              </w:rPr>
            </w:pPr>
            <w:r w:rsidRPr="00193C4D">
              <w:rPr>
                <w:lang w:val="en-US"/>
              </w:rPr>
              <w:t>Analysis: Microwave digestion and ICP-MS measurement</w:t>
            </w:r>
          </w:p>
        </w:tc>
        <w:tc>
          <w:tcPr>
            <w:tcW w:w="3828" w:type="dxa"/>
          </w:tcPr>
          <w:p w14:paraId="0CB26B48" w14:textId="77777777" w:rsidR="00193C4D" w:rsidRPr="00193C4D" w:rsidRDefault="00193C4D" w:rsidP="00C9628F">
            <w:pPr>
              <w:spacing w:line="280" w:lineRule="exact"/>
              <w:rPr>
                <w:lang w:val="en-US"/>
              </w:rPr>
            </w:pPr>
            <w:r w:rsidRPr="00193C4D">
              <w:rPr>
                <w:lang w:val="en-US"/>
              </w:rPr>
              <w:t>Agricultural products: Fruits</w:t>
            </w:r>
          </w:p>
          <w:p w14:paraId="33CA68EC" w14:textId="77777777" w:rsidR="00193C4D" w:rsidRPr="00193C4D" w:rsidRDefault="00193C4D" w:rsidP="00C9628F">
            <w:pPr>
              <w:spacing w:line="280" w:lineRule="exact"/>
              <w:ind w:firstLineChars="50" w:firstLine="100"/>
              <w:rPr>
                <w:lang w:val="en-US"/>
              </w:rPr>
            </w:pPr>
            <w:r w:rsidRPr="00193C4D">
              <w:rPr>
                <w:lang w:val="en-US"/>
              </w:rPr>
              <w:t>- Total 101 samples</w:t>
            </w:r>
          </w:p>
          <w:p w14:paraId="7727EF50" w14:textId="77777777" w:rsidR="00193C4D" w:rsidRPr="00193C4D" w:rsidRDefault="00193C4D" w:rsidP="00C9628F">
            <w:pPr>
              <w:spacing w:line="280" w:lineRule="exact"/>
              <w:rPr>
                <w:lang w:val="en-US"/>
              </w:rPr>
            </w:pPr>
            <w:r w:rsidRPr="00193C4D">
              <w:rPr>
                <w:lang w:val="en-US"/>
              </w:rPr>
              <w:t>Livestock products: Milk</w:t>
            </w:r>
          </w:p>
          <w:p w14:paraId="5214B823" w14:textId="77777777" w:rsidR="00193C4D" w:rsidRPr="00623446" w:rsidRDefault="00193C4D" w:rsidP="00C9628F">
            <w:pPr>
              <w:spacing w:line="280" w:lineRule="exact"/>
              <w:ind w:firstLineChars="50" w:firstLine="100"/>
            </w:pPr>
            <w:r w:rsidRPr="00623446">
              <w:t>- Total 40 samples</w:t>
            </w:r>
          </w:p>
          <w:p w14:paraId="7FE8FC17" w14:textId="77777777" w:rsidR="00193C4D" w:rsidRPr="00623446" w:rsidRDefault="00193C4D" w:rsidP="00C9628F">
            <w:pPr>
              <w:spacing w:line="280" w:lineRule="exact"/>
              <w:ind w:left="176" w:hangingChars="88" w:hanging="176"/>
            </w:pPr>
            <w:r w:rsidRPr="00623446">
              <w:t xml:space="preserve">Processed </w:t>
            </w:r>
            <w:proofErr w:type="gramStart"/>
            <w:r w:rsidRPr="00623446">
              <w:t>food:</w:t>
            </w:r>
            <w:proofErr w:type="gramEnd"/>
            <w:r w:rsidRPr="00623446">
              <w:t xml:space="preserve"> Dairy products, fruits juices, etc. </w:t>
            </w:r>
          </w:p>
          <w:p w14:paraId="281BF558" w14:textId="77777777" w:rsidR="00193C4D" w:rsidRPr="00623446" w:rsidRDefault="00193C4D" w:rsidP="00C9628F">
            <w:pPr>
              <w:spacing w:line="280" w:lineRule="exact"/>
              <w:ind w:firstLineChars="50" w:firstLine="100"/>
              <w:rPr>
                <w:i/>
              </w:rPr>
            </w:pPr>
            <w:r w:rsidRPr="00623446">
              <w:t>- Total 90 samples</w:t>
            </w:r>
          </w:p>
        </w:tc>
        <w:tc>
          <w:tcPr>
            <w:tcW w:w="2976" w:type="dxa"/>
          </w:tcPr>
          <w:p w14:paraId="539FF587" w14:textId="77777777" w:rsidR="00193C4D" w:rsidRPr="00623446" w:rsidRDefault="00193C4D" w:rsidP="00C9628F">
            <w:pPr>
              <w:spacing w:line="280" w:lineRule="exact"/>
            </w:pPr>
            <w:r w:rsidRPr="00623446">
              <w:t>In FY2013</w:t>
            </w:r>
          </w:p>
        </w:tc>
        <w:tc>
          <w:tcPr>
            <w:tcW w:w="4959" w:type="dxa"/>
          </w:tcPr>
          <w:p w14:paraId="3A9B1D9A" w14:textId="77777777" w:rsidR="00193C4D" w:rsidRPr="00193C4D" w:rsidRDefault="00193C4D" w:rsidP="00C9628F">
            <w:pPr>
              <w:spacing w:line="280" w:lineRule="exact"/>
              <w:rPr>
                <w:lang w:val="en-US"/>
              </w:rPr>
            </w:pPr>
            <w:r w:rsidRPr="00193C4D">
              <w:rPr>
                <w:lang w:val="en-US"/>
              </w:rPr>
              <w:t>FY2013 monitoring results are available as statistics: mean, median, minimum, maximum, detection limit (0.01 mg/kg), and a number of undetected samples.</w:t>
            </w:r>
          </w:p>
        </w:tc>
      </w:tr>
      <w:tr w:rsidR="00193C4D" w:rsidRPr="00193C4D" w14:paraId="7FC84890" w14:textId="77777777" w:rsidTr="00C9628F">
        <w:trPr>
          <w:jc w:val="center"/>
        </w:trPr>
        <w:tc>
          <w:tcPr>
            <w:tcW w:w="1700" w:type="dxa"/>
            <w:vMerge/>
          </w:tcPr>
          <w:p w14:paraId="74B3300E" w14:textId="77777777" w:rsidR="00193C4D" w:rsidRPr="00193C4D" w:rsidRDefault="00193C4D" w:rsidP="00C9628F">
            <w:pPr>
              <w:spacing w:line="280" w:lineRule="exact"/>
              <w:rPr>
                <w:lang w:val="en-US"/>
              </w:rPr>
            </w:pPr>
          </w:p>
        </w:tc>
        <w:tc>
          <w:tcPr>
            <w:tcW w:w="1843" w:type="dxa"/>
            <w:tcBorders>
              <w:top w:val="single" w:sz="4" w:space="0" w:color="auto"/>
              <w:bottom w:val="single" w:sz="4" w:space="0" w:color="auto"/>
            </w:tcBorders>
            <w:shd w:val="clear" w:color="auto" w:fill="auto"/>
          </w:tcPr>
          <w:p w14:paraId="19477DE7" w14:textId="77777777" w:rsidR="00193C4D" w:rsidRPr="00193C4D" w:rsidRDefault="00193C4D" w:rsidP="00C9628F">
            <w:pPr>
              <w:spacing w:line="280" w:lineRule="exact"/>
              <w:rPr>
                <w:lang w:val="en-US"/>
              </w:rPr>
            </w:pPr>
            <w:r w:rsidRPr="00193C4D">
              <w:rPr>
                <w:lang w:val="en-US"/>
              </w:rPr>
              <w:t>Food</w:t>
            </w:r>
          </w:p>
          <w:p w14:paraId="66B5C149" w14:textId="77777777" w:rsidR="00193C4D" w:rsidRPr="00193C4D" w:rsidRDefault="00193C4D" w:rsidP="00C9628F">
            <w:pPr>
              <w:spacing w:line="280" w:lineRule="exact"/>
              <w:ind w:leftChars="50" w:left="230" w:hangingChars="65" w:hanging="130"/>
              <w:rPr>
                <w:lang w:val="en-US"/>
              </w:rPr>
            </w:pPr>
            <w:r w:rsidRPr="00193C4D">
              <w:rPr>
                <w:lang w:val="en-US"/>
              </w:rPr>
              <w:t>- Agricultural products</w:t>
            </w:r>
          </w:p>
          <w:p w14:paraId="65C4FA77" w14:textId="77777777" w:rsidR="00193C4D" w:rsidRPr="00193C4D" w:rsidRDefault="00193C4D" w:rsidP="00C9628F">
            <w:pPr>
              <w:spacing w:line="280" w:lineRule="exact"/>
              <w:ind w:leftChars="50" w:left="230" w:hangingChars="65" w:hanging="130"/>
              <w:rPr>
                <w:lang w:val="en-US"/>
              </w:rPr>
            </w:pPr>
            <w:r w:rsidRPr="00193C4D">
              <w:rPr>
                <w:lang w:val="en-US"/>
              </w:rPr>
              <w:t>- Processed food</w:t>
            </w:r>
          </w:p>
        </w:tc>
        <w:tc>
          <w:tcPr>
            <w:tcW w:w="1984" w:type="dxa"/>
            <w:tcBorders>
              <w:top w:val="single" w:sz="4" w:space="0" w:color="auto"/>
              <w:bottom w:val="single" w:sz="4" w:space="0" w:color="auto"/>
            </w:tcBorders>
            <w:shd w:val="clear" w:color="auto" w:fill="auto"/>
          </w:tcPr>
          <w:p w14:paraId="50C9851D" w14:textId="77777777" w:rsidR="00193C4D" w:rsidRPr="00623446" w:rsidRDefault="00193C4D" w:rsidP="00C9628F">
            <w:pPr>
              <w:spacing w:line="280" w:lineRule="exact"/>
            </w:pPr>
            <w:r w:rsidRPr="00623446">
              <w:t>THg</w:t>
            </w:r>
          </w:p>
        </w:tc>
        <w:tc>
          <w:tcPr>
            <w:tcW w:w="3969" w:type="dxa"/>
            <w:vMerge/>
          </w:tcPr>
          <w:p w14:paraId="5E049A3A" w14:textId="77777777" w:rsidR="00193C4D" w:rsidRPr="00623446" w:rsidRDefault="00193C4D" w:rsidP="00C9628F">
            <w:pPr>
              <w:spacing w:line="280" w:lineRule="exact"/>
            </w:pPr>
          </w:p>
        </w:tc>
        <w:tc>
          <w:tcPr>
            <w:tcW w:w="3828" w:type="dxa"/>
          </w:tcPr>
          <w:p w14:paraId="719D841A" w14:textId="77777777" w:rsidR="00193C4D" w:rsidRPr="00193C4D" w:rsidRDefault="00193C4D" w:rsidP="00C9628F">
            <w:pPr>
              <w:spacing w:line="280" w:lineRule="exact"/>
              <w:rPr>
                <w:lang w:val="en-US"/>
              </w:rPr>
            </w:pPr>
            <w:r w:rsidRPr="00193C4D">
              <w:rPr>
                <w:lang w:val="en-US"/>
              </w:rPr>
              <w:t>Agricultural product: Celery, Asparagus</w:t>
            </w:r>
          </w:p>
          <w:p w14:paraId="42E1BBE7" w14:textId="77777777" w:rsidR="00193C4D" w:rsidRPr="00193C4D" w:rsidRDefault="00193C4D" w:rsidP="00C9628F">
            <w:pPr>
              <w:spacing w:line="280" w:lineRule="exact"/>
              <w:ind w:firstLineChars="50" w:firstLine="100"/>
              <w:rPr>
                <w:lang w:val="en-US"/>
              </w:rPr>
            </w:pPr>
            <w:r w:rsidRPr="00193C4D">
              <w:rPr>
                <w:lang w:val="en-US"/>
              </w:rPr>
              <w:t>- Total 120 samples</w:t>
            </w:r>
          </w:p>
          <w:p w14:paraId="68F25A77" w14:textId="77777777" w:rsidR="00193C4D" w:rsidRPr="00193C4D" w:rsidRDefault="00193C4D" w:rsidP="00C9628F">
            <w:pPr>
              <w:spacing w:line="280" w:lineRule="exact"/>
              <w:ind w:left="176" w:hangingChars="88" w:hanging="176"/>
              <w:rPr>
                <w:lang w:val="en-US"/>
              </w:rPr>
            </w:pPr>
            <w:r w:rsidRPr="00193C4D">
              <w:rPr>
                <w:lang w:val="en-US"/>
              </w:rPr>
              <w:t>Processed food: Canned soybeans, pickled vegetables, jams, fruits juices, etc.</w:t>
            </w:r>
          </w:p>
          <w:p w14:paraId="3485875C" w14:textId="77777777" w:rsidR="00193C4D" w:rsidRPr="00623446" w:rsidRDefault="00193C4D" w:rsidP="00C9628F">
            <w:pPr>
              <w:spacing w:line="280" w:lineRule="exact"/>
              <w:ind w:firstLineChars="50" w:firstLine="100"/>
            </w:pPr>
            <w:r w:rsidRPr="00623446">
              <w:t>- Total 108 samples</w:t>
            </w:r>
          </w:p>
        </w:tc>
        <w:tc>
          <w:tcPr>
            <w:tcW w:w="2976" w:type="dxa"/>
          </w:tcPr>
          <w:p w14:paraId="01A69F21" w14:textId="77777777" w:rsidR="00193C4D" w:rsidRPr="00623446" w:rsidRDefault="00193C4D" w:rsidP="00C9628F">
            <w:pPr>
              <w:spacing w:line="280" w:lineRule="exact"/>
            </w:pPr>
            <w:r w:rsidRPr="00623446">
              <w:t>In FY2015</w:t>
            </w:r>
          </w:p>
        </w:tc>
        <w:tc>
          <w:tcPr>
            <w:tcW w:w="4959" w:type="dxa"/>
          </w:tcPr>
          <w:p w14:paraId="70336C22" w14:textId="77777777" w:rsidR="00193C4D" w:rsidRPr="00193C4D" w:rsidRDefault="00193C4D" w:rsidP="00C9628F">
            <w:pPr>
              <w:spacing w:line="280" w:lineRule="exact"/>
              <w:rPr>
                <w:lang w:val="en-US"/>
              </w:rPr>
            </w:pPr>
            <w:r w:rsidRPr="00193C4D">
              <w:rPr>
                <w:lang w:val="en-US"/>
              </w:rPr>
              <w:t>FY2015 monitoring results are available as statistics: mean, median, minimum, maximum, detection limit (0.01 mg/kg), and a number of undetected samples.</w:t>
            </w:r>
          </w:p>
        </w:tc>
      </w:tr>
    </w:tbl>
    <w:p w14:paraId="4194BD90"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 xml:space="preserve">References </w:t>
      </w:r>
      <w:r w:rsidRPr="00193C4D">
        <w:rPr>
          <w:sz w:val="18"/>
          <w:szCs w:val="18"/>
          <w:lang w:val="en-US"/>
        </w:rPr>
        <w:tab/>
        <w:t>[1]</w:t>
      </w:r>
      <w:r w:rsidRPr="00193C4D">
        <w:rPr>
          <w:sz w:val="18"/>
          <w:szCs w:val="18"/>
          <w:lang w:val="en-US"/>
        </w:rPr>
        <w:tab/>
        <w:t>MAFF, 2012. “Data Collection of the Results of Surveillance / Monitoring for Chemical Hazards in Foods 2003-2010”, Online: http://www.maff.go.jp/j/syouan/seisaku/risk_analysis/survei/pdf/chem_15-22.pdf (in Japanese).</w:t>
      </w:r>
    </w:p>
    <w:p w14:paraId="023923E5"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[2]</w:t>
      </w:r>
      <w:r w:rsidRPr="00193C4D">
        <w:rPr>
          <w:sz w:val="18"/>
          <w:szCs w:val="18"/>
          <w:lang w:val="en-US"/>
        </w:rPr>
        <w:tab/>
        <w:t>MAFF, 2014. “Data Collection of the Results of Surveillance / Monitoring for Chemical Hazards in Foods 2011-2012”, Online: http://www.maff.go.jp/j/syouan/seisaku/risk_analysis/survei/pdf/chem_23-24_.pdf (in Japanese).</w:t>
      </w:r>
    </w:p>
    <w:p w14:paraId="6522AEDA"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[3]</w:t>
      </w:r>
      <w:r w:rsidRPr="00193C4D">
        <w:rPr>
          <w:sz w:val="18"/>
          <w:szCs w:val="18"/>
          <w:lang w:val="en-US"/>
        </w:rPr>
        <w:tab/>
        <w:t>MAFF, 2016. “Data Collection of the Results of Surveillance / Monitoring for Chemical Hazards in Foods 2013-2014”, Online: http://www.maff.go.jp/j/syouan/seisaku/risk_analysis/survei/pdf/chem_25-26.pdf (in Japanese).</w:t>
      </w:r>
    </w:p>
    <w:p w14:paraId="7E9AD6E8"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[4]</w:t>
      </w:r>
      <w:r w:rsidRPr="00193C4D">
        <w:rPr>
          <w:sz w:val="18"/>
          <w:szCs w:val="18"/>
          <w:lang w:val="en-US"/>
        </w:rPr>
        <w:tab/>
        <w:t>MAFF, 2018. “Data Collection of the Results of Surveillance / Monitoring for Chemical Hazards in Foods 2015-2016”, Online: http://www.maff.go.jp/j/syouan/seisaku/risk_analysis/survei/pdf/chem_27-28.pdf (in Japanese).</w:t>
      </w:r>
    </w:p>
    <w:p w14:paraId="153380D7" w14:textId="77777777" w:rsidR="00193C4D" w:rsidRPr="00193C4D" w:rsidRDefault="00193C4D" w:rsidP="00193C4D">
      <w:pPr>
        <w:spacing w:line="240" w:lineRule="exact"/>
        <w:ind w:leftChars="67" w:left="134"/>
        <w:rPr>
          <w:rFonts w:hint="eastAsia"/>
          <w:sz w:val="18"/>
          <w:szCs w:val="18"/>
          <w:lang w:val="en-US"/>
        </w:rPr>
      </w:pPr>
    </w:p>
    <w:p w14:paraId="73E263A3" w14:textId="77777777" w:rsidR="00193C4D" w:rsidRPr="00193C4D" w:rsidRDefault="00193C4D" w:rsidP="00193C4D">
      <w:pPr>
        <w:spacing w:line="100" w:lineRule="exact"/>
        <w:ind w:leftChars="337" w:left="674"/>
        <w:rPr>
          <w:lang w:val="en-US"/>
        </w:rPr>
      </w:pPr>
      <w:r w:rsidRPr="00193C4D">
        <w:rPr>
          <w:lang w:val="en-US"/>
        </w:rPr>
        <w:br w:type="page"/>
      </w:r>
    </w:p>
    <w:p w14:paraId="4F155282" w14:textId="77777777" w:rsidR="00193C4D" w:rsidRPr="0042558C" w:rsidRDefault="00193C4D" w:rsidP="00193C4D">
      <w:pPr>
        <w:pStyle w:val="Caption"/>
        <w:jc w:val="center"/>
        <w:rPr>
          <w:rFonts w:ascii="Times New Roman" w:hAnsi="Times New Roman"/>
        </w:rPr>
      </w:pPr>
      <w:r w:rsidRPr="0042558C">
        <w:rPr>
          <w:rFonts w:ascii="Times New Roman" w:hAnsi="Times New Roman"/>
        </w:rPr>
        <w:lastRenderedPageBreak/>
        <w:t>Table 6. Monitoring conducted by Local Governments in Japan</w:t>
      </w:r>
    </w:p>
    <w:tbl>
      <w:tblPr>
        <w:tblW w:w="2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701"/>
        <w:gridCol w:w="1276"/>
        <w:gridCol w:w="1418"/>
        <w:gridCol w:w="4252"/>
        <w:gridCol w:w="3402"/>
        <w:gridCol w:w="2552"/>
        <w:gridCol w:w="4533"/>
      </w:tblGrid>
      <w:tr w:rsidR="00193C4D" w:rsidRPr="00193C4D" w14:paraId="71889045" w14:textId="77777777" w:rsidTr="00C9628F">
        <w:trPr>
          <w:tblHeader/>
          <w:jc w:val="center"/>
        </w:trPr>
        <w:tc>
          <w:tcPr>
            <w:tcW w:w="2125" w:type="dxa"/>
            <w:tcBorders>
              <w:bottom w:val="double" w:sz="4" w:space="0" w:color="auto"/>
            </w:tcBorders>
            <w:shd w:val="clear" w:color="auto" w:fill="D9D9D9"/>
            <w:vAlign w:val="center"/>
          </w:tcPr>
          <w:p w14:paraId="000B2D75" w14:textId="77777777" w:rsidR="00193C4D" w:rsidRPr="007D172F" w:rsidRDefault="00193C4D" w:rsidP="00C9628F">
            <w:pPr>
              <w:spacing w:line="280" w:lineRule="exact"/>
              <w:jc w:val="center"/>
            </w:pPr>
            <w:r>
              <w:rPr>
                <w:rFonts w:hint="eastAsia"/>
              </w:rPr>
              <w:t>Responsible party</w:t>
            </w:r>
          </w:p>
        </w:tc>
        <w:tc>
          <w:tcPr>
            <w:tcW w:w="1701" w:type="dxa"/>
            <w:tcBorders>
              <w:bottom w:val="double" w:sz="4" w:space="0" w:color="auto"/>
            </w:tcBorders>
            <w:shd w:val="clear" w:color="auto" w:fill="D9D9D9"/>
            <w:vAlign w:val="center"/>
          </w:tcPr>
          <w:p w14:paraId="47DB8804" w14:textId="77777777" w:rsidR="00193C4D" w:rsidRPr="007D172F" w:rsidRDefault="00193C4D" w:rsidP="00C9628F">
            <w:pPr>
              <w:spacing w:line="280" w:lineRule="exact"/>
              <w:jc w:val="center"/>
            </w:pPr>
            <w:r w:rsidRPr="007D172F">
              <w:t>Programme</w:t>
            </w:r>
          </w:p>
        </w:tc>
        <w:tc>
          <w:tcPr>
            <w:tcW w:w="1276" w:type="dxa"/>
            <w:tcBorders>
              <w:bottom w:val="double" w:sz="4" w:space="0" w:color="auto"/>
            </w:tcBorders>
            <w:shd w:val="clear" w:color="auto" w:fill="D9D9D9"/>
            <w:vAlign w:val="center"/>
          </w:tcPr>
          <w:p w14:paraId="4BFDE93B" w14:textId="77777777" w:rsidR="00193C4D" w:rsidRPr="007D172F" w:rsidRDefault="00193C4D" w:rsidP="00C9628F">
            <w:pPr>
              <w:spacing w:line="280" w:lineRule="exact"/>
              <w:jc w:val="center"/>
            </w:pPr>
            <w:r w:rsidRPr="007D172F">
              <w:t>Media</w:t>
            </w:r>
          </w:p>
        </w:tc>
        <w:tc>
          <w:tcPr>
            <w:tcW w:w="1418" w:type="dxa"/>
            <w:tcBorders>
              <w:bottom w:val="double" w:sz="4" w:space="0" w:color="auto"/>
            </w:tcBorders>
            <w:shd w:val="clear" w:color="auto" w:fill="D9D9D9"/>
            <w:vAlign w:val="center"/>
          </w:tcPr>
          <w:p w14:paraId="66E95380" w14:textId="77777777" w:rsidR="00193C4D" w:rsidRPr="007D172F" w:rsidRDefault="00193C4D" w:rsidP="00C9628F">
            <w:pPr>
              <w:spacing w:line="280" w:lineRule="exact"/>
              <w:jc w:val="center"/>
            </w:pPr>
            <w:r w:rsidRPr="007D172F">
              <w:t>Mercury species</w:t>
            </w:r>
          </w:p>
        </w:tc>
        <w:tc>
          <w:tcPr>
            <w:tcW w:w="4252" w:type="dxa"/>
            <w:tcBorders>
              <w:bottom w:val="double" w:sz="4" w:space="0" w:color="auto"/>
            </w:tcBorders>
            <w:shd w:val="clear" w:color="auto" w:fill="D9D9D9"/>
            <w:vAlign w:val="center"/>
          </w:tcPr>
          <w:p w14:paraId="203531E4" w14:textId="77777777" w:rsidR="00193C4D" w:rsidRPr="007D172F" w:rsidRDefault="00193C4D" w:rsidP="00C9628F">
            <w:pPr>
              <w:spacing w:line="280" w:lineRule="exact"/>
              <w:jc w:val="center"/>
            </w:pPr>
            <w:r w:rsidRPr="007D172F">
              <w:t>Methodology / analytical method</w:t>
            </w:r>
          </w:p>
        </w:tc>
        <w:tc>
          <w:tcPr>
            <w:tcW w:w="3402" w:type="dxa"/>
            <w:tcBorders>
              <w:bottom w:val="double" w:sz="4" w:space="0" w:color="auto"/>
            </w:tcBorders>
            <w:shd w:val="clear" w:color="auto" w:fill="D9D9D9"/>
            <w:vAlign w:val="center"/>
          </w:tcPr>
          <w:p w14:paraId="33C7A9E2" w14:textId="77777777" w:rsidR="00193C4D" w:rsidRPr="007D172F" w:rsidRDefault="00193C4D" w:rsidP="00C9628F">
            <w:pPr>
              <w:spacing w:line="280" w:lineRule="exact"/>
              <w:jc w:val="center"/>
            </w:pPr>
            <w:r w:rsidRPr="007D172F">
              <w:t>Location / number of samples</w:t>
            </w:r>
          </w:p>
        </w:tc>
        <w:tc>
          <w:tcPr>
            <w:tcW w:w="2552" w:type="dxa"/>
            <w:tcBorders>
              <w:bottom w:val="double" w:sz="4" w:space="0" w:color="auto"/>
            </w:tcBorders>
            <w:shd w:val="clear" w:color="auto" w:fill="D9D9D9"/>
            <w:vAlign w:val="center"/>
          </w:tcPr>
          <w:p w14:paraId="0DCD0378" w14:textId="77777777" w:rsidR="00193C4D" w:rsidRPr="007D172F" w:rsidRDefault="00193C4D" w:rsidP="00C9628F">
            <w:pPr>
              <w:spacing w:line="280" w:lineRule="exact"/>
              <w:jc w:val="center"/>
            </w:pPr>
            <w:r w:rsidRPr="007D172F">
              <w:t>Monitoring period and frequency</w:t>
            </w:r>
          </w:p>
        </w:tc>
        <w:tc>
          <w:tcPr>
            <w:tcW w:w="4533" w:type="dxa"/>
            <w:tcBorders>
              <w:bottom w:val="double" w:sz="4" w:space="0" w:color="auto"/>
            </w:tcBorders>
            <w:shd w:val="clear" w:color="auto" w:fill="D9D9D9"/>
            <w:vAlign w:val="center"/>
          </w:tcPr>
          <w:p w14:paraId="0D0AC732" w14:textId="77777777" w:rsidR="00193C4D" w:rsidRPr="00193C4D" w:rsidRDefault="00193C4D" w:rsidP="00C9628F">
            <w:pPr>
              <w:spacing w:line="280" w:lineRule="exact"/>
              <w:jc w:val="center"/>
              <w:rPr>
                <w:lang w:val="en-US"/>
              </w:rPr>
            </w:pPr>
            <w:r w:rsidRPr="00193C4D">
              <w:rPr>
                <w:lang w:val="en-US"/>
              </w:rPr>
              <w:t>Details of available data (as of January 2019)</w:t>
            </w:r>
          </w:p>
        </w:tc>
      </w:tr>
      <w:tr w:rsidR="00193C4D" w:rsidRPr="00193C4D" w14:paraId="44944594" w14:textId="77777777" w:rsidTr="00C9628F">
        <w:trPr>
          <w:jc w:val="center"/>
        </w:trPr>
        <w:tc>
          <w:tcPr>
            <w:tcW w:w="2125" w:type="dxa"/>
            <w:vMerge w:val="restart"/>
          </w:tcPr>
          <w:p w14:paraId="1F138F5E" w14:textId="77777777" w:rsidR="00193C4D" w:rsidRPr="00193C4D" w:rsidRDefault="00193C4D" w:rsidP="00C9628F">
            <w:pPr>
              <w:spacing w:line="280" w:lineRule="exact"/>
              <w:rPr>
                <w:lang w:val="en-US"/>
              </w:rPr>
            </w:pPr>
            <w:r w:rsidRPr="00193C4D">
              <w:rPr>
                <w:lang w:val="en-US"/>
              </w:rPr>
              <w:t xml:space="preserve">Niigata Prefectural Government, </w:t>
            </w:r>
          </w:p>
          <w:p w14:paraId="4C6FDCFE" w14:textId="77777777" w:rsidR="00193C4D" w:rsidRPr="00193C4D" w:rsidRDefault="00193C4D" w:rsidP="00C9628F">
            <w:pPr>
              <w:spacing w:line="280" w:lineRule="exact"/>
              <w:rPr>
                <w:lang w:val="en-US"/>
              </w:rPr>
            </w:pPr>
            <w:r w:rsidRPr="00193C4D">
              <w:rPr>
                <w:lang w:val="en-US"/>
              </w:rPr>
              <w:t>Niigata Prefectural Institute of Public Health and Environmental Science</w:t>
            </w:r>
          </w:p>
        </w:tc>
        <w:tc>
          <w:tcPr>
            <w:tcW w:w="1701" w:type="dxa"/>
          </w:tcPr>
          <w:p w14:paraId="7A7DDFED" w14:textId="77777777" w:rsidR="00193C4D" w:rsidRPr="00193C4D" w:rsidRDefault="00193C4D" w:rsidP="00C9628F">
            <w:pPr>
              <w:spacing w:line="280" w:lineRule="exact"/>
              <w:rPr>
                <w:vertAlign w:val="superscript"/>
                <w:lang w:val="en-US"/>
              </w:rPr>
            </w:pPr>
            <w:r w:rsidRPr="00193C4D">
              <w:rPr>
                <w:lang w:val="en-US"/>
              </w:rPr>
              <w:t xml:space="preserve">Water quality survey for public water body and </w:t>
            </w:r>
            <w:proofErr w:type="gramStart"/>
            <w:r w:rsidRPr="00193C4D">
              <w:rPr>
                <w:lang w:val="en-US"/>
              </w:rPr>
              <w:t>groundwater</w:t>
            </w:r>
            <w:r w:rsidRPr="00193C4D">
              <w:rPr>
                <w:vertAlign w:val="superscript"/>
                <w:lang w:val="en-US"/>
              </w:rPr>
              <w:t>[</w:t>
            </w:r>
            <w:proofErr w:type="gramEnd"/>
            <w:r w:rsidRPr="00193C4D">
              <w:rPr>
                <w:vertAlign w:val="superscript"/>
                <w:lang w:val="en-US"/>
              </w:rPr>
              <w:t>1]</w:t>
            </w:r>
          </w:p>
        </w:tc>
        <w:tc>
          <w:tcPr>
            <w:tcW w:w="1276" w:type="dxa"/>
            <w:tcBorders>
              <w:top w:val="single" w:sz="4" w:space="0" w:color="auto"/>
            </w:tcBorders>
            <w:shd w:val="clear" w:color="auto" w:fill="auto"/>
          </w:tcPr>
          <w:p w14:paraId="4A047744" w14:textId="77777777" w:rsidR="00193C4D" w:rsidRPr="007D172F" w:rsidRDefault="00193C4D" w:rsidP="00C9628F">
            <w:pPr>
              <w:spacing w:line="280" w:lineRule="exact"/>
            </w:pPr>
            <w:r w:rsidRPr="007D172F">
              <w:t>Groundwater</w:t>
            </w:r>
          </w:p>
          <w:p w14:paraId="28604266" w14:textId="77777777" w:rsidR="00193C4D" w:rsidRPr="007D172F" w:rsidRDefault="00193C4D" w:rsidP="00C9628F">
            <w:pPr>
              <w:spacing w:line="280" w:lineRule="exact"/>
            </w:pPr>
            <w:r w:rsidRPr="007D172F">
              <w:t>Spring water</w:t>
            </w:r>
          </w:p>
        </w:tc>
        <w:tc>
          <w:tcPr>
            <w:tcW w:w="1418" w:type="dxa"/>
            <w:tcBorders>
              <w:top w:val="single" w:sz="4" w:space="0" w:color="auto"/>
            </w:tcBorders>
            <w:shd w:val="clear" w:color="auto" w:fill="auto"/>
          </w:tcPr>
          <w:p w14:paraId="0FDFFC9A" w14:textId="77777777" w:rsidR="00193C4D" w:rsidRPr="007D172F" w:rsidRDefault="00193C4D" w:rsidP="00C9628F">
            <w:pPr>
              <w:spacing w:line="280" w:lineRule="exact"/>
            </w:pPr>
            <w:r w:rsidRPr="007D172F">
              <w:t>THg</w:t>
            </w:r>
          </w:p>
          <w:p w14:paraId="1EEA669B" w14:textId="77777777" w:rsidR="00193C4D" w:rsidRPr="007D172F" w:rsidRDefault="00193C4D" w:rsidP="00C9628F">
            <w:pPr>
              <w:spacing w:line="280" w:lineRule="exact"/>
            </w:pPr>
            <w:r w:rsidRPr="007D172F">
              <w:t>Alkyl mercury</w:t>
            </w:r>
          </w:p>
        </w:tc>
        <w:tc>
          <w:tcPr>
            <w:tcW w:w="4252" w:type="dxa"/>
          </w:tcPr>
          <w:p w14:paraId="216F06CD" w14:textId="77777777" w:rsidR="00193C4D" w:rsidRPr="00193C4D" w:rsidRDefault="00193C4D" w:rsidP="00C9628F">
            <w:pPr>
              <w:spacing w:line="280" w:lineRule="exact"/>
              <w:rPr>
                <w:lang w:val="en-US"/>
              </w:rPr>
            </w:pPr>
            <w:r w:rsidRPr="00193C4D">
              <w:rPr>
                <w:lang w:val="en-US"/>
              </w:rPr>
              <w:t>Ground water and spring water samples are collected at solid waste landfill sites around factories.</w:t>
            </w:r>
          </w:p>
        </w:tc>
        <w:tc>
          <w:tcPr>
            <w:tcW w:w="3402" w:type="dxa"/>
          </w:tcPr>
          <w:p w14:paraId="3B64ACAE" w14:textId="77777777" w:rsidR="00193C4D" w:rsidRPr="00193C4D" w:rsidRDefault="00193C4D" w:rsidP="00C9628F">
            <w:pPr>
              <w:spacing w:line="280" w:lineRule="exact"/>
              <w:rPr>
                <w:lang w:val="en-US"/>
              </w:rPr>
            </w:pPr>
            <w:r w:rsidRPr="00193C4D">
              <w:rPr>
                <w:lang w:val="en-US"/>
              </w:rPr>
              <w:t>Agano river</w:t>
            </w:r>
          </w:p>
          <w:p w14:paraId="2041709F" w14:textId="77777777" w:rsidR="00193C4D" w:rsidRPr="00193C4D" w:rsidRDefault="00193C4D" w:rsidP="00C9628F">
            <w:pPr>
              <w:spacing w:line="280" w:lineRule="exact"/>
              <w:rPr>
                <w:lang w:val="en-US"/>
              </w:rPr>
            </w:pPr>
            <w:r w:rsidRPr="00193C4D">
              <w:rPr>
                <w:lang w:val="en-US"/>
              </w:rPr>
              <w:t>Total 24 samples (in FY2017)</w:t>
            </w:r>
          </w:p>
        </w:tc>
        <w:tc>
          <w:tcPr>
            <w:tcW w:w="2552" w:type="dxa"/>
          </w:tcPr>
          <w:p w14:paraId="098A3C56" w14:textId="77777777" w:rsidR="00193C4D" w:rsidRPr="00193C4D" w:rsidRDefault="00193C4D" w:rsidP="00C9628F">
            <w:pPr>
              <w:spacing w:line="280" w:lineRule="exact"/>
              <w:rPr>
                <w:lang w:val="en-US"/>
              </w:rPr>
            </w:pPr>
            <w:r w:rsidRPr="00193C4D">
              <w:rPr>
                <w:lang w:val="en-US"/>
              </w:rPr>
              <w:t>Since FY2006</w:t>
            </w:r>
          </w:p>
          <w:p w14:paraId="1739680A" w14:textId="77777777" w:rsidR="00193C4D" w:rsidRPr="00193C4D" w:rsidRDefault="00193C4D" w:rsidP="00C9628F">
            <w:pPr>
              <w:spacing w:line="280" w:lineRule="exact"/>
              <w:rPr>
                <w:lang w:val="en-US"/>
              </w:rPr>
            </w:pPr>
            <w:r w:rsidRPr="00193C4D">
              <w:rPr>
                <w:lang w:val="en-US"/>
              </w:rPr>
              <w:t>3 times per year (in FY2017)</w:t>
            </w:r>
          </w:p>
        </w:tc>
        <w:tc>
          <w:tcPr>
            <w:tcW w:w="4533" w:type="dxa"/>
            <w:tcBorders>
              <w:bottom w:val="single" w:sz="4" w:space="0" w:color="auto"/>
            </w:tcBorders>
          </w:tcPr>
          <w:p w14:paraId="10591556" w14:textId="77777777" w:rsidR="00193C4D" w:rsidRPr="00193C4D" w:rsidRDefault="00193C4D" w:rsidP="00C9628F">
            <w:pPr>
              <w:spacing w:line="280" w:lineRule="exact"/>
              <w:rPr>
                <w:lang w:val="en-US"/>
              </w:rPr>
            </w:pPr>
            <w:r w:rsidRPr="00193C4D">
              <w:rPr>
                <w:lang w:val="en-US"/>
              </w:rPr>
              <w:t xml:space="preserve">Monitoring results until FY2017 are available as statistics: range of mercury concentrations. </w:t>
            </w:r>
          </w:p>
        </w:tc>
      </w:tr>
      <w:tr w:rsidR="00193C4D" w:rsidRPr="00193C4D" w14:paraId="48FAA001" w14:textId="77777777" w:rsidTr="00C9628F">
        <w:trPr>
          <w:jc w:val="center"/>
        </w:trPr>
        <w:tc>
          <w:tcPr>
            <w:tcW w:w="2125" w:type="dxa"/>
            <w:vMerge/>
          </w:tcPr>
          <w:p w14:paraId="073E2798" w14:textId="77777777" w:rsidR="00193C4D" w:rsidRPr="00193C4D" w:rsidRDefault="00193C4D" w:rsidP="00C9628F">
            <w:pPr>
              <w:spacing w:line="280" w:lineRule="exact"/>
              <w:rPr>
                <w:lang w:val="en-US"/>
              </w:rPr>
            </w:pPr>
          </w:p>
        </w:tc>
        <w:tc>
          <w:tcPr>
            <w:tcW w:w="1701" w:type="dxa"/>
          </w:tcPr>
          <w:p w14:paraId="7681AA1D" w14:textId="77777777" w:rsidR="00193C4D" w:rsidRPr="00193C4D" w:rsidRDefault="00193C4D" w:rsidP="00C9628F">
            <w:pPr>
              <w:spacing w:line="280" w:lineRule="exact"/>
              <w:rPr>
                <w:lang w:val="en-US"/>
              </w:rPr>
            </w:pPr>
            <w:r w:rsidRPr="00193C4D">
              <w:rPr>
                <w:lang w:val="en-US"/>
              </w:rPr>
              <w:t xml:space="preserve">Sediment </w:t>
            </w:r>
            <w:proofErr w:type="gramStart"/>
            <w:r w:rsidRPr="00193C4D">
              <w:rPr>
                <w:lang w:val="en-US"/>
              </w:rPr>
              <w:t>Mercury  Survey</w:t>
            </w:r>
            <w:proofErr w:type="gramEnd"/>
            <w:r w:rsidRPr="00193C4D">
              <w:rPr>
                <w:lang w:val="en-US"/>
              </w:rPr>
              <w:t xml:space="preserve"> at the Agano River</w:t>
            </w:r>
            <w:r w:rsidRPr="00193C4D">
              <w:rPr>
                <w:vertAlign w:val="superscript"/>
                <w:lang w:val="en-US"/>
              </w:rPr>
              <w:t>[1]</w:t>
            </w:r>
          </w:p>
        </w:tc>
        <w:tc>
          <w:tcPr>
            <w:tcW w:w="1276" w:type="dxa"/>
            <w:tcBorders>
              <w:top w:val="single" w:sz="4" w:space="0" w:color="auto"/>
              <w:bottom w:val="single" w:sz="4" w:space="0" w:color="auto"/>
            </w:tcBorders>
            <w:shd w:val="clear" w:color="auto" w:fill="auto"/>
          </w:tcPr>
          <w:p w14:paraId="676807B4" w14:textId="77777777" w:rsidR="00193C4D" w:rsidRPr="007D172F" w:rsidRDefault="00193C4D" w:rsidP="00C9628F">
            <w:pPr>
              <w:spacing w:line="280" w:lineRule="exact"/>
            </w:pPr>
            <w:r w:rsidRPr="007D172F">
              <w:t>Sediment</w:t>
            </w:r>
          </w:p>
        </w:tc>
        <w:tc>
          <w:tcPr>
            <w:tcW w:w="1418" w:type="dxa"/>
            <w:tcBorders>
              <w:top w:val="single" w:sz="4" w:space="0" w:color="auto"/>
              <w:bottom w:val="single" w:sz="4" w:space="0" w:color="auto"/>
            </w:tcBorders>
            <w:shd w:val="clear" w:color="auto" w:fill="auto"/>
          </w:tcPr>
          <w:p w14:paraId="1CFC7742" w14:textId="77777777" w:rsidR="00193C4D" w:rsidRPr="007D172F" w:rsidRDefault="00193C4D" w:rsidP="00C9628F">
            <w:pPr>
              <w:spacing w:line="280" w:lineRule="exact"/>
            </w:pPr>
            <w:r w:rsidRPr="007D172F">
              <w:t>THg</w:t>
            </w:r>
          </w:p>
          <w:p w14:paraId="1C77E3EA" w14:textId="77777777" w:rsidR="00193C4D" w:rsidRPr="007D172F" w:rsidRDefault="00193C4D" w:rsidP="00C9628F">
            <w:pPr>
              <w:spacing w:line="280" w:lineRule="exact"/>
            </w:pPr>
            <w:r w:rsidRPr="007D172F">
              <w:t>Alkyl mercury</w:t>
            </w:r>
          </w:p>
        </w:tc>
        <w:tc>
          <w:tcPr>
            <w:tcW w:w="4252" w:type="dxa"/>
          </w:tcPr>
          <w:p w14:paraId="3E6F3FAE" w14:textId="77777777" w:rsidR="00193C4D" w:rsidRPr="007D172F" w:rsidRDefault="00193C4D" w:rsidP="00C9628F">
            <w:pPr>
              <w:spacing w:line="280" w:lineRule="exact"/>
            </w:pPr>
          </w:p>
        </w:tc>
        <w:tc>
          <w:tcPr>
            <w:tcW w:w="3402" w:type="dxa"/>
          </w:tcPr>
          <w:p w14:paraId="4CEACE7A" w14:textId="77777777" w:rsidR="00193C4D" w:rsidRPr="00193C4D" w:rsidRDefault="00193C4D" w:rsidP="00C9628F">
            <w:pPr>
              <w:spacing w:line="280" w:lineRule="exact"/>
              <w:rPr>
                <w:lang w:val="en-US"/>
              </w:rPr>
            </w:pPr>
            <w:r w:rsidRPr="00193C4D">
              <w:rPr>
                <w:lang w:val="en-US"/>
              </w:rPr>
              <w:t>Agano river basin</w:t>
            </w:r>
          </w:p>
          <w:p w14:paraId="66FFF71C" w14:textId="77777777" w:rsidR="00193C4D" w:rsidRPr="00193C4D" w:rsidRDefault="00193C4D" w:rsidP="00C9628F">
            <w:pPr>
              <w:spacing w:line="280" w:lineRule="exact"/>
              <w:rPr>
                <w:lang w:val="en-US"/>
              </w:rPr>
            </w:pPr>
            <w:r w:rsidRPr="00193C4D">
              <w:rPr>
                <w:lang w:val="en-US"/>
              </w:rPr>
              <w:t>Total 4 samples (in FY2017)</w:t>
            </w:r>
          </w:p>
        </w:tc>
        <w:tc>
          <w:tcPr>
            <w:tcW w:w="2552" w:type="dxa"/>
          </w:tcPr>
          <w:p w14:paraId="04B7D062" w14:textId="77777777" w:rsidR="00193C4D" w:rsidRPr="00193C4D" w:rsidRDefault="00193C4D" w:rsidP="00C9628F">
            <w:pPr>
              <w:spacing w:line="280" w:lineRule="exact"/>
              <w:rPr>
                <w:lang w:val="en-US"/>
              </w:rPr>
            </w:pPr>
            <w:r w:rsidRPr="00193C4D">
              <w:rPr>
                <w:lang w:val="en-US"/>
              </w:rPr>
              <w:t>Since FY2008</w:t>
            </w:r>
          </w:p>
          <w:p w14:paraId="1AC1DF99" w14:textId="77777777" w:rsidR="00193C4D" w:rsidRPr="00193C4D" w:rsidRDefault="00193C4D" w:rsidP="00C9628F">
            <w:pPr>
              <w:spacing w:line="280" w:lineRule="exact"/>
              <w:ind w:left="510" w:hangingChars="255" w:hanging="510"/>
              <w:rPr>
                <w:lang w:val="en-US"/>
              </w:rPr>
            </w:pPr>
            <w:r w:rsidRPr="00193C4D">
              <w:rPr>
                <w:lang w:val="en-US"/>
              </w:rPr>
              <w:t>4 times per year (in FY2017)</w:t>
            </w:r>
          </w:p>
        </w:tc>
        <w:tc>
          <w:tcPr>
            <w:tcW w:w="4533" w:type="dxa"/>
          </w:tcPr>
          <w:p w14:paraId="1AABB991" w14:textId="77777777" w:rsidR="00193C4D" w:rsidRPr="00193C4D" w:rsidRDefault="00193C4D" w:rsidP="00C9628F">
            <w:pPr>
              <w:spacing w:line="280" w:lineRule="exact"/>
              <w:rPr>
                <w:lang w:val="en-US"/>
              </w:rPr>
            </w:pPr>
            <w:r w:rsidRPr="00193C4D">
              <w:rPr>
                <w:lang w:val="en-US"/>
              </w:rPr>
              <w:t>Monitoring results until FY2017 are available as statistics: range of mercury concentrations.</w:t>
            </w:r>
          </w:p>
        </w:tc>
      </w:tr>
      <w:tr w:rsidR="00193C4D" w:rsidRPr="00193C4D" w14:paraId="56A8E716" w14:textId="77777777" w:rsidTr="00C9628F">
        <w:trPr>
          <w:jc w:val="center"/>
        </w:trPr>
        <w:tc>
          <w:tcPr>
            <w:tcW w:w="2125" w:type="dxa"/>
            <w:vMerge/>
          </w:tcPr>
          <w:p w14:paraId="51D92645" w14:textId="77777777" w:rsidR="00193C4D" w:rsidRPr="00193C4D" w:rsidRDefault="00193C4D" w:rsidP="00C9628F">
            <w:pPr>
              <w:spacing w:line="280" w:lineRule="exact"/>
              <w:rPr>
                <w:lang w:val="en-US"/>
              </w:rPr>
            </w:pPr>
          </w:p>
        </w:tc>
        <w:tc>
          <w:tcPr>
            <w:tcW w:w="1701" w:type="dxa"/>
          </w:tcPr>
          <w:p w14:paraId="129E1217" w14:textId="77777777" w:rsidR="00193C4D" w:rsidRPr="00193C4D" w:rsidRDefault="00193C4D" w:rsidP="00C9628F">
            <w:pPr>
              <w:spacing w:line="280" w:lineRule="exact"/>
              <w:rPr>
                <w:lang w:val="en-US"/>
              </w:rPr>
            </w:pPr>
            <w:r w:rsidRPr="00193C4D">
              <w:rPr>
                <w:lang w:val="en-US"/>
              </w:rPr>
              <w:t xml:space="preserve">Mercury Content Survey in Fish at the Agano </w:t>
            </w:r>
            <w:proofErr w:type="gramStart"/>
            <w:r w:rsidRPr="00193C4D">
              <w:rPr>
                <w:lang w:val="en-US"/>
              </w:rPr>
              <w:t>River</w:t>
            </w:r>
            <w:r w:rsidRPr="00193C4D">
              <w:rPr>
                <w:vertAlign w:val="superscript"/>
                <w:lang w:val="en-US"/>
              </w:rPr>
              <w:t>[</w:t>
            </w:r>
            <w:proofErr w:type="gramEnd"/>
            <w:r w:rsidRPr="00193C4D">
              <w:rPr>
                <w:vertAlign w:val="superscript"/>
                <w:lang w:val="en-US"/>
              </w:rPr>
              <w:t>1]</w:t>
            </w:r>
          </w:p>
        </w:tc>
        <w:tc>
          <w:tcPr>
            <w:tcW w:w="1276" w:type="dxa"/>
            <w:tcBorders>
              <w:top w:val="single" w:sz="4" w:space="0" w:color="auto"/>
              <w:bottom w:val="single" w:sz="4" w:space="0" w:color="auto"/>
            </w:tcBorders>
            <w:shd w:val="clear" w:color="auto" w:fill="auto"/>
          </w:tcPr>
          <w:p w14:paraId="5528BAD8" w14:textId="77777777" w:rsidR="00193C4D" w:rsidRPr="007D172F" w:rsidRDefault="00193C4D" w:rsidP="00C9628F">
            <w:pPr>
              <w:spacing w:line="280" w:lineRule="exact"/>
            </w:pPr>
            <w:r w:rsidRPr="007D172F">
              <w:t>Fish</w:t>
            </w:r>
          </w:p>
        </w:tc>
        <w:tc>
          <w:tcPr>
            <w:tcW w:w="1418" w:type="dxa"/>
            <w:tcBorders>
              <w:top w:val="single" w:sz="4" w:space="0" w:color="auto"/>
              <w:bottom w:val="single" w:sz="4" w:space="0" w:color="auto"/>
            </w:tcBorders>
            <w:shd w:val="clear" w:color="auto" w:fill="auto"/>
          </w:tcPr>
          <w:p w14:paraId="1694DD0B" w14:textId="77777777" w:rsidR="00193C4D" w:rsidRPr="007D172F" w:rsidRDefault="00193C4D" w:rsidP="00C9628F">
            <w:pPr>
              <w:spacing w:line="280" w:lineRule="exact"/>
            </w:pPr>
            <w:r w:rsidRPr="007D172F">
              <w:t>THg</w:t>
            </w:r>
          </w:p>
          <w:p w14:paraId="67F0AA0A" w14:textId="77777777" w:rsidR="00193C4D" w:rsidRPr="007D172F" w:rsidRDefault="00193C4D" w:rsidP="00C9628F">
            <w:pPr>
              <w:spacing w:line="280" w:lineRule="exact"/>
            </w:pPr>
            <w:r w:rsidRPr="007D172F">
              <w:t>MeHg</w:t>
            </w:r>
          </w:p>
        </w:tc>
        <w:tc>
          <w:tcPr>
            <w:tcW w:w="4252" w:type="dxa"/>
          </w:tcPr>
          <w:p w14:paraId="16B82092" w14:textId="77777777" w:rsidR="00193C4D" w:rsidRPr="007D172F" w:rsidRDefault="00193C4D" w:rsidP="00C9628F">
            <w:pPr>
              <w:spacing w:line="280" w:lineRule="exact"/>
            </w:pPr>
          </w:p>
        </w:tc>
        <w:tc>
          <w:tcPr>
            <w:tcW w:w="3402" w:type="dxa"/>
          </w:tcPr>
          <w:p w14:paraId="30C639D6" w14:textId="77777777" w:rsidR="00193C4D" w:rsidRPr="00193C4D" w:rsidRDefault="00193C4D" w:rsidP="00C9628F">
            <w:pPr>
              <w:spacing w:line="280" w:lineRule="exact"/>
              <w:rPr>
                <w:lang w:val="en-US"/>
              </w:rPr>
            </w:pPr>
            <w:r w:rsidRPr="00193C4D">
              <w:rPr>
                <w:lang w:val="en-US"/>
              </w:rPr>
              <w:t>Agano river</w:t>
            </w:r>
          </w:p>
          <w:p w14:paraId="3FA59471" w14:textId="77777777" w:rsidR="00193C4D" w:rsidRPr="00193C4D" w:rsidRDefault="00193C4D" w:rsidP="00C9628F">
            <w:pPr>
              <w:spacing w:line="280" w:lineRule="exact"/>
              <w:rPr>
                <w:lang w:val="en-US"/>
              </w:rPr>
            </w:pPr>
            <w:r w:rsidRPr="00193C4D">
              <w:rPr>
                <w:lang w:val="en-US"/>
              </w:rPr>
              <w:t>3 sites</w:t>
            </w:r>
          </w:p>
          <w:p w14:paraId="4E3C9AC0" w14:textId="77777777" w:rsidR="00193C4D" w:rsidRPr="00193C4D" w:rsidRDefault="00193C4D" w:rsidP="00C9628F">
            <w:pPr>
              <w:spacing w:line="280" w:lineRule="exact"/>
              <w:rPr>
                <w:lang w:val="en-US"/>
              </w:rPr>
            </w:pPr>
            <w:r w:rsidRPr="00193C4D">
              <w:rPr>
                <w:lang w:val="en-US"/>
              </w:rPr>
              <w:t>Total 45 samples (in FY2017)</w:t>
            </w:r>
          </w:p>
          <w:p w14:paraId="0609A094" w14:textId="77777777" w:rsidR="00193C4D" w:rsidRPr="007D172F" w:rsidRDefault="00193C4D" w:rsidP="00C9628F">
            <w:pPr>
              <w:spacing w:line="280" w:lineRule="exact"/>
              <w:ind w:firstLineChars="50" w:firstLine="100"/>
            </w:pPr>
            <w:r w:rsidRPr="007D172F">
              <w:t>- Japanese dace</w:t>
            </w:r>
          </w:p>
        </w:tc>
        <w:tc>
          <w:tcPr>
            <w:tcW w:w="2552" w:type="dxa"/>
          </w:tcPr>
          <w:p w14:paraId="3A6205AA" w14:textId="77777777" w:rsidR="00193C4D" w:rsidRPr="007D172F" w:rsidRDefault="00193C4D" w:rsidP="00C9628F">
            <w:pPr>
              <w:spacing w:line="280" w:lineRule="exact"/>
            </w:pPr>
            <w:r w:rsidRPr="007D172F">
              <w:t>Since FY1987</w:t>
            </w:r>
          </w:p>
          <w:p w14:paraId="5D801190" w14:textId="77777777" w:rsidR="00193C4D" w:rsidRPr="007D172F" w:rsidRDefault="00193C4D" w:rsidP="00C9628F">
            <w:pPr>
              <w:spacing w:line="280" w:lineRule="exact"/>
            </w:pPr>
            <w:r w:rsidRPr="007D172F">
              <w:t>Annually</w:t>
            </w:r>
          </w:p>
        </w:tc>
        <w:tc>
          <w:tcPr>
            <w:tcW w:w="4533" w:type="dxa"/>
          </w:tcPr>
          <w:p w14:paraId="152EB41B" w14:textId="77777777" w:rsidR="00193C4D" w:rsidRPr="00193C4D" w:rsidRDefault="00193C4D" w:rsidP="00C9628F">
            <w:pPr>
              <w:spacing w:line="280" w:lineRule="exact"/>
              <w:rPr>
                <w:lang w:val="en-US"/>
              </w:rPr>
            </w:pPr>
            <w:r w:rsidRPr="00193C4D">
              <w:rPr>
                <w:lang w:val="en-US"/>
              </w:rPr>
              <w:t>Monitoring results until FY2017 are available as statistics: mean and range of mercury concentrations and methyl ratio, range of body length, and a number of samples.</w:t>
            </w:r>
          </w:p>
          <w:p w14:paraId="3BC02DC6" w14:textId="77777777" w:rsidR="00193C4D" w:rsidRPr="00193C4D" w:rsidRDefault="00193C4D" w:rsidP="00C9628F">
            <w:pPr>
              <w:spacing w:line="280" w:lineRule="exact"/>
              <w:rPr>
                <w:lang w:val="en-US"/>
              </w:rPr>
            </w:pPr>
          </w:p>
        </w:tc>
      </w:tr>
      <w:tr w:rsidR="00193C4D" w:rsidRPr="00193C4D" w14:paraId="05ADB249" w14:textId="77777777" w:rsidTr="00C9628F">
        <w:trPr>
          <w:jc w:val="center"/>
        </w:trPr>
        <w:tc>
          <w:tcPr>
            <w:tcW w:w="2125" w:type="dxa"/>
            <w:vMerge/>
          </w:tcPr>
          <w:p w14:paraId="28B60EE3" w14:textId="77777777" w:rsidR="00193C4D" w:rsidRPr="00193C4D" w:rsidRDefault="00193C4D" w:rsidP="00C9628F">
            <w:pPr>
              <w:spacing w:line="280" w:lineRule="exact"/>
              <w:rPr>
                <w:lang w:val="en-US"/>
              </w:rPr>
            </w:pPr>
          </w:p>
        </w:tc>
        <w:tc>
          <w:tcPr>
            <w:tcW w:w="1701" w:type="dxa"/>
            <w:vMerge w:val="restart"/>
          </w:tcPr>
          <w:p w14:paraId="6B65D069" w14:textId="77777777" w:rsidR="00193C4D" w:rsidRPr="00193C4D" w:rsidRDefault="00193C4D" w:rsidP="00C9628F">
            <w:pPr>
              <w:spacing w:line="280" w:lineRule="exact"/>
              <w:rPr>
                <w:lang w:val="en-US"/>
              </w:rPr>
            </w:pPr>
            <w:r w:rsidRPr="00193C4D">
              <w:rPr>
                <w:lang w:val="en-US"/>
              </w:rPr>
              <w:t xml:space="preserve">Mercury survey at the Seki </w:t>
            </w:r>
            <w:proofErr w:type="gramStart"/>
            <w:r w:rsidRPr="00193C4D">
              <w:rPr>
                <w:lang w:val="en-US"/>
              </w:rPr>
              <w:t>River</w:t>
            </w:r>
            <w:r w:rsidRPr="00193C4D">
              <w:rPr>
                <w:vertAlign w:val="superscript"/>
                <w:lang w:val="en-US"/>
              </w:rPr>
              <w:t>[</w:t>
            </w:r>
            <w:proofErr w:type="gramEnd"/>
            <w:r w:rsidRPr="00193C4D">
              <w:rPr>
                <w:vertAlign w:val="superscript"/>
                <w:lang w:val="en-US"/>
              </w:rPr>
              <w:t>1]</w:t>
            </w:r>
          </w:p>
        </w:tc>
        <w:tc>
          <w:tcPr>
            <w:tcW w:w="1276" w:type="dxa"/>
            <w:vMerge w:val="restart"/>
            <w:tcBorders>
              <w:top w:val="single" w:sz="4" w:space="0" w:color="auto"/>
            </w:tcBorders>
            <w:shd w:val="clear" w:color="auto" w:fill="auto"/>
          </w:tcPr>
          <w:p w14:paraId="3BF943F5" w14:textId="77777777" w:rsidR="00193C4D" w:rsidRPr="007D172F" w:rsidRDefault="00193C4D" w:rsidP="00C9628F">
            <w:pPr>
              <w:spacing w:line="280" w:lineRule="exact"/>
            </w:pPr>
            <w:r w:rsidRPr="007D172F">
              <w:t>Fish</w:t>
            </w:r>
          </w:p>
        </w:tc>
        <w:tc>
          <w:tcPr>
            <w:tcW w:w="1418" w:type="dxa"/>
            <w:tcBorders>
              <w:top w:val="single" w:sz="4" w:space="0" w:color="auto"/>
            </w:tcBorders>
            <w:shd w:val="clear" w:color="auto" w:fill="auto"/>
          </w:tcPr>
          <w:p w14:paraId="64B0D290" w14:textId="77777777" w:rsidR="00193C4D" w:rsidRPr="007D172F" w:rsidRDefault="00193C4D" w:rsidP="00C9628F">
            <w:pPr>
              <w:spacing w:line="280" w:lineRule="exact"/>
            </w:pPr>
            <w:r w:rsidRPr="007D172F">
              <w:t>THg</w:t>
            </w:r>
          </w:p>
          <w:p w14:paraId="6E8ABFDE" w14:textId="77777777" w:rsidR="00193C4D" w:rsidRPr="007D172F" w:rsidRDefault="00193C4D" w:rsidP="00C9628F">
            <w:pPr>
              <w:spacing w:line="280" w:lineRule="exact"/>
            </w:pPr>
            <w:r w:rsidRPr="007D172F">
              <w:t>MeHg</w:t>
            </w:r>
          </w:p>
        </w:tc>
        <w:tc>
          <w:tcPr>
            <w:tcW w:w="4252" w:type="dxa"/>
          </w:tcPr>
          <w:p w14:paraId="5BEF9485" w14:textId="77777777" w:rsidR="00193C4D" w:rsidRPr="00193C4D" w:rsidRDefault="00193C4D" w:rsidP="00C9628F">
            <w:pPr>
              <w:spacing w:line="280" w:lineRule="exact"/>
              <w:rPr>
                <w:lang w:val="en-US"/>
              </w:rPr>
            </w:pPr>
            <w:r w:rsidRPr="00193C4D">
              <w:rPr>
                <w:lang w:val="en-US"/>
              </w:rPr>
              <w:t xml:space="preserve">MeHg analysis is performed if THg exceed interim regulation value of 0.4 </w:t>
            </w:r>
            <w:r w:rsidRPr="007D172F">
              <w:rPr>
                <w:rFonts w:ascii="Symbol" w:hAnsi="Symbol"/>
              </w:rPr>
              <w:t></w:t>
            </w:r>
            <w:r w:rsidRPr="00193C4D">
              <w:rPr>
                <w:lang w:val="en-US"/>
              </w:rPr>
              <w:t>g/g wet.</w:t>
            </w:r>
          </w:p>
        </w:tc>
        <w:tc>
          <w:tcPr>
            <w:tcW w:w="3402" w:type="dxa"/>
          </w:tcPr>
          <w:p w14:paraId="11218950" w14:textId="77777777" w:rsidR="00193C4D" w:rsidRPr="00193C4D" w:rsidRDefault="00193C4D" w:rsidP="00C9628F">
            <w:pPr>
              <w:spacing w:line="280" w:lineRule="exact"/>
              <w:rPr>
                <w:lang w:val="en-US"/>
              </w:rPr>
            </w:pPr>
            <w:r w:rsidRPr="00193C4D">
              <w:rPr>
                <w:lang w:val="en-US"/>
              </w:rPr>
              <w:t>Seki river</w:t>
            </w:r>
          </w:p>
          <w:p w14:paraId="4E9D711E" w14:textId="77777777" w:rsidR="00193C4D" w:rsidRPr="00193C4D" w:rsidRDefault="00193C4D" w:rsidP="00C9628F">
            <w:pPr>
              <w:spacing w:line="280" w:lineRule="exact"/>
              <w:rPr>
                <w:lang w:val="en-US"/>
              </w:rPr>
            </w:pPr>
            <w:r w:rsidRPr="00193C4D">
              <w:rPr>
                <w:lang w:val="en-US"/>
              </w:rPr>
              <w:t>Total 45 samples (in FY2017)</w:t>
            </w:r>
          </w:p>
          <w:p w14:paraId="09096870" w14:textId="77777777" w:rsidR="00193C4D" w:rsidRPr="007D172F" w:rsidRDefault="00193C4D" w:rsidP="00C9628F">
            <w:pPr>
              <w:spacing w:line="280" w:lineRule="exact"/>
              <w:ind w:firstLineChars="50" w:firstLine="100"/>
            </w:pPr>
            <w:r w:rsidRPr="007D172F">
              <w:t>- Japanese dace</w:t>
            </w:r>
          </w:p>
        </w:tc>
        <w:tc>
          <w:tcPr>
            <w:tcW w:w="2552" w:type="dxa"/>
          </w:tcPr>
          <w:p w14:paraId="48F850AD" w14:textId="77777777" w:rsidR="00193C4D" w:rsidRPr="007D172F" w:rsidRDefault="00193C4D" w:rsidP="00C9628F">
            <w:pPr>
              <w:spacing w:line="280" w:lineRule="exact"/>
            </w:pPr>
            <w:r w:rsidRPr="007D172F">
              <w:t>Since FY2006</w:t>
            </w:r>
          </w:p>
          <w:p w14:paraId="793BDB54" w14:textId="77777777" w:rsidR="00193C4D" w:rsidRPr="007D172F" w:rsidRDefault="00193C4D" w:rsidP="00C9628F">
            <w:pPr>
              <w:spacing w:line="280" w:lineRule="exact"/>
            </w:pPr>
            <w:r w:rsidRPr="007D172F">
              <w:t>Annually</w:t>
            </w:r>
          </w:p>
        </w:tc>
        <w:tc>
          <w:tcPr>
            <w:tcW w:w="4533" w:type="dxa"/>
          </w:tcPr>
          <w:p w14:paraId="085A2798" w14:textId="77777777" w:rsidR="00193C4D" w:rsidRPr="00193C4D" w:rsidRDefault="00193C4D" w:rsidP="00C9628F">
            <w:pPr>
              <w:spacing w:line="280" w:lineRule="exact"/>
              <w:rPr>
                <w:lang w:val="en-US"/>
              </w:rPr>
            </w:pPr>
            <w:r w:rsidRPr="00193C4D">
              <w:rPr>
                <w:lang w:val="en-US"/>
              </w:rPr>
              <w:t>Monitoring results until FY2017 are available as statistics: range of mercury concentrations.</w:t>
            </w:r>
          </w:p>
        </w:tc>
      </w:tr>
      <w:tr w:rsidR="00193C4D" w:rsidRPr="00193C4D" w14:paraId="01AE17BA" w14:textId="77777777" w:rsidTr="00C9628F">
        <w:trPr>
          <w:jc w:val="center"/>
        </w:trPr>
        <w:tc>
          <w:tcPr>
            <w:tcW w:w="2125" w:type="dxa"/>
            <w:vMerge/>
          </w:tcPr>
          <w:p w14:paraId="739D599B" w14:textId="77777777" w:rsidR="00193C4D" w:rsidRPr="00193C4D" w:rsidRDefault="00193C4D" w:rsidP="00C9628F">
            <w:pPr>
              <w:spacing w:line="280" w:lineRule="exact"/>
              <w:rPr>
                <w:lang w:val="en-US"/>
              </w:rPr>
            </w:pPr>
          </w:p>
        </w:tc>
        <w:tc>
          <w:tcPr>
            <w:tcW w:w="1701" w:type="dxa"/>
            <w:vMerge/>
          </w:tcPr>
          <w:p w14:paraId="76838D43" w14:textId="77777777" w:rsidR="00193C4D" w:rsidRPr="00193C4D" w:rsidRDefault="00193C4D" w:rsidP="00C9628F">
            <w:pPr>
              <w:spacing w:line="280" w:lineRule="exact"/>
              <w:rPr>
                <w:lang w:val="en-US"/>
              </w:rPr>
            </w:pPr>
          </w:p>
        </w:tc>
        <w:tc>
          <w:tcPr>
            <w:tcW w:w="1276" w:type="dxa"/>
            <w:vMerge/>
            <w:tcBorders>
              <w:bottom w:val="single" w:sz="4" w:space="0" w:color="auto"/>
            </w:tcBorders>
            <w:shd w:val="clear" w:color="auto" w:fill="auto"/>
          </w:tcPr>
          <w:p w14:paraId="2FCF2A38" w14:textId="77777777" w:rsidR="00193C4D" w:rsidRPr="00193C4D" w:rsidRDefault="00193C4D" w:rsidP="00C9628F">
            <w:pPr>
              <w:spacing w:line="280" w:lineRule="exact"/>
              <w:rPr>
                <w:lang w:val="en-US"/>
              </w:rPr>
            </w:pPr>
          </w:p>
        </w:tc>
        <w:tc>
          <w:tcPr>
            <w:tcW w:w="1418" w:type="dxa"/>
            <w:tcBorders>
              <w:bottom w:val="single" w:sz="4" w:space="0" w:color="auto"/>
            </w:tcBorders>
            <w:shd w:val="clear" w:color="auto" w:fill="auto"/>
          </w:tcPr>
          <w:p w14:paraId="399368F5" w14:textId="77777777" w:rsidR="00193C4D" w:rsidRPr="007D172F" w:rsidRDefault="00193C4D" w:rsidP="00C9628F">
            <w:pPr>
              <w:spacing w:line="280" w:lineRule="exact"/>
            </w:pPr>
            <w:r w:rsidRPr="007D172F">
              <w:t>THg</w:t>
            </w:r>
          </w:p>
          <w:p w14:paraId="672E44D6" w14:textId="77777777" w:rsidR="00193C4D" w:rsidRPr="007D172F" w:rsidRDefault="00193C4D" w:rsidP="00C9628F">
            <w:pPr>
              <w:spacing w:line="280" w:lineRule="exact"/>
            </w:pPr>
            <w:r w:rsidRPr="007D172F">
              <w:t>Alkyl mercury</w:t>
            </w:r>
          </w:p>
        </w:tc>
        <w:tc>
          <w:tcPr>
            <w:tcW w:w="4252" w:type="dxa"/>
          </w:tcPr>
          <w:p w14:paraId="7513AAAB" w14:textId="77777777" w:rsidR="00193C4D" w:rsidRPr="00193C4D" w:rsidRDefault="00193C4D" w:rsidP="00C9628F">
            <w:pPr>
              <w:spacing w:line="280" w:lineRule="exact"/>
              <w:rPr>
                <w:lang w:val="en-US"/>
              </w:rPr>
            </w:pPr>
            <w:r w:rsidRPr="00193C4D">
              <w:rPr>
                <w:lang w:val="en-US"/>
              </w:rPr>
              <w:t xml:space="preserve">Analysis of Alkyl mercury is performed if THg exceed interim regulation value of 0.4 </w:t>
            </w:r>
            <w:r w:rsidRPr="007D172F">
              <w:rPr>
                <w:rFonts w:ascii="Symbol" w:hAnsi="Symbol"/>
              </w:rPr>
              <w:t></w:t>
            </w:r>
            <w:r w:rsidRPr="00193C4D">
              <w:rPr>
                <w:lang w:val="en-US"/>
              </w:rPr>
              <w:t>g/g wet.</w:t>
            </w:r>
          </w:p>
        </w:tc>
        <w:tc>
          <w:tcPr>
            <w:tcW w:w="3402" w:type="dxa"/>
          </w:tcPr>
          <w:p w14:paraId="0E8755AA" w14:textId="77777777" w:rsidR="00193C4D" w:rsidRPr="00193C4D" w:rsidRDefault="00193C4D" w:rsidP="00C9628F">
            <w:pPr>
              <w:spacing w:line="280" w:lineRule="exact"/>
              <w:rPr>
                <w:lang w:val="en-US"/>
              </w:rPr>
            </w:pPr>
            <w:r w:rsidRPr="00193C4D">
              <w:rPr>
                <w:lang w:val="en-US"/>
              </w:rPr>
              <w:t>Seki river</w:t>
            </w:r>
          </w:p>
          <w:p w14:paraId="78EE11D4" w14:textId="77777777" w:rsidR="00193C4D" w:rsidRPr="00193C4D" w:rsidRDefault="00193C4D" w:rsidP="00C9628F">
            <w:pPr>
              <w:spacing w:line="280" w:lineRule="exact"/>
              <w:rPr>
                <w:lang w:val="en-US"/>
              </w:rPr>
            </w:pPr>
            <w:r w:rsidRPr="00193C4D">
              <w:rPr>
                <w:lang w:val="en-US"/>
              </w:rPr>
              <w:t>Total 90 samples (in FY 2017)</w:t>
            </w:r>
          </w:p>
          <w:p w14:paraId="602EDF42" w14:textId="77777777" w:rsidR="00193C4D" w:rsidRPr="00193C4D" w:rsidRDefault="00193C4D" w:rsidP="00C9628F">
            <w:pPr>
              <w:spacing w:line="280" w:lineRule="exact"/>
              <w:ind w:leftChars="47" w:left="170" w:hangingChars="38" w:hanging="76"/>
              <w:rPr>
                <w:lang w:val="en-US"/>
              </w:rPr>
            </w:pPr>
            <w:r w:rsidRPr="00193C4D">
              <w:rPr>
                <w:lang w:val="en-US"/>
              </w:rPr>
              <w:t xml:space="preserve">- 9 fish species (Japanese fluvial sculpin, Amur minnow, Weather loach, Pale bleak, etc.) </w:t>
            </w:r>
          </w:p>
        </w:tc>
        <w:tc>
          <w:tcPr>
            <w:tcW w:w="2552" w:type="dxa"/>
          </w:tcPr>
          <w:p w14:paraId="0137E0E4" w14:textId="77777777" w:rsidR="00193C4D" w:rsidRPr="007D172F" w:rsidRDefault="00193C4D" w:rsidP="00C9628F">
            <w:pPr>
              <w:spacing w:line="280" w:lineRule="exact"/>
            </w:pPr>
            <w:r w:rsidRPr="007D172F">
              <w:t>Since FY2003</w:t>
            </w:r>
          </w:p>
          <w:p w14:paraId="57BB2C3F" w14:textId="77777777" w:rsidR="00193C4D" w:rsidRPr="007D172F" w:rsidRDefault="00193C4D" w:rsidP="00C9628F">
            <w:pPr>
              <w:spacing w:line="280" w:lineRule="exact"/>
            </w:pPr>
            <w:r w:rsidRPr="007D172F">
              <w:t>Annually</w:t>
            </w:r>
          </w:p>
        </w:tc>
        <w:tc>
          <w:tcPr>
            <w:tcW w:w="4533" w:type="dxa"/>
          </w:tcPr>
          <w:p w14:paraId="429D472D" w14:textId="77777777" w:rsidR="00193C4D" w:rsidRPr="00193C4D" w:rsidRDefault="00193C4D" w:rsidP="00C9628F">
            <w:pPr>
              <w:spacing w:line="280" w:lineRule="exact"/>
              <w:rPr>
                <w:lang w:val="en-US"/>
              </w:rPr>
            </w:pPr>
            <w:r w:rsidRPr="00193C4D">
              <w:rPr>
                <w:lang w:val="en-US"/>
              </w:rPr>
              <w:t xml:space="preserve">Monitoring results until FY2017 are available as statistics: average and concentration range of all species. </w:t>
            </w:r>
          </w:p>
          <w:p w14:paraId="26C069EF" w14:textId="77777777" w:rsidR="00193C4D" w:rsidRPr="00193C4D" w:rsidRDefault="00193C4D" w:rsidP="00C9628F">
            <w:pPr>
              <w:spacing w:line="280" w:lineRule="exact"/>
              <w:rPr>
                <w:lang w:val="en-US"/>
              </w:rPr>
            </w:pPr>
            <w:r w:rsidRPr="00193C4D">
              <w:rPr>
                <w:lang w:val="en-US"/>
              </w:rPr>
              <w:t>Body length, total length, body weight, sex and age are also observed (not reported).</w:t>
            </w:r>
          </w:p>
          <w:p w14:paraId="3EACAE78" w14:textId="77777777" w:rsidR="00193C4D" w:rsidRPr="00193C4D" w:rsidRDefault="00193C4D" w:rsidP="00C9628F">
            <w:pPr>
              <w:spacing w:line="280" w:lineRule="exact"/>
              <w:rPr>
                <w:lang w:val="en-US"/>
              </w:rPr>
            </w:pPr>
          </w:p>
        </w:tc>
      </w:tr>
      <w:tr w:rsidR="00193C4D" w:rsidRPr="00193C4D" w14:paraId="0CAEB7B5" w14:textId="77777777" w:rsidTr="00C9628F">
        <w:trPr>
          <w:jc w:val="center"/>
        </w:trPr>
        <w:tc>
          <w:tcPr>
            <w:tcW w:w="2125" w:type="dxa"/>
          </w:tcPr>
          <w:p w14:paraId="0ED0DDCA" w14:textId="77777777" w:rsidR="00193C4D" w:rsidRPr="007D172F" w:rsidRDefault="00193C4D" w:rsidP="00C9628F">
            <w:pPr>
              <w:spacing w:line="280" w:lineRule="exact"/>
            </w:pPr>
            <w:r w:rsidRPr="007D172F">
              <w:t>Saitama Prefecture</w:t>
            </w:r>
          </w:p>
        </w:tc>
        <w:tc>
          <w:tcPr>
            <w:tcW w:w="1701" w:type="dxa"/>
          </w:tcPr>
          <w:p w14:paraId="7DD95018" w14:textId="77777777" w:rsidR="00193C4D" w:rsidRPr="007D172F" w:rsidRDefault="00193C4D" w:rsidP="00C9628F">
            <w:pPr>
              <w:spacing w:line="280" w:lineRule="exact"/>
              <w:rPr>
                <w:vertAlign w:val="superscript"/>
              </w:rPr>
            </w:pPr>
            <w:r w:rsidRPr="007D172F">
              <w:t xml:space="preserve">River Water Monitoring </w:t>
            </w:r>
            <w:proofErr w:type="gramStart"/>
            <w:r w:rsidRPr="007D172F">
              <w:t>Survey</w:t>
            </w:r>
            <w:r w:rsidRPr="007D172F">
              <w:rPr>
                <w:vertAlign w:val="superscript"/>
              </w:rPr>
              <w:t>[</w:t>
            </w:r>
            <w:proofErr w:type="gramEnd"/>
            <w:r w:rsidRPr="007D172F">
              <w:rPr>
                <w:vertAlign w:val="superscript"/>
              </w:rPr>
              <w:t>2]</w:t>
            </w:r>
          </w:p>
        </w:tc>
        <w:tc>
          <w:tcPr>
            <w:tcW w:w="1276" w:type="dxa"/>
            <w:tcBorders>
              <w:top w:val="single" w:sz="4" w:space="0" w:color="auto"/>
              <w:bottom w:val="single" w:sz="4" w:space="0" w:color="auto"/>
            </w:tcBorders>
            <w:shd w:val="clear" w:color="auto" w:fill="auto"/>
          </w:tcPr>
          <w:p w14:paraId="14E2A507" w14:textId="77777777" w:rsidR="00193C4D" w:rsidRPr="007D172F" w:rsidRDefault="00193C4D" w:rsidP="00C9628F">
            <w:pPr>
              <w:spacing w:line="280" w:lineRule="exact"/>
            </w:pPr>
            <w:r w:rsidRPr="007D172F">
              <w:t>Water</w:t>
            </w:r>
          </w:p>
          <w:p w14:paraId="55E1BE34" w14:textId="77777777" w:rsidR="00193C4D" w:rsidRPr="007D172F" w:rsidRDefault="00193C4D" w:rsidP="00C9628F">
            <w:pPr>
              <w:spacing w:line="280" w:lineRule="exact"/>
              <w:ind w:firstLineChars="50" w:firstLine="100"/>
            </w:pPr>
            <w:r w:rsidRPr="007D172F">
              <w:t>- River</w:t>
            </w:r>
          </w:p>
        </w:tc>
        <w:tc>
          <w:tcPr>
            <w:tcW w:w="1418" w:type="dxa"/>
            <w:tcBorders>
              <w:top w:val="single" w:sz="4" w:space="0" w:color="auto"/>
              <w:bottom w:val="single" w:sz="4" w:space="0" w:color="auto"/>
            </w:tcBorders>
            <w:shd w:val="clear" w:color="auto" w:fill="auto"/>
          </w:tcPr>
          <w:p w14:paraId="504AC7BA" w14:textId="77777777" w:rsidR="00193C4D" w:rsidRPr="007D172F" w:rsidRDefault="00193C4D" w:rsidP="00C9628F">
            <w:pPr>
              <w:spacing w:line="280" w:lineRule="exact"/>
            </w:pPr>
            <w:r w:rsidRPr="007D172F">
              <w:t>THg</w:t>
            </w:r>
          </w:p>
          <w:p w14:paraId="5FDD078E" w14:textId="77777777" w:rsidR="00193C4D" w:rsidRPr="007D172F" w:rsidRDefault="00193C4D" w:rsidP="00C9628F">
            <w:pPr>
              <w:spacing w:line="280" w:lineRule="exact"/>
            </w:pPr>
            <w:r w:rsidRPr="007D172F">
              <w:t>Alkyl mercury</w:t>
            </w:r>
          </w:p>
        </w:tc>
        <w:tc>
          <w:tcPr>
            <w:tcW w:w="4252" w:type="dxa"/>
          </w:tcPr>
          <w:p w14:paraId="3D77BC63" w14:textId="77777777" w:rsidR="00193C4D" w:rsidRPr="00193C4D" w:rsidRDefault="00193C4D" w:rsidP="00C9628F">
            <w:pPr>
              <w:spacing w:line="280" w:lineRule="exact"/>
              <w:rPr>
                <w:lang w:val="en-US"/>
              </w:rPr>
            </w:pPr>
            <w:r w:rsidRPr="00193C4D">
              <w:rPr>
                <w:lang w:val="en-US"/>
              </w:rPr>
              <w:t>THg: Atomic absorption spectrometry</w:t>
            </w:r>
          </w:p>
          <w:p w14:paraId="3582E7B9" w14:textId="77777777" w:rsidR="00193C4D" w:rsidRPr="00193C4D" w:rsidRDefault="00193C4D" w:rsidP="00C9628F">
            <w:pPr>
              <w:spacing w:line="280" w:lineRule="exact"/>
              <w:rPr>
                <w:lang w:val="en-US"/>
              </w:rPr>
            </w:pPr>
            <w:r w:rsidRPr="00193C4D">
              <w:rPr>
                <w:lang w:val="en-US"/>
              </w:rPr>
              <w:t>Alkyl mercury: Gas chromatography analysis</w:t>
            </w:r>
          </w:p>
          <w:p w14:paraId="7A00822A" w14:textId="77777777" w:rsidR="00193C4D" w:rsidRPr="00193C4D" w:rsidRDefault="00193C4D" w:rsidP="00C9628F">
            <w:pPr>
              <w:spacing w:line="280" w:lineRule="exact"/>
              <w:rPr>
                <w:lang w:val="en-US"/>
              </w:rPr>
            </w:pPr>
            <w:r w:rsidRPr="00193C4D">
              <w:rPr>
                <w:lang w:val="en-US"/>
              </w:rPr>
              <w:t>(following “Monitoring Manual for Water Quality Survey” (MOE, 1961))</w:t>
            </w:r>
          </w:p>
        </w:tc>
        <w:tc>
          <w:tcPr>
            <w:tcW w:w="3402" w:type="dxa"/>
          </w:tcPr>
          <w:p w14:paraId="008E7CEC" w14:textId="77777777" w:rsidR="00193C4D" w:rsidRPr="00193C4D" w:rsidRDefault="00193C4D" w:rsidP="00C9628F">
            <w:pPr>
              <w:spacing w:line="280" w:lineRule="exact"/>
              <w:rPr>
                <w:lang w:val="en-US"/>
              </w:rPr>
            </w:pPr>
            <w:r w:rsidRPr="00193C4D">
              <w:rPr>
                <w:lang w:val="en-US"/>
              </w:rPr>
              <w:t>Shingashi river</w:t>
            </w:r>
          </w:p>
          <w:p w14:paraId="755B205B" w14:textId="77777777" w:rsidR="00193C4D" w:rsidRPr="00193C4D" w:rsidRDefault="00193C4D" w:rsidP="00C9628F">
            <w:pPr>
              <w:spacing w:line="280" w:lineRule="exact"/>
              <w:rPr>
                <w:lang w:val="en-US"/>
              </w:rPr>
            </w:pPr>
            <w:r w:rsidRPr="00193C4D">
              <w:rPr>
                <w:lang w:val="en-US"/>
              </w:rPr>
              <w:t>2 sites</w:t>
            </w:r>
          </w:p>
          <w:p w14:paraId="43F52CDC" w14:textId="77777777" w:rsidR="00193C4D" w:rsidRPr="00193C4D" w:rsidRDefault="00193C4D" w:rsidP="00C9628F">
            <w:pPr>
              <w:spacing w:line="280" w:lineRule="exact"/>
              <w:ind w:leftChars="47" w:left="170" w:hangingChars="38" w:hanging="76"/>
              <w:rPr>
                <w:lang w:val="en-US"/>
              </w:rPr>
            </w:pPr>
            <w:r w:rsidRPr="00193C4D">
              <w:rPr>
                <w:lang w:val="en-US"/>
              </w:rPr>
              <w:t>- Upstream and downstream of industrial waste disposal sites</w:t>
            </w:r>
          </w:p>
        </w:tc>
        <w:tc>
          <w:tcPr>
            <w:tcW w:w="2552" w:type="dxa"/>
          </w:tcPr>
          <w:p w14:paraId="2FC6C538" w14:textId="77777777" w:rsidR="00193C4D" w:rsidRPr="007D172F" w:rsidRDefault="00193C4D" w:rsidP="00C9628F">
            <w:pPr>
              <w:spacing w:line="280" w:lineRule="exact"/>
            </w:pPr>
            <w:r w:rsidRPr="007D172F">
              <w:t>Since FY1995</w:t>
            </w:r>
          </w:p>
          <w:p w14:paraId="7788D240" w14:textId="77777777" w:rsidR="00193C4D" w:rsidRPr="007D172F" w:rsidRDefault="00193C4D" w:rsidP="00C9628F">
            <w:pPr>
              <w:spacing w:line="280" w:lineRule="exact"/>
            </w:pPr>
            <w:r w:rsidRPr="007D172F">
              <w:t>Annually</w:t>
            </w:r>
          </w:p>
        </w:tc>
        <w:tc>
          <w:tcPr>
            <w:tcW w:w="4533" w:type="dxa"/>
          </w:tcPr>
          <w:p w14:paraId="56F6EA71" w14:textId="77777777" w:rsidR="00193C4D" w:rsidRPr="00193C4D" w:rsidRDefault="00193C4D" w:rsidP="00C9628F">
            <w:pPr>
              <w:spacing w:line="280" w:lineRule="exact"/>
              <w:rPr>
                <w:lang w:val="en-US"/>
              </w:rPr>
            </w:pPr>
            <w:r w:rsidRPr="00193C4D">
              <w:rPr>
                <w:lang w:val="en-US"/>
              </w:rPr>
              <w:t>Monitoring results until FY2017 are available as individual data. The dataset includes water temperature, pH, transparency, odor, suspended solids, cadmium, lead, arsenic, dioxins etc.</w:t>
            </w:r>
          </w:p>
          <w:p w14:paraId="598CE15E" w14:textId="77777777" w:rsidR="00193C4D" w:rsidRPr="00193C4D" w:rsidRDefault="00193C4D" w:rsidP="00C9628F">
            <w:pPr>
              <w:spacing w:line="280" w:lineRule="exact"/>
              <w:rPr>
                <w:lang w:val="en-US"/>
              </w:rPr>
            </w:pPr>
          </w:p>
        </w:tc>
      </w:tr>
      <w:tr w:rsidR="00193C4D" w:rsidRPr="00193C4D" w14:paraId="0F2175FB" w14:textId="77777777" w:rsidTr="00C9628F">
        <w:trPr>
          <w:jc w:val="center"/>
        </w:trPr>
        <w:tc>
          <w:tcPr>
            <w:tcW w:w="2125" w:type="dxa"/>
          </w:tcPr>
          <w:p w14:paraId="25CA4517" w14:textId="77777777" w:rsidR="00193C4D" w:rsidRPr="00193C4D" w:rsidRDefault="00193C4D" w:rsidP="00C9628F">
            <w:pPr>
              <w:spacing w:line="280" w:lineRule="exact"/>
              <w:rPr>
                <w:lang w:val="en-US"/>
              </w:rPr>
            </w:pPr>
            <w:r w:rsidRPr="00193C4D">
              <w:rPr>
                <w:lang w:val="en-US"/>
              </w:rPr>
              <w:t>Bureau of Social Welfare and Public Health, Tokyo Metropolitan Government</w:t>
            </w:r>
          </w:p>
        </w:tc>
        <w:tc>
          <w:tcPr>
            <w:tcW w:w="1701" w:type="dxa"/>
          </w:tcPr>
          <w:p w14:paraId="5BC94EE2" w14:textId="77777777" w:rsidR="00193C4D" w:rsidRPr="00193C4D" w:rsidRDefault="00193C4D" w:rsidP="00C9628F">
            <w:pPr>
              <w:spacing w:line="280" w:lineRule="exact"/>
              <w:rPr>
                <w:vertAlign w:val="superscript"/>
                <w:lang w:val="en-US"/>
              </w:rPr>
            </w:pPr>
            <w:r w:rsidRPr="00193C4D">
              <w:rPr>
                <w:lang w:val="en-US"/>
              </w:rPr>
              <w:t xml:space="preserve">Mercury Contamination Survey in </w:t>
            </w:r>
            <w:proofErr w:type="gramStart"/>
            <w:r w:rsidRPr="00193C4D">
              <w:rPr>
                <w:lang w:val="en-US"/>
              </w:rPr>
              <w:t>Seafood</w:t>
            </w:r>
            <w:r w:rsidRPr="00193C4D">
              <w:rPr>
                <w:vertAlign w:val="superscript"/>
                <w:lang w:val="en-US"/>
              </w:rPr>
              <w:t>[</w:t>
            </w:r>
            <w:proofErr w:type="gramEnd"/>
            <w:r w:rsidRPr="00193C4D">
              <w:rPr>
                <w:vertAlign w:val="superscript"/>
                <w:lang w:val="en-US"/>
              </w:rPr>
              <w:t>3]</w:t>
            </w:r>
          </w:p>
        </w:tc>
        <w:tc>
          <w:tcPr>
            <w:tcW w:w="1276" w:type="dxa"/>
            <w:tcBorders>
              <w:top w:val="single" w:sz="4" w:space="0" w:color="auto"/>
              <w:bottom w:val="single" w:sz="4" w:space="0" w:color="auto"/>
            </w:tcBorders>
            <w:shd w:val="clear" w:color="auto" w:fill="auto"/>
          </w:tcPr>
          <w:p w14:paraId="54E41189" w14:textId="77777777" w:rsidR="00193C4D" w:rsidRPr="007D172F" w:rsidRDefault="00193C4D" w:rsidP="00C9628F">
            <w:pPr>
              <w:spacing w:line="280" w:lineRule="exact"/>
            </w:pPr>
            <w:r w:rsidRPr="007D172F">
              <w:t>Seafood</w:t>
            </w:r>
          </w:p>
        </w:tc>
        <w:tc>
          <w:tcPr>
            <w:tcW w:w="1418" w:type="dxa"/>
            <w:tcBorders>
              <w:top w:val="single" w:sz="4" w:space="0" w:color="auto"/>
              <w:bottom w:val="single" w:sz="4" w:space="0" w:color="auto"/>
            </w:tcBorders>
            <w:shd w:val="clear" w:color="auto" w:fill="auto"/>
          </w:tcPr>
          <w:p w14:paraId="4C81A204" w14:textId="77777777" w:rsidR="00193C4D" w:rsidRPr="007D172F" w:rsidRDefault="00193C4D" w:rsidP="00C9628F">
            <w:pPr>
              <w:spacing w:line="280" w:lineRule="exact"/>
            </w:pPr>
            <w:r w:rsidRPr="007D172F">
              <w:t>THg</w:t>
            </w:r>
          </w:p>
          <w:p w14:paraId="243146DA" w14:textId="77777777" w:rsidR="00193C4D" w:rsidRPr="007D172F" w:rsidRDefault="00193C4D" w:rsidP="00C9628F">
            <w:pPr>
              <w:spacing w:line="280" w:lineRule="exact"/>
            </w:pPr>
            <w:r w:rsidRPr="007D172F">
              <w:t>MeHg</w:t>
            </w:r>
          </w:p>
        </w:tc>
        <w:tc>
          <w:tcPr>
            <w:tcW w:w="4252" w:type="dxa"/>
          </w:tcPr>
          <w:p w14:paraId="1177D30B" w14:textId="77777777" w:rsidR="00193C4D" w:rsidRPr="00193C4D" w:rsidRDefault="00193C4D" w:rsidP="00C9628F">
            <w:pPr>
              <w:spacing w:line="280" w:lineRule="exact"/>
              <w:rPr>
                <w:rFonts w:hint="eastAsia"/>
                <w:lang w:val="en-US"/>
              </w:rPr>
            </w:pPr>
            <w:r w:rsidRPr="00193C4D">
              <w:rPr>
                <w:lang w:val="en-US"/>
              </w:rPr>
              <w:t>Seafood is obtained from central wholesale market in Tokyo (including fish and shellfish caught in various locations in Japan and foreign countries.)</w:t>
            </w:r>
          </w:p>
        </w:tc>
        <w:tc>
          <w:tcPr>
            <w:tcW w:w="3402" w:type="dxa"/>
          </w:tcPr>
          <w:p w14:paraId="3CE8092A" w14:textId="77777777" w:rsidR="00193C4D" w:rsidRPr="00193C4D" w:rsidRDefault="00193C4D" w:rsidP="00C9628F">
            <w:pPr>
              <w:spacing w:line="280" w:lineRule="exact"/>
              <w:rPr>
                <w:lang w:val="en-US"/>
              </w:rPr>
            </w:pPr>
            <w:r w:rsidRPr="00193C4D">
              <w:rPr>
                <w:lang w:val="en-US"/>
              </w:rPr>
              <w:t>Total 428 samples</w:t>
            </w:r>
          </w:p>
          <w:p w14:paraId="2CB464A1" w14:textId="77777777" w:rsidR="00193C4D" w:rsidRPr="00193C4D" w:rsidRDefault="00193C4D" w:rsidP="00C9628F">
            <w:pPr>
              <w:spacing w:line="280" w:lineRule="exact"/>
              <w:rPr>
                <w:lang w:val="en-US"/>
              </w:rPr>
            </w:pPr>
            <w:r w:rsidRPr="00193C4D">
              <w:rPr>
                <w:lang w:val="en-US"/>
              </w:rPr>
              <w:t>139 species of fish and shellfish</w:t>
            </w:r>
          </w:p>
        </w:tc>
        <w:tc>
          <w:tcPr>
            <w:tcW w:w="2552" w:type="dxa"/>
          </w:tcPr>
          <w:p w14:paraId="1F853C32" w14:textId="77777777" w:rsidR="00193C4D" w:rsidRPr="007D172F" w:rsidRDefault="00193C4D" w:rsidP="00C9628F">
            <w:pPr>
              <w:spacing w:line="280" w:lineRule="exact"/>
            </w:pPr>
            <w:r w:rsidRPr="007D172F">
              <w:t>Since FY1973</w:t>
            </w:r>
          </w:p>
          <w:p w14:paraId="55631D7C" w14:textId="77777777" w:rsidR="00193C4D" w:rsidRPr="007D172F" w:rsidRDefault="00193C4D" w:rsidP="00C9628F">
            <w:pPr>
              <w:spacing w:line="280" w:lineRule="exact"/>
            </w:pPr>
            <w:r w:rsidRPr="007D172F">
              <w:t>Annually</w:t>
            </w:r>
          </w:p>
        </w:tc>
        <w:tc>
          <w:tcPr>
            <w:tcW w:w="4533" w:type="dxa"/>
          </w:tcPr>
          <w:p w14:paraId="566EF749" w14:textId="77777777" w:rsidR="00193C4D" w:rsidRPr="00193C4D" w:rsidRDefault="00193C4D" w:rsidP="00C9628F">
            <w:pPr>
              <w:spacing w:line="280" w:lineRule="exact"/>
              <w:rPr>
                <w:lang w:val="en-US"/>
              </w:rPr>
            </w:pPr>
            <w:r w:rsidRPr="00193C4D">
              <w:rPr>
                <w:lang w:val="en-US"/>
              </w:rPr>
              <w:t>Monitoring results until FY2016 are available as statistics: mean, minimum, maximum, a number of samples positive for THg or MeHg, and geographic origin of fish and shellfish.</w:t>
            </w:r>
          </w:p>
          <w:p w14:paraId="7A11922B" w14:textId="77777777" w:rsidR="00193C4D" w:rsidRPr="00193C4D" w:rsidRDefault="00193C4D" w:rsidP="00C9628F">
            <w:pPr>
              <w:spacing w:line="280" w:lineRule="exact"/>
              <w:rPr>
                <w:lang w:val="en-US"/>
              </w:rPr>
            </w:pPr>
          </w:p>
        </w:tc>
      </w:tr>
      <w:tr w:rsidR="00193C4D" w:rsidRPr="00193C4D" w14:paraId="5DD09E6A" w14:textId="77777777" w:rsidTr="00C9628F">
        <w:trPr>
          <w:jc w:val="center"/>
        </w:trPr>
        <w:tc>
          <w:tcPr>
            <w:tcW w:w="2125" w:type="dxa"/>
          </w:tcPr>
          <w:p w14:paraId="11B7E97D" w14:textId="77777777" w:rsidR="00193C4D" w:rsidRPr="00193C4D" w:rsidRDefault="00193C4D" w:rsidP="00C9628F">
            <w:pPr>
              <w:spacing w:line="280" w:lineRule="exact"/>
              <w:rPr>
                <w:lang w:val="en-US"/>
              </w:rPr>
            </w:pPr>
            <w:r w:rsidRPr="00193C4D">
              <w:rPr>
                <w:lang w:val="en-US"/>
              </w:rPr>
              <w:t xml:space="preserve">Kumamoto Prefectural Government, </w:t>
            </w:r>
          </w:p>
          <w:p w14:paraId="578528F1" w14:textId="77777777" w:rsidR="00193C4D" w:rsidRPr="00193C4D" w:rsidRDefault="00193C4D" w:rsidP="00C9628F">
            <w:pPr>
              <w:spacing w:line="280" w:lineRule="exact"/>
              <w:rPr>
                <w:lang w:val="en-US"/>
              </w:rPr>
            </w:pPr>
            <w:r w:rsidRPr="00193C4D">
              <w:rPr>
                <w:lang w:val="en-US"/>
              </w:rPr>
              <w:t>Kumamoto Prefectural Institute of Public Health and Environmental Science</w:t>
            </w:r>
          </w:p>
        </w:tc>
        <w:tc>
          <w:tcPr>
            <w:tcW w:w="1701" w:type="dxa"/>
          </w:tcPr>
          <w:p w14:paraId="2A8078CC" w14:textId="77777777" w:rsidR="00193C4D" w:rsidRPr="007D172F" w:rsidRDefault="00193C4D" w:rsidP="00C9628F">
            <w:pPr>
              <w:spacing w:line="280" w:lineRule="exact"/>
              <w:rPr>
                <w:vertAlign w:val="superscript"/>
              </w:rPr>
            </w:pPr>
            <w:r w:rsidRPr="007D172F">
              <w:t xml:space="preserve">Minamata bay Water </w:t>
            </w:r>
            <w:proofErr w:type="gramStart"/>
            <w:r w:rsidRPr="007D172F">
              <w:t>Environment</w:t>
            </w:r>
            <w:r w:rsidRPr="007D172F">
              <w:rPr>
                <w:vertAlign w:val="superscript"/>
              </w:rPr>
              <w:t>[</w:t>
            </w:r>
            <w:proofErr w:type="gramEnd"/>
            <w:r w:rsidRPr="007D172F">
              <w:rPr>
                <w:vertAlign w:val="superscript"/>
              </w:rPr>
              <w:t>4]</w:t>
            </w:r>
          </w:p>
        </w:tc>
        <w:tc>
          <w:tcPr>
            <w:tcW w:w="1276" w:type="dxa"/>
            <w:tcBorders>
              <w:top w:val="single" w:sz="4" w:space="0" w:color="auto"/>
              <w:bottom w:val="single" w:sz="4" w:space="0" w:color="auto"/>
            </w:tcBorders>
            <w:shd w:val="clear" w:color="auto" w:fill="auto"/>
          </w:tcPr>
          <w:p w14:paraId="1DA6FC62" w14:textId="77777777" w:rsidR="00193C4D" w:rsidRPr="007D172F" w:rsidRDefault="00193C4D" w:rsidP="00C9628F">
            <w:pPr>
              <w:spacing w:line="280" w:lineRule="exact"/>
            </w:pPr>
            <w:r w:rsidRPr="007D172F">
              <w:t>Seawater</w:t>
            </w:r>
          </w:p>
          <w:p w14:paraId="2A2D0003" w14:textId="77777777" w:rsidR="00193C4D" w:rsidRPr="007D172F" w:rsidRDefault="00193C4D" w:rsidP="00C9628F">
            <w:pPr>
              <w:spacing w:line="280" w:lineRule="exact"/>
            </w:pPr>
            <w:r w:rsidRPr="007D172F">
              <w:t>Groundwater</w:t>
            </w:r>
          </w:p>
          <w:p w14:paraId="1B6646B6" w14:textId="77777777" w:rsidR="00193C4D" w:rsidRPr="007D172F" w:rsidRDefault="00193C4D" w:rsidP="00C9628F">
            <w:pPr>
              <w:spacing w:line="280" w:lineRule="exact"/>
            </w:pPr>
            <w:r w:rsidRPr="007D172F">
              <w:t>Sediment</w:t>
            </w:r>
          </w:p>
        </w:tc>
        <w:tc>
          <w:tcPr>
            <w:tcW w:w="1418" w:type="dxa"/>
            <w:tcBorders>
              <w:top w:val="single" w:sz="4" w:space="0" w:color="auto"/>
              <w:bottom w:val="single" w:sz="4" w:space="0" w:color="auto"/>
            </w:tcBorders>
            <w:shd w:val="clear" w:color="auto" w:fill="auto"/>
          </w:tcPr>
          <w:p w14:paraId="3DB382DE" w14:textId="77777777" w:rsidR="00193C4D" w:rsidRPr="007D172F" w:rsidRDefault="00193C4D" w:rsidP="00C9628F">
            <w:pPr>
              <w:spacing w:line="280" w:lineRule="exact"/>
            </w:pPr>
            <w:r w:rsidRPr="007D172F">
              <w:t>THg</w:t>
            </w:r>
          </w:p>
        </w:tc>
        <w:tc>
          <w:tcPr>
            <w:tcW w:w="4252" w:type="dxa"/>
          </w:tcPr>
          <w:p w14:paraId="2AB054D1" w14:textId="77777777" w:rsidR="00193C4D" w:rsidRPr="007D172F" w:rsidRDefault="00193C4D" w:rsidP="00C9628F">
            <w:pPr>
              <w:spacing w:line="280" w:lineRule="exact"/>
            </w:pPr>
          </w:p>
        </w:tc>
        <w:tc>
          <w:tcPr>
            <w:tcW w:w="3402" w:type="dxa"/>
          </w:tcPr>
          <w:p w14:paraId="49B2AB6B" w14:textId="77777777" w:rsidR="00193C4D" w:rsidRPr="00193C4D" w:rsidRDefault="00193C4D" w:rsidP="00C9628F">
            <w:pPr>
              <w:spacing w:line="280" w:lineRule="exact"/>
              <w:rPr>
                <w:lang w:val="en-US"/>
              </w:rPr>
            </w:pPr>
            <w:r w:rsidRPr="00193C4D">
              <w:rPr>
                <w:lang w:val="en-US"/>
              </w:rPr>
              <w:t>Minamata Bay</w:t>
            </w:r>
          </w:p>
          <w:p w14:paraId="66670B60" w14:textId="77777777" w:rsidR="00193C4D" w:rsidRPr="00193C4D" w:rsidRDefault="00193C4D" w:rsidP="00C9628F">
            <w:pPr>
              <w:spacing w:line="280" w:lineRule="exact"/>
              <w:ind w:firstLineChars="50" w:firstLine="100"/>
              <w:rPr>
                <w:lang w:val="en-US"/>
              </w:rPr>
            </w:pPr>
            <w:r w:rsidRPr="00193C4D">
              <w:rPr>
                <w:lang w:val="en-US"/>
              </w:rPr>
              <w:t>- Seawater: 8 samples</w:t>
            </w:r>
          </w:p>
          <w:p w14:paraId="1A2C441C" w14:textId="77777777" w:rsidR="00193C4D" w:rsidRPr="00193C4D" w:rsidRDefault="00193C4D" w:rsidP="00C9628F">
            <w:pPr>
              <w:spacing w:line="280" w:lineRule="exact"/>
              <w:ind w:firstLineChars="50" w:firstLine="100"/>
              <w:rPr>
                <w:lang w:val="en-US"/>
              </w:rPr>
            </w:pPr>
            <w:r w:rsidRPr="00193C4D">
              <w:rPr>
                <w:lang w:val="en-US"/>
              </w:rPr>
              <w:t>- Groundwater: 4 samples</w:t>
            </w:r>
          </w:p>
          <w:p w14:paraId="2F3D9EAB" w14:textId="77777777" w:rsidR="00193C4D" w:rsidRPr="007D172F" w:rsidRDefault="00193C4D" w:rsidP="00C9628F">
            <w:pPr>
              <w:spacing w:line="280" w:lineRule="exact"/>
              <w:ind w:firstLineChars="50" w:firstLine="100"/>
            </w:pPr>
            <w:r w:rsidRPr="007D172F">
              <w:t xml:space="preserve">- </w:t>
            </w:r>
            <w:proofErr w:type="gramStart"/>
            <w:r w:rsidRPr="007D172F">
              <w:t>Sediment:</w:t>
            </w:r>
            <w:proofErr w:type="gramEnd"/>
            <w:r w:rsidRPr="007D172F">
              <w:t xml:space="preserve"> 3 samples (in FY2017)</w:t>
            </w:r>
          </w:p>
        </w:tc>
        <w:tc>
          <w:tcPr>
            <w:tcW w:w="2552" w:type="dxa"/>
          </w:tcPr>
          <w:p w14:paraId="69FCDE4F" w14:textId="77777777" w:rsidR="00193C4D" w:rsidRPr="007D172F" w:rsidRDefault="00193C4D" w:rsidP="00C9628F">
            <w:pPr>
              <w:spacing w:line="280" w:lineRule="exact"/>
            </w:pPr>
            <w:r w:rsidRPr="007D172F">
              <w:t>Since FY1998</w:t>
            </w:r>
          </w:p>
          <w:p w14:paraId="24E974E3" w14:textId="77777777" w:rsidR="00193C4D" w:rsidRPr="007D172F" w:rsidRDefault="00193C4D" w:rsidP="00C9628F">
            <w:pPr>
              <w:spacing w:line="280" w:lineRule="exact"/>
            </w:pPr>
            <w:r w:rsidRPr="007D172F">
              <w:t>Annually</w:t>
            </w:r>
          </w:p>
        </w:tc>
        <w:tc>
          <w:tcPr>
            <w:tcW w:w="4533" w:type="dxa"/>
          </w:tcPr>
          <w:p w14:paraId="2B35E96E" w14:textId="77777777" w:rsidR="00193C4D" w:rsidRPr="00193C4D" w:rsidRDefault="00193C4D" w:rsidP="00C9628F">
            <w:pPr>
              <w:spacing w:line="280" w:lineRule="exact"/>
              <w:rPr>
                <w:lang w:val="en-US"/>
              </w:rPr>
            </w:pPr>
            <w:r w:rsidRPr="00193C4D">
              <w:rPr>
                <w:lang w:val="en-US"/>
              </w:rPr>
              <w:t>Monitoring results are not published.</w:t>
            </w:r>
          </w:p>
          <w:p w14:paraId="4E48E6F2" w14:textId="77777777" w:rsidR="00193C4D" w:rsidRPr="00193C4D" w:rsidRDefault="00193C4D" w:rsidP="00C9628F">
            <w:pPr>
              <w:spacing w:line="280" w:lineRule="exact"/>
              <w:rPr>
                <w:lang w:val="en-US"/>
              </w:rPr>
            </w:pPr>
            <w:r w:rsidRPr="00193C4D">
              <w:rPr>
                <w:lang w:val="en-US"/>
              </w:rPr>
              <w:t>Water samples are analyzed for 27 items: THg, turbidity, chloride ion etc.</w:t>
            </w:r>
          </w:p>
        </w:tc>
      </w:tr>
      <w:tr w:rsidR="00193C4D" w:rsidRPr="00193C4D" w14:paraId="106F810D" w14:textId="77777777" w:rsidTr="00C9628F">
        <w:trPr>
          <w:jc w:val="center"/>
        </w:trPr>
        <w:tc>
          <w:tcPr>
            <w:tcW w:w="2125" w:type="dxa"/>
          </w:tcPr>
          <w:p w14:paraId="275A33CF" w14:textId="77777777" w:rsidR="00193C4D" w:rsidRPr="007D172F" w:rsidRDefault="00193C4D" w:rsidP="00C9628F">
            <w:pPr>
              <w:spacing w:line="280" w:lineRule="exact"/>
              <w:rPr>
                <w:highlight w:val="yellow"/>
              </w:rPr>
            </w:pPr>
            <w:r w:rsidRPr="007D172F">
              <w:t>Kagoshima Prefecture</w:t>
            </w:r>
          </w:p>
        </w:tc>
        <w:tc>
          <w:tcPr>
            <w:tcW w:w="1701" w:type="dxa"/>
          </w:tcPr>
          <w:p w14:paraId="4A8243DF" w14:textId="77777777" w:rsidR="00193C4D" w:rsidRPr="00193C4D" w:rsidRDefault="00193C4D" w:rsidP="00C9628F">
            <w:pPr>
              <w:spacing w:line="280" w:lineRule="exact"/>
              <w:rPr>
                <w:vertAlign w:val="superscript"/>
                <w:lang w:val="en-US"/>
              </w:rPr>
            </w:pPr>
            <w:r w:rsidRPr="00193C4D">
              <w:rPr>
                <w:lang w:val="en-US"/>
              </w:rPr>
              <w:t xml:space="preserve">Mercury analysis contained in human </w:t>
            </w:r>
            <w:proofErr w:type="gramStart"/>
            <w:r w:rsidRPr="00193C4D">
              <w:rPr>
                <w:lang w:val="en-US"/>
              </w:rPr>
              <w:t>hair</w:t>
            </w:r>
            <w:r w:rsidRPr="00193C4D">
              <w:rPr>
                <w:vertAlign w:val="superscript"/>
                <w:lang w:val="en-US"/>
              </w:rPr>
              <w:t>[</w:t>
            </w:r>
            <w:proofErr w:type="gramEnd"/>
            <w:r w:rsidRPr="00193C4D">
              <w:rPr>
                <w:vertAlign w:val="superscript"/>
                <w:lang w:val="en-US"/>
              </w:rPr>
              <w:t>5]</w:t>
            </w:r>
          </w:p>
        </w:tc>
        <w:tc>
          <w:tcPr>
            <w:tcW w:w="1276" w:type="dxa"/>
            <w:tcBorders>
              <w:top w:val="single" w:sz="4" w:space="0" w:color="auto"/>
              <w:bottom w:val="single" w:sz="4" w:space="0" w:color="auto"/>
            </w:tcBorders>
            <w:shd w:val="clear" w:color="auto" w:fill="auto"/>
          </w:tcPr>
          <w:p w14:paraId="02729A48" w14:textId="77777777" w:rsidR="00193C4D" w:rsidRPr="007D172F" w:rsidRDefault="00193C4D" w:rsidP="00C9628F">
            <w:pPr>
              <w:spacing w:line="280" w:lineRule="exact"/>
            </w:pPr>
            <w:r w:rsidRPr="007D172F">
              <w:t>Human</w:t>
            </w:r>
          </w:p>
          <w:p w14:paraId="01956E96" w14:textId="77777777" w:rsidR="00193C4D" w:rsidRPr="007D172F" w:rsidRDefault="00193C4D" w:rsidP="00C9628F">
            <w:pPr>
              <w:spacing w:line="280" w:lineRule="exact"/>
              <w:ind w:firstLineChars="50" w:firstLine="100"/>
            </w:pPr>
            <w:r w:rsidRPr="007D172F">
              <w:t>- Hair</w:t>
            </w:r>
          </w:p>
        </w:tc>
        <w:tc>
          <w:tcPr>
            <w:tcW w:w="1418" w:type="dxa"/>
            <w:tcBorders>
              <w:top w:val="single" w:sz="4" w:space="0" w:color="auto"/>
              <w:bottom w:val="single" w:sz="4" w:space="0" w:color="auto"/>
            </w:tcBorders>
            <w:shd w:val="clear" w:color="auto" w:fill="auto"/>
          </w:tcPr>
          <w:p w14:paraId="5CC02D56" w14:textId="77777777" w:rsidR="00193C4D" w:rsidRPr="007D172F" w:rsidRDefault="00193C4D" w:rsidP="00C9628F">
            <w:pPr>
              <w:spacing w:line="280" w:lineRule="exact"/>
            </w:pPr>
            <w:r w:rsidRPr="007D172F">
              <w:t>THg</w:t>
            </w:r>
          </w:p>
        </w:tc>
        <w:tc>
          <w:tcPr>
            <w:tcW w:w="4252" w:type="dxa"/>
          </w:tcPr>
          <w:p w14:paraId="53981999" w14:textId="77777777" w:rsidR="00193C4D" w:rsidRPr="007D172F" w:rsidRDefault="00193C4D" w:rsidP="00C9628F">
            <w:pPr>
              <w:spacing w:line="280" w:lineRule="exact"/>
            </w:pPr>
          </w:p>
        </w:tc>
        <w:tc>
          <w:tcPr>
            <w:tcW w:w="3402" w:type="dxa"/>
          </w:tcPr>
          <w:p w14:paraId="0D1AD5C2" w14:textId="77777777" w:rsidR="00193C4D" w:rsidRPr="00193C4D" w:rsidRDefault="00193C4D" w:rsidP="00C9628F">
            <w:pPr>
              <w:spacing w:line="280" w:lineRule="exact"/>
              <w:rPr>
                <w:lang w:val="en-US"/>
              </w:rPr>
            </w:pPr>
            <w:r w:rsidRPr="00193C4D">
              <w:rPr>
                <w:lang w:val="en-US"/>
              </w:rPr>
              <w:t>Residents in coastal area of the Siranui sea (member of fisheries cooperative association)</w:t>
            </w:r>
          </w:p>
          <w:p w14:paraId="5987186A" w14:textId="77777777" w:rsidR="00193C4D" w:rsidRPr="007D172F" w:rsidRDefault="00193C4D" w:rsidP="00C9628F">
            <w:pPr>
              <w:spacing w:line="280" w:lineRule="exact"/>
            </w:pPr>
            <w:r w:rsidRPr="007D172F">
              <w:t>Total 15 people (in FY2016)</w:t>
            </w:r>
          </w:p>
        </w:tc>
        <w:tc>
          <w:tcPr>
            <w:tcW w:w="2552" w:type="dxa"/>
          </w:tcPr>
          <w:p w14:paraId="2EC08967" w14:textId="77777777" w:rsidR="00193C4D" w:rsidRPr="007D172F" w:rsidRDefault="00193C4D" w:rsidP="00C9628F">
            <w:pPr>
              <w:spacing w:line="280" w:lineRule="exact"/>
            </w:pPr>
            <w:r w:rsidRPr="007D172F">
              <w:t>Since 1977</w:t>
            </w:r>
          </w:p>
          <w:p w14:paraId="2B6407AA" w14:textId="77777777" w:rsidR="00193C4D" w:rsidRPr="007D172F" w:rsidRDefault="00193C4D" w:rsidP="00C9628F">
            <w:pPr>
              <w:spacing w:line="280" w:lineRule="exact"/>
            </w:pPr>
            <w:r w:rsidRPr="007D172F">
              <w:t>Annually</w:t>
            </w:r>
          </w:p>
        </w:tc>
        <w:tc>
          <w:tcPr>
            <w:tcW w:w="4533" w:type="dxa"/>
          </w:tcPr>
          <w:p w14:paraId="3786D708" w14:textId="77777777" w:rsidR="00193C4D" w:rsidRPr="00193C4D" w:rsidRDefault="00193C4D" w:rsidP="00C9628F">
            <w:pPr>
              <w:spacing w:line="280" w:lineRule="exact"/>
              <w:rPr>
                <w:lang w:val="en-US"/>
              </w:rPr>
            </w:pPr>
            <w:r w:rsidRPr="00193C4D">
              <w:rPr>
                <w:lang w:val="en-US"/>
              </w:rPr>
              <w:t>Monitoring results until FY2016 are available as statistics: mean, minimum, maximum, and sampling month.</w:t>
            </w:r>
          </w:p>
          <w:p w14:paraId="4AF41251" w14:textId="77777777" w:rsidR="00193C4D" w:rsidRPr="00193C4D" w:rsidRDefault="00193C4D" w:rsidP="00C9628F">
            <w:pPr>
              <w:spacing w:line="280" w:lineRule="exact"/>
              <w:rPr>
                <w:lang w:val="en-US"/>
              </w:rPr>
            </w:pPr>
          </w:p>
        </w:tc>
      </w:tr>
      <w:tr w:rsidR="00193C4D" w:rsidRPr="007D172F" w14:paraId="02A40326" w14:textId="77777777" w:rsidTr="00C9628F">
        <w:trPr>
          <w:jc w:val="center"/>
        </w:trPr>
        <w:tc>
          <w:tcPr>
            <w:tcW w:w="2125" w:type="dxa"/>
          </w:tcPr>
          <w:p w14:paraId="20B6781C" w14:textId="77777777" w:rsidR="00193C4D" w:rsidRPr="00193C4D" w:rsidRDefault="00193C4D" w:rsidP="00C9628F">
            <w:pPr>
              <w:spacing w:line="280" w:lineRule="exact"/>
              <w:rPr>
                <w:lang w:val="en-US"/>
              </w:rPr>
            </w:pPr>
            <w:r w:rsidRPr="00193C4D">
              <w:rPr>
                <w:lang w:val="en-US"/>
              </w:rPr>
              <w:t>Kagoshima Prefectural Institute for Environmental Research and Public Health</w:t>
            </w:r>
          </w:p>
          <w:p w14:paraId="132AA058" w14:textId="77777777" w:rsidR="00193C4D" w:rsidRPr="00193C4D" w:rsidRDefault="00193C4D" w:rsidP="00C9628F">
            <w:pPr>
              <w:spacing w:line="280" w:lineRule="exact"/>
              <w:rPr>
                <w:highlight w:val="yellow"/>
                <w:lang w:val="en-US"/>
              </w:rPr>
            </w:pPr>
          </w:p>
        </w:tc>
        <w:tc>
          <w:tcPr>
            <w:tcW w:w="1701" w:type="dxa"/>
          </w:tcPr>
          <w:p w14:paraId="6555FF19" w14:textId="77777777" w:rsidR="00193C4D" w:rsidRPr="00193C4D" w:rsidRDefault="00193C4D" w:rsidP="00C9628F">
            <w:pPr>
              <w:spacing w:line="280" w:lineRule="exact"/>
              <w:rPr>
                <w:lang w:val="en-US"/>
              </w:rPr>
            </w:pPr>
            <w:r w:rsidRPr="00193C4D">
              <w:rPr>
                <w:lang w:val="en-US"/>
              </w:rPr>
              <w:lastRenderedPageBreak/>
              <w:t xml:space="preserve">Mercury Content Survey in </w:t>
            </w:r>
            <w:proofErr w:type="gramStart"/>
            <w:r w:rsidRPr="00193C4D">
              <w:rPr>
                <w:lang w:val="en-US"/>
              </w:rPr>
              <w:t>Fish</w:t>
            </w:r>
            <w:r w:rsidRPr="00193C4D">
              <w:rPr>
                <w:vertAlign w:val="superscript"/>
                <w:lang w:val="en-US"/>
              </w:rPr>
              <w:t>[</w:t>
            </w:r>
            <w:proofErr w:type="gramEnd"/>
            <w:r w:rsidRPr="00193C4D">
              <w:rPr>
                <w:vertAlign w:val="superscript"/>
                <w:lang w:val="en-US"/>
              </w:rPr>
              <w:t>6]</w:t>
            </w:r>
          </w:p>
        </w:tc>
        <w:tc>
          <w:tcPr>
            <w:tcW w:w="1276" w:type="dxa"/>
            <w:tcBorders>
              <w:top w:val="single" w:sz="4" w:space="0" w:color="auto"/>
              <w:bottom w:val="single" w:sz="4" w:space="0" w:color="auto"/>
            </w:tcBorders>
            <w:shd w:val="clear" w:color="auto" w:fill="auto"/>
          </w:tcPr>
          <w:p w14:paraId="2F284597" w14:textId="77777777" w:rsidR="00193C4D" w:rsidRPr="007D172F" w:rsidRDefault="00193C4D" w:rsidP="00C9628F">
            <w:pPr>
              <w:spacing w:line="280" w:lineRule="exact"/>
            </w:pPr>
            <w:r w:rsidRPr="007D172F">
              <w:t>Fish</w:t>
            </w:r>
          </w:p>
        </w:tc>
        <w:tc>
          <w:tcPr>
            <w:tcW w:w="1418" w:type="dxa"/>
            <w:tcBorders>
              <w:top w:val="single" w:sz="4" w:space="0" w:color="auto"/>
              <w:bottom w:val="single" w:sz="4" w:space="0" w:color="auto"/>
            </w:tcBorders>
            <w:shd w:val="clear" w:color="auto" w:fill="auto"/>
          </w:tcPr>
          <w:p w14:paraId="37026DB9" w14:textId="77777777" w:rsidR="00193C4D" w:rsidRPr="007D172F" w:rsidRDefault="00193C4D" w:rsidP="00C9628F">
            <w:pPr>
              <w:spacing w:line="280" w:lineRule="exact"/>
            </w:pPr>
            <w:r w:rsidRPr="007D172F">
              <w:t>THg</w:t>
            </w:r>
          </w:p>
          <w:p w14:paraId="73383110" w14:textId="77777777" w:rsidR="00193C4D" w:rsidRPr="007D172F" w:rsidRDefault="00193C4D" w:rsidP="00C9628F">
            <w:pPr>
              <w:spacing w:line="280" w:lineRule="exact"/>
            </w:pPr>
            <w:r w:rsidRPr="007D172F">
              <w:t>MeHg</w:t>
            </w:r>
          </w:p>
        </w:tc>
        <w:tc>
          <w:tcPr>
            <w:tcW w:w="4252" w:type="dxa"/>
          </w:tcPr>
          <w:p w14:paraId="4DBF315E" w14:textId="77777777" w:rsidR="00193C4D" w:rsidRPr="007D172F" w:rsidRDefault="00193C4D" w:rsidP="00C9628F">
            <w:pPr>
              <w:spacing w:line="280" w:lineRule="exact"/>
            </w:pPr>
          </w:p>
        </w:tc>
        <w:tc>
          <w:tcPr>
            <w:tcW w:w="3402" w:type="dxa"/>
          </w:tcPr>
          <w:p w14:paraId="3AD5B50C" w14:textId="77777777" w:rsidR="00193C4D" w:rsidRPr="00193C4D" w:rsidRDefault="00193C4D" w:rsidP="00C9628F">
            <w:pPr>
              <w:spacing w:line="280" w:lineRule="exact"/>
              <w:rPr>
                <w:lang w:val="en-US"/>
              </w:rPr>
            </w:pPr>
            <w:r w:rsidRPr="00193C4D">
              <w:rPr>
                <w:lang w:val="en-US"/>
              </w:rPr>
              <w:t>Kagoshima Bay</w:t>
            </w:r>
          </w:p>
          <w:p w14:paraId="338F554B" w14:textId="77777777" w:rsidR="00193C4D" w:rsidRPr="00193C4D" w:rsidRDefault="00193C4D" w:rsidP="00C9628F">
            <w:pPr>
              <w:spacing w:line="280" w:lineRule="exact"/>
              <w:rPr>
                <w:lang w:val="en-US"/>
              </w:rPr>
            </w:pPr>
            <w:r w:rsidRPr="00193C4D">
              <w:rPr>
                <w:lang w:val="en-US"/>
              </w:rPr>
              <w:t>Total 40 samples (in FY2016)</w:t>
            </w:r>
          </w:p>
          <w:p w14:paraId="1CC7E01C" w14:textId="77777777" w:rsidR="00193C4D" w:rsidRPr="00193C4D" w:rsidRDefault="00193C4D" w:rsidP="00C9628F">
            <w:pPr>
              <w:spacing w:line="280" w:lineRule="exact"/>
              <w:ind w:leftChars="47" w:left="170" w:hangingChars="38" w:hanging="76"/>
              <w:rPr>
                <w:lang w:val="en-US"/>
              </w:rPr>
            </w:pPr>
            <w:r w:rsidRPr="00193C4D">
              <w:rPr>
                <w:lang w:val="en-US"/>
              </w:rPr>
              <w:t>- 7 fish species (Areolate grouper, Young Japanese amberjack, Red seabream, Japanese whiting, etc.)</w:t>
            </w:r>
          </w:p>
        </w:tc>
        <w:tc>
          <w:tcPr>
            <w:tcW w:w="2552" w:type="dxa"/>
          </w:tcPr>
          <w:p w14:paraId="3AED5F0D" w14:textId="77777777" w:rsidR="00193C4D" w:rsidRPr="007D172F" w:rsidRDefault="00193C4D" w:rsidP="00C9628F">
            <w:pPr>
              <w:spacing w:line="280" w:lineRule="exact"/>
            </w:pPr>
            <w:r w:rsidRPr="007D172F">
              <w:t>Annually</w:t>
            </w:r>
          </w:p>
        </w:tc>
        <w:tc>
          <w:tcPr>
            <w:tcW w:w="4533" w:type="dxa"/>
          </w:tcPr>
          <w:p w14:paraId="3F643723" w14:textId="77777777" w:rsidR="00193C4D" w:rsidRPr="007D172F" w:rsidRDefault="00193C4D" w:rsidP="00C9628F">
            <w:pPr>
              <w:spacing w:line="280" w:lineRule="exact"/>
            </w:pPr>
            <w:r w:rsidRPr="00193C4D">
              <w:rPr>
                <w:lang w:val="en-US"/>
              </w:rPr>
              <w:t xml:space="preserve">Whether THg and MeHg exceed interim regulation values or not is reported. </w:t>
            </w:r>
            <w:r w:rsidRPr="007D172F">
              <w:t>Monitoring results until FY2016 are available.</w:t>
            </w:r>
          </w:p>
        </w:tc>
      </w:tr>
      <w:tr w:rsidR="00193C4D" w:rsidRPr="00193C4D" w14:paraId="46A57729" w14:textId="77777777" w:rsidTr="00C9628F">
        <w:trPr>
          <w:jc w:val="center"/>
        </w:trPr>
        <w:tc>
          <w:tcPr>
            <w:tcW w:w="2125" w:type="dxa"/>
          </w:tcPr>
          <w:p w14:paraId="69197C94" w14:textId="77777777" w:rsidR="00193C4D" w:rsidRPr="007D172F" w:rsidRDefault="00193C4D" w:rsidP="00C9628F">
            <w:pPr>
              <w:spacing w:line="280" w:lineRule="exact"/>
            </w:pPr>
            <w:r w:rsidRPr="007D172F">
              <w:t>Public Water Supplier</w:t>
            </w:r>
          </w:p>
        </w:tc>
        <w:tc>
          <w:tcPr>
            <w:tcW w:w="1701" w:type="dxa"/>
          </w:tcPr>
          <w:p w14:paraId="11CD2751" w14:textId="77777777" w:rsidR="00193C4D" w:rsidRPr="00193C4D" w:rsidRDefault="00193C4D" w:rsidP="00C9628F">
            <w:pPr>
              <w:spacing w:line="280" w:lineRule="exact"/>
              <w:rPr>
                <w:lang w:val="en-US"/>
              </w:rPr>
            </w:pPr>
            <w:r w:rsidRPr="00193C4D">
              <w:rPr>
                <w:lang w:val="en-US"/>
              </w:rPr>
              <w:t xml:space="preserve">Water Quality Inspection of Raw Water and Clarified </w:t>
            </w:r>
            <w:proofErr w:type="gramStart"/>
            <w:r w:rsidRPr="00193C4D">
              <w:rPr>
                <w:lang w:val="en-US"/>
              </w:rPr>
              <w:t>Water</w:t>
            </w:r>
            <w:r w:rsidRPr="00193C4D">
              <w:rPr>
                <w:vertAlign w:val="superscript"/>
                <w:lang w:val="en-US"/>
              </w:rPr>
              <w:t>[</w:t>
            </w:r>
            <w:proofErr w:type="gramEnd"/>
            <w:r w:rsidRPr="00193C4D">
              <w:rPr>
                <w:vertAlign w:val="superscript"/>
                <w:lang w:val="en-US"/>
              </w:rPr>
              <w:t>7]</w:t>
            </w:r>
          </w:p>
        </w:tc>
        <w:tc>
          <w:tcPr>
            <w:tcW w:w="1276" w:type="dxa"/>
            <w:tcBorders>
              <w:top w:val="single" w:sz="4" w:space="0" w:color="auto"/>
              <w:bottom w:val="single" w:sz="4" w:space="0" w:color="auto"/>
            </w:tcBorders>
            <w:shd w:val="clear" w:color="auto" w:fill="auto"/>
          </w:tcPr>
          <w:p w14:paraId="066A07F9" w14:textId="77777777" w:rsidR="00193C4D" w:rsidRPr="007D172F" w:rsidRDefault="00193C4D" w:rsidP="00C9628F">
            <w:pPr>
              <w:spacing w:line="280" w:lineRule="exact"/>
            </w:pPr>
            <w:r w:rsidRPr="007D172F">
              <w:t>Tap water</w:t>
            </w:r>
          </w:p>
        </w:tc>
        <w:tc>
          <w:tcPr>
            <w:tcW w:w="1418" w:type="dxa"/>
            <w:tcBorders>
              <w:top w:val="single" w:sz="4" w:space="0" w:color="auto"/>
              <w:bottom w:val="single" w:sz="4" w:space="0" w:color="auto"/>
            </w:tcBorders>
            <w:shd w:val="clear" w:color="auto" w:fill="auto"/>
          </w:tcPr>
          <w:p w14:paraId="2CC0A21E" w14:textId="77777777" w:rsidR="00193C4D" w:rsidRPr="007D172F" w:rsidRDefault="00193C4D" w:rsidP="00C9628F">
            <w:pPr>
              <w:spacing w:line="280" w:lineRule="exact"/>
            </w:pPr>
            <w:r w:rsidRPr="007D172F">
              <w:t>THg</w:t>
            </w:r>
          </w:p>
        </w:tc>
        <w:tc>
          <w:tcPr>
            <w:tcW w:w="4252" w:type="dxa"/>
          </w:tcPr>
          <w:p w14:paraId="75181763" w14:textId="77777777" w:rsidR="00193C4D" w:rsidRPr="00193C4D" w:rsidRDefault="00193C4D" w:rsidP="00C9628F">
            <w:pPr>
              <w:spacing w:line="280" w:lineRule="exact"/>
              <w:rPr>
                <w:lang w:val="en-US"/>
              </w:rPr>
            </w:pPr>
            <w:r w:rsidRPr="00193C4D">
              <w:rPr>
                <w:lang w:val="en-US"/>
              </w:rPr>
              <w:t>The method determined by the Minister of Health, Labour and Welfare on the basis of the Ordinance of the provisions relating to water quality standards (Ministry of Health, Labour and Welfare Notification No. 261, 2003)</w:t>
            </w:r>
          </w:p>
        </w:tc>
        <w:tc>
          <w:tcPr>
            <w:tcW w:w="3402" w:type="dxa"/>
          </w:tcPr>
          <w:p w14:paraId="38461D89" w14:textId="77777777" w:rsidR="00193C4D" w:rsidRPr="00193C4D" w:rsidRDefault="00193C4D" w:rsidP="00C9628F">
            <w:pPr>
              <w:spacing w:line="280" w:lineRule="exact"/>
              <w:ind w:left="176" w:hangingChars="88" w:hanging="176"/>
              <w:rPr>
                <w:lang w:val="en-US"/>
              </w:rPr>
            </w:pPr>
            <w:r w:rsidRPr="00193C4D">
              <w:rPr>
                <w:rFonts w:hint="cs"/>
                <w:lang w:val="en-US"/>
              </w:rPr>
              <w:t>Raw water: 5,</w:t>
            </w:r>
            <w:r w:rsidRPr="00193C4D">
              <w:rPr>
                <w:lang w:val="en-US"/>
              </w:rPr>
              <w:t>954</w:t>
            </w:r>
            <w:r w:rsidRPr="00193C4D">
              <w:rPr>
                <w:rFonts w:hint="cs"/>
                <w:lang w:val="en-US"/>
              </w:rPr>
              <w:t xml:space="preserve"> sites (</w:t>
            </w:r>
            <w:r w:rsidRPr="00193C4D">
              <w:rPr>
                <w:lang w:val="en-US"/>
              </w:rPr>
              <w:t>surface stream water, lake/reservoir, and groundwater</w:t>
            </w:r>
            <w:r w:rsidRPr="00193C4D">
              <w:rPr>
                <w:rFonts w:hint="cs"/>
                <w:lang w:val="en-US"/>
              </w:rPr>
              <w:t>)</w:t>
            </w:r>
          </w:p>
          <w:p w14:paraId="74E7F240" w14:textId="77777777" w:rsidR="00193C4D" w:rsidRPr="00193C4D" w:rsidRDefault="00193C4D" w:rsidP="00C9628F">
            <w:pPr>
              <w:spacing w:line="280" w:lineRule="exact"/>
              <w:ind w:left="176" w:hangingChars="88" w:hanging="176"/>
              <w:rPr>
                <w:lang w:val="en-US"/>
              </w:rPr>
            </w:pPr>
            <w:r w:rsidRPr="00193C4D">
              <w:rPr>
                <w:lang w:val="en-US"/>
              </w:rPr>
              <w:t>Clarified</w:t>
            </w:r>
            <w:r w:rsidRPr="00193C4D">
              <w:rPr>
                <w:rFonts w:hint="cs"/>
                <w:lang w:val="en-US"/>
              </w:rPr>
              <w:t xml:space="preserve"> water: 6,</w:t>
            </w:r>
            <w:r w:rsidRPr="00193C4D">
              <w:rPr>
                <w:lang w:val="en-US"/>
              </w:rPr>
              <w:t>343</w:t>
            </w:r>
            <w:r w:rsidRPr="00193C4D">
              <w:rPr>
                <w:rFonts w:hint="cs"/>
                <w:lang w:val="en-US"/>
              </w:rPr>
              <w:t xml:space="preserve"> sites (</w:t>
            </w:r>
            <w:r w:rsidRPr="00193C4D">
              <w:rPr>
                <w:lang w:val="en-US"/>
              </w:rPr>
              <w:t>surface stream water, lake/reservoir, and groundwater</w:t>
            </w:r>
            <w:r w:rsidRPr="00193C4D">
              <w:rPr>
                <w:rFonts w:hint="cs"/>
                <w:lang w:val="en-US"/>
              </w:rPr>
              <w:t>)</w:t>
            </w:r>
          </w:p>
        </w:tc>
        <w:tc>
          <w:tcPr>
            <w:tcW w:w="2552" w:type="dxa"/>
          </w:tcPr>
          <w:p w14:paraId="01456728" w14:textId="77777777" w:rsidR="00193C4D" w:rsidRPr="007D172F" w:rsidRDefault="00193C4D" w:rsidP="00C9628F">
            <w:pPr>
              <w:spacing w:line="280" w:lineRule="exact"/>
            </w:pPr>
            <w:r w:rsidRPr="007D172F">
              <w:t>Annually</w:t>
            </w:r>
          </w:p>
        </w:tc>
        <w:tc>
          <w:tcPr>
            <w:tcW w:w="4533" w:type="dxa"/>
          </w:tcPr>
          <w:p w14:paraId="5E931E34" w14:textId="77777777" w:rsidR="00193C4D" w:rsidRPr="00193C4D" w:rsidRDefault="00193C4D" w:rsidP="00C9628F">
            <w:pPr>
              <w:spacing w:line="280" w:lineRule="exact"/>
              <w:rPr>
                <w:lang w:val="en-US"/>
              </w:rPr>
            </w:pPr>
            <w:r w:rsidRPr="00193C4D">
              <w:rPr>
                <w:rFonts w:hint="cs"/>
                <w:lang w:val="en-US"/>
              </w:rPr>
              <w:t>Monitoring results until FY2016 are available as statistics: mean, minimum, max</w:t>
            </w:r>
            <w:r w:rsidRPr="00193C4D">
              <w:rPr>
                <w:lang w:val="en-US"/>
              </w:rPr>
              <w:t>i</w:t>
            </w:r>
            <w:r w:rsidRPr="00193C4D">
              <w:rPr>
                <w:rFonts w:hint="cs"/>
                <w:lang w:val="en-US"/>
              </w:rPr>
              <w:t>mum, and</w:t>
            </w:r>
            <w:r w:rsidRPr="00193C4D">
              <w:rPr>
                <w:lang w:val="en-US"/>
              </w:rPr>
              <w:t xml:space="preserve"> a number of measurements </w:t>
            </w:r>
            <w:r w:rsidRPr="00193C4D">
              <w:rPr>
                <w:vertAlign w:val="superscript"/>
                <w:lang w:val="en-US"/>
              </w:rPr>
              <w:t>[8]</w:t>
            </w:r>
            <w:r w:rsidRPr="00193C4D">
              <w:rPr>
                <w:lang w:val="en-US"/>
              </w:rPr>
              <w:t xml:space="preserve">. </w:t>
            </w:r>
          </w:p>
          <w:p w14:paraId="4CFAA554" w14:textId="77777777" w:rsidR="00193C4D" w:rsidRPr="00193C4D" w:rsidRDefault="00193C4D" w:rsidP="00C9628F">
            <w:pPr>
              <w:spacing w:line="280" w:lineRule="exact"/>
              <w:rPr>
                <w:lang w:val="en-US"/>
              </w:rPr>
            </w:pPr>
            <w:r w:rsidRPr="00193C4D">
              <w:rPr>
                <w:lang w:val="en-US"/>
              </w:rPr>
              <w:t xml:space="preserve">Water samples are also analyzed for substances of environmental quality standards for water (cadmium, lead, </w:t>
            </w:r>
            <w:proofErr w:type="gramStart"/>
            <w:r w:rsidRPr="00193C4D">
              <w:rPr>
                <w:lang w:val="en-US"/>
              </w:rPr>
              <w:t>chromium(</w:t>
            </w:r>
            <w:proofErr w:type="gramEnd"/>
            <w:r w:rsidRPr="00193C4D">
              <w:rPr>
                <w:lang w:val="en-US"/>
              </w:rPr>
              <w:t>VI), arsenic, carbon tetrachloride, Dichloromethane, etc.) and pesticides.</w:t>
            </w:r>
          </w:p>
        </w:tc>
      </w:tr>
    </w:tbl>
    <w:p w14:paraId="54D92C18" w14:textId="77777777" w:rsidR="00193C4D" w:rsidRPr="00193C4D" w:rsidRDefault="00193C4D" w:rsidP="00193C4D">
      <w:pPr>
        <w:tabs>
          <w:tab w:val="left" w:pos="1484"/>
          <w:tab w:val="left" w:pos="1904"/>
        </w:tabs>
        <w:spacing w:line="240" w:lineRule="exact"/>
        <w:ind w:leftChars="135" w:left="270" w:rightChars="134" w:right="268"/>
        <w:rPr>
          <w:sz w:val="18"/>
          <w:szCs w:val="18"/>
          <w:lang w:val="en-US"/>
        </w:rPr>
      </w:pPr>
      <w:r w:rsidRPr="00193C4D">
        <w:rPr>
          <w:sz w:val="18"/>
          <w:szCs w:val="18"/>
          <w:lang w:val="en-US"/>
        </w:rPr>
        <w:t xml:space="preserve">References </w:t>
      </w:r>
      <w:r w:rsidRPr="00193C4D">
        <w:rPr>
          <w:sz w:val="18"/>
          <w:szCs w:val="18"/>
          <w:lang w:val="en-US"/>
        </w:rPr>
        <w:tab/>
        <w:t>[1]</w:t>
      </w:r>
      <w:r w:rsidRPr="00193C4D">
        <w:rPr>
          <w:sz w:val="18"/>
          <w:szCs w:val="18"/>
          <w:lang w:val="en-US"/>
        </w:rPr>
        <w:tab/>
        <w:t>Niigata Prefectural Institute of Public Health and Environmental Science, 2018. “FY2017 Annual Report of Niigata Prefectural Institute of Public Health and Environmental Science Volume 33</w:t>
      </w:r>
      <w:proofErr w:type="gramStart"/>
      <w:r w:rsidRPr="00193C4D">
        <w:rPr>
          <w:sz w:val="18"/>
          <w:szCs w:val="18"/>
          <w:lang w:val="en-US"/>
        </w:rPr>
        <w:t>” ,</w:t>
      </w:r>
      <w:proofErr w:type="gramEnd"/>
      <w:r w:rsidRPr="00193C4D">
        <w:rPr>
          <w:sz w:val="18"/>
          <w:szCs w:val="18"/>
          <w:lang w:val="en-US"/>
        </w:rPr>
        <w:t xml:space="preserve"> Online: http://www.pref.niigata.lg.jp/hokanken/1356857836913.html </w:t>
      </w:r>
    </w:p>
    <w:p w14:paraId="2A7D8A82" w14:textId="77777777" w:rsidR="00193C4D" w:rsidRPr="00193C4D" w:rsidRDefault="00193C4D" w:rsidP="00193C4D">
      <w:pPr>
        <w:tabs>
          <w:tab w:val="left" w:pos="1484"/>
          <w:tab w:val="left" w:pos="1904"/>
        </w:tabs>
        <w:spacing w:line="240" w:lineRule="exact"/>
        <w:ind w:leftChars="135" w:left="270" w:rightChars="134" w:right="268"/>
        <w:rPr>
          <w:sz w:val="18"/>
          <w:szCs w:val="18"/>
          <w:lang w:val="en-US"/>
        </w:rPr>
      </w:pPr>
      <w:r w:rsidRPr="00193C4D">
        <w:rPr>
          <w:sz w:val="18"/>
          <w:szCs w:val="18"/>
          <w:lang w:val="en-US"/>
        </w:rPr>
        <w:tab/>
      </w:r>
      <w:r w:rsidRPr="00193C4D">
        <w:rPr>
          <w:sz w:val="18"/>
          <w:szCs w:val="18"/>
          <w:lang w:val="en-US"/>
        </w:rPr>
        <w:tab/>
        <w:t>(in Japanese).</w:t>
      </w:r>
    </w:p>
    <w:p w14:paraId="2D376562" w14:textId="77777777" w:rsidR="00193C4D" w:rsidRPr="00193C4D" w:rsidRDefault="00193C4D" w:rsidP="00193C4D">
      <w:pPr>
        <w:tabs>
          <w:tab w:val="left" w:pos="1484"/>
          <w:tab w:val="left" w:pos="1904"/>
        </w:tabs>
        <w:spacing w:line="240" w:lineRule="exact"/>
        <w:ind w:leftChars="135" w:left="270"/>
        <w:rPr>
          <w:rFonts w:hint="eastAsia"/>
          <w:sz w:val="18"/>
          <w:szCs w:val="18"/>
          <w:lang w:val="en-US"/>
        </w:rPr>
      </w:pPr>
      <w:r w:rsidRPr="00193C4D">
        <w:rPr>
          <w:sz w:val="18"/>
          <w:szCs w:val="18"/>
          <w:lang w:val="en-US"/>
        </w:rPr>
        <w:tab/>
        <w:t>[2]</w:t>
      </w:r>
      <w:r w:rsidRPr="00193C4D">
        <w:rPr>
          <w:sz w:val="18"/>
          <w:szCs w:val="18"/>
          <w:lang w:val="en-US"/>
        </w:rPr>
        <w:tab/>
        <w:t>Saitama Prefecture 2018. “River Water Monitoring Survey”, Online: https://www.pref.saitama.lg.jp/b1002/kasenmonitorling.html (in Japanese).</w:t>
      </w:r>
    </w:p>
    <w:p w14:paraId="4139375E"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[3]</w:t>
      </w:r>
      <w:r w:rsidRPr="00193C4D">
        <w:rPr>
          <w:sz w:val="18"/>
          <w:szCs w:val="18"/>
          <w:lang w:val="en-US"/>
        </w:rPr>
        <w:tab/>
        <w:t>Bureau of Social Welfare and Public Health, Tokyo Metropolitan Government. “Results of Mercury Contamination Survey in Seafood”, Online: http://www.fukushihoken.metro.tokyo.jp/shokuhin/osen/01_suigin.html (in Japanese).</w:t>
      </w:r>
    </w:p>
    <w:p w14:paraId="4B0DF806"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[4]</w:t>
      </w:r>
      <w:r w:rsidRPr="00193C4D">
        <w:rPr>
          <w:sz w:val="18"/>
          <w:szCs w:val="18"/>
          <w:lang w:val="en-US"/>
        </w:rPr>
        <w:tab/>
        <w:t>Kumamoto Prefectural Government, Kumamoto Prefectural Institute of Public Health and Environmental Science, 2017. “Annual Report Vol.47 (2017), Kumamoto Prefectural Institute of Public Health and Environmental Science”, Online:</w:t>
      </w:r>
    </w:p>
    <w:p w14:paraId="71F0E714"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r>
      <w:r w:rsidRPr="00193C4D">
        <w:rPr>
          <w:sz w:val="18"/>
          <w:szCs w:val="18"/>
          <w:lang w:val="en-US"/>
        </w:rPr>
        <w:tab/>
        <w:t>https://www.pref.kumamoto.jp/common/UploadFileOutput.ashx?c_id=3&amp;id=25845&amp;sub_id=2&amp;flid=174271 (in Japanese).</w:t>
      </w:r>
    </w:p>
    <w:p w14:paraId="41DDCF7E"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[5]</w:t>
      </w:r>
      <w:r w:rsidRPr="00193C4D">
        <w:rPr>
          <w:sz w:val="18"/>
          <w:szCs w:val="18"/>
          <w:lang w:val="en-US"/>
        </w:rPr>
        <w:tab/>
        <w:t>Kagoshima Prefecture, 2018. “Environmental White Paper (2017), Kagoshima Prefecture”, Online:</w:t>
      </w:r>
      <w:r w:rsidRPr="00193C4D">
        <w:rPr>
          <w:lang w:val="en-US"/>
        </w:rPr>
        <w:t xml:space="preserve"> </w:t>
      </w:r>
      <w:r w:rsidRPr="00193C4D">
        <w:rPr>
          <w:sz w:val="18"/>
          <w:szCs w:val="18"/>
          <w:lang w:val="en-US"/>
        </w:rPr>
        <w:t>https://www.pref.kagoshima.jp/ad01/kurashi-kankyo/kankyo/sougou/hakusho/h29/documents/65100_20180330003345-1.pdf (in Japanese).</w:t>
      </w:r>
    </w:p>
    <w:p w14:paraId="756DFDE5"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[6]</w:t>
      </w:r>
      <w:r w:rsidRPr="00193C4D">
        <w:rPr>
          <w:sz w:val="18"/>
          <w:szCs w:val="18"/>
          <w:lang w:val="en-US"/>
        </w:rPr>
        <w:tab/>
        <w:t>Kagoshima Prefectural Institute for Environmental Research and Public Health, Dec. 2017. “Annual Report of Kagoshima Prefectural Institute for Environmental Research and Public Health Volume 18”, Online:</w:t>
      </w:r>
    </w:p>
    <w:p w14:paraId="17B23454"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r>
      <w:r w:rsidRPr="00193C4D">
        <w:rPr>
          <w:sz w:val="18"/>
          <w:szCs w:val="18"/>
          <w:lang w:val="en-US"/>
        </w:rPr>
        <w:tab/>
        <w:t>https://www.pref.kagoshima.jp/ad08/kurashi-kankyo/kankyo/kankyohoken/shoho/documents/64396_20180227161739-1.pdf (in Japanese).</w:t>
      </w:r>
    </w:p>
    <w:p w14:paraId="2A8E30FD" w14:textId="77777777" w:rsidR="00193C4D" w:rsidRPr="00193C4D" w:rsidRDefault="00193C4D" w:rsidP="00193C4D">
      <w:pPr>
        <w:tabs>
          <w:tab w:val="left" w:pos="1484"/>
          <w:tab w:val="left" w:pos="1904"/>
        </w:tabs>
        <w:spacing w:line="240" w:lineRule="exact"/>
        <w:ind w:leftChars="135" w:left="270"/>
        <w:rPr>
          <w:sz w:val="18"/>
          <w:szCs w:val="18"/>
          <w:lang w:val="en-US"/>
        </w:rPr>
      </w:pPr>
      <w:r w:rsidRPr="00193C4D">
        <w:rPr>
          <w:sz w:val="18"/>
          <w:szCs w:val="18"/>
          <w:lang w:val="en-US"/>
        </w:rPr>
        <w:tab/>
        <w:t>[7]</w:t>
      </w:r>
      <w:r w:rsidRPr="00193C4D">
        <w:rPr>
          <w:sz w:val="18"/>
          <w:szCs w:val="18"/>
          <w:lang w:val="en-US"/>
        </w:rPr>
        <w:tab/>
        <w:t>Public Interest Incorporated Association Japan Water Work Association, 2018. “Water Supply Statistics FY2016, Volume 99” (in Japanese).</w:t>
      </w:r>
    </w:p>
    <w:p w14:paraId="2BFA35C6" w14:textId="77777777" w:rsidR="00193C4D" w:rsidRPr="00193C4D" w:rsidRDefault="00193C4D" w:rsidP="00193C4D">
      <w:pPr>
        <w:tabs>
          <w:tab w:val="left" w:pos="1484"/>
          <w:tab w:val="left" w:pos="1904"/>
        </w:tabs>
        <w:spacing w:line="240" w:lineRule="exact"/>
        <w:ind w:leftChars="135" w:left="270"/>
        <w:rPr>
          <w:rFonts w:hint="eastAsia"/>
          <w:sz w:val="18"/>
          <w:szCs w:val="18"/>
          <w:lang w:val="en-US"/>
        </w:rPr>
      </w:pPr>
      <w:r w:rsidRPr="00193C4D">
        <w:rPr>
          <w:sz w:val="18"/>
          <w:szCs w:val="18"/>
          <w:lang w:val="en-US"/>
        </w:rPr>
        <w:tab/>
      </w:r>
      <w:r w:rsidRPr="00193C4D">
        <w:rPr>
          <w:rFonts w:hint="eastAsia"/>
          <w:sz w:val="18"/>
          <w:szCs w:val="18"/>
          <w:lang w:val="en-US"/>
        </w:rPr>
        <w:t>[8]</w:t>
      </w:r>
      <w:r w:rsidRPr="00193C4D">
        <w:rPr>
          <w:rFonts w:hint="eastAsia"/>
          <w:sz w:val="18"/>
          <w:szCs w:val="18"/>
          <w:lang w:val="en-US"/>
        </w:rPr>
        <w:tab/>
      </w:r>
      <w:r w:rsidRPr="00193C4D">
        <w:rPr>
          <w:sz w:val="18"/>
          <w:szCs w:val="18"/>
          <w:lang w:val="en-US"/>
        </w:rPr>
        <w:t>Public Interest Incorporated Association Japan Water Work Association. “Database of Water Quality of Aqueduct”, Online:</w:t>
      </w:r>
      <w:r w:rsidRPr="00193C4D">
        <w:rPr>
          <w:lang w:val="en-US"/>
        </w:rPr>
        <w:t xml:space="preserve"> </w:t>
      </w:r>
      <w:r w:rsidRPr="00193C4D">
        <w:rPr>
          <w:sz w:val="18"/>
          <w:szCs w:val="18"/>
          <w:lang w:val="en-US"/>
        </w:rPr>
        <w:t>http://www.jwwa.or.jp/mizu/index.html (in Japanese).</w:t>
      </w:r>
    </w:p>
    <w:p w14:paraId="38EDBAEE" w14:textId="77777777" w:rsidR="00193C4D" w:rsidRPr="00193C4D" w:rsidRDefault="00193C4D" w:rsidP="00193C4D">
      <w:pPr>
        <w:rPr>
          <w:lang w:val="en-US"/>
        </w:rPr>
      </w:pPr>
    </w:p>
    <w:p w14:paraId="132919AD" w14:textId="77777777" w:rsidR="00193C4D" w:rsidRPr="00193C4D" w:rsidRDefault="00193C4D" w:rsidP="00193C4D">
      <w:pPr>
        <w:spacing w:line="100" w:lineRule="exact"/>
        <w:ind w:leftChars="337" w:left="674"/>
        <w:rPr>
          <w:lang w:val="en-US"/>
        </w:rPr>
      </w:pPr>
    </w:p>
    <w:p w14:paraId="2ACAB3D4" w14:textId="77777777" w:rsidR="00193C4D" w:rsidRPr="0042558C" w:rsidRDefault="00193C4D" w:rsidP="00193C4D">
      <w:pPr>
        <w:pStyle w:val="Caption"/>
        <w:jc w:val="center"/>
        <w:rPr>
          <w:rFonts w:ascii="Times New Roman" w:hAnsi="Times New Roman"/>
        </w:rPr>
      </w:pPr>
      <w:r w:rsidRPr="0042558C">
        <w:rPr>
          <w:rFonts w:ascii="Times New Roman" w:hAnsi="Times New Roman"/>
        </w:rPr>
        <w:t xml:space="preserve">Table 7. </w:t>
      </w:r>
      <w:r>
        <w:rPr>
          <w:rFonts w:ascii="Times New Roman" w:hAnsi="Times New Roman"/>
        </w:rPr>
        <w:t>Monitoring conducted in the past decade</w:t>
      </w:r>
    </w:p>
    <w:tbl>
      <w:tblPr>
        <w:tblW w:w="2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701"/>
        <w:gridCol w:w="1276"/>
        <w:gridCol w:w="1418"/>
        <w:gridCol w:w="4252"/>
        <w:gridCol w:w="3402"/>
        <w:gridCol w:w="2552"/>
        <w:gridCol w:w="4533"/>
      </w:tblGrid>
      <w:tr w:rsidR="00193C4D" w:rsidRPr="00193C4D" w14:paraId="671EF8E9" w14:textId="77777777" w:rsidTr="00C9628F">
        <w:trPr>
          <w:tblHeader/>
          <w:jc w:val="center"/>
        </w:trPr>
        <w:tc>
          <w:tcPr>
            <w:tcW w:w="2125" w:type="dxa"/>
            <w:tcBorders>
              <w:bottom w:val="double" w:sz="4" w:space="0" w:color="auto"/>
            </w:tcBorders>
            <w:shd w:val="clear" w:color="auto" w:fill="D9D9D9"/>
            <w:vAlign w:val="center"/>
          </w:tcPr>
          <w:p w14:paraId="3D618569" w14:textId="77777777" w:rsidR="00193C4D" w:rsidRPr="007D172F" w:rsidRDefault="00193C4D" w:rsidP="00C9628F">
            <w:pPr>
              <w:spacing w:line="280" w:lineRule="exact"/>
              <w:jc w:val="center"/>
            </w:pPr>
            <w:r>
              <w:rPr>
                <w:rFonts w:hint="eastAsia"/>
              </w:rPr>
              <w:t>Responsible party</w:t>
            </w:r>
          </w:p>
        </w:tc>
        <w:tc>
          <w:tcPr>
            <w:tcW w:w="1701" w:type="dxa"/>
            <w:tcBorders>
              <w:bottom w:val="double" w:sz="4" w:space="0" w:color="auto"/>
            </w:tcBorders>
            <w:shd w:val="clear" w:color="auto" w:fill="D9D9D9"/>
            <w:vAlign w:val="center"/>
          </w:tcPr>
          <w:p w14:paraId="6147EC3A" w14:textId="77777777" w:rsidR="00193C4D" w:rsidRPr="00C32CDC" w:rsidRDefault="00193C4D" w:rsidP="00C9628F">
            <w:pPr>
              <w:spacing w:line="280" w:lineRule="exact"/>
              <w:jc w:val="center"/>
            </w:pPr>
            <w:r w:rsidRPr="00C32CDC">
              <w:t>Programme</w:t>
            </w:r>
          </w:p>
        </w:tc>
        <w:tc>
          <w:tcPr>
            <w:tcW w:w="1276" w:type="dxa"/>
            <w:tcBorders>
              <w:bottom w:val="double" w:sz="4" w:space="0" w:color="auto"/>
            </w:tcBorders>
            <w:shd w:val="clear" w:color="auto" w:fill="D9D9D9"/>
            <w:vAlign w:val="center"/>
          </w:tcPr>
          <w:p w14:paraId="1F3E5A2B" w14:textId="77777777" w:rsidR="00193C4D" w:rsidRPr="00C32CDC" w:rsidRDefault="00193C4D" w:rsidP="00C9628F">
            <w:pPr>
              <w:spacing w:line="280" w:lineRule="exact"/>
              <w:jc w:val="center"/>
            </w:pPr>
            <w:r w:rsidRPr="00C32CDC">
              <w:t>Media</w:t>
            </w:r>
          </w:p>
        </w:tc>
        <w:tc>
          <w:tcPr>
            <w:tcW w:w="1418" w:type="dxa"/>
            <w:tcBorders>
              <w:bottom w:val="double" w:sz="4" w:space="0" w:color="auto"/>
            </w:tcBorders>
            <w:shd w:val="clear" w:color="auto" w:fill="D9D9D9"/>
            <w:vAlign w:val="center"/>
          </w:tcPr>
          <w:p w14:paraId="3615E915" w14:textId="77777777" w:rsidR="00193C4D" w:rsidRPr="00C32CDC" w:rsidRDefault="00193C4D" w:rsidP="00C9628F">
            <w:pPr>
              <w:spacing w:line="280" w:lineRule="exact"/>
              <w:jc w:val="center"/>
            </w:pPr>
            <w:r w:rsidRPr="00C32CDC">
              <w:t>Mercury species</w:t>
            </w:r>
          </w:p>
        </w:tc>
        <w:tc>
          <w:tcPr>
            <w:tcW w:w="4252" w:type="dxa"/>
            <w:tcBorders>
              <w:bottom w:val="double" w:sz="4" w:space="0" w:color="auto"/>
            </w:tcBorders>
            <w:shd w:val="clear" w:color="auto" w:fill="D9D9D9"/>
            <w:vAlign w:val="center"/>
          </w:tcPr>
          <w:p w14:paraId="019B8CB8" w14:textId="77777777" w:rsidR="00193C4D" w:rsidRPr="00C32CDC" w:rsidRDefault="00193C4D" w:rsidP="00C9628F">
            <w:pPr>
              <w:spacing w:line="280" w:lineRule="exact"/>
              <w:jc w:val="center"/>
            </w:pPr>
            <w:r w:rsidRPr="00C32CDC">
              <w:t>Methodology / analytical method</w:t>
            </w:r>
          </w:p>
        </w:tc>
        <w:tc>
          <w:tcPr>
            <w:tcW w:w="3402" w:type="dxa"/>
            <w:tcBorders>
              <w:bottom w:val="double" w:sz="4" w:space="0" w:color="auto"/>
            </w:tcBorders>
            <w:shd w:val="clear" w:color="auto" w:fill="D9D9D9"/>
            <w:vAlign w:val="center"/>
          </w:tcPr>
          <w:p w14:paraId="47722A43" w14:textId="77777777" w:rsidR="00193C4D" w:rsidRPr="00C32CDC" w:rsidRDefault="00193C4D" w:rsidP="00C9628F">
            <w:pPr>
              <w:spacing w:line="280" w:lineRule="exact"/>
              <w:jc w:val="center"/>
            </w:pPr>
            <w:r w:rsidRPr="00C32CDC">
              <w:t>Location / number of samples</w:t>
            </w:r>
          </w:p>
        </w:tc>
        <w:tc>
          <w:tcPr>
            <w:tcW w:w="2552" w:type="dxa"/>
            <w:tcBorders>
              <w:bottom w:val="double" w:sz="4" w:space="0" w:color="auto"/>
            </w:tcBorders>
            <w:shd w:val="clear" w:color="auto" w:fill="D9D9D9"/>
            <w:vAlign w:val="center"/>
          </w:tcPr>
          <w:p w14:paraId="01CC27C2" w14:textId="77777777" w:rsidR="00193C4D" w:rsidRPr="00C32CDC" w:rsidRDefault="00193C4D" w:rsidP="00C9628F">
            <w:pPr>
              <w:spacing w:line="280" w:lineRule="exact"/>
              <w:jc w:val="center"/>
            </w:pPr>
            <w:r>
              <w:t>Monitoring period and frequency</w:t>
            </w:r>
          </w:p>
        </w:tc>
        <w:tc>
          <w:tcPr>
            <w:tcW w:w="4533" w:type="dxa"/>
            <w:tcBorders>
              <w:bottom w:val="double" w:sz="4" w:space="0" w:color="auto"/>
            </w:tcBorders>
            <w:shd w:val="clear" w:color="auto" w:fill="D9D9D9"/>
            <w:vAlign w:val="center"/>
          </w:tcPr>
          <w:p w14:paraId="101DED22" w14:textId="77777777" w:rsidR="00193C4D" w:rsidRPr="00193C4D" w:rsidRDefault="00193C4D" w:rsidP="00C9628F">
            <w:pPr>
              <w:spacing w:line="280" w:lineRule="exact"/>
              <w:jc w:val="center"/>
              <w:rPr>
                <w:lang w:val="en-US"/>
              </w:rPr>
            </w:pPr>
            <w:r w:rsidRPr="00193C4D">
              <w:rPr>
                <w:lang w:val="en-US"/>
              </w:rPr>
              <w:t>Details of available data (as of January 2019)</w:t>
            </w:r>
          </w:p>
        </w:tc>
      </w:tr>
      <w:tr w:rsidR="00193C4D" w:rsidRPr="00193C4D" w14:paraId="72090658" w14:textId="77777777" w:rsidTr="00C9628F">
        <w:trPr>
          <w:trHeight w:val="309"/>
          <w:jc w:val="center"/>
        </w:trPr>
        <w:tc>
          <w:tcPr>
            <w:tcW w:w="2125" w:type="dxa"/>
          </w:tcPr>
          <w:p w14:paraId="2A3FDF08" w14:textId="77777777" w:rsidR="00193C4D" w:rsidRPr="00C32CDC" w:rsidRDefault="00193C4D" w:rsidP="00C9628F">
            <w:pPr>
              <w:spacing w:line="280" w:lineRule="exact"/>
              <w:rPr>
                <w:highlight w:val="yellow"/>
              </w:rPr>
            </w:pPr>
            <w:r w:rsidRPr="00C32CDC">
              <w:t>MOE</w:t>
            </w:r>
          </w:p>
        </w:tc>
        <w:tc>
          <w:tcPr>
            <w:tcW w:w="1701" w:type="dxa"/>
          </w:tcPr>
          <w:p w14:paraId="6F5C0E52" w14:textId="77777777" w:rsidR="00193C4D" w:rsidRPr="00193C4D" w:rsidRDefault="00193C4D" w:rsidP="00C9628F">
            <w:pPr>
              <w:spacing w:line="280" w:lineRule="exact"/>
              <w:rPr>
                <w:rFonts w:hint="eastAsia"/>
                <w:vertAlign w:val="superscript"/>
                <w:lang w:val="en-US"/>
              </w:rPr>
            </w:pPr>
            <w:r w:rsidRPr="00193C4D">
              <w:rPr>
                <w:lang w:val="en-US"/>
              </w:rPr>
              <w:t xml:space="preserve">Soil Quality Monitoring in the Disaster Area of Great East Japan </w:t>
            </w:r>
            <w:proofErr w:type="gramStart"/>
            <w:r w:rsidRPr="00193C4D">
              <w:rPr>
                <w:lang w:val="en-US"/>
              </w:rPr>
              <w:t>Earthquake</w:t>
            </w:r>
            <w:r w:rsidRPr="00193C4D">
              <w:rPr>
                <w:vertAlign w:val="superscript"/>
                <w:lang w:val="en-US"/>
              </w:rPr>
              <w:t>[</w:t>
            </w:r>
            <w:proofErr w:type="gramEnd"/>
            <w:r w:rsidRPr="00193C4D">
              <w:rPr>
                <w:vertAlign w:val="superscript"/>
                <w:lang w:val="en-US"/>
              </w:rPr>
              <w:t>1], [2]</w:t>
            </w:r>
          </w:p>
        </w:tc>
        <w:tc>
          <w:tcPr>
            <w:tcW w:w="1276" w:type="dxa"/>
            <w:shd w:val="clear" w:color="auto" w:fill="auto"/>
          </w:tcPr>
          <w:p w14:paraId="399E4684" w14:textId="77777777" w:rsidR="00193C4D" w:rsidRPr="00C32CDC" w:rsidRDefault="00193C4D" w:rsidP="00C9628F">
            <w:pPr>
              <w:spacing w:line="280" w:lineRule="exact"/>
            </w:pPr>
            <w:r w:rsidRPr="00C32CDC">
              <w:t>Soil</w:t>
            </w:r>
          </w:p>
        </w:tc>
        <w:tc>
          <w:tcPr>
            <w:tcW w:w="1418" w:type="dxa"/>
            <w:shd w:val="clear" w:color="auto" w:fill="auto"/>
          </w:tcPr>
          <w:p w14:paraId="080410FF" w14:textId="77777777" w:rsidR="00193C4D" w:rsidRPr="00C32CDC" w:rsidRDefault="00193C4D" w:rsidP="00C9628F">
            <w:pPr>
              <w:spacing w:line="280" w:lineRule="exact"/>
            </w:pPr>
            <w:r w:rsidRPr="00C32CDC">
              <w:t>THg</w:t>
            </w:r>
          </w:p>
        </w:tc>
        <w:tc>
          <w:tcPr>
            <w:tcW w:w="4252" w:type="dxa"/>
          </w:tcPr>
          <w:p w14:paraId="1F0CAE5A" w14:textId="77777777" w:rsidR="00193C4D" w:rsidRPr="00193C4D" w:rsidRDefault="00193C4D" w:rsidP="00C9628F">
            <w:pPr>
              <w:spacing w:line="280" w:lineRule="exact"/>
              <w:rPr>
                <w:lang w:val="en-US"/>
              </w:rPr>
            </w:pPr>
            <w:r w:rsidRPr="00193C4D">
              <w:rPr>
                <w:rFonts w:hint="eastAsia"/>
                <w:lang w:val="en-US"/>
              </w:rPr>
              <w:t xml:space="preserve">Soil quality examination though </w:t>
            </w:r>
            <w:r w:rsidRPr="00193C4D">
              <w:rPr>
                <w:lang w:val="en-US"/>
              </w:rPr>
              <w:t>leaching</w:t>
            </w:r>
            <w:r w:rsidRPr="00193C4D">
              <w:rPr>
                <w:rFonts w:hint="eastAsia"/>
                <w:lang w:val="en-US"/>
              </w:rPr>
              <w:t xml:space="preserve"> </w:t>
            </w:r>
            <w:r w:rsidRPr="00193C4D">
              <w:rPr>
                <w:lang w:val="en-US"/>
              </w:rPr>
              <w:t>and content tests.</w:t>
            </w:r>
          </w:p>
          <w:p w14:paraId="44897083" w14:textId="77777777" w:rsidR="00193C4D" w:rsidRPr="00193C4D" w:rsidRDefault="00193C4D" w:rsidP="00C9628F">
            <w:pPr>
              <w:spacing w:line="280" w:lineRule="exact"/>
              <w:rPr>
                <w:lang w:val="en-US"/>
              </w:rPr>
            </w:pPr>
          </w:p>
        </w:tc>
        <w:tc>
          <w:tcPr>
            <w:tcW w:w="3402" w:type="dxa"/>
            <w:tcBorders>
              <w:top w:val="single" w:sz="4" w:space="0" w:color="auto"/>
              <w:bottom w:val="single" w:sz="4" w:space="0" w:color="auto"/>
            </w:tcBorders>
          </w:tcPr>
          <w:p w14:paraId="67AE25CF" w14:textId="77777777" w:rsidR="00193C4D" w:rsidRPr="00193C4D" w:rsidRDefault="00193C4D" w:rsidP="00C9628F">
            <w:pPr>
              <w:spacing w:line="280" w:lineRule="exact"/>
              <w:rPr>
                <w:lang w:val="en-US"/>
              </w:rPr>
            </w:pPr>
            <w:r w:rsidRPr="00193C4D">
              <w:rPr>
                <w:rFonts w:hint="eastAsia"/>
                <w:lang w:val="en-US"/>
              </w:rPr>
              <w:t>Primary</w:t>
            </w:r>
            <w:r w:rsidRPr="00193C4D">
              <w:rPr>
                <w:lang w:val="en-US"/>
              </w:rPr>
              <w:t xml:space="preserve"> survey: 78 sites</w:t>
            </w:r>
          </w:p>
          <w:p w14:paraId="1EED5656" w14:textId="77777777" w:rsidR="00193C4D" w:rsidRPr="00193C4D" w:rsidRDefault="00193C4D" w:rsidP="00C9628F">
            <w:pPr>
              <w:spacing w:line="280" w:lineRule="exact"/>
              <w:rPr>
                <w:lang w:val="en-US"/>
              </w:rPr>
            </w:pPr>
            <w:r w:rsidRPr="00193C4D">
              <w:rPr>
                <w:lang w:val="en-US"/>
              </w:rPr>
              <w:t>Secondary survey: 122 sites</w:t>
            </w:r>
          </w:p>
          <w:p w14:paraId="1215D672" w14:textId="77777777" w:rsidR="00193C4D" w:rsidRPr="00193C4D" w:rsidRDefault="00193C4D" w:rsidP="00C9628F">
            <w:pPr>
              <w:spacing w:line="280" w:lineRule="exact"/>
              <w:rPr>
                <w:lang w:val="en-US"/>
              </w:rPr>
            </w:pPr>
          </w:p>
        </w:tc>
        <w:tc>
          <w:tcPr>
            <w:tcW w:w="2552" w:type="dxa"/>
            <w:tcBorders>
              <w:top w:val="single" w:sz="4" w:space="0" w:color="auto"/>
              <w:bottom w:val="single" w:sz="4" w:space="0" w:color="auto"/>
            </w:tcBorders>
          </w:tcPr>
          <w:p w14:paraId="6AD0858A" w14:textId="77777777" w:rsidR="00193C4D" w:rsidRPr="00193C4D" w:rsidRDefault="00193C4D" w:rsidP="00C9628F">
            <w:pPr>
              <w:spacing w:line="280" w:lineRule="exact"/>
              <w:rPr>
                <w:lang w:val="en-US"/>
              </w:rPr>
            </w:pPr>
            <w:r w:rsidRPr="00193C4D">
              <w:rPr>
                <w:rFonts w:hint="eastAsia"/>
                <w:lang w:val="en-US"/>
              </w:rPr>
              <w:t>Primary</w:t>
            </w:r>
            <w:r w:rsidRPr="00193C4D">
              <w:rPr>
                <w:lang w:val="en-US"/>
              </w:rPr>
              <w:t xml:space="preserve"> survey: In 2011</w:t>
            </w:r>
          </w:p>
          <w:p w14:paraId="5C9FECD4" w14:textId="77777777" w:rsidR="00193C4D" w:rsidRPr="00193C4D" w:rsidRDefault="00193C4D" w:rsidP="00C9628F">
            <w:pPr>
              <w:spacing w:line="280" w:lineRule="exact"/>
              <w:rPr>
                <w:lang w:val="en-US"/>
              </w:rPr>
            </w:pPr>
            <w:r w:rsidRPr="00193C4D">
              <w:rPr>
                <w:lang w:val="en-US"/>
              </w:rPr>
              <w:t>Secondary survey: In 2012</w:t>
            </w:r>
          </w:p>
          <w:p w14:paraId="7E4D57DB" w14:textId="77777777" w:rsidR="00193C4D" w:rsidRPr="00193C4D" w:rsidRDefault="00193C4D" w:rsidP="00C9628F">
            <w:pPr>
              <w:spacing w:line="280" w:lineRule="exact"/>
              <w:ind w:left="2"/>
              <w:rPr>
                <w:lang w:val="en-US"/>
              </w:rPr>
            </w:pPr>
          </w:p>
        </w:tc>
        <w:tc>
          <w:tcPr>
            <w:tcW w:w="4533" w:type="dxa"/>
          </w:tcPr>
          <w:p w14:paraId="78305A66" w14:textId="77777777" w:rsidR="00193C4D" w:rsidRPr="00193C4D" w:rsidRDefault="00193C4D" w:rsidP="00C9628F">
            <w:pPr>
              <w:spacing w:line="280" w:lineRule="exact"/>
              <w:rPr>
                <w:lang w:val="en-US"/>
              </w:rPr>
            </w:pPr>
            <w:r w:rsidRPr="00193C4D">
              <w:rPr>
                <w:rFonts w:hint="eastAsia"/>
                <w:lang w:val="en-US"/>
              </w:rPr>
              <w:t xml:space="preserve">Monitoring results are available as individual data. </w:t>
            </w:r>
            <w:r w:rsidRPr="00193C4D">
              <w:rPr>
                <w:lang w:val="en-US"/>
              </w:rPr>
              <w:t xml:space="preserve">The Dataset includes </w:t>
            </w:r>
            <w:r w:rsidRPr="00193C4D">
              <w:rPr>
                <w:rFonts w:hint="eastAsia"/>
                <w:lang w:val="en-US"/>
              </w:rPr>
              <w:t>a</w:t>
            </w:r>
            <w:r w:rsidRPr="00193C4D">
              <w:rPr>
                <w:lang w:val="en-US"/>
              </w:rPr>
              <w:t xml:space="preserve">ddress, sampling date and depth. Soils are also analyzed for substances of environmental quality standards for soil pollution (cadmium, </w:t>
            </w:r>
            <w:proofErr w:type="gramStart"/>
            <w:r w:rsidRPr="00193C4D">
              <w:rPr>
                <w:lang w:val="en-US"/>
              </w:rPr>
              <w:t>chromium(</w:t>
            </w:r>
            <w:proofErr w:type="gramEnd"/>
            <w:r w:rsidRPr="00193C4D">
              <w:rPr>
                <w:lang w:val="en-US"/>
              </w:rPr>
              <w:t>VI), cyanide compounds, lead, arsenic, etc.), dioxins, pH and electrical conductivity of soil suspensions.</w:t>
            </w:r>
          </w:p>
        </w:tc>
      </w:tr>
      <w:tr w:rsidR="00193C4D" w:rsidRPr="00193C4D" w14:paraId="588938C4" w14:textId="77777777" w:rsidTr="00C9628F">
        <w:trPr>
          <w:trHeight w:val="309"/>
          <w:jc w:val="center"/>
        </w:trPr>
        <w:tc>
          <w:tcPr>
            <w:tcW w:w="2125" w:type="dxa"/>
          </w:tcPr>
          <w:p w14:paraId="5F455195" w14:textId="77777777" w:rsidR="00193C4D" w:rsidRPr="00193C4D" w:rsidRDefault="00193C4D" w:rsidP="00C9628F">
            <w:pPr>
              <w:spacing w:line="280" w:lineRule="exact"/>
              <w:rPr>
                <w:lang w:val="en-US"/>
              </w:rPr>
            </w:pPr>
            <w:r w:rsidRPr="00193C4D">
              <w:rPr>
                <w:lang w:val="en-US"/>
              </w:rPr>
              <w:t>National Institute for Environmental Studies, Niigata Institute of Technology</w:t>
            </w:r>
          </w:p>
        </w:tc>
        <w:tc>
          <w:tcPr>
            <w:tcW w:w="1701" w:type="dxa"/>
          </w:tcPr>
          <w:p w14:paraId="0157A576" w14:textId="77777777" w:rsidR="00193C4D" w:rsidRPr="00C32CDC" w:rsidRDefault="00193C4D" w:rsidP="00C9628F">
            <w:pPr>
              <w:spacing w:line="280" w:lineRule="exact"/>
            </w:pPr>
            <w:r w:rsidRPr="00C32CDC">
              <w:t>-</w:t>
            </w:r>
          </w:p>
        </w:tc>
        <w:tc>
          <w:tcPr>
            <w:tcW w:w="1276" w:type="dxa"/>
            <w:vMerge w:val="restart"/>
            <w:shd w:val="clear" w:color="auto" w:fill="auto"/>
          </w:tcPr>
          <w:p w14:paraId="1A735BAA" w14:textId="77777777" w:rsidR="00193C4D" w:rsidRPr="00C32CDC" w:rsidRDefault="00193C4D" w:rsidP="00C9628F">
            <w:pPr>
              <w:spacing w:line="280" w:lineRule="exact"/>
            </w:pPr>
            <w:r w:rsidRPr="00C32CDC">
              <w:t>Air</w:t>
            </w:r>
          </w:p>
        </w:tc>
        <w:tc>
          <w:tcPr>
            <w:tcW w:w="1418" w:type="dxa"/>
            <w:vMerge w:val="restart"/>
            <w:shd w:val="clear" w:color="auto" w:fill="auto"/>
          </w:tcPr>
          <w:p w14:paraId="56903A49" w14:textId="77777777" w:rsidR="00193C4D" w:rsidRPr="00193C4D" w:rsidRDefault="00193C4D" w:rsidP="00C9628F">
            <w:pPr>
              <w:spacing w:line="280" w:lineRule="exact"/>
              <w:rPr>
                <w:lang w:val="en-US"/>
              </w:rPr>
            </w:pPr>
            <w:r w:rsidRPr="00193C4D">
              <w:rPr>
                <w:lang w:val="en-US"/>
              </w:rPr>
              <w:t>Speciated mercury (GEM, GOM, PBM)</w:t>
            </w:r>
          </w:p>
        </w:tc>
        <w:tc>
          <w:tcPr>
            <w:tcW w:w="4252" w:type="dxa"/>
            <w:vMerge w:val="restart"/>
          </w:tcPr>
          <w:p w14:paraId="7618EA54" w14:textId="77777777" w:rsidR="00193C4D" w:rsidRPr="00193C4D" w:rsidRDefault="00193C4D" w:rsidP="00C9628F">
            <w:pPr>
              <w:spacing w:line="280" w:lineRule="exact"/>
              <w:rPr>
                <w:lang w:val="en-US"/>
              </w:rPr>
            </w:pPr>
            <w:r w:rsidRPr="00193C4D">
              <w:rPr>
                <w:lang w:val="en-US"/>
              </w:rPr>
              <w:t>Using Tekran</w:t>
            </w:r>
          </w:p>
          <w:p w14:paraId="34E29EF0" w14:textId="77777777" w:rsidR="00193C4D" w:rsidRPr="00193C4D" w:rsidRDefault="00193C4D" w:rsidP="00C9628F">
            <w:pPr>
              <w:spacing w:line="280" w:lineRule="exact"/>
              <w:ind w:leftChars="50" w:left="224" w:hangingChars="62" w:hanging="124"/>
              <w:rPr>
                <w:lang w:val="en-US"/>
              </w:rPr>
            </w:pPr>
            <w:r w:rsidRPr="00193C4D">
              <w:rPr>
                <w:lang w:val="en-US"/>
              </w:rPr>
              <w:t>- Cold vapor atomic fluorescence spectrometry with denuder collection for GOM and quartz fiber filter collection for PBM (heating vaporization method)</w:t>
            </w:r>
          </w:p>
        </w:tc>
        <w:tc>
          <w:tcPr>
            <w:tcW w:w="3402" w:type="dxa"/>
            <w:tcBorders>
              <w:top w:val="single" w:sz="4" w:space="0" w:color="auto"/>
              <w:bottom w:val="single" w:sz="4" w:space="0" w:color="auto"/>
            </w:tcBorders>
          </w:tcPr>
          <w:p w14:paraId="74F831EE" w14:textId="77777777" w:rsidR="00193C4D" w:rsidRPr="00C32CDC" w:rsidRDefault="00193C4D" w:rsidP="00C9628F">
            <w:pPr>
              <w:spacing w:line="280" w:lineRule="exact"/>
            </w:pPr>
            <w:r w:rsidRPr="00C32CDC">
              <w:t>Kashiwazaki (Niigata pref.)</w:t>
            </w:r>
          </w:p>
        </w:tc>
        <w:tc>
          <w:tcPr>
            <w:tcW w:w="2552" w:type="dxa"/>
            <w:tcBorders>
              <w:top w:val="single" w:sz="4" w:space="0" w:color="auto"/>
              <w:bottom w:val="single" w:sz="4" w:space="0" w:color="auto"/>
            </w:tcBorders>
          </w:tcPr>
          <w:p w14:paraId="70A06202" w14:textId="77777777" w:rsidR="00193C4D" w:rsidRPr="00C32CDC" w:rsidRDefault="00193C4D" w:rsidP="00C9628F">
            <w:pPr>
              <w:spacing w:line="280" w:lineRule="exact"/>
              <w:rPr>
                <w:rFonts w:hint="eastAsia"/>
              </w:rPr>
            </w:pPr>
            <w:r>
              <w:rPr>
                <w:rFonts w:hint="eastAsia"/>
              </w:rPr>
              <w:t>1 Nov</w:t>
            </w:r>
            <w:r>
              <w:t>.-17 Dec.</w:t>
            </w:r>
            <w:r>
              <w:rPr>
                <w:rFonts w:hint="eastAsia"/>
              </w:rPr>
              <w:t xml:space="preserve"> 2013</w:t>
            </w:r>
          </w:p>
        </w:tc>
        <w:tc>
          <w:tcPr>
            <w:tcW w:w="4533" w:type="dxa"/>
          </w:tcPr>
          <w:p w14:paraId="53DCCBF4" w14:textId="77777777" w:rsidR="00193C4D" w:rsidRPr="00193C4D" w:rsidRDefault="00193C4D" w:rsidP="00C9628F">
            <w:pPr>
              <w:spacing w:line="280" w:lineRule="exact"/>
              <w:rPr>
                <w:b/>
                <w:lang w:val="en-US"/>
              </w:rPr>
            </w:pPr>
            <w:r w:rsidRPr="00193C4D">
              <w:rPr>
                <w:lang w:val="en-US"/>
              </w:rPr>
              <w:t>Monitoring results are available as individual data.</w:t>
            </w:r>
          </w:p>
        </w:tc>
      </w:tr>
      <w:tr w:rsidR="00193C4D" w:rsidRPr="00193C4D" w14:paraId="34688EB8" w14:textId="77777777" w:rsidTr="00C9628F">
        <w:trPr>
          <w:trHeight w:val="309"/>
          <w:jc w:val="center"/>
        </w:trPr>
        <w:tc>
          <w:tcPr>
            <w:tcW w:w="2125" w:type="dxa"/>
          </w:tcPr>
          <w:p w14:paraId="23538AFA" w14:textId="77777777" w:rsidR="00193C4D" w:rsidRPr="00C32CDC" w:rsidRDefault="00193C4D" w:rsidP="00C9628F">
            <w:pPr>
              <w:spacing w:line="280" w:lineRule="exact"/>
            </w:pPr>
            <w:r w:rsidRPr="00C32CDC">
              <w:t>NIES</w:t>
            </w:r>
          </w:p>
        </w:tc>
        <w:tc>
          <w:tcPr>
            <w:tcW w:w="1701" w:type="dxa"/>
          </w:tcPr>
          <w:p w14:paraId="57074F24" w14:textId="77777777" w:rsidR="00193C4D" w:rsidRPr="00C32CDC" w:rsidRDefault="00193C4D" w:rsidP="00C9628F">
            <w:pPr>
              <w:spacing w:line="280" w:lineRule="exact"/>
            </w:pPr>
            <w:r w:rsidRPr="00C32CDC">
              <w:t>-</w:t>
            </w:r>
          </w:p>
        </w:tc>
        <w:tc>
          <w:tcPr>
            <w:tcW w:w="1276" w:type="dxa"/>
            <w:vMerge/>
            <w:shd w:val="clear" w:color="auto" w:fill="auto"/>
          </w:tcPr>
          <w:p w14:paraId="4E740C5E" w14:textId="77777777" w:rsidR="00193C4D" w:rsidRPr="00C32CDC" w:rsidRDefault="00193C4D" w:rsidP="00C9628F">
            <w:pPr>
              <w:spacing w:line="280" w:lineRule="exact"/>
            </w:pPr>
          </w:p>
        </w:tc>
        <w:tc>
          <w:tcPr>
            <w:tcW w:w="1418" w:type="dxa"/>
            <w:vMerge/>
            <w:shd w:val="clear" w:color="auto" w:fill="auto"/>
          </w:tcPr>
          <w:p w14:paraId="550B4864" w14:textId="77777777" w:rsidR="00193C4D" w:rsidRPr="00C32CDC" w:rsidRDefault="00193C4D" w:rsidP="00C9628F">
            <w:pPr>
              <w:spacing w:line="280" w:lineRule="exact"/>
            </w:pPr>
          </w:p>
        </w:tc>
        <w:tc>
          <w:tcPr>
            <w:tcW w:w="4252" w:type="dxa"/>
            <w:vMerge/>
          </w:tcPr>
          <w:p w14:paraId="2CE500CB" w14:textId="77777777" w:rsidR="00193C4D" w:rsidRPr="00C32CDC" w:rsidRDefault="00193C4D" w:rsidP="00C9628F">
            <w:pPr>
              <w:spacing w:line="280" w:lineRule="exact"/>
            </w:pPr>
          </w:p>
        </w:tc>
        <w:tc>
          <w:tcPr>
            <w:tcW w:w="3402" w:type="dxa"/>
            <w:tcBorders>
              <w:top w:val="single" w:sz="4" w:space="0" w:color="auto"/>
              <w:bottom w:val="single" w:sz="4" w:space="0" w:color="auto"/>
            </w:tcBorders>
          </w:tcPr>
          <w:p w14:paraId="685C24C4" w14:textId="77777777" w:rsidR="00193C4D" w:rsidRPr="00C32CDC" w:rsidRDefault="00193C4D" w:rsidP="00C9628F">
            <w:pPr>
              <w:spacing w:line="280" w:lineRule="exact"/>
            </w:pPr>
            <w:r w:rsidRPr="00C32CDC">
              <w:t>Yaizu (Shizuoka pref.)</w:t>
            </w:r>
          </w:p>
        </w:tc>
        <w:tc>
          <w:tcPr>
            <w:tcW w:w="2552" w:type="dxa"/>
            <w:tcBorders>
              <w:top w:val="single" w:sz="4" w:space="0" w:color="auto"/>
              <w:bottom w:val="single" w:sz="4" w:space="0" w:color="auto"/>
            </w:tcBorders>
          </w:tcPr>
          <w:p w14:paraId="31FB55CF" w14:textId="77777777" w:rsidR="00193C4D" w:rsidRPr="00C32CDC" w:rsidRDefault="00193C4D" w:rsidP="00C9628F">
            <w:pPr>
              <w:spacing w:line="280" w:lineRule="exact"/>
              <w:rPr>
                <w:rFonts w:hint="eastAsia"/>
              </w:rPr>
            </w:pPr>
            <w:r w:rsidRPr="00193C4D">
              <w:rPr>
                <w:rFonts w:hint="eastAsia"/>
                <w:lang w:val="es-ES"/>
              </w:rPr>
              <w:t>Feb</w:t>
            </w:r>
            <w:r w:rsidRPr="00193C4D">
              <w:rPr>
                <w:lang w:val="es-ES"/>
              </w:rPr>
              <w:t>.</w:t>
            </w:r>
            <w:r w:rsidRPr="00193C4D">
              <w:rPr>
                <w:rFonts w:hint="eastAsia"/>
                <w:lang w:val="es-ES"/>
              </w:rPr>
              <w:t>-Mar</w:t>
            </w:r>
            <w:r w:rsidRPr="00193C4D">
              <w:rPr>
                <w:lang w:val="es-ES"/>
              </w:rPr>
              <w:t>.</w:t>
            </w:r>
            <w:r w:rsidRPr="00193C4D">
              <w:rPr>
                <w:rFonts w:hint="eastAsia"/>
                <w:lang w:val="es-ES"/>
              </w:rPr>
              <w:t xml:space="preserve"> 2010, </w:t>
            </w:r>
            <w:proofErr w:type="gramStart"/>
            <w:r w:rsidRPr="00193C4D">
              <w:rPr>
                <w:rFonts w:hint="eastAsia"/>
                <w:lang w:val="es-ES"/>
              </w:rPr>
              <w:t>Jan</w:t>
            </w:r>
            <w:r w:rsidRPr="00193C4D">
              <w:rPr>
                <w:lang w:val="es-ES"/>
              </w:rPr>
              <w:t>.</w:t>
            </w:r>
            <w:r w:rsidRPr="00193C4D">
              <w:rPr>
                <w:rFonts w:hint="eastAsia"/>
                <w:lang w:val="es-ES"/>
              </w:rPr>
              <w:t>-</w:t>
            </w:r>
            <w:proofErr w:type="gramEnd"/>
            <w:r w:rsidRPr="00193C4D">
              <w:rPr>
                <w:rFonts w:hint="eastAsia"/>
                <w:lang w:val="es-ES"/>
              </w:rPr>
              <w:t>Mar</w:t>
            </w:r>
            <w:r w:rsidRPr="00193C4D">
              <w:rPr>
                <w:lang w:val="es-ES"/>
              </w:rPr>
              <w:t>.</w:t>
            </w:r>
            <w:r w:rsidRPr="00193C4D">
              <w:rPr>
                <w:rFonts w:hint="eastAsia"/>
                <w:lang w:val="es-ES"/>
              </w:rPr>
              <w:t xml:space="preserve"> 2011, </w:t>
            </w:r>
            <w:r w:rsidRPr="00193C4D">
              <w:rPr>
                <w:lang w:val="es-ES"/>
              </w:rPr>
              <w:t xml:space="preserve">Dec. 2011-Mar. </w:t>
            </w:r>
            <w:r>
              <w:t xml:space="preserve">2012, </w:t>
            </w:r>
            <w:proofErr w:type="gramStart"/>
            <w:r>
              <w:t>Jan.-</w:t>
            </w:r>
            <w:proofErr w:type="gramEnd"/>
            <w:r>
              <w:t>Mar. 2013</w:t>
            </w:r>
          </w:p>
        </w:tc>
        <w:tc>
          <w:tcPr>
            <w:tcW w:w="4533" w:type="dxa"/>
          </w:tcPr>
          <w:p w14:paraId="1217C18A" w14:textId="77777777" w:rsidR="00193C4D" w:rsidRPr="00193C4D" w:rsidRDefault="00193C4D" w:rsidP="00C9628F">
            <w:pPr>
              <w:spacing w:line="280" w:lineRule="exact"/>
              <w:rPr>
                <w:b/>
                <w:lang w:val="en-US"/>
              </w:rPr>
            </w:pPr>
            <w:r w:rsidRPr="00193C4D">
              <w:rPr>
                <w:lang w:val="en-US"/>
              </w:rPr>
              <w:t>Monitoring results are available as individual data.</w:t>
            </w:r>
          </w:p>
        </w:tc>
      </w:tr>
      <w:tr w:rsidR="00193C4D" w:rsidRPr="00193C4D" w14:paraId="59A784C3" w14:textId="77777777" w:rsidTr="00C9628F">
        <w:trPr>
          <w:trHeight w:val="694"/>
          <w:jc w:val="center"/>
        </w:trPr>
        <w:tc>
          <w:tcPr>
            <w:tcW w:w="2125" w:type="dxa"/>
          </w:tcPr>
          <w:p w14:paraId="2A37FC8A" w14:textId="77777777" w:rsidR="00193C4D" w:rsidRPr="00C32CDC" w:rsidRDefault="00193C4D" w:rsidP="00C9628F">
            <w:pPr>
              <w:spacing w:line="280" w:lineRule="exact"/>
              <w:rPr>
                <w:highlight w:val="yellow"/>
              </w:rPr>
            </w:pPr>
            <w:r w:rsidRPr="00C32CDC">
              <w:t>NIMD</w:t>
            </w:r>
          </w:p>
        </w:tc>
        <w:tc>
          <w:tcPr>
            <w:tcW w:w="1701" w:type="dxa"/>
          </w:tcPr>
          <w:p w14:paraId="40E00FDA" w14:textId="77777777" w:rsidR="00193C4D" w:rsidRPr="00193C4D" w:rsidRDefault="00193C4D" w:rsidP="00C9628F">
            <w:pPr>
              <w:spacing w:line="280" w:lineRule="exact"/>
              <w:rPr>
                <w:rFonts w:hint="eastAsia"/>
                <w:vertAlign w:val="superscript"/>
                <w:lang w:val="en-US"/>
              </w:rPr>
            </w:pPr>
            <w:r w:rsidRPr="00193C4D">
              <w:rPr>
                <w:lang w:val="en-US"/>
              </w:rPr>
              <w:t xml:space="preserve">Survey of Mercury and Health Effects </w:t>
            </w:r>
            <w:r w:rsidRPr="00193C4D">
              <w:rPr>
                <w:rFonts w:hint="eastAsia"/>
                <w:lang w:val="en-US"/>
              </w:rPr>
              <w:t xml:space="preserve">in Taiji </w:t>
            </w:r>
            <w:proofErr w:type="gramStart"/>
            <w:r w:rsidRPr="00193C4D">
              <w:rPr>
                <w:rFonts w:hint="eastAsia"/>
                <w:lang w:val="en-US"/>
              </w:rPr>
              <w:t>Town</w:t>
            </w:r>
            <w:r w:rsidRPr="00193C4D">
              <w:rPr>
                <w:vertAlign w:val="superscript"/>
                <w:lang w:val="en-US"/>
              </w:rPr>
              <w:t>[</w:t>
            </w:r>
            <w:proofErr w:type="gramEnd"/>
            <w:r w:rsidRPr="00193C4D">
              <w:rPr>
                <w:vertAlign w:val="superscript"/>
                <w:lang w:val="en-US"/>
              </w:rPr>
              <w:t>3]</w:t>
            </w:r>
          </w:p>
        </w:tc>
        <w:tc>
          <w:tcPr>
            <w:tcW w:w="1276" w:type="dxa"/>
            <w:shd w:val="clear" w:color="auto" w:fill="auto"/>
          </w:tcPr>
          <w:p w14:paraId="6ECCF03D" w14:textId="77777777" w:rsidR="00193C4D" w:rsidRPr="00C32CDC" w:rsidRDefault="00193C4D" w:rsidP="00C9628F">
            <w:pPr>
              <w:spacing w:line="280" w:lineRule="exact"/>
            </w:pPr>
            <w:r w:rsidRPr="00C32CDC">
              <w:t>Human</w:t>
            </w:r>
          </w:p>
          <w:p w14:paraId="47295064" w14:textId="77777777" w:rsidR="00193C4D" w:rsidRPr="00C32CDC" w:rsidRDefault="00193C4D" w:rsidP="00C9628F">
            <w:pPr>
              <w:spacing w:line="280" w:lineRule="exact"/>
            </w:pPr>
            <w:r w:rsidRPr="00C32CDC">
              <w:t xml:space="preserve"> - Hair</w:t>
            </w:r>
          </w:p>
        </w:tc>
        <w:tc>
          <w:tcPr>
            <w:tcW w:w="1418" w:type="dxa"/>
            <w:shd w:val="clear" w:color="auto" w:fill="auto"/>
          </w:tcPr>
          <w:p w14:paraId="16FDEC77" w14:textId="77777777" w:rsidR="00193C4D" w:rsidRPr="00C32CDC" w:rsidRDefault="00193C4D" w:rsidP="00C9628F">
            <w:pPr>
              <w:spacing w:line="280" w:lineRule="exact"/>
            </w:pPr>
            <w:r w:rsidRPr="00C32CDC">
              <w:t>THg</w:t>
            </w:r>
          </w:p>
        </w:tc>
        <w:tc>
          <w:tcPr>
            <w:tcW w:w="4252" w:type="dxa"/>
          </w:tcPr>
          <w:p w14:paraId="2665466E" w14:textId="77777777" w:rsidR="00193C4D" w:rsidRPr="00193C4D" w:rsidRDefault="00193C4D" w:rsidP="00C9628F">
            <w:pPr>
              <w:spacing w:line="280" w:lineRule="exact"/>
              <w:rPr>
                <w:lang w:val="en-US"/>
              </w:rPr>
            </w:pPr>
            <w:r w:rsidRPr="00193C4D">
              <w:rPr>
                <w:lang w:val="en-US"/>
              </w:rPr>
              <w:t xml:space="preserve">Heated vaporization atomic absorption spectrometry </w:t>
            </w:r>
          </w:p>
        </w:tc>
        <w:tc>
          <w:tcPr>
            <w:tcW w:w="3402" w:type="dxa"/>
            <w:tcBorders>
              <w:top w:val="single" w:sz="4" w:space="0" w:color="auto"/>
              <w:bottom w:val="single" w:sz="4" w:space="0" w:color="auto"/>
            </w:tcBorders>
          </w:tcPr>
          <w:p w14:paraId="164BC274" w14:textId="77777777" w:rsidR="00193C4D" w:rsidRPr="00193C4D" w:rsidRDefault="00193C4D" w:rsidP="00C9628F">
            <w:pPr>
              <w:spacing w:line="280" w:lineRule="exact"/>
              <w:rPr>
                <w:lang w:val="en-US"/>
              </w:rPr>
            </w:pPr>
            <w:r w:rsidRPr="00193C4D">
              <w:rPr>
                <w:lang w:val="en-US"/>
              </w:rPr>
              <w:t>Residents in Taiji town, Wakayama prerf. (Including members of fisheries cooperative association)</w:t>
            </w:r>
          </w:p>
          <w:p w14:paraId="736FA378" w14:textId="77777777" w:rsidR="00193C4D" w:rsidRPr="00193C4D" w:rsidRDefault="00193C4D" w:rsidP="00C9628F">
            <w:pPr>
              <w:spacing w:line="280" w:lineRule="exact"/>
              <w:rPr>
                <w:rFonts w:hint="eastAsia"/>
                <w:lang w:val="en-US"/>
              </w:rPr>
            </w:pPr>
            <w:r w:rsidRPr="00193C4D">
              <w:rPr>
                <w:rFonts w:hint="eastAsia"/>
                <w:lang w:val="en-US"/>
              </w:rPr>
              <w:t>Total 1,137 people</w:t>
            </w:r>
            <w:r w:rsidRPr="00193C4D">
              <w:rPr>
                <w:lang w:val="en-US"/>
              </w:rPr>
              <w:t>:</w:t>
            </w:r>
          </w:p>
          <w:p w14:paraId="1CDF2FCD" w14:textId="77777777" w:rsidR="00193C4D" w:rsidRPr="00193C4D" w:rsidRDefault="00193C4D" w:rsidP="00C9628F">
            <w:pPr>
              <w:spacing w:line="280" w:lineRule="exact"/>
              <w:ind w:leftChars="47" w:left="170" w:hangingChars="38" w:hanging="76"/>
              <w:rPr>
                <w:lang w:val="en-US"/>
              </w:rPr>
            </w:pPr>
            <w:r w:rsidRPr="00193C4D">
              <w:rPr>
                <w:lang w:val="en-US"/>
              </w:rPr>
              <w:t>- 765 people only in summer; 120 people only in winter; and 252 people in both seasons</w:t>
            </w:r>
          </w:p>
        </w:tc>
        <w:tc>
          <w:tcPr>
            <w:tcW w:w="2552" w:type="dxa"/>
            <w:tcBorders>
              <w:top w:val="single" w:sz="4" w:space="0" w:color="auto"/>
              <w:bottom w:val="single" w:sz="4" w:space="0" w:color="auto"/>
            </w:tcBorders>
          </w:tcPr>
          <w:p w14:paraId="39399308" w14:textId="77777777" w:rsidR="00193C4D" w:rsidRDefault="00193C4D" w:rsidP="00C9628F">
            <w:pPr>
              <w:spacing w:line="280" w:lineRule="exact"/>
            </w:pPr>
            <w:r>
              <w:rPr>
                <w:rFonts w:hint="eastAsia"/>
              </w:rPr>
              <w:t>Jun</w:t>
            </w:r>
            <w:r>
              <w:t>.</w:t>
            </w:r>
            <w:r>
              <w:rPr>
                <w:rFonts w:hint="eastAsia"/>
              </w:rPr>
              <w:t>-Aug</w:t>
            </w:r>
            <w:r>
              <w:t>.</w:t>
            </w:r>
            <w:r>
              <w:rPr>
                <w:rFonts w:hint="eastAsia"/>
              </w:rPr>
              <w:t xml:space="preserve"> 2009</w:t>
            </w:r>
            <w:r>
              <w:t xml:space="preserve"> and</w:t>
            </w:r>
            <w:r>
              <w:rPr>
                <w:rFonts w:hint="eastAsia"/>
              </w:rPr>
              <w:t xml:space="preserve"> Feb</w:t>
            </w:r>
            <w:r>
              <w:t>.</w:t>
            </w:r>
            <w:r>
              <w:rPr>
                <w:rFonts w:hint="eastAsia"/>
              </w:rPr>
              <w:t xml:space="preserve"> 2010</w:t>
            </w:r>
          </w:p>
          <w:p w14:paraId="70CA5F4A" w14:textId="77777777" w:rsidR="00193C4D" w:rsidRPr="00C32CDC" w:rsidRDefault="00193C4D" w:rsidP="00C9628F">
            <w:pPr>
              <w:spacing w:line="280" w:lineRule="exact"/>
            </w:pPr>
          </w:p>
        </w:tc>
        <w:tc>
          <w:tcPr>
            <w:tcW w:w="4533" w:type="dxa"/>
          </w:tcPr>
          <w:p w14:paraId="1EB67B5E" w14:textId="77777777" w:rsidR="00193C4D" w:rsidRPr="00193C4D" w:rsidRDefault="00193C4D" w:rsidP="00C9628F">
            <w:pPr>
              <w:spacing w:line="280" w:lineRule="exact"/>
              <w:rPr>
                <w:lang w:val="en-US"/>
              </w:rPr>
            </w:pPr>
            <w:r w:rsidRPr="00193C4D">
              <w:rPr>
                <w:lang w:val="en-US"/>
              </w:rPr>
              <w:t>Monitoring results are available as statistics: geometric mean, minimum, maximum, mean age by sex. Information on age, sex</w:t>
            </w:r>
            <w:r w:rsidRPr="00193C4D">
              <w:rPr>
                <w:rFonts w:hint="eastAsia"/>
                <w:lang w:val="en-US"/>
              </w:rPr>
              <w:t xml:space="preserve"> and </w:t>
            </w:r>
            <w:r w:rsidRPr="00193C4D">
              <w:rPr>
                <w:lang w:val="en-US"/>
              </w:rPr>
              <w:t>seafood consumptions are collected by questionnaires.</w:t>
            </w:r>
          </w:p>
        </w:tc>
      </w:tr>
    </w:tbl>
    <w:p w14:paraId="0A9D0EDA" w14:textId="77777777" w:rsidR="00193C4D" w:rsidRPr="00193C4D" w:rsidRDefault="00193C4D" w:rsidP="00193C4D">
      <w:pPr>
        <w:tabs>
          <w:tab w:val="left" w:pos="1484"/>
          <w:tab w:val="left" w:pos="1904"/>
        </w:tabs>
        <w:spacing w:line="240" w:lineRule="exact"/>
        <w:ind w:leftChars="135" w:left="270" w:rightChars="134" w:right="268"/>
        <w:rPr>
          <w:sz w:val="18"/>
          <w:szCs w:val="18"/>
          <w:lang w:val="en-US"/>
        </w:rPr>
      </w:pPr>
      <w:r w:rsidRPr="00193C4D">
        <w:rPr>
          <w:sz w:val="18"/>
          <w:szCs w:val="18"/>
          <w:lang w:val="en-US"/>
        </w:rPr>
        <w:t xml:space="preserve">References </w:t>
      </w:r>
      <w:r w:rsidRPr="00193C4D">
        <w:rPr>
          <w:sz w:val="18"/>
          <w:szCs w:val="18"/>
          <w:lang w:val="en-US"/>
        </w:rPr>
        <w:tab/>
        <w:t>[1]</w:t>
      </w:r>
      <w:r w:rsidRPr="00193C4D">
        <w:rPr>
          <w:sz w:val="18"/>
          <w:szCs w:val="18"/>
          <w:lang w:val="en-US"/>
        </w:rPr>
        <w:tab/>
        <w:t>MOE, Aug. 2011. “Survey results of soil quality monitoring in the disaster area”, Online:</w:t>
      </w:r>
      <w:r w:rsidRPr="00193C4D">
        <w:rPr>
          <w:lang w:val="en-US"/>
        </w:rPr>
        <w:t xml:space="preserve"> </w:t>
      </w:r>
      <w:r w:rsidRPr="00193C4D">
        <w:rPr>
          <w:sz w:val="18"/>
          <w:szCs w:val="18"/>
          <w:lang w:val="en-US"/>
        </w:rPr>
        <w:t>http://www.env.go.jp/press/press.php?serial=14130 (in Japanese).</w:t>
      </w:r>
    </w:p>
    <w:p w14:paraId="464F64C9" w14:textId="77777777" w:rsidR="00193C4D" w:rsidRPr="00193C4D" w:rsidRDefault="00193C4D" w:rsidP="00193C4D">
      <w:pPr>
        <w:tabs>
          <w:tab w:val="left" w:pos="1484"/>
          <w:tab w:val="left" w:pos="1904"/>
        </w:tabs>
        <w:spacing w:line="240" w:lineRule="exact"/>
        <w:ind w:leftChars="135" w:left="270" w:rightChars="134" w:right="268"/>
        <w:rPr>
          <w:sz w:val="18"/>
          <w:szCs w:val="18"/>
          <w:lang w:val="en-US"/>
        </w:rPr>
      </w:pPr>
      <w:r w:rsidRPr="00193C4D">
        <w:rPr>
          <w:sz w:val="18"/>
          <w:szCs w:val="18"/>
          <w:lang w:val="en-US"/>
        </w:rPr>
        <w:tab/>
        <w:t>[2]</w:t>
      </w:r>
      <w:r w:rsidRPr="00193C4D">
        <w:rPr>
          <w:sz w:val="18"/>
          <w:szCs w:val="18"/>
          <w:lang w:val="en-US"/>
        </w:rPr>
        <w:tab/>
        <w:t>MOE, Feb. 2012. “2nd survey results of soil quality monitoring in the disaster area”, Online: http://www.env.go.jp/press/press.php?serial=14840 (in Japanese).</w:t>
      </w:r>
    </w:p>
    <w:p w14:paraId="6EDA5792" w14:textId="77777777" w:rsidR="00193C4D" w:rsidRPr="00193C4D" w:rsidRDefault="00193C4D" w:rsidP="00193C4D">
      <w:pPr>
        <w:tabs>
          <w:tab w:val="left" w:pos="1484"/>
          <w:tab w:val="left" w:pos="1904"/>
        </w:tabs>
        <w:spacing w:line="240" w:lineRule="exact"/>
        <w:ind w:leftChars="135" w:left="270" w:rightChars="134" w:right="268"/>
        <w:rPr>
          <w:sz w:val="18"/>
          <w:szCs w:val="18"/>
          <w:lang w:val="en-US"/>
        </w:rPr>
      </w:pPr>
      <w:r w:rsidRPr="00193C4D">
        <w:rPr>
          <w:sz w:val="18"/>
          <w:szCs w:val="18"/>
          <w:lang w:val="en-US"/>
        </w:rPr>
        <w:tab/>
        <w:t>[3]</w:t>
      </w:r>
      <w:r w:rsidRPr="00193C4D">
        <w:rPr>
          <w:sz w:val="18"/>
          <w:szCs w:val="18"/>
          <w:lang w:val="en-US"/>
        </w:rPr>
        <w:tab/>
        <w:t>NIMD, Apr. 2010. “FY2009 Results of the Survey of Mercury and Health Effects in Taiji Town”, Online:</w:t>
      </w:r>
      <w:r w:rsidRPr="00193C4D">
        <w:rPr>
          <w:lang w:val="en-US"/>
        </w:rPr>
        <w:t xml:space="preserve"> </w:t>
      </w:r>
      <w:r w:rsidRPr="00193C4D">
        <w:rPr>
          <w:sz w:val="18"/>
          <w:szCs w:val="18"/>
          <w:lang w:val="en-US"/>
        </w:rPr>
        <w:t>http://nimd.env.go.jp/kenkyu/report/20100427_taiji_report.html (in Japanese).</w:t>
      </w:r>
    </w:p>
    <w:p w14:paraId="495E731A" w14:textId="77777777" w:rsidR="00193C4D" w:rsidRPr="00193C4D" w:rsidRDefault="00193C4D" w:rsidP="00193C4D">
      <w:pPr>
        <w:rPr>
          <w:rFonts w:ascii="MS Gothic" w:eastAsia="MS Gothic" w:hAnsi="MS Gothic"/>
          <w:b/>
          <w:szCs w:val="24"/>
          <w:lang w:val="en-US"/>
        </w:rPr>
      </w:pPr>
    </w:p>
    <w:p w14:paraId="19AEF078" w14:textId="77777777" w:rsidR="0025593B" w:rsidRDefault="0025593B" w:rsidP="00193C4D">
      <w:pPr>
        <w:pStyle w:val="Normalnumber"/>
        <w:numPr>
          <w:ilvl w:val="0"/>
          <w:numId w:val="0"/>
        </w:numPr>
        <w:ind w:left="360"/>
        <w:rPr>
          <w:lang w:val="en-GB"/>
        </w:rPr>
        <w:sectPr w:rsidR="0025593B" w:rsidSect="00532230">
          <w:headerReference w:type="even" r:id="rId25"/>
          <w:headerReference w:type="default" r:id="rId26"/>
          <w:footerReference w:type="even" r:id="rId27"/>
          <w:footerReference w:type="default" r:id="rId28"/>
          <w:headerReference w:type="first" r:id="rId29"/>
          <w:pgSz w:w="23811" w:h="16838" w:orient="landscape" w:code="8"/>
          <w:pgMar w:top="1418" w:right="907" w:bottom="992" w:left="1418" w:header="539" w:footer="975" w:gutter="0"/>
          <w:cols w:space="539"/>
          <w:titlePg/>
          <w:docGrid w:linePitch="360"/>
        </w:sectPr>
      </w:pPr>
    </w:p>
    <w:p w14:paraId="12448FAC" w14:textId="00229E1D" w:rsidR="00193C4D" w:rsidRPr="006A061B" w:rsidRDefault="006A061B" w:rsidP="006A061B">
      <w:pPr>
        <w:pStyle w:val="Normalnumber"/>
        <w:numPr>
          <w:ilvl w:val="0"/>
          <w:numId w:val="0"/>
        </w:numPr>
        <w:rPr>
          <w:b/>
          <w:bCs/>
          <w:lang w:val="en-GB"/>
        </w:rPr>
      </w:pPr>
      <w:r w:rsidRPr="006A061B">
        <w:rPr>
          <w:b/>
          <w:bCs/>
          <w:lang w:val="en-GB"/>
        </w:rPr>
        <w:lastRenderedPageBreak/>
        <w:t>Annex 3: Submission by WHO</w:t>
      </w:r>
    </w:p>
    <w:p w14:paraId="4B187E1D" w14:textId="05AAE9E2" w:rsidR="006A061B" w:rsidRDefault="006A061B" w:rsidP="006A061B">
      <w:pPr>
        <w:pStyle w:val="Normalnumber"/>
        <w:numPr>
          <w:ilvl w:val="0"/>
          <w:numId w:val="0"/>
        </w:numPr>
        <w:rPr>
          <w:lang w:val="en-GB"/>
        </w:rPr>
      </w:pPr>
    </w:p>
    <w:p w14:paraId="1BA9D521" w14:textId="77777777" w:rsidR="006A061B" w:rsidRPr="006A061B" w:rsidRDefault="006A061B" w:rsidP="006A061B">
      <w:pPr>
        <w:rPr>
          <w:lang w:val="en-US"/>
        </w:rPr>
      </w:pPr>
      <w:r w:rsidRPr="006A061B">
        <w:rPr>
          <w:lang w:val="en-US"/>
        </w:rPr>
        <w:t>WHO’s submission comprises the following:</w:t>
      </w:r>
    </w:p>
    <w:p w14:paraId="5D62045D" w14:textId="77777777" w:rsidR="006A061B" w:rsidRPr="006A061B" w:rsidRDefault="006A061B" w:rsidP="006A061B">
      <w:pPr>
        <w:rPr>
          <w:lang w:val="en-US"/>
        </w:rPr>
      </w:pPr>
    </w:p>
    <w:p w14:paraId="144E5887" w14:textId="77777777" w:rsidR="006A061B" w:rsidRPr="006A061B" w:rsidRDefault="006A061B" w:rsidP="0010138E">
      <w:pPr>
        <w:pStyle w:val="ListParagraph"/>
        <w:numPr>
          <w:ilvl w:val="0"/>
          <w:numId w:val="14"/>
        </w:numPr>
        <w:tabs>
          <w:tab w:val="clear" w:pos="1247"/>
          <w:tab w:val="clear" w:pos="1814"/>
          <w:tab w:val="clear" w:pos="2381"/>
          <w:tab w:val="clear" w:pos="2948"/>
          <w:tab w:val="clear" w:pos="3515"/>
        </w:tabs>
        <w:rPr>
          <w:lang w:val="en-US"/>
        </w:rPr>
      </w:pPr>
      <w:r w:rsidRPr="006A061B">
        <w:rPr>
          <w:lang w:val="en-US"/>
        </w:rPr>
        <w:t>Protocol for assessment of prenatal exposure to mercury</w:t>
      </w:r>
    </w:p>
    <w:p w14:paraId="1CA6E65F" w14:textId="77777777" w:rsidR="006A061B" w:rsidRPr="006A061B" w:rsidRDefault="006A061B" w:rsidP="0010138E">
      <w:pPr>
        <w:pStyle w:val="ListParagraph"/>
        <w:numPr>
          <w:ilvl w:val="0"/>
          <w:numId w:val="14"/>
        </w:numPr>
        <w:tabs>
          <w:tab w:val="clear" w:pos="1247"/>
          <w:tab w:val="clear" w:pos="1814"/>
          <w:tab w:val="clear" w:pos="2381"/>
          <w:tab w:val="clear" w:pos="2948"/>
          <w:tab w:val="clear" w:pos="3515"/>
        </w:tabs>
        <w:rPr>
          <w:lang w:val="en-US"/>
        </w:rPr>
      </w:pPr>
      <w:r w:rsidRPr="006A061B">
        <w:rPr>
          <w:lang w:val="en-US"/>
        </w:rPr>
        <w:t>Standard Operating Procedures for the assessment of prenatal exposure to mercury</w:t>
      </w:r>
    </w:p>
    <w:p w14:paraId="49E08E3F" w14:textId="77777777" w:rsidR="006A061B" w:rsidRPr="006A061B" w:rsidRDefault="006A061B" w:rsidP="0010138E">
      <w:pPr>
        <w:pStyle w:val="ListParagraph"/>
        <w:numPr>
          <w:ilvl w:val="0"/>
          <w:numId w:val="14"/>
        </w:numPr>
        <w:tabs>
          <w:tab w:val="clear" w:pos="1247"/>
          <w:tab w:val="clear" w:pos="1814"/>
          <w:tab w:val="clear" w:pos="2381"/>
          <w:tab w:val="clear" w:pos="2948"/>
          <w:tab w:val="clear" w:pos="3515"/>
        </w:tabs>
        <w:rPr>
          <w:lang w:val="en-US"/>
        </w:rPr>
      </w:pPr>
      <w:r w:rsidRPr="006A061B">
        <w:rPr>
          <w:lang w:val="en-US"/>
        </w:rPr>
        <w:t xml:space="preserve">Information about the forthcoming publication of results of 6 pilot surveys, conducted through a UNEP/WHO GEF Project. </w:t>
      </w:r>
    </w:p>
    <w:p w14:paraId="46BDE885" w14:textId="77777777" w:rsidR="006A061B" w:rsidRPr="006A061B" w:rsidRDefault="006A061B" w:rsidP="0010138E">
      <w:pPr>
        <w:pStyle w:val="ListParagraph"/>
        <w:numPr>
          <w:ilvl w:val="0"/>
          <w:numId w:val="14"/>
        </w:numPr>
        <w:tabs>
          <w:tab w:val="clear" w:pos="1247"/>
          <w:tab w:val="clear" w:pos="1814"/>
          <w:tab w:val="clear" w:pos="2381"/>
          <w:tab w:val="clear" w:pos="2948"/>
          <w:tab w:val="clear" w:pos="3515"/>
        </w:tabs>
        <w:rPr>
          <w:lang w:val="en-US"/>
        </w:rPr>
      </w:pPr>
      <w:r w:rsidRPr="006A061B">
        <w:rPr>
          <w:lang w:val="en-US"/>
        </w:rPr>
        <w:t xml:space="preserve">State-of-the science review </w:t>
      </w:r>
      <w:r w:rsidRPr="00E83E73">
        <w:rPr>
          <w:lang w:val="en-GB"/>
        </w:rPr>
        <w:t>of mercury biomarkers in human populations worldwide between 2000 and 2018</w:t>
      </w:r>
    </w:p>
    <w:p w14:paraId="7E8E03CA" w14:textId="77777777" w:rsidR="006A061B" w:rsidRPr="006A061B" w:rsidRDefault="006A061B" w:rsidP="006A061B">
      <w:pPr>
        <w:rPr>
          <w:lang w:val="en-US"/>
        </w:rPr>
      </w:pPr>
    </w:p>
    <w:p w14:paraId="57C28465" w14:textId="77777777" w:rsidR="006A061B" w:rsidRPr="006A061B" w:rsidRDefault="006A061B" w:rsidP="0010138E">
      <w:pPr>
        <w:pStyle w:val="ListParagraph"/>
        <w:numPr>
          <w:ilvl w:val="0"/>
          <w:numId w:val="15"/>
        </w:numPr>
        <w:tabs>
          <w:tab w:val="clear" w:pos="1247"/>
          <w:tab w:val="clear" w:pos="1814"/>
          <w:tab w:val="clear" w:pos="2381"/>
          <w:tab w:val="clear" w:pos="2948"/>
          <w:tab w:val="clear" w:pos="3515"/>
        </w:tabs>
        <w:rPr>
          <w:b/>
          <w:lang w:val="en-US"/>
        </w:rPr>
      </w:pPr>
      <w:r w:rsidRPr="006A061B">
        <w:rPr>
          <w:b/>
          <w:lang w:val="en-US"/>
        </w:rPr>
        <w:t>Protocol for assessment of prenatal exposure to mercury</w:t>
      </w:r>
    </w:p>
    <w:p w14:paraId="5C5DFACB" w14:textId="77777777" w:rsidR="006A061B" w:rsidRPr="006A061B" w:rsidRDefault="006A061B" w:rsidP="006A061B">
      <w:pPr>
        <w:rPr>
          <w:i/>
          <w:lang w:val="en-US"/>
        </w:rPr>
      </w:pPr>
    </w:p>
    <w:p w14:paraId="1C6B315D" w14:textId="77777777" w:rsidR="006A061B" w:rsidRPr="006A061B" w:rsidRDefault="006A061B" w:rsidP="006A061B">
      <w:pPr>
        <w:rPr>
          <w:lang w:val="en-US"/>
        </w:rPr>
      </w:pPr>
      <w:r w:rsidRPr="006A061B">
        <w:rPr>
          <w:i/>
          <w:lang w:val="en-US"/>
        </w:rPr>
        <w:t>Assessment of prenatal exposure to mercury: human biomonitoring survey. The first survey protocol: a tool for developing national protocols.</w:t>
      </w:r>
      <w:r w:rsidRPr="006A061B">
        <w:rPr>
          <w:lang w:val="en-US"/>
        </w:rPr>
        <w:t xml:space="preserve"> Copenhagen: World Health Organization, Regional Office for Europe; 2018 </w:t>
      </w:r>
    </w:p>
    <w:p w14:paraId="57517AAD" w14:textId="77777777" w:rsidR="006A061B" w:rsidRPr="006A061B" w:rsidRDefault="006A061B" w:rsidP="006A061B">
      <w:pPr>
        <w:rPr>
          <w:lang w:val="en-US"/>
        </w:rPr>
      </w:pPr>
      <w:hyperlink r:id="rId30" w:history="1">
        <w:r w:rsidRPr="006A061B">
          <w:rPr>
            <w:rStyle w:val="Hyperlink"/>
            <w:lang w:val="en-US"/>
          </w:rPr>
          <w:t>http://www.euro.who.int/__data/assets/pdf_file/0010/386893/survey-mercury-eng.pdf?ua=1</w:t>
        </w:r>
      </w:hyperlink>
      <w:r w:rsidRPr="006A061B">
        <w:rPr>
          <w:lang w:val="en-US"/>
        </w:rPr>
        <w:t xml:space="preserve"> </w:t>
      </w:r>
    </w:p>
    <w:p w14:paraId="6BDC1A08" w14:textId="77777777" w:rsidR="006A061B" w:rsidRPr="006A061B" w:rsidRDefault="006A061B" w:rsidP="006A061B">
      <w:pPr>
        <w:rPr>
          <w:lang w:val="en-US"/>
        </w:rPr>
      </w:pPr>
    </w:p>
    <w:p w14:paraId="75DFA747" w14:textId="77777777" w:rsidR="006A061B" w:rsidRPr="006A061B" w:rsidRDefault="006A061B" w:rsidP="006A061B">
      <w:pPr>
        <w:rPr>
          <w:i/>
          <w:lang w:val="en-US"/>
        </w:rPr>
      </w:pPr>
      <w:r w:rsidRPr="006A061B">
        <w:rPr>
          <w:b/>
          <w:lang w:val="en-US"/>
        </w:rPr>
        <w:t>Abstract:</w:t>
      </w:r>
      <w:r w:rsidRPr="006A061B">
        <w:rPr>
          <w:lang w:val="en-US"/>
        </w:rPr>
        <w:t xml:space="preserve"> This publication describes the design of a survey for assessment of prenatal exposure to mercury using human biomonitoring. The selection of target populations and biological matrix, planning of the survey, recruitment and fieldwork, data management and communication, community involvement strategy and ethical considerations are addressed in the protocol. An informed consent form, eligibility screening form and a questionnaire for collecting epidemiological information are also included in the protocol. The protocol was used to guide pilot surveys for assessment of prenatal exposure to mercury in China, Ghana, India, Kyrgyzstan, Mongolia and the Russian Federation, and can be applied for mercury human biomonitoring surveys globally. The protocol has been approved by the WHO Ethics Research Committee.</w:t>
      </w:r>
    </w:p>
    <w:p w14:paraId="20215118" w14:textId="77777777" w:rsidR="006A061B" w:rsidRPr="006A061B" w:rsidRDefault="006A061B" w:rsidP="006A061B">
      <w:pPr>
        <w:rPr>
          <w:i/>
          <w:lang w:val="en-US"/>
        </w:rPr>
      </w:pPr>
    </w:p>
    <w:p w14:paraId="22454AE6" w14:textId="77777777" w:rsidR="006A061B" w:rsidRPr="006A061B" w:rsidRDefault="006A061B" w:rsidP="0010138E">
      <w:pPr>
        <w:pStyle w:val="ListParagraph"/>
        <w:numPr>
          <w:ilvl w:val="0"/>
          <w:numId w:val="15"/>
        </w:numPr>
        <w:tabs>
          <w:tab w:val="clear" w:pos="1247"/>
          <w:tab w:val="clear" w:pos="1814"/>
          <w:tab w:val="clear" w:pos="2381"/>
          <w:tab w:val="clear" w:pos="2948"/>
          <w:tab w:val="clear" w:pos="3515"/>
        </w:tabs>
        <w:rPr>
          <w:b/>
          <w:lang w:val="en-US"/>
        </w:rPr>
      </w:pPr>
      <w:r w:rsidRPr="006A061B">
        <w:rPr>
          <w:b/>
          <w:lang w:val="en-US"/>
        </w:rPr>
        <w:t>Standard Operating Procedures for the assessment of prenatal exposure to mercury</w:t>
      </w:r>
    </w:p>
    <w:p w14:paraId="57572E26" w14:textId="77777777" w:rsidR="006A061B" w:rsidRPr="006A061B" w:rsidRDefault="006A061B" w:rsidP="006A061B">
      <w:pPr>
        <w:rPr>
          <w:i/>
          <w:lang w:val="en-US"/>
        </w:rPr>
      </w:pPr>
    </w:p>
    <w:p w14:paraId="4692446A" w14:textId="77777777" w:rsidR="006A061B" w:rsidRPr="006A061B" w:rsidRDefault="006A061B" w:rsidP="006A061B">
      <w:pPr>
        <w:rPr>
          <w:lang w:val="en-US"/>
        </w:rPr>
      </w:pPr>
      <w:r w:rsidRPr="006A061B">
        <w:rPr>
          <w:i/>
          <w:lang w:val="en-US"/>
        </w:rPr>
        <w:t>Assessment of prenatal exposure to mercury: standard operating procedures</w:t>
      </w:r>
      <w:r w:rsidRPr="006A061B">
        <w:rPr>
          <w:lang w:val="en-US"/>
        </w:rPr>
        <w:t xml:space="preserve">, Copenhagen: World Health Organization, Regional Office for Europe, UN Environment; 2018. </w:t>
      </w:r>
    </w:p>
    <w:p w14:paraId="745783D3" w14:textId="77777777" w:rsidR="006A061B" w:rsidRPr="006A061B" w:rsidRDefault="006A061B" w:rsidP="006A061B">
      <w:pPr>
        <w:rPr>
          <w:lang w:val="en-US"/>
        </w:rPr>
      </w:pPr>
      <w:hyperlink r:id="rId31" w:history="1">
        <w:r w:rsidRPr="006A061B">
          <w:rPr>
            <w:rStyle w:val="Hyperlink"/>
            <w:lang w:val="en-US"/>
          </w:rPr>
          <w:t>http://www.euro.who.int/__data/assets/pdf_file/0009/384174/prenat-exp-mercury-sop-eng.pdf?ua=1</w:t>
        </w:r>
      </w:hyperlink>
      <w:r w:rsidRPr="006A061B">
        <w:rPr>
          <w:lang w:val="en-US"/>
        </w:rPr>
        <w:t xml:space="preserve"> </w:t>
      </w:r>
    </w:p>
    <w:p w14:paraId="5C693661" w14:textId="77777777" w:rsidR="006A061B" w:rsidRPr="006A061B" w:rsidRDefault="006A061B" w:rsidP="006A061B">
      <w:pPr>
        <w:rPr>
          <w:lang w:val="en-US"/>
        </w:rPr>
      </w:pPr>
    </w:p>
    <w:p w14:paraId="4B58037A" w14:textId="77777777" w:rsidR="006A061B" w:rsidRPr="006A061B" w:rsidRDefault="006A061B" w:rsidP="006A061B">
      <w:pPr>
        <w:rPr>
          <w:lang w:val="en-US"/>
        </w:rPr>
      </w:pPr>
      <w:r w:rsidRPr="006A061B">
        <w:rPr>
          <w:b/>
          <w:lang w:val="en-US"/>
        </w:rPr>
        <w:t>Abstract:</w:t>
      </w:r>
      <w:r w:rsidRPr="006A061B">
        <w:rPr>
          <w:lang w:val="en-US"/>
        </w:rPr>
        <w:t xml:space="preserve"> Mercury is toxic for humans, and the toxic effects of different forms of mercury have been extensively studied. Human biomonitoring is recognized as the most effective tool for evaluation of cumulative human exposure to mercury. In-utero development is the most vulnerable stage for the long-term adverse neurodevelopmental effects of mercury. Characterizing prenatal exposure is critical for evaluating public health impacts of mercury and assessing public health benefits of exposure reduction measures. Approaches to estimating exposure to mercury include measuring mercury levels in different biological matrices. The level of mercury in tissues can be an indicator of exposure to various types of mercury. The validity, usefulness and meaning of such measurements depend on the form of mercury exposure, type of tissue measurement and other factors. This document consists of standard operating procedures describing the assessment of mercury in hair, cord blood and urine. Quality control is essential to get reliable results. The document also provides information on alternative methods that can be used for analysis of mercury.</w:t>
      </w:r>
    </w:p>
    <w:p w14:paraId="0A8A29CD" w14:textId="77777777" w:rsidR="006A061B" w:rsidRPr="006A061B" w:rsidRDefault="006A061B" w:rsidP="006A061B">
      <w:pPr>
        <w:rPr>
          <w:lang w:val="en-US"/>
        </w:rPr>
      </w:pPr>
    </w:p>
    <w:p w14:paraId="4CC2E77B" w14:textId="77777777" w:rsidR="006A061B" w:rsidRPr="006A061B" w:rsidRDefault="006A061B" w:rsidP="0010138E">
      <w:pPr>
        <w:pStyle w:val="ListParagraph"/>
        <w:numPr>
          <w:ilvl w:val="0"/>
          <w:numId w:val="15"/>
        </w:numPr>
        <w:tabs>
          <w:tab w:val="clear" w:pos="1247"/>
          <w:tab w:val="clear" w:pos="1814"/>
          <w:tab w:val="clear" w:pos="2381"/>
          <w:tab w:val="clear" w:pos="2948"/>
          <w:tab w:val="clear" w:pos="3515"/>
        </w:tabs>
        <w:rPr>
          <w:b/>
          <w:lang w:val="en-US"/>
        </w:rPr>
      </w:pPr>
      <w:r w:rsidRPr="006A061B">
        <w:rPr>
          <w:b/>
          <w:lang w:val="en-US"/>
        </w:rPr>
        <w:t xml:space="preserve">Information about the forthcoming publication of results of 6 pilot surveys, conducted through a UNEP/WHO GEF Project. </w:t>
      </w:r>
    </w:p>
    <w:p w14:paraId="6C3727D5" w14:textId="77777777" w:rsidR="006A061B" w:rsidRPr="006A061B" w:rsidRDefault="006A061B" w:rsidP="006A061B">
      <w:pPr>
        <w:rPr>
          <w:lang w:val="en-US"/>
        </w:rPr>
      </w:pPr>
    </w:p>
    <w:p w14:paraId="1B000187" w14:textId="77777777" w:rsidR="006A061B" w:rsidRPr="006A061B" w:rsidRDefault="006A061B" w:rsidP="006A061B">
      <w:pPr>
        <w:rPr>
          <w:lang w:val="en-US"/>
        </w:rPr>
      </w:pPr>
      <w:r w:rsidRPr="006A061B">
        <w:rPr>
          <w:lang w:val="en-US"/>
        </w:rPr>
        <w:t xml:space="preserve">Applicability of the WHO Survey protocol and the Standard Operating Procedures has been checked through the implementation of pilot surveys in six countries: China, India, Ghana, Kyrgyzstan, Mongolia, and the Russian Federation.  The pilot surveys were conducted in the general population, i.e., populations with a high level of consumption of marine fish (Ghana) and fresh water fish (the Russian Karelia), in the vicinity of primary mercury mining (Kyrgyzstan) and ASGM (Mongolia), in an agricultural area located at the contaminated territories of former mercury mining (China), and populations exposed to emissions of coal power plants (India). </w:t>
      </w:r>
    </w:p>
    <w:p w14:paraId="6A47684A" w14:textId="77777777" w:rsidR="006A061B" w:rsidRPr="006A061B" w:rsidRDefault="006A061B" w:rsidP="006A061B">
      <w:pPr>
        <w:rPr>
          <w:lang w:val="en-US"/>
        </w:rPr>
      </w:pPr>
    </w:p>
    <w:p w14:paraId="5078CD54" w14:textId="77777777" w:rsidR="006A061B" w:rsidRPr="006A061B" w:rsidRDefault="006A061B" w:rsidP="006A061B">
      <w:pPr>
        <w:rPr>
          <w:lang w:val="en-US"/>
        </w:rPr>
      </w:pPr>
      <w:r w:rsidRPr="006A061B">
        <w:rPr>
          <w:lang w:val="en-US"/>
        </w:rPr>
        <w:t xml:space="preserve">WHO site-specific protocols and protocols approved by national ethics committees guided the surveys in countries. In all countries, except the Russian Federation, three biological matrixes were investigated: maternal scalp hair and urine and cord blood.  The number of samples varied from 106 in Kyrgyzstan (small sample size due to small population size) to 265 in Mongolia (two </w:t>
      </w:r>
      <w:proofErr w:type="gramStart"/>
      <w:r w:rsidRPr="006A061B">
        <w:rPr>
          <w:lang w:val="en-US"/>
        </w:rPr>
        <w:t>different  ASGM</w:t>
      </w:r>
      <w:proofErr w:type="gramEnd"/>
      <w:r w:rsidRPr="006A061B">
        <w:rPr>
          <w:lang w:val="en-US"/>
        </w:rPr>
        <w:t xml:space="preserve"> locations). Investigators in Ghana faced cultural and ethical barriers to collecting hair samples; only 54 samples were collected representing one-fifth of the number of cord blood samples.   However, reliable results on pre-natal exposure to mercury were obtained in all pilot surveys.  There were large variations in the level of exposure, with the highest level of exposure in populations with high-level consumption of </w:t>
      </w:r>
      <w:r w:rsidRPr="006A061B">
        <w:rPr>
          <w:lang w:val="en-US"/>
        </w:rPr>
        <w:lastRenderedPageBreak/>
        <w:t>fish and rice produced in contaminated areas. The surveys confirmed the applicability of the WHO Protocol and SOPs for assessment of exposure in the most vulnerable population group – the fetus – to mercury.</w:t>
      </w:r>
    </w:p>
    <w:p w14:paraId="4569DF50" w14:textId="77777777" w:rsidR="006A061B" w:rsidRPr="006A061B" w:rsidRDefault="006A061B" w:rsidP="006A061B">
      <w:pPr>
        <w:rPr>
          <w:lang w:val="en-US"/>
        </w:rPr>
      </w:pPr>
    </w:p>
    <w:p w14:paraId="09A8EB10" w14:textId="77777777" w:rsidR="006A061B" w:rsidRDefault="006A061B" w:rsidP="006A061B">
      <w:pPr>
        <w:rPr>
          <w:lang w:val="en-GB"/>
        </w:rPr>
      </w:pPr>
      <w:r>
        <w:rPr>
          <w:lang w:val="en-GB"/>
        </w:rPr>
        <w:t xml:space="preserve">The results of the pilot surveys are being prepared for publication in the peer reviewed scientific literature. </w:t>
      </w:r>
    </w:p>
    <w:p w14:paraId="304E86FA" w14:textId="77777777" w:rsidR="006A061B" w:rsidRDefault="006A061B" w:rsidP="006A061B">
      <w:pPr>
        <w:rPr>
          <w:lang w:val="en-GB"/>
        </w:rPr>
      </w:pPr>
    </w:p>
    <w:p w14:paraId="515EB38B" w14:textId="77777777" w:rsidR="006A061B" w:rsidRPr="006A061B" w:rsidRDefault="006A061B" w:rsidP="0010138E">
      <w:pPr>
        <w:pStyle w:val="ListParagraph"/>
        <w:numPr>
          <w:ilvl w:val="0"/>
          <w:numId w:val="15"/>
        </w:numPr>
        <w:tabs>
          <w:tab w:val="clear" w:pos="1247"/>
          <w:tab w:val="clear" w:pos="1814"/>
          <w:tab w:val="clear" w:pos="2381"/>
          <w:tab w:val="clear" w:pos="2948"/>
          <w:tab w:val="clear" w:pos="3515"/>
        </w:tabs>
        <w:rPr>
          <w:b/>
          <w:lang w:val="en-US"/>
        </w:rPr>
      </w:pPr>
      <w:r w:rsidRPr="006A061B">
        <w:rPr>
          <w:b/>
          <w:lang w:val="en-US"/>
        </w:rPr>
        <w:t>State-of-the science review of mercury biomarkers in human populations worldwide between 2000 and 2018</w:t>
      </w:r>
    </w:p>
    <w:p w14:paraId="391ACCCA" w14:textId="77777777" w:rsidR="006A061B" w:rsidRPr="006A061B" w:rsidRDefault="006A061B" w:rsidP="006A061B">
      <w:pPr>
        <w:rPr>
          <w:b/>
          <w:lang w:val="en-US"/>
        </w:rPr>
      </w:pPr>
    </w:p>
    <w:p w14:paraId="542F2D6F" w14:textId="77777777" w:rsidR="006A061B" w:rsidRDefault="006A061B" w:rsidP="006A061B">
      <w:pPr>
        <w:rPr>
          <w:lang w:val="en-GB"/>
        </w:rPr>
      </w:pPr>
      <w:r w:rsidRPr="00E83E73">
        <w:rPr>
          <w:lang w:val="en-GB"/>
        </w:rPr>
        <w:t>Basu N, Horvat M, Evers DC, Zastenskaya I, Weihe P, Tempowski J. A state-of-the-science review of mercury biomarkers in human populations worldwide between 2000 and 2018. In: Environ Health Perspect. 2018 Oct;126(10):106001. doi: 10.1289/EHP3904 (</w:t>
      </w:r>
      <w:hyperlink r:id="rId32" w:history="1">
        <w:r w:rsidRPr="008D6224">
          <w:rPr>
            <w:rStyle w:val="Hyperlink"/>
            <w:lang w:val="en-GB"/>
          </w:rPr>
          <w:t>https://ehp.niehs.nih.gov/doi/full/10.1289/EHP3904</w:t>
        </w:r>
      </w:hyperlink>
      <w:r w:rsidRPr="00E83E73">
        <w:rPr>
          <w:lang w:val="en-GB"/>
        </w:rPr>
        <w:t>).</w:t>
      </w:r>
    </w:p>
    <w:p w14:paraId="30EEE32D" w14:textId="77777777" w:rsidR="006A061B" w:rsidRDefault="006A061B" w:rsidP="006A061B">
      <w:pPr>
        <w:rPr>
          <w:lang w:val="en-GB"/>
        </w:rPr>
      </w:pPr>
    </w:p>
    <w:p w14:paraId="578E05BF" w14:textId="77777777" w:rsidR="006A061B" w:rsidRDefault="006A061B" w:rsidP="006A061B">
      <w:pPr>
        <w:rPr>
          <w:lang w:val="en-GB"/>
        </w:rPr>
      </w:pPr>
      <w:r>
        <w:rPr>
          <w:lang w:val="en-GB"/>
        </w:rPr>
        <w:t xml:space="preserve">This </w:t>
      </w:r>
      <w:r w:rsidRPr="009821BD">
        <w:rPr>
          <w:lang w:val="en-GB"/>
        </w:rPr>
        <w:t>WHO-commissioned review of mercury biomarkers in human populations established a global benchmark for human exposure to mercury</w:t>
      </w:r>
      <w:r>
        <w:rPr>
          <w:lang w:val="en-GB"/>
        </w:rPr>
        <w:t xml:space="preserve"> and </w:t>
      </w:r>
      <w:r w:rsidRPr="009821BD">
        <w:rPr>
          <w:lang w:val="en-GB"/>
        </w:rPr>
        <w:t>identif</w:t>
      </w:r>
      <w:r>
        <w:rPr>
          <w:lang w:val="en-GB"/>
        </w:rPr>
        <w:t>ied</w:t>
      </w:r>
      <w:r w:rsidRPr="009821BD">
        <w:rPr>
          <w:lang w:val="en-GB"/>
        </w:rPr>
        <w:t xml:space="preserve"> vulnerable populations and geographical regions lacking data. </w:t>
      </w:r>
    </w:p>
    <w:p w14:paraId="7E7F4667" w14:textId="77777777" w:rsidR="006A061B" w:rsidRDefault="006A061B" w:rsidP="006A061B">
      <w:pPr>
        <w:rPr>
          <w:lang w:val="en-GB"/>
        </w:rPr>
      </w:pPr>
    </w:p>
    <w:p w14:paraId="73BCCB56" w14:textId="77777777" w:rsidR="006A061B" w:rsidRPr="006A061B" w:rsidRDefault="006A061B" w:rsidP="006A061B">
      <w:pPr>
        <w:spacing w:after="120"/>
        <w:rPr>
          <w:b/>
          <w:lang w:val="en-US"/>
        </w:rPr>
      </w:pPr>
      <w:r w:rsidRPr="006A061B">
        <w:rPr>
          <w:b/>
          <w:lang w:val="en-US"/>
        </w:rPr>
        <w:t>Abstract</w:t>
      </w:r>
    </w:p>
    <w:p w14:paraId="2CD18E11" w14:textId="77777777" w:rsidR="006A061B" w:rsidRPr="006A061B" w:rsidRDefault="006A061B" w:rsidP="006A061B">
      <w:pPr>
        <w:spacing w:after="120"/>
        <w:rPr>
          <w:lang w:val="en-US"/>
        </w:rPr>
      </w:pPr>
      <w:r w:rsidRPr="006A061B">
        <w:rPr>
          <w:i/>
          <w:lang w:val="en-US"/>
        </w:rPr>
        <w:t>Background:</w:t>
      </w:r>
      <w:r w:rsidRPr="006A061B">
        <w:rPr>
          <w:b/>
          <w:lang w:val="en-US"/>
        </w:rPr>
        <w:t xml:space="preserve"> </w:t>
      </w:r>
      <w:r w:rsidRPr="006A061B">
        <w:rPr>
          <w:lang w:val="en-US"/>
        </w:rPr>
        <w:t>The Minamata Convention on Mercury provided a mandate for action against global mercury pollution. However, our knowledge of mercury exposures is limited because there are many regions and subpopulations with little or no data.</w:t>
      </w:r>
    </w:p>
    <w:p w14:paraId="7E43E456" w14:textId="77777777" w:rsidR="006A061B" w:rsidRPr="006A061B" w:rsidRDefault="006A061B" w:rsidP="006A061B">
      <w:pPr>
        <w:spacing w:after="120"/>
        <w:rPr>
          <w:lang w:val="en-US"/>
        </w:rPr>
      </w:pPr>
      <w:r w:rsidRPr="006A061B">
        <w:rPr>
          <w:i/>
          <w:lang w:val="en-US"/>
        </w:rPr>
        <w:t xml:space="preserve">Objective:  </w:t>
      </w:r>
      <w:r w:rsidRPr="006A061B">
        <w:rPr>
          <w:lang w:val="en-US"/>
        </w:rPr>
        <w:t>We aimed to increase worldwide understanding of human exposures to mercury by collecting, collating, and analyzing mercury concentrations in biomarker samples reported in the published scientific literature.</w:t>
      </w:r>
    </w:p>
    <w:p w14:paraId="0D9B9FFF" w14:textId="77777777" w:rsidR="006A061B" w:rsidRPr="006A061B" w:rsidRDefault="006A061B" w:rsidP="006A061B">
      <w:pPr>
        <w:spacing w:after="120"/>
        <w:rPr>
          <w:lang w:val="en-US"/>
        </w:rPr>
      </w:pPr>
      <w:r w:rsidRPr="006A061B">
        <w:rPr>
          <w:i/>
          <w:lang w:val="en-US"/>
        </w:rPr>
        <w:t xml:space="preserve">Method: </w:t>
      </w:r>
      <w:r w:rsidRPr="006A061B">
        <w:rPr>
          <w:lang w:val="en-US"/>
        </w:rPr>
        <w:t>A systematic search of the peer-reviewed scientific literature was performed using three databases. A priori search strategy, eligibility criteria, and data extraction steps were used to identify relevant studies.</w:t>
      </w:r>
    </w:p>
    <w:p w14:paraId="2655AAB7" w14:textId="77777777" w:rsidR="006A061B" w:rsidRPr="006A061B" w:rsidRDefault="006A061B" w:rsidP="006A061B">
      <w:pPr>
        <w:spacing w:after="120"/>
        <w:rPr>
          <w:lang w:val="en-US"/>
        </w:rPr>
      </w:pPr>
      <w:r w:rsidRPr="006A061B">
        <w:rPr>
          <w:i/>
          <w:lang w:val="en-US"/>
        </w:rPr>
        <w:t xml:space="preserve">Results: </w:t>
      </w:r>
      <w:r w:rsidRPr="006A061B">
        <w:rPr>
          <w:lang w:val="en-US"/>
        </w:rPr>
        <w:t>We collected 424,858 mercury biomarker measurements from 335,991 individuals represented in 312 articles from 75 countries. General background populations with insignificant exposures have blood, hair, and urine mercury levels that generally fall under 5</w:t>
      </w:r>
      <w:r>
        <w:t>μ</w:t>
      </w:r>
      <w:r w:rsidRPr="006A061B">
        <w:rPr>
          <w:lang w:val="en-US"/>
        </w:rPr>
        <w:t>g/L, 2 </w:t>
      </w:r>
      <w:r>
        <w:t>μ</w:t>
      </w:r>
      <w:r w:rsidRPr="006A061B">
        <w:rPr>
          <w:lang w:val="en-US"/>
        </w:rPr>
        <w:t>g/g, and 3 </w:t>
      </w:r>
      <w:r>
        <w:t>μ</w:t>
      </w:r>
      <w:r w:rsidRPr="006A061B">
        <w:rPr>
          <w:lang w:val="en-US"/>
        </w:rPr>
        <w:t xml:space="preserve">g/L, respectively. We identified four populations of concern: a) Arctic populations who consume fish and marine mammals; b) tropical riverine communities (especially Amazonian) who consume fish </w:t>
      </w:r>
      <w:proofErr w:type="gramStart"/>
      <w:r w:rsidRPr="006A061B">
        <w:rPr>
          <w:lang w:val="en-US"/>
        </w:rPr>
        <w:t>and in some cases</w:t>
      </w:r>
      <w:proofErr w:type="gramEnd"/>
      <w:r w:rsidRPr="006A061B">
        <w:rPr>
          <w:lang w:val="en-US"/>
        </w:rPr>
        <w:t xml:space="preserve"> may be exposed to mining; c) coastal and/or small-island communities who substantially depend on seafood; and d) individuals who either work or reside among artisanal and small-scale gold mining sites.</w:t>
      </w:r>
    </w:p>
    <w:p w14:paraId="3F830759" w14:textId="77777777" w:rsidR="006A061B" w:rsidRDefault="006A061B" w:rsidP="006A061B">
      <w:pPr>
        <w:spacing w:after="120"/>
      </w:pPr>
      <w:r w:rsidRPr="006A061B">
        <w:rPr>
          <w:i/>
          <w:lang w:val="en-US"/>
        </w:rPr>
        <w:t xml:space="preserve">Conclusions: </w:t>
      </w:r>
      <w:r w:rsidRPr="006A061B">
        <w:rPr>
          <w:lang w:val="en-US"/>
        </w:rPr>
        <w:t xml:space="preserve">This review suggests that all populations worldwide are exposed to some amount of mercury and that there is great variability in exposures within and across countries and regions. There remain many geographic regions and subpopulations with limited data, thus hindering evidence-based decision making. This type of information is critical in helping understand exposures, particularly in light of certain stipulations in the Minamata Convention on Mercury. </w:t>
      </w:r>
      <w:hyperlink r:id="rId33" w:history="1">
        <w:r w:rsidRPr="00F22834">
          <w:rPr>
            <w:rStyle w:val="Hyperlink"/>
          </w:rPr>
          <w:t>https://doi.org/10.1289/EHP3904</w:t>
        </w:r>
      </w:hyperlink>
    </w:p>
    <w:p w14:paraId="08DB23ED" w14:textId="20BDA525" w:rsidR="006A061B" w:rsidRDefault="006A061B">
      <w:pPr>
        <w:tabs>
          <w:tab w:val="clear" w:pos="1247"/>
          <w:tab w:val="clear" w:pos="1814"/>
          <w:tab w:val="clear" w:pos="2381"/>
          <w:tab w:val="clear" w:pos="2948"/>
          <w:tab w:val="clear" w:pos="3515"/>
        </w:tabs>
        <w:rPr>
          <w:lang w:val="en-GB"/>
        </w:rPr>
      </w:pPr>
      <w:r>
        <w:rPr>
          <w:lang w:val="en-GB"/>
        </w:rPr>
        <w:br w:type="page"/>
      </w:r>
    </w:p>
    <w:p w14:paraId="26753EAE" w14:textId="1B7412B2" w:rsidR="006A061B" w:rsidRPr="006A061B" w:rsidRDefault="006A061B" w:rsidP="006A061B">
      <w:pPr>
        <w:pStyle w:val="Normalnumber"/>
        <w:numPr>
          <w:ilvl w:val="0"/>
          <w:numId w:val="0"/>
        </w:numPr>
        <w:rPr>
          <w:sz w:val="24"/>
          <w:szCs w:val="24"/>
          <w:lang w:val="en-GB"/>
        </w:rPr>
      </w:pPr>
      <w:r w:rsidRPr="006A061B">
        <w:rPr>
          <w:sz w:val="24"/>
          <w:szCs w:val="24"/>
          <w:lang w:val="en-GB"/>
        </w:rPr>
        <w:lastRenderedPageBreak/>
        <w:t>Annex 4: Submission from the Secretariat of the Barcelona Convention and the Mediterranean Action Plan</w:t>
      </w:r>
    </w:p>
    <w:p w14:paraId="4EFDFC46" w14:textId="00C3D975" w:rsidR="006A061B" w:rsidRDefault="006A061B" w:rsidP="006A061B">
      <w:pPr>
        <w:pStyle w:val="Normalnumber"/>
        <w:numPr>
          <w:ilvl w:val="0"/>
          <w:numId w:val="0"/>
        </w:numPr>
        <w:rPr>
          <w:lang w:val="en-GB"/>
        </w:rPr>
      </w:pPr>
    </w:p>
    <w:p w14:paraId="2EEF336C" w14:textId="77777777" w:rsidR="006A061B" w:rsidRPr="006A061B" w:rsidRDefault="006A061B" w:rsidP="006A061B">
      <w:pPr>
        <w:shd w:val="clear" w:color="auto" w:fill="FFFFFF"/>
        <w:spacing w:before="150" w:after="150" w:line="300" w:lineRule="atLeast"/>
        <w:rPr>
          <w:lang w:val="en-US" w:eastAsia="zh-CN"/>
        </w:rPr>
      </w:pPr>
      <w:r w:rsidRPr="006A061B">
        <w:rPr>
          <w:b/>
          <w:bCs/>
          <w:lang w:val="en-US"/>
        </w:rPr>
        <w:t xml:space="preserve">With regards to Effectiveness evaluation, and specifically relevant information about collecting information on the environmental monitoring programmes on mercury </w:t>
      </w:r>
      <w:r w:rsidRPr="006A061B">
        <w:rPr>
          <w:lang w:val="en-US"/>
        </w:rPr>
        <w:t>(as stipulated in the email below), the following documents are attached. Summary information contained in these documents provided below:</w:t>
      </w:r>
    </w:p>
    <w:p w14:paraId="29947F97" w14:textId="77777777" w:rsidR="006A061B" w:rsidRPr="006A061B" w:rsidRDefault="006A061B" w:rsidP="006A061B">
      <w:pPr>
        <w:rPr>
          <w:lang w:val="en-US"/>
        </w:rPr>
      </w:pPr>
      <w:r w:rsidRPr="006A061B">
        <w:rPr>
          <w:lang w:val="en-US"/>
        </w:rPr>
        <w:t xml:space="preserve">We do have established effectiveness indicators. Please review the reporting format under BCRS </w:t>
      </w:r>
    </w:p>
    <w:p w14:paraId="40EF9707" w14:textId="77777777" w:rsidR="006A061B" w:rsidRPr="006A061B" w:rsidRDefault="006A061B" w:rsidP="006A061B">
      <w:pPr>
        <w:rPr>
          <w:lang w:val="en-US"/>
        </w:rPr>
      </w:pPr>
      <w:r w:rsidRPr="006A061B">
        <w:rPr>
          <w:lang w:val="en-US"/>
        </w:rPr>
        <w:t>We do expect reports from the parties on total releases of mercury for the last biennium</w:t>
      </w:r>
    </w:p>
    <w:p w14:paraId="4281B2D9" w14:textId="77777777" w:rsidR="006A061B" w:rsidRPr="006A061B" w:rsidRDefault="006A061B" w:rsidP="006A061B">
      <w:pPr>
        <w:rPr>
          <w:lang w:val="en-US"/>
        </w:rPr>
      </w:pPr>
    </w:p>
    <w:p w14:paraId="04B6F75E" w14:textId="77777777" w:rsidR="006A061B" w:rsidRPr="006A061B" w:rsidRDefault="006A061B" w:rsidP="0010138E">
      <w:pPr>
        <w:pStyle w:val="ListParagraph"/>
        <w:numPr>
          <w:ilvl w:val="0"/>
          <w:numId w:val="16"/>
        </w:numPr>
        <w:tabs>
          <w:tab w:val="clear" w:pos="1247"/>
          <w:tab w:val="clear" w:pos="1814"/>
          <w:tab w:val="clear" w:pos="2381"/>
          <w:tab w:val="clear" w:pos="2948"/>
          <w:tab w:val="clear" w:pos="3515"/>
        </w:tabs>
        <w:spacing w:after="160" w:line="252" w:lineRule="auto"/>
        <w:rPr>
          <w:lang w:val="en-US"/>
        </w:rPr>
      </w:pPr>
      <w:r w:rsidRPr="006A061B">
        <w:rPr>
          <w:b/>
          <w:bCs/>
          <w:lang w:val="en-US"/>
        </w:rPr>
        <w:t xml:space="preserve">Reporting format under the Barcelona Convention Reporting System (BCRS): </w:t>
      </w:r>
    </w:p>
    <w:p w14:paraId="7A3C7E07"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Decision on the Revised reporting format for the implementation of the Barcelona Convention for the Protection of the Marine Environment and the Coastal Region of the Mediterranean and its Protocols attached.</w:t>
      </w:r>
    </w:p>
    <w:p w14:paraId="7DBBCB2D"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Decision include a special section for reporting on the implementation of the Regional Plan for Reduction of inputs of Mercury.</w:t>
      </w:r>
    </w:p>
    <w:p w14:paraId="286E6846"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 xml:space="preserve">As can be seen on page 113, information required includes releases of mercury from activities of Chlor alkali plants, ELVs and monitoring of releases, etc. </w:t>
      </w:r>
    </w:p>
    <w:p w14:paraId="2EA300B3"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 xml:space="preserve">We do expect reports from the parties on total releases of mercury for the last biennium (2016-2017). In </w:t>
      </w:r>
      <w:proofErr w:type="gramStart"/>
      <w:r w:rsidRPr="006A061B">
        <w:rPr>
          <w:lang w:val="en-US"/>
        </w:rPr>
        <w:t>fact</w:t>
      </w:r>
      <w:proofErr w:type="gramEnd"/>
      <w:r w:rsidRPr="006A061B">
        <w:rPr>
          <w:lang w:val="en-US"/>
        </w:rPr>
        <w:t xml:space="preserve"> countries are in the process of submitting their reports at the present time.</w:t>
      </w:r>
    </w:p>
    <w:p w14:paraId="3E5EA081" w14:textId="77777777" w:rsidR="006A061B" w:rsidRPr="006A061B" w:rsidRDefault="006A061B" w:rsidP="006A061B">
      <w:pPr>
        <w:pStyle w:val="ListParagraph"/>
        <w:ind w:left="1440"/>
        <w:rPr>
          <w:rFonts w:eastAsiaTheme="minorEastAsia"/>
          <w:lang w:val="en-US"/>
        </w:rPr>
      </w:pPr>
    </w:p>
    <w:p w14:paraId="4F4047A9" w14:textId="77777777" w:rsidR="006A061B" w:rsidRPr="006A061B" w:rsidRDefault="006A061B" w:rsidP="0010138E">
      <w:pPr>
        <w:pStyle w:val="ListParagraph"/>
        <w:numPr>
          <w:ilvl w:val="0"/>
          <w:numId w:val="16"/>
        </w:numPr>
        <w:tabs>
          <w:tab w:val="clear" w:pos="1247"/>
          <w:tab w:val="clear" w:pos="1814"/>
          <w:tab w:val="clear" w:pos="2381"/>
          <w:tab w:val="clear" w:pos="2948"/>
          <w:tab w:val="clear" w:pos="3515"/>
        </w:tabs>
        <w:spacing w:after="160" w:line="252" w:lineRule="auto"/>
        <w:rPr>
          <w:b/>
          <w:bCs/>
          <w:lang w:val="en-US"/>
        </w:rPr>
      </w:pPr>
      <w:r w:rsidRPr="006A061B">
        <w:rPr>
          <w:b/>
          <w:bCs/>
          <w:lang w:val="en-US"/>
        </w:rPr>
        <w:t>Fact sheets on industrial emissions which do have a section on heavy metals in particular mercury (2018):</w:t>
      </w:r>
    </w:p>
    <w:p w14:paraId="7009ED37" w14:textId="77777777" w:rsid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pPr>
      <w:r w:rsidRPr="006A061B">
        <w:rPr>
          <w:lang w:val="en-US"/>
        </w:rPr>
        <w:t xml:space="preserve">These fact sheets were developed for an updated set of indicators that serves to inform H2020/National Action Plans on the necessary measures to be funded for reducing impacts of industrial emissions on the Mediterranean marine environment. These indicators complement those proposed by other programmes and initiatives, particularly the SDGs. They address the requirements of the legally binding decisions on industrial emissions under the UNEP/MAP system, and the Basel and Stockholm Conventions. These fact sheets address loads of released toxic substances including mercury, disposal environmentally sound manner of hazardous wastes (including mercury), and compliance measures aiming at the reduction and/or elimination of pollutants generated by industrial sectors. </w:t>
      </w:r>
      <w:r>
        <w:t xml:space="preserve">Details of fact sheets numbers attached </w:t>
      </w:r>
      <w:proofErr w:type="gramStart"/>
      <w:r>
        <w:t>below:</w:t>
      </w:r>
      <w:proofErr w:type="gramEnd"/>
    </w:p>
    <w:p w14:paraId="47DE5A7B" w14:textId="77777777" w:rsidR="006A061B" w:rsidRPr="006A061B" w:rsidRDefault="006A061B" w:rsidP="0010138E">
      <w:pPr>
        <w:pStyle w:val="ListParagraph"/>
        <w:numPr>
          <w:ilvl w:val="2"/>
          <w:numId w:val="16"/>
        </w:numPr>
        <w:tabs>
          <w:tab w:val="clear" w:pos="1247"/>
          <w:tab w:val="clear" w:pos="1814"/>
          <w:tab w:val="clear" w:pos="2381"/>
          <w:tab w:val="clear" w:pos="2948"/>
          <w:tab w:val="clear" w:pos="3515"/>
        </w:tabs>
        <w:spacing w:after="160" w:line="252" w:lineRule="auto"/>
        <w:rPr>
          <w:rFonts w:eastAsiaTheme="minorEastAsia"/>
          <w:lang w:val="en-US"/>
        </w:rPr>
      </w:pPr>
      <w:r w:rsidRPr="006A061B">
        <w:rPr>
          <w:lang w:val="en-US"/>
        </w:rPr>
        <w:t>Industrial Emissions Indicator IND 6.2: Release of toxic substances from industrial sectors including heavy metals</w:t>
      </w:r>
    </w:p>
    <w:p w14:paraId="3841F222" w14:textId="77777777" w:rsidR="006A061B" w:rsidRPr="006A061B" w:rsidRDefault="006A061B" w:rsidP="0010138E">
      <w:pPr>
        <w:pStyle w:val="ListParagraph"/>
        <w:numPr>
          <w:ilvl w:val="2"/>
          <w:numId w:val="16"/>
        </w:numPr>
        <w:tabs>
          <w:tab w:val="clear" w:pos="1247"/>
          <w:tab w:val="clear" w:pos="1814"/>
          <w:tab w:val="clear" w:pos="2381"/>
          <w:tab w:val="clear" w:pos="2948"/>
          <w:tab w:val="clear" w:pos="3515"/>
        </w:tabs>
        <w:spacing w:after="160" w:line="252" w:lineRule="auto"/>
        <w:rPr>
          <w:lang w:val="en-US"/>
        </w:rPr>
      </w:pPr>
      <w:r w:rsidRPr="006A061B">
        <w:rPr>
          <w:lang w:val="en-US"/>
        </w:rPr>
        <w:t>Industrial Emissions Indicator IND 6.3: Industrial hazardous waste disposed in environmentally sound manner</w:t>
      </w:r>
    </w:p>
    <w:p w14:paraId="54F2C6D6" w14:textId="77777777" w:rsidR="006A061B" w:rsidRPr="006A061B" w:rsidRDefault="006A061B" w:rsidP="0010138E">
      <w:pPr>
        <w:pStyle w:val="ListParagraph"/>
        <w:numPr>
          <w:ilvl w:val="2"/>
          <w:numId w:val="16"/>
        </w:numPr>
        <w:tabs>
          <w:tab w:val="clear" w:pos="1247"/>
          <w:tab w:val="clear" w:pos="1814"/>
          <w:tab w:val="clear" w:pos="2381"/>
          <w:tab w:val="clear" w:pos="2948"/>
          <w:tab w:val="clear" w:pos="3515"/>
        </w:tabs>
        <w:spacing w:after="160" w:line="252" w:lineRule="auto"/>
        <w:rPr>
          <w:lang w:val="en-US"/>
        </w:rPr>
      </w:pPr>
      <w:r w:rsidRPr="006A061B">
        <w:rPr>
          <w:lang w:val="en-US"/>
        </w:rPr>
        <w:t>Industrial Emissions Indicator IND 6.4: Compliance measures aiming at the reduction and/or elimination of pollutants generated by industrial sectors</w:t>
      </w:r>
    </w:p>
    <w:p w14:paraId="00C2DA56" w14:textId="77777777" w:rsidR="006A061B" w:rsidRPr="006A061B" w:rsidRDefault="006A061B" w:rsidP="006A061B">
      <w:pPr>
        <w:pStyle w:val="ListParagraph"/>
        <w:ind w:left="1440"/>
        <w:rPr>
          <w:lang w:val="en-US"/>
        </w:rPr>
      </w:pPr>
    </w:p>
    <w:p w14:paraId="4E3EB982" w14:textId="77777777" w:rsidR="006A061B" w:rsidRDefault="006A061B" w:rsidP="0010138E">
      <w:pPr>
        <w:pStyle w:val="ListParagraph"/>
        <w:numPr>
          <w:ilvl w:val="0"/>
          <w:numId w:val="16"/>
        </w:numPr>
        <w:tabs>
          <w:tab w:val="clear" w:pos="1247"/>
          <w:tab w:val="clear" w:pos="1814"/>
          <w:tab w:val="clear" w:pos="2381"/>
          <w:tab w:val="clear" w:pos="2948"/>
          <w:tab w:val="clear" w:pos="3515"/>
        </w:tabs>
        <w:spacing w:after="160" w:line="252" w:lineRule="auto"/>
      </w:pPr>
      <w:r>
        <w:rPr>
          <w:b/>
          <w:bCs/>
        </w:rPr>
        <w:t>SAP-MED Implementation Evaluation - Implementation Status 2000–</w:t>
      </w:r>
      <w:proofErr w:type="gramStart"/>
      <w:r>
        <w:rPr>
          <w:b/>
          <w:bCs/>
        </w:rPr>
        <w:t>2015:</w:t>
      </w:r>
      <w:proofErr w:type="gramEnd"/>
      <w:r>
        <w:rPr>
          <w:b/>
          <w:bCs/>
        </w:rPr>
        <w:t xml:space="preserve"> </w:t>
      </w:r>
    </w:p>
    <w:p w14:paraId="575F86C5"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Level of achievement of SAP-MED targets based on 2003, 2008 and 2013 NBB data and E-PRTR 2013 data and trends for mercury releases are included in Table 5.</w:t>
      </w:r>
    </w:p>
    <w:p w14:paraId="06C21101"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Trends of SAP-MED reduction targets per category of pollutants at regional level from 2010 to 2025 are shown in Figure 17 including mercury.</w:t>
      </w:r>
    </w:p>
    <w:p w14:paraId="5E131A3E" w14:textId="77777777" w:rsidR="006A061B" w:rsidRPr="006A061B" w:rsidRDefault="006A061B" w:rsidP="006A061B">
      <w:pPr>
        <w:pStyle w:val="ListParagraph"/>
        <w:ind w:left="1440"/>
        <w:rPr>
          <w:rFonts w:eastAsiaTheme="minorEastAsia"/>
          <w:lang w:val="en-US"/>
        </w:rPr>
      </w:pPr>
    </w:p>
    <w:p w14:paraId="1DE2B649" w14:textId="77777777" w:rsidR="006A061B" w:rsidRPr="006A061B" w:rsidRDefault="006A061B" w:rsidP="0010138E">
      <w:pPr>
        <w:pStyle w:val="ListParagraph"/>
        <w:numPr>
          <w:ilvl w:val="0"/>
          <w:numId w:val="16"/>
        </w:numPr>
        <w:tabs>
          <w:tab w:val="clear" w:pos="1247"/>
          <w:tab w:val="clear" w:pos="1814"/>
          <w:tab w:val="clear" w:pos="2381"/>
          <w:tab w:val="clear" w:pos="2948"/>
          <w:tab w:val="clear" w:pos="3515"/>
        </w:tabs>
        <w:spacing w:after="160" w:line="252" w:lineRule="auto"/>
        <w:rPr>
          <w:lang w:val="en-US"/>
        </w:rPr>
      </w:pPr>
      <w:r w:rsidRPr="006A061B">
        <w:rPr>
          <w:b/>
          <w:bCs/>
          <w:lang w:val="en-US"/>
        </w:rPr>
        <w:t>H2020 Mediterranean – toward shared environmental information systems, EEA-UNEP/MAP joint report (2014)</w:t>
      </w:r>
    </w:p>
    <w:p w14:paraId="1D77C85E"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Report provides data on mercury releases overview by sector (Table 5.2)</w:t>
      </w:r>
    </w:p>
    <w:p w14:paraId="174E7A52"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Number of records per mercury releases in gaseous and liquid forms in ENP-South countries (2003 and 2008) (Figure 5.7).</w:t>
      </w:r>
    </w:p>
    <w:p w14:paraId="38B749CC"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Figures 5.26 and 5.27, loads of emissions for Mercury gas per country and per sector in 2003 and 2008.</w:t>
      </w:r>
    </w:p>
    <w:p w14:paraId="6A96DED0"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t>Figures 5.28 and 5.29, loads of emissions for liquid mercury per country and per sector in 2003 and 2008.</w:t>
      </w:r>
    </w:p>
    <w:p w14:paraId="38EECB3F" w14:textId="77777777" w:rsidR="006A061B" w:rsidRPr="006A061B" w:rsidRDefault="006A061B" w:rsidP="006A061B">
      <w:pPr>
        <w:pStyle w:val="ListParagraph"/>
        <w:ind w:left="1440"/>
        <w:rPr>
          <w:rFonts w:eastAsiaTheme="minorEastAsia"/>
          <w:lang w:val="en-US"/>
        </w:rPr>
      </w:pPr>
    </w:p>
    <w:p w14:paraId="3BF80920" w14:textId="77777777" w:rsidR="006A061B" w:rsidRPr="006A061B" w:rsidRDefault="006A061B" w:rsidP="0010138E">
      <w:pPr>
        <w:pStyle w:val="ListParagraph"/>
        <w:numPr>
          <w:ilvl w:val="0"/>
          <w:numId w:val="16"/>
        </w:numPr>
        <w:tabs>
          <w:tab w:val="clear" w:pos="1247"/>
          <w:tab w:val="clear" w:pos="1814"/>
          <w:tab w:val="clear" w:pos="2381"/>
          <w:tab w:val="clear" w:pos="2948"/>
          <w:tab w:val="clear" w:pos="3515"/>
        </w:tabs>
        <w:spacing w:after="160" w:line="252" w:lineRule="auto"/>
        <w:rPr>
          <w:lang w:val="en-US"/>
        </w:rPr>
      </w:pPr>
      <w:r w:rsidRPr="006A061B">
        <w:rPr>
          <w:b/>
          <w:bCs/>
          <w:lang w:val="en-US"/>
        </w:rPr>
        <w:t>Decision IG.20/8.1: Regional Plan on the reduction of inputs of Mercury in the framework of the implementation of Article 15 of the LBS Protocol (adopted in 2012):</w:t>
      </w:r>
    </w:p>
    <w:p w14:paraId="3582F747" w14:textId="77777777" w:rsidR="006A061B" w:rsidRPr="006A061B" w:rsidRDefault="006A061B" w:rsidP="0010138E">
      <w:pPr>
        <w:pStyle w:val="ListParagraph"/>
        <w:numPr>
          <w:ilvl w:val="1"/>
          <w:numId w:val="16"/>
        </w:numPr>
        <w:tabs>
          <w:tab w:val="clear" w:pos="1247"/>
          <w:tab w:val="clear" w:pos="1814"/>
          <w:tab w:val="clear" w:pos="2381"/>
          <w:tab w:val="clear" w:pos="2948"/>
          <w:tab w:val="clear" w:pos="3515"/>
        </w:tabs>
        <w:spacing w:after="160" w:line="252" w:lineRule="auto"/>
        <w:rPr>
          <w:lang w:val="en-US"/>
        </w:rPr>
      </w:pPr>
      <w:r w:rsidRPr="006A061B">
        <w:rPr>
          <w:lang w:val="en-US"/>
        </w:rPr>
        <w:lastRenderedPageBreak/>
        <w:t>The Regional Plan specifically states that “The Parties shall ensure that their competent authorities or appropriate bodies monitor releases of Mercury into water, air and soil to verify compliance with the requirements of the above table”.</w:t>
      </w:r>
    </w:p>
    <w:p w14:paraId="7C5532C9" w14:textId="669E6D8A" w:rsidR="006A061B" w:rsidRPr="006A061B" w:rsidRDefault="006A061B" w:rsidP="006A061B">
      <w:pPr>
        <w:rPr>
          <w:rFonts w:eastAsiaTheme="minorEastAsia"/>
          <w:lang w:val="en-US"/>
        </w:rPr>
      </w:pPr>
      <w:r w:rsidRPr="006A061B">
        <w:rPr>
          <w:lang w:val="en-US"/>
        </w:rPr>
        <w:t xml:space="preserve">These documents are </w:t>
      </w:r>
      <w:r w:rsidR="00C534F5">
        <w:rPr>
          <w:lang w:val="en-US"/>
        </w:rPr>
        <w:t xml:space="preserve">available from </w:t>
      </w:r>
      <w:r w:rsidR="00C534F5" w:rsidRPr="00193C4D">
        <w:rPr>
          <w:lang w:val="en-GB"/>
        </w:rPr>
        <w:t>http://www.mercuryconvention.org/Meetings/Intersessionalwork/tabid/7857/language/en-US/Default.aspx</w:t>
      </w:r>
    </w:p>
    <w:p w14:paraId="747A10AD" w14:textId="041A918A" w:rsidR="00C534F5" w:rsidRDefault="00C534F5">
      <w:pPr>
        <w:tabs>
          <w:tab w:val="clear" w:pos="1247"/>
          <w:tab w:val="clear" w:pos="1814"/>
          <w:tab w:val="clear" w:pos="2381"/>
          <w:tab w:val="clear" w:pos="2948"/>
          <w:tab w:val="clear" w:pos="3515"/>
        </w:tabs>
        <w:rPr>
          <w:lang w:val="en-GB"/>
        </w:rPr>
      </w:pPr>
      <w:r>
        <w:rPr>
          <w:lang w:val="en-GB"/>
        </w:rPr>
        <w:br w:type="page"/>
      </w:r>
    </w:p>
    <w:p w14:paraId="0A4E1162" w14:textId="24A4AFFB" w:rsidR="006A061B" w:rsidRPr="00C534F5" w:rsidRDefault="00C534F5" w:rsidP="006A061B">
      <w:pPr>
        <w:pStyle w:val="Normalnumber"/>
        <w:numPr>
          <w:ilvl w:val="0"/>
          <w:numId w:val="0"/>
        </w:numPr>
        <w:rPr>
          <w:b/>
          <w:bCs/>
          <w:sz w:val="24"/>
          <w:szCs w:val="24"/>
          <w:lang w:val="en-GB"/>
        </w:rPr>
      </w:pPr>
      <w:r w:rsidRPr="00C534F5">
        <w:rPr>
          <w:b/>
          <w:bCs/>
          <w:sz w:val="24"/>
          <w:szCs w:val="24"/>
          <w:lang w:val="en-GB"/>
        </w:rPr>
        <w:lastRenderedPageBreak/>
        <w:t>Annex 5: Key policy relevant findings from Global Mercury Assessment 2018</w:t>
      </w:r>
    </w:p>
    <w:p w14:paraId="5D0008BF" w14:textId="655C7C0C" w:rsidR="00C534F5" w:rsidRDefault="00C534F5" w:rsidP="006A061B">
      <w:pPr>
        <w:pStyle w:val="Normalnumber"/>
        <w:numPr>
          <w:ilvl w:val="0"/>
          <w:numId w:val="0"/>
        </w:numPr>
        <w:rPr>
          <w:lang w:val="en-GB"/>
        </w:rPr>
      </w:pPr>
    </w:p>
    <w:p w14:paraId="26CB4B0D" w14:textId="48D1A3AD" w:rsidR="00C534F5" w:rsidRDefault="00C534F5" w:rsidP="00C534F5">
      <w:pPr>
        <w:spacing w:before="120" w:after="120"/>
        <w:rPr>
          <w:lang w:val="en-US"/>
        </w:rPr>
      </w:pPr>
      <w:r w:rsidRPr="00C534F5">
        <w:rPr>
          <w:lang w:val="en-US"/>
        </w:rPr>
        <w:t>The Global Mercury Assessment 2018 is the fourth such assessment undertaken by The United Nations Environment Programme (UN Environment), following earlier reports in 2002, 2008, and 2013. It is the second assessment produced by UN Environment in collaboration with the Arctic Monitoring and Assessment Programme (AMAP). The assessment is supported by a technical background document, the chapters of which have been prepared by teams of experts and peer-reviewed for scientific quality. This summary document presents the main findings of the technical document in plain language. Recognizing the relevance of the results of the Global Mercury Assessment 2018 for policy makers, this section presents key findings of highest policy relevance.</w:t>
      </w:r>
    </w:p>
    <w:p w14:paraId="2D810B06" w14:textId="77777777" w:rsidR="00C534F5" w:rsidRPr="00C534F5" w:rsidRDefault="00C534F5" w:rsidP="00C534F5">
      <w:pPr>
        <w:spacing w:before="120" w:after="120"/>
        <w:rPr>
          <w:lang w:val="en-US"/>
        </w:rPr>
      </w:pPr>
    </w:p>
    <w:p w14:paraId="600AFEAD" w14:textId="4A90C397" w:rsidR="00C534F5" w:rsidRDefault="00C534F5" w:rsidP="00C534F5">
      <w:pPr>
        <w:spacing w:before="120" w:after="120"/>
        <w:rPr>
          <w:lang w:val="en-US"/>
        </w:rPr>
      </w:pPr>
      <w:r w:rsidRPr="00C534F5">
        <w:rPr>
          <w:lang w:val="en-US"/>
        </w:rPr>
        <w:t>1. A new global inventory of mercury emissions to air from anthropogenic sources in 2015 quantifies global emissions from 17 key sectors at about 2220 tonnes. There are also smaller anthropogenic sources that are not yet possible to quantify in the detailed global inventory. Emissions from these additional sources are evaluated to total on the order of tens to hundreds of tonnes per year. They would therefore not significantly change the total global emissions inventory but may be of local or regional significance.</w:t>
      </w:r>
    </w:p>
    <w:p w14:paraId="20D9099E" w14:textId="77777777" w:rsidR="00C534F5" w:rsidRPr="00C534F5" w:rsidRDefault="00C534F5" w:rsidP="00C534F5">
      <w:pPr>
        <w:spacing w:before="120" w:after="120"/>
        <w:rPr>
          <w:lang w:val="en-US"/>
        </w:rPr>
      </w:pPr>
      <w:r w:rsidRPr="00C534F5">
        <w:rPr>
          <w:lang w:val="en-US"/>
        </w:rPr>
        <w:t>2. Estimated global anthropogenic emissions of mercury to the atmosphere for 2015 are approximately 20% higher than they were in updated estimates for 2010. Continuing action to reduce emissions has resulted in modest decreases in emissions in North America and the European Union. Increased economic activity, notably in Asia, and the use and disposal of mercury-added products appears to have more than offset any efforts to reduce mercury emissions.</w:t>
      </w:r>
    </w:p>
    <w:p w14:paraId="4152B2E9" w14:textId="77777777" w:rsidR="00C534F5" w:rsidRPr="00C534F5" w:rsidRDefault="00C534F5" w:rsidP="00C534F5">
      <w:pPr>
        <w:spacing w:before="120" w:after="120"/>
        <w:rPr>
          <w:lang w:val="en-US"/>
        </w:rPr>
      </w:pPr>
      <w:r w:rsidRPr="00C534F5">
        <w:rPr>
          <w:lang w:val="en-US"/>
        </w:rPr>
        <w:t xml:space="preserve">3. Emissions patterns in 2015 are very similar to those in 2010. The majority of the 2015 emissions occur in Asia (49%; primarily East and South-east Asia) followed by South America (18%) and Sub-Saharan Africa (16%). Emissions associated with artisanal and small-scale gold mining account for almost 38% of the global total and are the major contributor to the emissions from South America and Sub-Saharan Africa. In other regions, emissions associated with energy production and industrial emissions predominate. </w:t>
      </w:r>
    </w:p>
    <w:p w14:paraId="1CA67D8C" w14:textId="77777777" w:rsidR="00C534F5" w:rsidRPr="00C534F5" w:rsidRDefault="00C534F5" w:rsidP="00C534F5">
      <w:pPr>
        <w:spacing w:before="120" w:after="120"/>
        <w:rPr>
          <w:lang w:val="en-US"/>
        </w:rPr>
      </w:pPr>
      <w:r w:rsidRPr="00C534F5">
        <w:rPr>
          <w:lang w:val="en-US"/>
        </w:rPr>
        <w:t>4. Stationary combustion of fossil fuels and biomass is responsible for about 24% of the estimated global emissions, primarily from coal burning (21%). Main industrial sectors remain non-ferrous metal production (15% of the global inventory), cement production (11%) and ferrous metal production (2%). Emissions from waste that includes mercury-added products comprise about 7% of the 2015 global inventory.</w:t>
      </w:r>
    </w:p>
    <w:p w14:paraId="3A2B22BA" w14:textId="77777777" w:rsidR="00C534F5" w:rsidRPr="00C534F5" w:rsidRDefault="00C534F5" w:rsidP="00C534F5">
      <w:pPr>
        <w:spacing w:before="120" w:after="120"/>
        <w:rPr>
          <w:lang w:val="en-US"/>
        </w:rPr>
      </w:pPr>
      <w:r w:rsidRPr="00C534F5">
        <w:rPr>
          <w:lang w:val="en-US"/>
        </w:rPr>
        <w:t>5. Human activities have increased total atmospheric mercury concentrations by about 450% above natural levels. This increase includes the effects of mercury emitted from human sources in the past which is still circulating in the biosphere, known as legacy mercury. Historical emissions up to the end of the 19th century, mainly from gold and silver mining in the Americas, and mercury (cinnabar) mining and refining contributed more to the present-day anthropogenic mercury in soils and the oceans than all 20th century industrial sources combined. The presence of legacy mercury and the potential for climate change to influence its remobilization complicates our ability to assess potential future changes.</w:t>
      </w:r>
    </w:p>
    <w:p w14:paraId="23DFFC42" w14:textId="77777777" w:rsidR="00C534F5" w:rsidRPr="00C534F5" w:rsidRDefault="00C534F5" w:rsidP="00C534F5">
      <w:pPr>
        <w:spacing w:before="120" w:after="120"/>
        <w:rPr>
          <w:lang w:val="en-US"/>
        </w:rPr>
      </w:pPr>
      <w:r w:rsidRPr="00C534F5">
        <w:rPr>
          <w:lang w:val="en-US"/>
        </w:rPr>
        <w:t>6. Artisanal and small-scale gold mining introduced about 1220 tonnes of mercury into the terrestrial and freshwater environments in 2015, but this amount cannot be reliably separated between discharges to soils and releases to water. Global releases of anthropogenic mercury from other sources to aquatic environments totalled about 590 tonnes in 2015. The major sectors contributing to these 590 tonnes are waste treatment (43%), ore mining and processing (40%), and energy (17%).</w:t>
      </w:r>
    </w:p>
    <w:p w14:paraId="62DD3CC7" w14:textId="77777777" w:rsidR="00C534F5" w:rsidRPr="00C534F5" w:rsidRDefault="00C534F5" w:rsidP="00C534F5">
      <w:pPr>
        <w:spacing w:before="120" w:after="120"/>
        <w:rPr>
          <w:lang w:val="en-US"/>
        </w:rPr>
      </w:pPr>
      <w:r w:rsidRPr="00C534F5">
        <w:rPr>
          <w:lang w:val="en-US"/>
        </w:rPr>
        <w:t xml:space="preserve">7. Natural production of methylmercury in the oceans and in some lakes is often </w:t>
      </w:r>
      <w:proofErr w:type="gramStart"/>
      <w:r w:rsidRPr="00C534F5">
        <w:rPr>
          <w:lang w:val="en-US"/>
        </w:rPr>
        <w:t>not  limited</w:t>
      </w:r>
      <w:proofErr w:type="gramEnd"/>
      <w:r w:rsidRPr="00C534F5">
        <w:rPr>
          <w:lang w:val="en-US"/>
        </w:rPr>
        <w:t xml:space="preserve"> by the input of inorganic mercury. Other factors such as climate change and changes in terrestrial and aquatic ecosystem processes are playing increasingly important roles in the mercury cycle, affecting the distribution, chemical interactions and biological uptake of mercury in the environment.</w:t>
      </w:r>
    </w:p>
    <w:p w14:paraId="5C717F19" w14:textId="77777777" w:rsidR="00C534F5" w:rsidRPr="00C534F5" w:rsidRDefault="00C534F5" w:rsidP="00C534F5">
      <w:pPr>
        <w:spacing w:before="120" w:after="120"/>
        <w:rPr>
          <w:lang w:val="en-US"/>
        </w:rPr>
      </w:pPr>
      <w:r w:rsidRPr="00C534F5">
        <w:rPr>
          <w:lang w:val="en-US"/>
        </w:rPr>
        <w:t>8. Reductions in mercury emissions and resulting declines in atmospheric concentrations may take time to show up as reductions of mercury concentrations in biota. For some time to come, methylmercury will continue to be produced from the legacy mercury previously deposited into soils, sediments, and aquatic systems.</w:t>
      </w:r>
    </w:p>
    <w:p w14:paraId="0925D600" w14:textId="77777777" w:rsidR="00C534F5" w:rsidRPr="00C534F5" w:rsidRDefault="00C534F5" w:rsidP="00C534F5">
      <w:pPr>
        <w:spacing w:before="120" w:after="120"/>
        <w:rPr>
          <w:lang w:val="en-US"/>
        </w:rPr>
      </w:pPr>
      <w:r w:rsidRPr="00C534F5">
        <w:rPr>
          <w:lang w:val="en-US"/>
        </w:rPr>
        <w:t>9. Mercury loads in some aquatic food-webs are at levels of concern for ecological and human health. Anthropogenic mercury emissions and releases, current and legacy, are the major contributors to increased mercury levels and exposure.</w:t>
      </w:r>
    </w:p>
    <w:p w14:paraId="0B8F7168" w14:textId="77777777" w:rsidR="00C534F5" w:rsidRPr="00C534F5" w:rsidRDefault="00C534F5" w:rsidP="00C534F5">
      <w:pPr>
        <w:spacing w:before="120" w:after="120"/>
        <w:rPr>
          <w:lang w:val="en-US"/>
        </w:rPr>
      </w:pPr>
      <w:r w:rsidRPr="00C534F5">
        <w:rPr>
          <w:lang w:val="en-US"/>
        </w:rPr>
        <w:t>10. All people are exposed to some amount of mercury. For many communities worldwide, dietary consumption of fish, shellfish, marine mammals, and other foods is the most important source of methylmercury exposure. Exposures to elemental and inorganic mercury mainly occur in occupational settings (including artisanal and small-scale gold mining) or via contact with products containing mercury. There remains high concern for vulnerable groups including some indigenous populations and other populations with high dietary or occupational exposure to mercury.</w:t>
      </w:r>
    </w:p>
    <w:p w14:paraId="18FE4720" w14:textId="77777777" w:rsidR="00C534F5" w:rsidRPr="00C534F5" w:rsidRDefault="00C534F5" w:rsidP="00C534F5">
      <w:pPr>
        <w:spacing w:before="120" w:after="120"/>
        <w:rPr>
          <w:lang w:val="en-US"/>
        </w:rPr>
      </w:pPr>
      <w:r w:rsidRPr="00C534F5">
        <w:rPr>
          <w:lang w:val="en-US"/>
        </w:rPr>
        <w:lastRenderedPageBreak/>
        <w:t>The Global Mercury Assessment 2018 is based on improved information for estimating emissions and releases and improved understanding of the mercury cycle in the environment. In addition, the 2018 report provides new information about mercury exposure in animals and humans. These improvements are the result of mercury research and monitoring around the world. They provide a strong base of knowledge to support actions to reduce mercury emissions and releases and to reduce ecosystem and human exposure.</w:t>
      </w:r>
    </w:p>
    <w:p w14:paraId="6DFB4DC5" w14:textId="77777777" w:rsidR="00C534F5" w:rsidRPr="00C534F5" w:rsidRDefault="00C534F5" w:rsidP="00C534F5">
      <w:pPr>
        <w:spacing w:before="120" w:after="120"/>
        <w:rPr>
          <w:lang w:val="en-US"/>
        </w:rPr>
      </w:pPr>
      <w:r w:rsidRPr="00C534F5">
        <w:rPr>
          <w:lang w:val="en-US"/>
        </w:rPr>
        <w:t>Further improvements in our understanding of mercury can further refine the ability to identify efficient actions to reduce mercury pollution and its effects. Such improvements include basic research on aspects of the mercury cycle as well as systematic monitoring methods to expand the geographic coverage of measurements of mercury pollution. As a chemical element, mercury cannot be destroyed. Mercury removed from fuels and raw materials in order to reduce emissions will result in mercury-contaminated waste, which in turn can be a source of releases. Mercury removed from emissions and from releases must still be managed responsibly to avoid it becoming a waste management problem or a secondary source. Understanding how mercury removed from current uses and sources is currently managed and how it can be safely managed and stored in the future will help account for the full life-cycle of mercury that is mobilized through human activity, safeguarding the environment and humans when it is removed.</w:t>
      </w:r>
    </w:p>
    <w:p w14:paraId="280FD172" w14:textId="77777777" w:rsidR="00C534F5" w:rsidRPr="008E3BBB" w:rsidRDefault="00C534F5" w:rsidP="00C534F5">
      <w:pPr>
        <w:pStyle w:val="Normalnumber"/>
        <w:numPr>
          <w:ilvl w:val="0"/>
          <w:numId w:val="0"/>
        </w:numPr>
        <w:spacing w:before="120"/>
        <w:rPr>
          <w:lang w:val="en-GB"/>
        </w:rPr>
      </w:pPr>
    </w:p>
    <w:sectPr w:rsidR="00C534F5" w:rsidRPr="008E3BBB" w:rsidSect="006A061B">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AC7D0" w14:textId="77777777" w:rsidR="009A5489" w:rsidRDefault="009A5489">
      <w:r>
        <w:separator/>
      </w:r>
    </w:p>
  </w:endnote>
  <w:endnote w:type="continuationSeparator" w:id="0">
    <w:p w14:paraId="35280163" w14:textId="77777777" w:rsidR="009A5489" w:rsidRDefault="009A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91775"/>
      <w:docPartObj>
        <w:docPartGallery w:val="Page Numbers (Bottom of Page)"/>
        <w:docPartUnique/>
      </w:docPartObj>
    </w:sdtPr>
    <w:sdtEndPr>
      <w:rPr>
        <w:noProof/>
      </w:rPr>
    </w:sdtEndPr>
    <w:sdtContent>
      <w:p w14:paraId="3C740909" w14:textId="62F62291" w:rsidR="006A061B" w:rsidRDefault="006A061B">
        <w:pPr>
          <w:pStyle w:val="Footer"/>
        </w:pPr>
        <w:r>
          <w:fldChar w:fldCharType="begin"/>
        </w:r>
        <w:r>
          <w:instrText xml:space="preserve"> PAGE   \* MERGEFORMAT </w:instrText>
        </w:r>
        <w:r>
          <w:fldChar w:fldCharType="separate"/>
        </w:r>
        <w:r>
          <w:rPr>
            <w:noProof/>
          </w:rPr>
          <w:t>2</w:t>
        </w:r>
        <w:r>
          <w:rPr>
            <w:noProof/>
          </w:rPr>
          <w:fldChar w:fldCharType="end"/>
        </w:r>
      </w:p>
    </w:sdtContent>
  </w:sdt>
  <w:p w14:paraId="78CE9C67" w14:textId="77777777" w:rsidR="006A061B" w:rsidRDefault="006A0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780C" w14:textId="77777777" w:rsidR="00193C4D" w:rsidRDefault="00193C4D" w:rsidP="006A061B">
    <w:pPr>
      <w:pStyle w:val="Footer"/>
      <w:jc w:val="right"/>
    </w:pPr>
    <w:r>
      <w:fldChar w:fldCharType="begin"/>
    </w:r>
    <w:r>
      <w:instrText>PAGE   \* MERGEFORMAT</w:instrText>
    </w:r>
    <w:r>
      <w:fldChar w:fldCharType="separate"/>
    </w:r>
    <w:r w:rsidRPr="00C74C5A">
      <w:rPr>
        <w:noProof/>
        <w:lang w:val="ja-JP"/>
      </w:rPr>
      <w:t>7</w:t>
    </w:r>
    <w:r>
      <w:fldChar w:fldCharType="end"/>
    </w:r>
  </w:p>
  <w:p w14:paraId="0D7448C4" w14:textId="77777777" w:rsidR="00193C4D" w:rsidRDefault="00193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5C80" w14:textId="77777777" w:rsidR="00193C4D" w:rsidRDefault="00193C4D" w:rsidP="004869F9">
    <w:pPr>
      <w:pStyle w:val="Footer"/>
      <w:jc w:val="center"/>
    </w:pPr>
    <w:r>
      <w:fldChar w:fldCharType="begin"/>
    </w:r>
    <w:r>
      <w:instrText>PAGE   \* MERGEFORMAT</w:instrText>
    </w:r>
    <w:r>
      <w:fldChar w:fldCharType="separate"/>
    </w:r>
    <w:r w:rsidRPr="00412C0D">
      <w:rPr>
        <w:noProof/>
        <w:lang w:val="ja-JP"/>
      </w:rPr>
      <w:t>1</w:t>
    </w:r>
    <w:r>
      <w:fldChar w:fldCharType="end"/>
    </w:r>
  </w:p>
  <w:p w14:paraId="631B772F" w14:textId="77777777" w:rsidR="00193C4D" w:rsidRDefault="00193C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015011"/>
      <w:docPartObj>
        <w:docPartGallery w:val="Page Numbers (Bottom of Page)"/>
        <w:docPartUnique/>
      </w:docPartObj>
    </w:sdtPr>
    <w:sdtEndPr>
      <w:rPr>
        <w:b/>
        <w:noProof/>
        <w:sz w:val="18"/>
        <w:szCs w:val="18"/>
      </w:rPr>
    </w:sdtEndPr>
    <w:sdtContent>
      <w:p w14:paraId="4BE5B2D9" w14:textId="09FEEE83" w:rsidR="00AF4250" w:rsidRPr="00C424A2" w:rsidRDefault="00AF4250" w:rsidP="00C424A2">
        <w:pPr>
          <w:pStyle w:val="Normal-pool"/>
          <w:rPr>
            <w:b/>
            <w:sz w:val="18"/>
            <w:szCs w:val="18"/>
          </w:rPr>
        </w:pPr>
        <w:r w:rsidRPr="00C424A2">
          <w:rPr>
            <w:b/>
            <w:sz w:val="18"/>
            <w:szCs w:val="18"/>
          </w:rPr>
          <w:fldChar w:fldCharType="begin"/>
        </w:r>
        <w:r w:rsidRPr="00C424A2">
          <w:rPr>
            <w:b/>
            <w:sz w:val="18"/>
            <w:szCs w:val="18"/>
          </w:rPr>
          <w:instrText xml:space="preserve"> PAGE   \* MERGEFORMAT </w:instrText>
        </w:r>
        <w:r w:rsidRPr="00C424A2">
          <w:rPr>
            <w:b/>
            <w:sz w:val="18"/>
            <w:szCs w:val="18"/>
          </w:rPr>
          <w:fldChar w:fldCharType="separate"/>
        </w:r>
        <w:r w:rsidR="000C1439">
          <w:rPr>
            <w:b/>
            <w:noProof/>
            <w:sz w:val="18"/>
            <w:szCs w:val="18"/>
          </w:rPr>
          <w:t>4</w:t>
        </w:r>
        <w:r w:rsidRPr="00C424A2">
          <w:rPr>
            <w:b/>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0C1D" w14:textId="4F36772D" w:rsidR="00AF4250" w:rsidRDefault="00AF4250"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sidR="000C1439">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1D8BB" w14:textId="77777777" w:rsidR="009A5489" w:rsidRPr="006A395C" w:rsidRDefault="009A5489" w:rsidP="006A395C">
      <w:pPr>
        <w:tabs>
          <w:tab w:val="clear" w:pos="1247"/>
          <w:tab w:val="clear" w:pos="1814"/>
          <w:tab w:val="clear" w:pos="2381"/>
          <w:tab w:val="clear" w:pos="2948"/>
          <w:tab w:val="clear" w:pos="3515"/>
          <w:tab w:val="left" w:pos="624"/>
        </w:tabs>
        <w:spacing w:before="60"/>
        <w:ind w:left="624"/>
        <w:rPr>
          <w:sz w:val="18"/>
          <w:szCs w:val="18"/>
        </w:rPr>
      </w:pPr>
      <w:r w:rsidRPr="006A395C">
        <w:rPr>
          <w:sz w:val="18"/>
          <w:szCs w:val="18"/>
        </w:rPr>
        <w:separator/>
      </w:r>
    </w:p>
  </w:footnote>
  <w:footnote w:type="continuationSeparator" w:id="0">
    <w:p w14:paraId="279F2C60" w14:textId="77777777" w:rsidR="009A5489" w:rsidRDefault="009A5489">
      <w:r>
        <w:continuationSeparator/>
      </w:r>
    </w:p>
  </w:footnote>
  <w:footnote w:id="1">
    <w:p w14:paraId="4CC6C924" w14:textId="67E3881A" w:rsidR="00A046AF" w:rsidRPr="00A046AF" w:rsidRDefault="00A046AF">
      <w:pPr>
        <w:pStyle w:val="FootnoteText"/>
        <w:rPr>
          <w:lang w:val="en-US"/>
        </w:rPr>
      </w:pPr>
      <w:r>
        <w:rPr>
          <w:rStyle w:val="FootnoteReference"/>
        </w:rPr>
        <w:footnoteRef/>
      </w:r>
      <w:r w:rsidRPr="00A046AF">
        <w:rPr>
          <w:lang w:val="en-US"/>
        </w:rPr>
        <w:t xml:space="preserve"> </w:t>
      </w:r>
      <w:r>
        <w:rPr>
          <w:lang w:val="en-US"/>
        </w:rPr>
        <w:t>This document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6530" w14:textId="28F7EA8F" w:rsidR="00AF4250" w:rsidRPr="00D810BF" w:rsidRDefault="00AF4250">
    <w:pPr>
      <w:pStyle w:val="Header"/>
      <w:rPr>
        <w:szCs w:val="18"/>
      </w:rPr>
    </w:pPr>
    <w:r w:rsidRPr="004E2C4A">
      <w:rPr>
        <w:bCs/>
        <w:szCs w:val="18"/>
        <w:lang w:val="en-GB"/>
      </w:rPr>
      <w:t>UNEP/</w:t>
    </w:r>
    <w:r w:rsidR="00F960A5">
      <w:rPr>
        <w:szCs w:val="18"/>
        <w:lang w:val="en-GB"/>
      </w:rPr>
      <w:t>MC/</w:t>
    </w:r>
    <w:r w:rsidR="00A726E8">
      <w:rPr>
        <w:szCs w:val="18"/>
        <w:lang w:val="en-GB"/>
      </w:rPr>
      <w:t>EE</w:t>
    </w:r>
    <w:r w:rsidR="004432C7">
      <w:rPr>
        <w:szCs w:val="18"/>
        <w:lang w:val="en-GB"/>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CBDF" w14:textId="1D20448B" w:rsidR="00AF4250" w:rsidRDefault="00AF4250" w:rsidP="00035EDE">
    <w:pPr>
      <w:pStyle w:val="Header"/>
      <w:jc w:val="right"/>
    </w:pPr>
    <w:r w:rsidRPr="0030068A">
      <w:rPr>
        <w:bCs/>
        <w:szCs w:val="18"/>
        <w:lang w:val="en-GB"/>
      </w:rPr>
      <w:t>UNEP/</w:t>
    </w:r>
    <w:r w:rsidR="00F960A5">
      <w:rPr>
        <w:szCs w:val="18"/>
        <w:lang w:val="en-GB"/>
      </w:rPr>
      <w:t>MC/</w:t>
    </w:r>
    <w:r w:rsidR="00A726E8">
      <w:rPr>
        <w:szCs w:val="18"/>
        <w:lang w:val="en-GB"/>
      </w:rPr>
      <w:t>EE</w:t>
    </w:r>
    <w:r w:rsidR="00F960A5">
      <w:rPr>
        <w:szCs w:val="18"/>
        <w:lang w:val="en-GB"/>
      </w:rPr>
      <w:t>.2</w:t>
    </w:r>
    <w:r w:rsidRPr="0030068A">
      <w:rPr>
        <w:szCs w:val="18"/>
        <w:lang w:val="en-GB"/>
      </w:rPr>
      <w:t>/</w:t>
    </w:r>
    <w:r w:rsidR="004432C7">
      <w:rPr>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5664" w14:textId="68BF0C51" w:rsidR="00AF4250" w:rsidRDefault="00AF4250" w:rsidP="00FF410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4D8"/>
    <w:multiLevelType w:val="hybridMultilevel"/>
    <w:tmpl w:val="50E243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CC188B"/>
    <w:multiLevelType w:val="hybridMultilevel"/>
    <w:tmpl w:val="7436C15A"/>
    <w:styleLink w:val="Importovanstyl4"/>
    <w:lvl w:ilvl="0" w:tplc="2C700ACA">
      <w:start w:val="1"/>
      <w:numFmt w:val="lowerLetter"/>
      <w:lvlText w:val="%1)"/>
      <w:lvlJc w:val="left"/>
      <w:pPr>
        <w:tabs>
          <w:tab w:val="left" w:pos="1247"/>
          <w:tab w:val="left" w:pos="1814"/>
          <w:tab w:val="left" w:pos="2381"/>
          <w:tab w:val="left" w:pos="2948"/>
          <w:tab w:val="left" w:pos="3515"/>
          <w:tab w:val="left" w:pos="4082"/>
        </w:tabs>
        <w:ind w:left="9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8F8A004">
      <w:start w:val="1"/>
      <w:numFmt w:val="aiueoFullWidth"/>
      <w:lvlText w:val="(%2)"/>
      <w:lvlJc w:val="left"/>
      <w:pPr>
        <w:tabs>
          <w:tab w:val="right" w:pos="900"/>
          <w:tab w:val="left" w:pos="1247"/>
          <w:tab w:val="left" w:pos="1814"/>
          <w:tab w:val="left" w:pos="2381"/>
          <w:tab w:val="left" w:pos="2948"/>
          <w:tab w:val="left" w:pos="3515"/>
          <w:tab w:val="left" w:pos="4082"/>
        </w:tabs>
        <w:ind w:left="1020"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A7C9A7C">
      <w:start w:val="1"/>
      <w:numFmt w:val="decimalEnclosedCircle"/>
      <w:lvlText w:val="%3"/>
      <w:lvlJc w:val="left"/>
      <w:pPr>
        <w:tabs>
          <w:tab w:val="right" w:pos="900"/>
          <w:tab w:val="left" w:pos="1814"/>
          <w:tab w:val="left" w:pos="2381"/>
          <w:tab w:val="left" w:pos="2948"/>
          <w:tab w:val="left" w:pos="3515"/>
          <w:tab w:val="left" w:pos="4082"/>
        </w:tabs>
        <w:ind w:left="1440" w:hanging="4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3D65910">
      <w:start w:val="1"/>
      <w:numFmt w:val="decimal"/>
      <w:lvlText w:val="%4."/>
      <w:lvlJc w:val="left"/>
      <w:pPr>
        <w:tabs>
          <w:tab w:val="right" w:pos="900"/>
          <w:tab w:val="left" w:pos="1247"/>
          <w:tab w:val="left" w:pos="2381"/>
          <w:tab w:val="left" w:pos="2948"/>
          <w:tab w:val="left" w:pos="3515"/>
          <w:tab w:val="left" w:pos="4082"/>
        </w:tabs>
        <w:ind w:left="1860" w:hanging="5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2522482">
      <w:start w:val="1"/>
      <w:numFmt w:val="aiueoFullWidth"/>
      <w:suff w:val="nothing"/>
      <w:lvlText w:val="(%5)"/>
      <w:lvlJc w:val="left"/>
      <w:pPr>
        <w:tabs>
          <w:tab w:val="right" w:pos="900"/>
          <w:tab w:val="left" w:pos="1247"/>
          <w:tab w:val="left" w:pos="1814"/>
          <w:tab w:val="left" w:pos="2381"/>
          <w:tab w:val="left" w:pos="2948"/>
          <w:tab w:val="left" w:pos="3515"/>
          <w:tab w:val="left" w:pos="4082"/>
        </w:tabs>
        <w:ind w:left="2280" w:hanging="1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ADCAFF0">
      <w:start w:val="1"/>
      <w:numFmt w:val="decimalEnclosedCircle"/>
      <w:lvlText w:val="%6"/>
      <w:lvlJc w:val="left"/>
      <w:pPr>
        <w:tabs>
          <w:tab w:val="right" w:pos="900"/>
          <w:tab w:val="left" w:pos="1247"/>
          <w:tab w:val="left" w:pos="1814"/>
          <w:tab w:val="left" w:pos="2381"/>
          <w:tab w:val="left" w:pos="2948"/>
          <w:tab w:val="left" w:pos="3515"/>
          <w:tab w:val="left" w:pos="4082"/>
        </w:tabs>
        <w:ind w:left="2700"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0C1BC6">
      <w:start w:val="1"/>
      <w:numFmt w:val="decimal"/>
      <w:lvlText w:val="%7."/>
      <w:lvlJc w:val="left"/>
      <w:pPr>
        <w:tabs>
          <w:tab w:val="right" w:pos="900"/>
          <w:tab w:val="left" w:pos="1247"/>
          <w:tab w:val="left" w:pos="1814"/>
          <w:tab w:val="left" w:pos="2381"/>
          <w:tab w:val="left" w:pos="3515"/>
          <w:tab w:val="left" w:pos="4082"/>
        </w:tabs>
        <w:ind w:left="3120" w:hanging="4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842991C">
      <w:start w:val="1"/>
      <w:numFmt w:val="aiueoFullWidth"/>
      <w:lvlText w:val="(%8)"/>
      <w:lvlJc w:val="left"/>
      <w:pPr>
        <w:tabs>
          <w:tab w:val="right" w:pos="900"/>
          <w:tab w:val="left" w:pos="1247"/>
          <w:tab w:val="left" w:pos="1814"/>
          <w:tab w:val="left" w:pos="2381"/>
          <w:tab w:val="left" w:pos="2948"/>
          <w:tab w:val="left" w:pos="4082"/>
        </w:tabs>
        <w:ind w:left="3540"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B94FD08">
      <w:start w:val="1"/>
      <w:numFmt w:val="decimalEnclosedCircle"/>
      <w:lvlText w:val="%9"/>
      <w:lvlJc w:val="left"/>
      <w:pPr>
        <w:tabs>
          <w:tab w:val="right" w:pos="900"/>
          <w:tab w:val="left" w:pos="1247"/>
          <w:tab w:val="left" w:pos="1814"/>
          <w:tab w:val="left" w:pos="2381"/>
          <w:tab w:val="left" w:pos="2948"/>
          <w:tab w:val="left" w:pos="3515"/>
          <w:tab w:val="left" w:pos="4082"/>
        </w:tabs>
        <w:ind w:left="3960" w:hanging="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983C5B"/>
    <w:multiLevelType w:val="multilevel"/>
    <w:tmpl w:val="E99CBE9E"/>
    <w:lvl w:ilvl="0">
      <w:start w:val="1"/>
      <w:numFmt w:val="bullet"/>
      <w:lvlText w:val=""/>
      <w:lvlJc w:val="left"/>
      <w:pPr>
        <w:tabs>
          <w:tab w:val="num" w:pos="1192"/>
        </w:tabs>
        <w:ind w:left="1872" w:firstLine="0"/>
      </w:pPr>
      <w:rPr>
        <w:rFonts w:ascii="Symbol" w:hAnsi="Symbol" w:hint="default"/>
      </w:rPr>
    </w:lvl>
    <w:lvl w:ilvl="1">
      <w:start w:val="1"/>
      <w:numFmt w:val="lowerLetter"/>
      <w:lvlText w:val="%2)"/>
      <w:lvlJc w:val="left"/>
      <w:pPr>
        <w:tabs>
          <w:tab w:val="num" w:pos="1192"/>
        </w:tabs>
        <w:ind w:left="1872" w:firstLine="567"/>
      </w:pPr>
      <w:rPr>
        <w:rFonts w:hint="default"/>
      </w:rPr>
    </w:lvl>
    <w:lvl w:ilvl="2">
      <w:start w:val="1"/>
      <w:numFmt w:val="lowerLetter"/>
      <w:lvlText w:val="(%3)"/>
      <w:lvlJc w:val="left"/>
      <w:pPr>
        <w:tabs>
          <w:tab w:val="num" w:pos="1192"/>
        </w:tabs>
        <w:ind w:left="3573" w:hanging="567"/>
      </w:pPr>
      <w:rPr>
        <w:rFonts w:ascii="Times New Roman" w:eastAsia="Times New Roman" w:hAnsi="Times New Roman" w:cs="Times New Roman"/>
      </w:rPr>
    </w:lvl>
    <w:lvl w:ilvl="3">
      <w:start w:val="1"/>
      <w:numFmt w:val="lowerLetter"/>
      <w:lvlText w:val="%4."/>
      <w:lvlJc w:val="left"/>
      <w:pPr>
        <w:tabs>
          <w:tab w:val="num" w:pos="1192"/>
        </w:tabs>
        <w:ind w:left="4140" w:hanging="567"/>
      </w:pPr>
      <w:rPr>
        <w:rFonts w:hint="default"/>
      </w:rPr>
    </w:lvl>
    <w:lvl w:ilvl="4">
      <w:start w:val="1"/>
      <w:numFmt w:val="lowerRoman"/>
      <w:lvlText w:val="%5."/>
      <w:lvlJc w:val="left"/>
      <w:pPr>
        <w:tabs>
          <w:tab w:val="num" w:pos="1192"/>
        </w:tabs>
        <w:ind w:left="4707" w:hanging="567"/>
      </w:pPr>
      <w:rPr>
        <w:rFonts w:hint="default"/>
      </w:rPr>
    </w:lvl>
    <w:lvl w:ilvl="5">
      <w:start w:val="1"/>
      <w:numFmt w:val="lowerRoman"/>
      <w:lvlText w:val="%6."/>
      <w:lvlJc w:val="right"/>
      <w:pPr>
        <w:tabs>
          <w:tab w:val="num" w:pos="8460"/>
        </w:tabs>
        <w:ind w:left="8460" w:hanging="180"/>
      </w:pPr>
      <w:rPr>
        <w:rFonts w:hint="default"/>
      </w:rPr>
    </w:lvl>
    <w:lvl w:ilvl="6">
      <w:start w:val="1"/>
      <w:numFmt w:val="decimal"/>
      <w:lvlText w:val="%7."/>
      <w:lvlJc w:val="left"/>
      <w:pPr>
        <w:tabs>
          <w:tab w:val="num" w:pos="9180"/>
        </w:tabs>
        <w:ind w:left="9180" w:hanging="360"/>
      </w:pPr>
      <w:rPr>
        <w:rFonts w:hint="default"/>
      </w:rPr>
    </w:lvl>
    <w:lvl w:ilvl="7">
      <w:start w:val="1"/>
      <w:numFmt w:val="lowerLetter"/>
      <w:lvlText w:val="%8."/>
      <w:lvlJc w:val="left"/>
      <w:pPr>
        <w:tabs>
          <w:tab w:val="num" w:pos="9900"/>
        </w:tabs>
        <w:ind w:left="9900" w:hanging="360"/>
      </w:pPr>
      <w:rPr>
        <w:rFonts w:hint="default"/>
      </w:rPr>
    </w:lvl>
    <w:lvl w:ilvl="8">
      <w:start w:val="1"/>
      <w:numFmt w:val="lowerRoman"/>
      <w:lvlText w:val="%9."/>
      <w:lvlJc w:val="right"/>
      <w:pPr>
        <w:tabs>
          <w:tab w:val="num" w:pos="10620"/>
        </w:tabs>
        <w:ind w:left="10620" w:hanging="180"/>
      </w:pPr>
      <w:rPr>
        <w:rFonts w:hint="default"/>
      </w:rPr>
    </w:lvl>
  </w:abstractNum>
  <w:abstractNum w:abstractNumId="3"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4" w15:restartNumberingAfterBreak="0">
    <w:nsid w:val="27506AC6"/>
    <w:multiLevelType w:val="hybridMultilevel"/>
    <w:tmpl w:val="DCE6F19C"/>
    <w:styleLink w:val="Importovanstyl5"/>
    <w:lvl w:ilvl="0" w:tplc="AAF4EDC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B04B6C">
      <w:start w:val="1"/>
      <w:numFmt w:val="lowerLetter"/>
      <w:lvlText w:val="%2."/>
      <w:lvlJc w:val="left"/>
      <w:pPr>
        <w:ind w:left="1247" w:hanging="167"/>
      </w:pPr>
      <w:rPr>
        <w:rFonts w:hAnsi="Arial Unicode MS"/>
        <w:caps w:val="0"/>
        <w:smallCaps w:val="0"/>
        <w:strike w:val="0"/>
        <w:dstrike w:val="0"/>
        <w:outline w:val="0"/>
        <w:emboss w:val="0"/>
        <w:imprint w:val="0"/>
        <w:spacing w:val="0"/>
        <w:w w:val="100"/>
        <w:kern w:val="0"/>
        <w:position w:val="0"/>
        <w:highlight w:val="none"/>
        <w:vertAlign w:val="baseline"/>
      </w:rPr>
    </w:lvl>
    <w:lvl w:ilvl="2" w:tplc="EB60587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10255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6A8AA0">
      <w:start w:val="1"/>
      <w:numFmt w:val="lowerLetter"/>
      <w:lvlText w:val="%5."/>
      <w:lvlJc w:val="left"/>
      <w:pPr>
        <w:ind w:left="3515" w:hanging="275"/>
      </w:pPr>
      <w:rPr>
        <w:rFonts w:hAnsi="Arial Unicode MS"/>
        <w:caps w:val="0"/>
        <w:smallCaps w:val="0"/>
        <w:strike w:val="0"/>
        <w:dstrike w:val="0"/>
        <w:outline w:val="0"/>
        <w:emboss w:val="0"/>
        <w:imprint w:val="0"/>
        <w:spacing w:val="0"/>
        <w:w w:val="100"/>
        <w:kern w:val="0"/>
        <w:position w:val="0"/>
        <w:highlight w:val="none"/>
        <w:vertAlign w:val="baseline"/>
      </w:rPr>
    </w:lvl>
    <w:lvl w:ilvl="5" w:tplc="9318790C">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08EDD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DE89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64021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027BE8"/>
    <w:multiLevelType w:val="hybridMultilevel"/>
    <w:tmpl w:val="328C77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003D0C"/>
    <w:multiLevelType w:val="multilevel"/>
    <w:tmpl w:val="A5E488C4"/>
    <w:styleLink w:val="WWNum25"/>
    <w:lvl w:ilvl="0">
      <w:start w:val="1"/>
      <w:numFmt w:val="decimal"/>
      <w:lvlText w:val="%1."/>
      <w:lvlJc w:val="left"/>
      <w:pPr>
        <w:ind w:left="1247" w:firstLine="0"/>
      </w:pPr>
      <w:rPr>
        <w:i w:val="0"/>
      </w:rPr>
    </w:lvl>
    <w:lvl w:ilvl="1">
      <w:start w:val="1"/>
      <w:numFmt w:val="lowerLetter"/>
      <w:lvlText w:val="(%2)"/>
      <w:lvlJc w:val="left"/>
      <w:pPr>
        <w:ind w:left="1247" w:firstLine="567"/>
      </w:pPr>
    </w:lvl>
    <w:lvl w:ilvl="2">
      <w:start w:val="1"/>
      <w:numFmt w:val="lowerRoman"/>
      <w:lvlText w:val="(%1.%2.%3)"/>
      <w:lvlJc w:val="left"/>
      <w:pPr>
        <w:ind w:left="2948" w:hanging="567"/>
      </w:pPr>
    </w:lvl>
    <w:lvl w:ilvl="3">
      <w:start w:val="1"/>
      <w:numFmt w:val="lowerLetter"/>
      <w:lvlText w:val="%1.%2.%3.%4."/>
      <w:lvlJc w:val="left"/>
      <w:pPr>
        <w:ind w:left="3515" w:hanging="567"/>
      </w:pPr>
    </w:lvl>
    <w:lvl w:ilvl="4">
      <w:start w:val="1"/>
      <w:numFmt w:val="lowerLetter"/>
      <w:lvlText w:val="%1.%2.%3.%4.%5."/>
      <w:lvlJc w:val="left"/>
      <w:pPr>
        <w:ind w:left="6548" w:hanging="360"/>
      </w:pPr>
    </w:lvl>
    <w:lvl w:ilvl="5">
      <w:start w:val="1"/>
      <w:numFmt w:val="lowerRoman"/>
      <w:lvlText w:val="%1.%2.%3.%4.%5.%6."/>
      <w:lvlJc w:val="right"/>
      <w:pPr>
        <w:ind w:left="7268" w:hanging="180"/>
      </w:pPr>
    </w:lvl>
    <w:lvl w:ilvl="6">
      <w:start w:val="1"/>
      <w:numFmt w:val="decimal"/>
      <w:lvlText w:val="%1.%2.%3.%4.%5.%6.%7."/>
      <w:lvlJc w:val="left"/>
      <w:pPr>
        <w:ind w:left="7988" w:hanging="360"/>
      </w:pPr>
    </w:lvl>
    <w:lvl w:ilvl="7">
      <w:start w:val="1"/>
      <w:numFmt w:val="lowerLetter"/>
      <w:lvlText w:val="%1.%2.%3.%4.%5.%6.%7.%8."/>
      <w:lvlJc w:val="left"/>
      <w:pPr>
        <w:ind w:left="8708" w:hanging="360"/>
      </w:pPr>
    </w:lvl>
    <w:lvl w:ilvl="8">
      <w:start w:val="1"/>
      <w:numFmt w:val="lowerRoman"/>
      <w:lvlText w:val="%1.%2.%3.%4.%5.%6.%7.%8.%9."/>
      <w:lvlJc w:val="right"/>
      <w:pPr>
        <w:ind w:left="9428" w:hanging="180"/>
      </w:pPr>
    </w:lvl>
  </w:abstractNum>
  <w:abstractNum w:abstractNumId="7" w15:restartNumberingAfterBreak="0">
    <w:nsid w:val="313F0430"/>
    <w:multiLevelType w:val="multilevel"/>
    <w:tmpl w:val="E99CBE9E"/>
    <w:lvl w:ilvl="0">
      <w:start w:val="1"/>
      <w:numFmt w:val="bullet"/>
      <w:lvlText w:val=""/>
      <w:lvlJc w:val="left"/>
      <w:pPr>
        <w:tabs>
          <w:tab w:val="num" w:pos="1192"/>
        </w:tabs>
        <w:ind w:left="1872" w:firstLine="0"/>
      </w:pPr>
      <w:rPr>
        <w:rFonts w:ascii="Symbol" w:hAnsi="Symbol" w:hint="default"/>
      </w:rPr>
    </w:lvl>
    <w:lvl w:ilvl="1">
      <w:start w:val="1"/>
      <w:numFmt w:val="lowerLetter"/>
      <w:lvlText w:val="%2)"/>
      <w:lvlJc w:val="left"/>
      <w:pPr>
        <w:tabs>
          <w:tab w:val="num" w:pos="1192"/>
        </w:tabs>
        <w:ind w:left="1872" w:firstLine="567"/>
      </w:pPr>
      <w:rPr>
        <w:rFonts w:hint="default"/>
      </w:rPr>
    </w:lvl>
    <w:lvl w:ilvl="2">
      <w:start w:val="1"/>
      <w:numFmt w:val="lowerLetter"/>
      <w:lvlText w:val="(%3)"/>
      <w:lvlJc w:val="left"/>
      <w:pPr>
        <w:tabs>
          <w:tab w:val="num" w:pos="1192"/>
        </w:tabs>
        <w:ind w:left="3573" w:hanging="567"/>
      </w:pPr>
      <w:rPr>
        <w:rFonts w:ascii="Times New Roman" w:eastAsia="Times New Roman" w:hAnsi="Times New Roman" w:cs="Times New Roman"/>
      </w:rPr>
    </w:lvl>
    <w:lvl w:ilvl="3">
      <w:start w:val="1"/>
      <w:numFmt w:val="lowerLetter"/>
      <w:lvlText w:val="%4."/>
      <w:lvlJc w:val="left"/>
      <w:pPr>
        <w:tabs>
          <w:tab w:val="num" w:pos="1192"/>
        </w:tabs>
        <w:ind w:left="4140" w:hanging="567"/>
      </w:pPr>
      <w:rPr>
        <w:rFonts w:hint="default"/>
      </w:rPr>
    </w:lvl>
    <w:lvl w:ilvl="4">
      <w:start w:val="1"/>
      <w:numFmt w:val="lowerRoman"/>
      <w:lvlText w:val="%5."/>
      <w:lvlJc w:val="left"/>
      <w:pPr>
        <w:tabs>
          <w:tab w:val="num" w:pos="1192"/>
        </w:tabs>
        <w:ind w:left="4707" w:hanging="567"/>
      </w:pPr>
      <w:rPr>
        <w:rFonts w:hint="default"/>
      </w:rPr>
    </w:lvl>
    <w:lvl w:ilvl="5">
      <w:start w:val="1"/>
      <w:numFmt w:val="lowerRoman"/>
      <w:lvlText w:val="%6."/>
      <w:lvlJc w:val="right"/>
      <w:pPr>
        <w:tabs>
          <w:tab w:val="num" w:pos="8460"/>
        </w:tabs>
        <w:ind w:left="8460" w:hanging="180"/>
      </w:pPr>
      <w:rPr>
        <w:rFonts w:hint="default"/>
      </w:rPr>
    </w:lvl>
    <w:lvl w:ilvl="6">
      <w:start w:val="1"/>
      <w:numFmt w:val="decimal"/>
      <w:lvlText w:val="%7."/>
      <w:lvlJc w:val="left"/>
      <w:pPr>
        <w:tabs>
          <w:tab w:val="num" w:pos="9180"/>
        </w:tabs>
        <w:ind w:left="9180" w:hanging="360"/>
      </w:pPr>
      <w:rPr>
        <w:rFonts w:hint="default"/>
      </w:rPr>
    </w:lvl>
    <w:lvl w:ilvl="7">
      <w:start w:val="1"/>
      <w:numFmt w:val="lowerLetter"/>
      <w:lvlText w:val="%8."/>
      <w:lvlJc w:val="left"/>
      <w:pPr>
        <w:tabs>
          <w:tab w:val="num" w:pos="9900"/>
        </w:tabs>
        <w:ind w:left="9900" w:hanging="360"/>
      </w:pPr>
      <w:rPr>
        <w:rFonts w:hint="default"/>
      </w:rPr>
    </w:lvl>
    <w:lvl w:ilvl="8">
      <w:start w:val="1"/>
      <w:numFmt w:val="lowerRoman"/>
      <w:lvlText w:val="%9."/>
      <w:lvlJc w:val="right"/>
      <w:pPr>
        <w:tabs>
          <w:tab w:val="num" w:pos="10620"/>
        </w:tabs>
        <w:ind w:left="10620" w:hanging="180"/>
      </w:pPr>
      <w:rPr>
        <w:rFonts w:hint="default"/>
      </w:rPr>
    </w:lvl>
  </w:abstractNum>
  <w:abstractNum w:abstractNumId="8"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9" w15:restartNumberingAfterBreak="0">
    <w:nsid w:val="41505400"/>
    <w:multiLevelType w:val="hybridMultilevel"/>
    <w:tmpl w:val="A64ADA34"/>
    <w:styleLink w:val="Importovanstyl6"/>
    <w:lvl w:ilvl="0" w:tplc="7B446134">
      <w:start w:val="1"/>
      <w:numFmt w:val="lowerRoman"/>
      <w:lvlText w:val="(%1)"/>
      <w:lvlJc w:val="left"/>
      <w:pPr>
        <w:tabs>
          <w:tab w:val="left" w:pos="624"/>
          <w:tab w:val="num" w:pos="1247"/>
          <w:tab w:val="left" w:pos="1814"/>
          <w:tab w:val="left" w:pos="2381"/>
          <w:tab w:val="left" w:pos="2948"/>
          <w:tab w:val="left" w:pos="3515"/>
        </w:tabs>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93127F10">
      <w:start w:val="1"/>
      <w:numFmt w:val="lowerLetter"/>
      <w:lvlText w:val="%2."/>
      <w:lvlJc w:val="left"/>
      <w:pPr>
        <w:tabs>
          <w:tab w:val="left" w:pos="624"/>
          <w:tab w:val="left" w:pos="1247"/>
          <w:tab w:val="num" w:pos="1620"/>
          <w:tab w:val="left" w:pos="1814"/>
          <w:tab w:val="left" w:pos="2381"/>
          <w:tab w:val="left" w:pos="2948"/>
          <w:tab w:val="left" w:pos="3515"/>
        </w:tabs>
        <w:ind w:left="1633" w:hanging="193"/>
      </w:pPr>
      <w:rPr>
        <w:rFonts w:hAnsi="Arial Unicode MS"/>
        <w:caps w:val="0"/>
        <w:smallCaps w:val="0"/>
        <w:strike w:val="0"/>
        <w:dstrike w:val="0"/>
        <w:outline w:val="0"/>
        <w:emboss w:val="0"/>
        <w:imprint w:val="0"/>
        <w:spacing w:val="0"/>
        <w:w w:val="100"/>
        <w:kern w:val="0"/>
        <w:position w:val="0"/>
        <w:highlight w:val="none"/>
        <w:vertAlign w:val="baseline"/>
      </w:rPr>
    </w:lvl>
    <w:lvl w:ilvl="2" w:tplc="EB907B42">
      <w:start w:val="1"/>
      <w:numFmt w:val="lowerRoman"/>
      <w:suff w:val="nothing"/>
      <w:lvlText w:val="%3."/>
      <w:lvlJc w:val="left"/>
      <w:pPr>
        <w:tabs>
          <w:tab w:val="left" w:pos="624"/>
          <w:tab w:val="left" w:pos="1247"/>
          <w:tab w:val="left" w:pos="1814"/>
          <w:tab w:val="left" w:pos="2381"/>
          <w:tab w:val="left" w:pos="2948"/>
          <w:tab w:val="left" w:pos="3515"/>
        </w:tabs>
        <w:ind w:left="2353"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F5D69BA4">
      <w:start w:val="1"/>
      <w:numFmt w:val="decimal"/>
      <w:lvlText w:val="%4."/>
      <w:lvlJc w:val="left"/>
      <w:pPr>
        <w:tabs>
          <w:tab w:val="left" w:pos="624"/>
          <w:tab w:val="left" w:pos="1247"/>
          <w:tab w:val="left" w:pos="1814"/>
          <w:tab w:val="left" w:pos="2381"/>
          <w:tab w:val="left" w:pos="2948"/>
          <w:tab w:val="num" w:pos="3060"/>
          <w:tab w:val="left" w:pos="3515"/>
        </w:tabs>
        <w:ind w:left="3073" w:hanging="193"/>
      </w:pPr>
      <w:rPr>
        <w:rFonts w:hAnsi="Arial Unicode MS"/>
        <w:caps w:val="0"/>
        <w:smallCaps w:val="0"/>
        <w:strike w:val="0"/>
        <w:dstrike w:val="0"/>
        <w:outline w:val="0"/>
        <w:emboss w:val="0"/>
        <w:imprint w:val="0"/>
        <w:spacing w:val="0"/>
        <w:w w:val="100"/>
        <w:kern w:val="0"/>
        <w:position w:val="0"/>
        <w:highlight w:val="none"/>
        <w:vertAlign w:val="baseline"/>
      </w:rPr>
    </w:lvl>
    <w:lvl w:ilvl="4" w:tplc="672A2F72">
      <w:start w:val="1"/>
      <w:numFmt w:val="lowerLetter"/>
      <w:lvlText w:val="%5."/>
      <w:lvlJc w:val="left"/>
      <w:pPr>
        <w:tabs>
          <w:tab w:val="left" w:pos="624"/>
          <w:tab w:val="left" w:pos="1247"/>
          <w:tab w:val="left" w:pos="1814"/>
          <w:tab w:val="left" w:pos="2381"/>
          <w:tab w:val="left" w:pos="2948"/>
          <w:tab w:val="left" w:pos="3515"/>
          <w:tab w:val="num" w:pos="3780"/>
        </w:tabs>
        <w:ind w:left="3793" w:hanging="193"/>
      </w:pPr>
      <w:rPr>
        <w:rFonts w:hAnsi="Arial Unicode MS"/>
        <w:caps w:val="0"/>
        <w:smallCaps w:val="0"/>
        <w:strike w:val="0"/>
        <w:dstrike w:val="0"/>
        <w:outline w:val="0"/>
        <w:emboss w:val="0"/>
        <w:imprint w:val="0"/>
        <w:spacing w:val="0"/>
        <w:w w:val="100"/>
        <w:kern w:val="0"/>
        <w:position w:val="0"/>
        <w:highlight w:val="none"/>
        <w:vertAlign w:val="baseline"/>
      </w:rPr>
    </w:lvl>
    <w:lvl w:ilvl="5" w:tplc="986A8F06">
      <w:start w:val="1"/>
      <w:numFmt w:val="lowerRoman"/>
      <w:lvlText w:val="%6."/>
      <w:lvlJc w:val="left"/>
      <w:pPr>
        <w:tabs>
          <w:tab w:val="left" w:pos="624"/>
          <w:tab w:val="left" w:pos="1247"/>
          <w:tab w:val="left" w:pos="1814"/>
          <w:tab w:val="left" w:pos="2381"/>
          <w:tab w:val="left" w:pos="2948"/>
          <w:tab w:val="left" w:pos="3515"/>
          <w:tab w:val="num" w:pos="4500"/>
        </w:tabs>
        <w:ind w:left="4513" w:hanging="605"/>
      </w:pPr>
      <w:rPr>
        <w:rFonts w:hAnsi="Arial Unicode MS"/>
        <w:caps w:val="0"/>
        <w:smallCaps w:val="0"/>
        <w:strike w:val="0"/>
        <w:dstrike w:val="0"/>
        <w:outline w:val="0"/>
        <w:emboss w:val="0"/>
        <w:imprint w:val="0"/>
        <w:spacing w:val="0"/>
        <w:w w:val="100"/>
        <w:kern w:val="0"/>
        <w:position w:val="0"/>
        <w:highlight w:val="none"/>
        <w:vertAlign w:val="baseline"/>
      </w:rPr>
    </w:lvl>
    <w:lvl w:ilvl="6" w:tplc="3DE28712">
      <w:start w:val="1"/>
      <w:numFmt w:val="decimal"/>
      <w:lvlText w:val="%7."/>
      <w:lvlJc w:val="left"/>
      <w:pPr>
        <w:tabs>
          <w:tab w:val="left" w:pos="624"/>
          <w:tab w:val="left" w:pos="1247"/>
          <w:tab w:val="left" w:pos="1814"/>
          <w:tab w:val="left" w:pos="2381"/>
          <w:tab w:val="left" w:pos="2948"/>
          <w:tab w:val="left" w:pos="3515"/>
          <w:tab w:val="num" w:pos="5220"/>
        </w:tabs>
        <w:ind w:left="5233" w:hanging="193"/>
      </w:pPr>
      <w:rPr>
        <w:rFonts w:hAnsi="Arial Unicode MS"/>
        <w:caps w:val="0"/>
        <w:smallCaps w:val="0"/>
        <w:strike w:val="0"/>
        <w:dstrike w:val="0"/>
        <w:outline w:val="0"/>
        <w:emboss w:val="0"/>
        <w:imprint w:val="0"/>
        <w:spacing w:val="0"/>
        <w:w w:val="100"/>
        <w:kern w:val="0"/>
        <w:position w:val="0"/>
        <w:highlight w:val="none"/>
        <w:vertAlign w:val="baseline"/>
      </w:rPr>
    </w:lvl>
    <w:lvl w:ilvl="7" w:tplc="37D8D5FA">
      <w:start w:val="1"/>
      <w:numFmt w:val="lowerLetter"/>
      <w:lvlText w:val="%8."/>
      <w:lvlJc w:val="left"/>
      <w:pPr>
        <w:tabs>
          <w:tab w:val="left" w:pos="624"/>
          <w:tab w:val="left" w:pos="1247"/>
          <w:tab w:val="left" w:pos="1814"/>
          <w:tab w:val="left" w:pos="2381"/>
          <w:tab w:val="left" w:pos="2948"/>
          <w:tab w:val="left" w:pos="3515"/>
          <w:tab w:val="num" w:pos="5940"/>
        </w:tabs>
        <w:ind w:left="5953" w:hanging="193"/>
      </w:pPr>
      <w:rPr>
        <w:rFonts w:hAnsi="Arial Unicode MS"/>
        <w:caps w:val="0"/>
        <w:smallCaps w:val="0"/>
        <w:strike w:val="0"/>
        <w:dstrike w:val="0"/>
        <w:outline w:val="0"/>
        <w:emboss w:val="0"/>
        <w:imprint w:val="0"/>
        <w:spacing w:val="0"/>
        <w:w w:val="100"/>
        <w:kern w:val="0"/>
        <w:position w:val="0"/>
        <w:highlight w:val="none"/>
        <w:vertAlign w:val="baseline"/>
      </w:rPr>
    </w:lvl>
    <w:lvl w:ilvl="8" w:tplc="74B6C704">
      <w:start w:val="1"/>
      <w:numFmt w:val="lowerRoman"/>
      <w:lvlText w:val="%9."/>
      <w:lvlJc w:val="left"/>
      <w:pPr>
        <w:tabs>
          <w:tab w:val="left" w:pos="624"/>
          <w:tab w:val="left" w:pos="1247"/>
          <w:tab w:val="left" w:pos="1814"/>
          <w:tab w:val="left" w:pos="2381"/>
          <w:tab w:val="left" w:pos="2948"/>
          <w:tab w:val="left" w:pos="3515"/>
          <w:tab w:val="num" w:pos="6660"/>
        </w:tabs>
        <w:ind w:left="6673" w:hanging="3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26014AA"/>
    <w:multiLevelType w:val="multilevel"/>
    <w:tmpl w:val="E99CBE9E"/>
    <w:lvl w:ilvl="0">
      <w:start w:val="1"/>
      <w:numFmt w:val="bullet"/>
      <w:lvlText w:val=""/>
      <w:lvlJc w:val="left"/>
      <w:pPr>
        <w:tabs>
          <w:tab w:val="num" w:pos="1192"/>
        </w:tabs>
        <w:ind w:left="1872" w:firstLine="0"/>
      </w:pPr>
      <w:rPr>
        <w:rFonts w:ascii="Symbol" w:hAnsi="Symbol" w:hint="default"/>
      </w:rPr>
    </w:lvl>
    <w:lvl w:ilvl="1">
      <w:start w:val="1"/>
      <w:numFmt w:val="lowerLetter"/>
      <w:lvlText w:val="%2)"/>
      <w:lvlJc w:val="left"/>
      <w:pPr>
        <w:tabs>
          <w:tab w:val="num" w:pos="1192"/>
        </w:tabs>
        <w:ind w:left="1872" w:firstLine="567"/>
      </w:pPr>
      <w:rPr>
        <w:rFonts w:hint="default"/>
      </w:rPr>
    </w:lvl>
    <w:lvl w:ilvl="2">
      <w:start w:val="1"/>
      <w:numFmt w:val="lowerLetter"/>
      <w:lvlText w:val="(%3)"/>
      <w:lvlJc w:val="left"/>
      <w:pPr>
        <w:tabs>
          <w:tab w:val="num" w:pos="1192"/>
        </w:tabs>
        <w:ind w:left="3573" w:hanging="567"/>
      </w:pPr>
      <w:rPr>
        <w:rFonts w:ascii="Times New Roman" w:eastAsia="Times New Roman" w:hAnsi="Times New Roman" w:cs="Times New Roman"/>
      </w:rPr>
    </w:lvl>
    <w:lvl w:ilvl="3">
      <w:start w:val="1"/>
      <w:numFmt w:val="lowerLetter"/>
      <w:lvlText w:val="%4."/>
      <w:lvlJc w:val="left"/>
      <w:pPr>
        <w:tabs>
          <w:tab w:val="num" w:pos="1192"/>
        </w:tabs>
        <w:ind w:left="4140" w:hanging="567"/>
      </w:pPr>
      <w:rPr>
        <w:rFonts w:hint="default"/>
      </w:rPr>
    </w:lvl>
    <w:lvl w:ilvl="4">
      <w:start w:val="1"/>
      <w:numFmt w:val="lowerRoman"/>
      <w:lvlText w:val="%5."/>
      <w:lvlJc w:val="left"/>
      <w:pPr>
        <w:tabs>
          <w:tab w:val="num" w:pos="1192"/>
        </w:tabs>
        <w:ind w:left="4707" w:hanging="567"/>
      </w:pPr>
      <w:rPr>
        <w:rFonts w:hint="default"/>
      </w:rPr>
    </w:lvl>
    <w:lvl w:ilvl="5">
      <w:start w:val="1"/>
      <w:numFmt w:val="lowerRoman"/>
      <w:lvlText w:val="%6."/>
      <w:lvlJc w:val="right"/>
      <w:pPr>
        <w:tabs>
          <w:tab w:val="num" w:pos="8460"/>
        </w:tabs>
        <w:ind w:left="8460" w:hanging="180"/>
      </w:pPr>
      <w:rPr>
        <w:rFonts w:hint="default"/>
      </w:rPr>
    </w:lvl>
    <w:lvl w:ilvl="6">
      <w:start w:val="1"/>
      <w:numFmt w:val="decimal"/>
      <w:lvlText w:val="%7."/>
      <w:lvlJc w:val="left"/>
      <w:pPr>
        <w:tabs>
          <w:tab w:val="num" w:pos="9180"/>
        </w:tabs>
        <w:ind w:left="9180" w:hanging="360"/>
      </w:pPr>
      <w:rPr>
        <w:rFonts w:hint="default"/>
      </w:rPr>
    </w:lvl>
    <w:lvl w:ilvl="7">
      <w:start w:val="1"/>
      <w:numFmt w:val="lowerLetter"/>
      <w:lvlText w:val="%8."/>
      <w:lvlJc w:val="left"/>
      <w:pPr>
        <w:tabs>
          <w:tab w:val="num" w:pos="9900"/>
        </w:tabs>
        <w:ind w:left="9900" w:hanging="360"/>
      </w:pPr>
      <w:rPr>
        <w:rFonts w:hint="default"/>
      </w:rPr>
    </w:lvl>
    <w:lvl w:ilvl="8">
      <w:start w:val="1"/>
      <w:numFmt w:val="lowerRoman"/>
      <w:lvlText w:val="%9."/>
      <w:lvlJc w:val="right"/>
      <w:pPr>
        <w:tabs>
          <w:tab w:val="num" w:pos="10620"/>
        </w:tabs>
        <w:ind w:left="10620" w:hanging="180"/>
      </w:pPr>
      <w:rPr>
        <w:rFonts w:hint="default"/>
      </w:rPr>
    </w:lvl>
  </w:abstractNum>
  <w:abstractNum w:abstractNumId="11" w15:restartNumberingAfterBreak="0">
    <w:nsid w:val="52A66A9D"/>
    <w:multiLevelType w:val="multilevel"/>
    <w:tmpl w:val="D6086A58"/>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Letter"/>
      <w:lvlText w:val="(%3)"/>
      <w:lvlJc w:val="left"/>
      <w:pPr>
        <w:tabs>
          <w:tab w:val="num" w:pos="567"/>
        </w:tabs>
        <w:ind w:left="2948" w:hanging="567"/>
      </w:pPr>
      <w:rPr>
        <w:rFonts w:ascii="Times New Roman" w:eastAsia="Times New Roman" w:hAnsi="Times New Roman" w:cs="Times New Roman"/>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6112476D"/>
    <w:multiLevelType w:val="multilevel"/>
    <w:tmpl w:val="E99CBE9E"/>
    <w:lvl w:ilvl="0">
      <w:start w:val="1"/>
      <w:numFmt w:val="bullet"/>
      <w:lvlText w:val=""/>
      <w:lvlJc w:val="left"/>
      <w:pPr>
        <w:tabs>
          <w:tab w:val="num" w:pos="1192"/>
        </w:tabs>
        <w:ind w:left="1872" w:firstLine="0"/>
      </w:pPr>
      <w:rPr>
        <w:rFonts w:ascii="Symbol" w:hAnsi="Symbol" w:hint="default"/>
      </w:rPr>
    </w:lvl>
    <w:lvl w:ilvl="1">
      <w:start w:val="1"/>
      <w:numFmt w:val="lowerLetter"/>
      <w:lvlText w:val="%2)"/>
      <w:lvlJc w:val="left"/>
      <w:pPr>
        <w:tabs>
          <w:tab w:val="num" w:pos="1192"/>
        </w:tabs>
        <w:ind w:left="1872" w:firstLine="567"/>
      </w:pPr>
      <w:rPr>
        <w:rFonts w:hint="default"/>
      </w:rPr>
    </w:lvl>
    <w:lvl w:ilvl="2">
      <w:start w:val="1"/>
      <w:numFmt w:val="lowerLetter"/>
      <w:lvlText w:val="(%3)"/>
      <w:lvlJc w:val="left"/>
      <w:pPr>
        <w:tabs>
          <w:tab w:val="num" w:pos="1192"/>
        </w:tabs>
        <w:ind w:left="3573" w:hanging="567"/>
      </w:pPr>
      <w:rPr>
        <w:rFonts w:ascii="Times New Roman" w:eastAsia="Times New Roman" w:hAnsi="Times New Roman" w:cs="Times New Roman"/>
      </w:rPr>
    </w:lvl>
    <w:lvl w:ilvl="3">
      <w:start w:val="1"/>
      <w:numFmt w:val="lowerLetter"/>
      <w:lvlText w:val="%4."/>
      <w:lvlJc w:val="left"/>
      <w:pPr>
        <w:tabs>
          <w:tab w:val="num" w:pos="1192"/>
        </w:tabs>
        <w:ind w:left="4140" w:hanging="567"/>
      </w:pPr>
      <w:rPr>
        <w:rFonts w:hint="default"/>
      </w:rPr>
    </w:lvl>
    <w:lvl w:ilvl="4">
      <w:start w:val="1"/>
      <w:numFmt w:val="lowerRoman"/>
      <w:lvlText w:val="%5."/>
      <w:lvlJc w:val="left"/>
      <w:pPr>
        <w:tabs>
          <w:tab w:val="num" w:pos="1192"/>
        </w:tabs>
        <w:ind w:left="4707" w:hanging="567"/>
      </w:pPr>
      <w:rPr>
        <w:rFonts w:hint="default"/>
      </w:rPr>
    </w:lvl>
    <w:lvl w:ilvl="5">
      <w:start w:val="1"/>
      <w:numFmt w:val="lowerRoman"/>
      <w:lvlText w:val="%6."/>
      <w:lvlJc w:val="right"/>
      <w:pPr>
        <w:tabs>
          <w:tab w:val="num" w:pos="8460"/>
        </w:tabs>
        <w:ind w:left="8460" w:hanging="180"/>
      </w:pPr>
      <w:rPr>
        <w:rFonts w:hint="default"/>
      </w:rPr>
    </w:lvl>
    <w:lvl w:ilvl="6">
      <w:start w:val="1"/>
      <w:numFmt w:val="decimal"/>
      <w:lvlText w:val="%7."/>
      <w:lvlJc w:val="left"/>
      <w:pPr>
        <w:tabs>
          <w:tab w:val="num" w:pos="9180"/>
        </w:tabs>
        <w:ind w:left="9180" w:hanging="360"/>
      </w:pPr>
      <w:rPr>
        <w:rFonts w:hint="default"/>
      </w:rPr>
    </w:lvl>
    <w:lvl w:ilvl="7">
      <w:start w:val="1"/>
      <w:numFmt w:val="lowerLetter"/>
      <w:lvlText w:val="%8."/>
      <w:lvlJc w:val="left"/>
      <w:pPr>
        <w:tabs>
          <w:tab w:val="num" w:pos="9900"/>
        </w:tabs>
        <w:ind w:left="9900" w:hanging="360"/>
      </w:pPr>
      <w:rPr>
        <w:rFonts w:hint="default"/>
      </w:rPr>
    </w:lvl>
    <w:lvl w:ilvl="8">
      <w:start w:val="1"/>
      <w:numFmt w:val="lowerRoman"/>
      <w:lvlText w:val="%9."/>
      <w:lvlJc w:val="right"/>
      <w:pPr>
        <w:tabs>
          <w:tab w:val="num" w:pos="10620"/>
        </w:tabs>
        <w:ind w:left="10620" w:hanging="180"/>
      </w:pPr>
      <w:rPr>
        <w:rFonts w:hint="default"/>
      </w:rPr>
    </w:lvl>
  </w:abstractNum>
  <w:abstractNum w:abstractNumId="13" w15:restartNumberingAfterBreak="0">
    <w:nsid w:val="73820BC3"/>
    <w:multiLevelType w:val="hybridMultilevel"/>
    <w:tmpl w:val="A9C2127E"/>
    <w:lvl w:ilvl="0" w:tplc="5A0CF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C614F"/>
    <w:multiLevelType w:val="hybridMultilevel"/>
    <w:tmpl w:val="3476F4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decimal"/>
        <w:pStyle w:val="Normalnumber"/>
        <w:lvlText w:val="%1."/>
        <w:lvlJc w:val="left"/>
        <w:pPr>
          <w:tabs>
            <w:tab w:val="num" w:pos="567"/>
          </w:tabs>
          <w:ind w:left="1247" w:firstLine="0"/>
        </w:pPr>
        <w:rPr>
          <w:rFonts w:hint="default"/>
          <w:b w:val="0"/>
          <w:bCs/>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Letter"/>
        <w:lvlText w:val="(%3)"/>
        <w:lvlJc w:val="left"/>
        <w:pPr>
          <w:tabs>
            <w:tab w:val="num" w:pos="567"/>
          </w:tabs>
          <w:ind w:left="2948" w:hanging="567"/>
        </w:pPr>
        <w:rPr>
          <w:rFonts w:ascii="Times New Roman" w:eastAsia="Times New Roman" w:hAnsi="Times New Roman" w:cs="Times New Roman"/>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abstractNumId w:val="3"/>
  </w:num>
  <w:num w:numId="3">
    <w:abstractNumId w:val="8"/>
  </w:num>
  <w:num w:numId="4">
    <w:abstractNumId w:val="11"/>
  </w:num>
  <w:num w:numId="5">
    <w:abstractNumId w:val="6"/>
  </w:num>
  <w:num w:numId="6">
    <w:abstractNumId w:val="1"/>
  </w:num>
  <w:num w:numId="7">
    <w:abstractNumId w:val="4"/>
  </w:num>
  <w:num w:numId="8">
    <w:abstractNumId w:val="9"/>
  </w:num>
  <w:num w:numId="9">
    <w:abstractNumId w:val="10"/>
  </w:num>
  <w:num w:numId="10">
    <w:abstractNumId w:val="7"/>
  </w:num>
  <w:num w:numId="11">
    <w:abstractNumId w:val="12"/>
  </w:num>
  <w:num w:numId="12">
    <w:abstractNumId w:val="2"/>
  </w:num>
  <w:num w:numId="13">
    <w:abstractNumId w:val="13"/>
  </w:num>
  <w:num w:numId="14">
    <w:abstractNumId w:val="14"/>
  </w:num>
  <w:num w:numId="15">
    <w:abstractNumId w:val="5"/>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displayBackgroundShape/>
  <w:activeWritingStyle w:appName="MSWord" w:lang="fr-FR" w:vendorID="64" w:dllVersion="0" w:nlCheck="1" w:checkStyle="0"/>
  <w:activeWritingStyle w:appName="MSWord" w:lang="en-US" w:vendorID="64" w:dllVersion="0" w:nlCheck="1" w:checkStyle="1"/>
  <w:activeWritingStyle w:appName="MSWord" w:lang="en-GB" w:vendorID="64" w:dllVersion="0" w:nlCheck="1" w:checkStyle="1"/>
  <w:activeWritingStyle w:appName="MSWord" w:lang="es-ES" w:vendorID="64" w:dllVersion="0" w:nlCheck="1" w:checkStyle="1"/>
  <w:activeWritingStyle w:appName="MSWord" w:lang="fr-CA" w:vendorID="64" w:dllVersion="0" w:nlCheck="1" w:checkStyle="1"/>
  <w:activeWritingStyle w:appName="MSWord" w:lang="fr-CA"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fr-CH" w:vendorID="64" w:dllVersion="0" w:nlCheck="1" w:checkStyle="0"/>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2B"/>
    <w:rsid w:val="00000958"/>
    <w:rsid w:val="000015B4"/>
    <w:rsid w:val="00002CEE"/>
    <w:rsid w:val="000103ED"/>
    <w:rsid w:val="000149E6"/>
    <w:rsid w:val="00014ED7"/>
    <w:rsid w:val="00015D8E"/>
    <w:rsid w:val="0001627D"/>
    <w:rsid w:val="000212D3"/>
    <w:rsid w:val="000247B0"/>
    <w:rsid w:val="00026997"/>
    <w:rsid w:val="00027BF0"/>
    <w:rsid w:val="00031923"/>
    <w:rsid w:val="00033E0B"/>
    <w:rsid w:val="00034FE4"/>
    <w:rsid w:val="00035EDE"/>
    <w:rsid w:val="00037AAB"/>
    <w:rsid w:val="000401F6"/>
    <w:rsid w:val="0005050F"/>
    <w:rsid w:val="000509B4"/>
    <w:rsid w:val="0005122A"/>
    <w:rsid w:val="000538FC"/>
    <w:rsid w:val="00054340"/>
    <w:rsid w:val="0006035B"/>
    <w:rsid w:val="0006043A"/>
    <w:rsid w:val="000625E5"/>
    <w:rsid w:val="0007166E"/>
    <w:rsid w:val="00071886"/>
    <w:rsid w:val="000742BC"/>
    <w:rsid w:val="00075A53"/>
    <w:rsid w:val="0008063A"/>
    <w:rsid w:val="00080BFE"/>
    <w:rsid w:val="00082A0C"/>
    <w:rsid w:val="00083504"/>
    <w:rsid w:val="00087CBF"/>
    <w:rsid w:val="00087D83"/>
    <w:rsid w:val="000908BF"/>
    <w:rsid w:val="00091E7D"/>
    <w:rsid w:val="00094DFB"/>
    <w:rsid w:val="0009558D"/>
    <w:rsid w:val="0009640C"/>
    <w:rsid w:val="000A2D90"/>
    <w:rsid w:val="000B21D5"/>
    <w:rsid w:val="000B22A2"/>
    <w:rsid w:val="000B42DF"/>
    <w:rsid w:val="000B464C"/>
    <w:rsid w:val="000B75FA"/>
    <w:rsid w:val="000B77B1"/>
    <w:rsid w:val="000C1439"/>
    <w:rsid w:val="000C2A52"/>
    <w:rsid w:val="000D00CF"/>
    <w:rsid w:val="000D129E"/>
    <w:rsid w:val="000D33C0"/>
    <w:rsid w:val="000D47B4"/>
    <w:rsid w:val="000D6941"/>
    <w:rsid w:val="000D76F6"/>
    <w:rsid w:val="000D7FFB"/>
    <w:rsid w:val="000E03B8"/>
    <w:rsid w:val="000E19E1"/>
    <w:rsid w:val="000E3884"/>
    <w:rsid w:val="000E39A5"/>
    <w:rsid w:val="000E3A31"/>
    <w:rsid w:val="000E3F3F"/>
    <w:rsid w:val="000E69B8"/>
    <w:rsid w:val="000F1890"/>
    <w:rsid w:val="000F2791"/>
    <w:rsid w:val="000F4FFD"/>
    <w:rsid w:val="000F79F8"/>
    <w:rsid w:val="0010138E"/>
    <w:rsid w:val="00102FE5"/>
    <w:rsid w:val="001033D1"/>
    <w:rsid w:val="001057E0"/>
    <w:rsid w:val="00105F8B"/>
    <w:rsid w:val="0010712F"/>
    <w:rsid w:val="001140D8"/>
    <w:rsid w:val="001158FB"/>
    <w:rsid w:val="001167F6"/>
    <w:rsid w:val="001202E3"/>
    <w:rsid w:val="00120DD2"/>
    <w:rsid w:val="001219F2"/>
    <w:rsid w:val="00123699"/>
    <w:rsid w:val="00126CF6"/>
    <w:rsid w:val="0013059D"/>
    <w:rsid w:val="0013207E"/>
    <w:rsid w:val="00133B31"/>
    <w:rsid w:val="001354BD"/>
    <w:rsid w:val="00137177"/>
    <w:rsid w:val="001379C7"/>
    <w:rsid w:val="00141414"/>
    <w:rsid w:val="00141A55"/>
    <w:rsid w:val="0014393C"/>
    <w:rsid w:val="001446A3"/>
    <w:rsid w:val="00147EE2"/>
    <w:rsid w:val="00150BCB"/>
    <w:rsid w:val="001540DC"/>
    <w:rsid w:val="00155395"/>
    <w:rsid w:val="0015581B"/>
    <w:rsid w:val="00157B53"/>
    <w:rsid w:val="00163483"/>
    <w:rsid w:val="001677D3"/>
    <w:rsid w:val="001735C2"/>
    <w:rsid w:val="0017550C"/>
    <w:rsid w:val="001766BA"/>
    <w:rsid w:val="00176FC1"/>
    <w:rsid w:val="00181B9D"/>
    <w:rsid w:val="00181EC8"/>
    <w:rsid w:val="0018249B"/>
    <w:rsid w:val="0018277E"/>
    <w:rsid w:val="00184349"/>
    <w:rsid w:val="0019121B"/>
    <w:rsid w:val="00191FC3"/>
    <w:rsid w:val="00193C4D"/>
    <w:rsid w:val="00195F33"/>
    <w:rsid w:val="001975DF"/>
    <w:rsid w:val="00197E3D"/>
    <w:rsid w:val="001A368A"/>
    <w:rsid w:val="001A671C"/>
    <w:rsid w:val="001A6F7D"/>
    <w:rsid w:val="001A7543"/>
    <w:rsid w:val="001B0AEA"/>
    <w:rsid w:val="001B1617"/>
    <w:rsid w:val="001B34E3"/>
    <w:rsid w:val="001B504B"/>
    <w:rsid w:val="001C0840"/>
    <w:rsid w:val="001C2CC5"/>
    <w:rsid w:val="001C4F14"/>
    <w:rsid w:val="001C64E0"/>
    <w:rsid w:val="001C6B9D"/>
    <w:rsid w:val="001C7C0E"/>
    <w:rsid w:val="001D3874"/>
    <w:rsid w:val="001D64DF"/>
    <w:rsid w:val="001D7E75"/>
    <w:rsid w:val="001E06CD"/>
    <w:rsid w:val="001E32EF"/>
    <w:rsid w:val="001E4111"/>
    <w:rsid w:val="001E4820"/>
    <w:rsid w:val="001E56D2"/>
    <w:rsid w:val="001E67F5"/>
    <w:rsid w:val="001E7D56"/>
    <w:rsid w:val="001F004A"/>
    <w:rsid w:val="001F1E2E"/>
    <w:rsid w:val="001F273D"/>
    <w:rsid w:val="001F31BD"/>
    <w:rsid w:val="001F75DE"/>
    <w:rsid w:val="00200D58"/>
    <w:rsid w:val="002013BE"/>
    <w:rsid w:val="00201595"/>
    <w:rsid w:val="00203A22"/>
    <w:rsid w:val="002063A4"/>
    <w:rsid w:val="00206849"/>
    <w:rsid w:val="00206FB1"/>
    <w:rsid w:val="00210050"/>
    <w:rsid w:val="0021145B"/>
    <w:rsid w:val="00217EE3"/>
    <w:rsid w:val="00222DE0"/>
    <w:rsid w:val="00233DD8"/>
    <w:rsid w:val="00243D36"/>
    <w:rsid w:val="00244A3B"/>
    <w:rsid w:val="002450B2"/>
    <w:rsid w:val="00245717"/>
    <w:rsid w:val="00245C3F"/>
    <w:rsid w:val="00247707"/>
    <w:rsid w:val="002540CE"/>
    <w:rsid w:val="002548F3"/>
    <w:rsid w:val="0025593B"/>
    <w:rsid w:val="002634C9"/>
    <w:rsid w:val="002748EC"/>
    <w:rsid w:val="00275356"/>
    <w:rsid w:val="002753CE"/>
    <w:rsid w:val="00277EE4"/>
    <w:rsid w:val="0028042A"/>
    <w:rsid w:val="002805F5"/>
    <w:rsid w:val="00282274"/>
    <w:rsid w:val="0028660F"/>
    <w:rsid w:val="00286740"/>
    <w:rsid w:val="002914A6"/>
    <w:rsid w:val="00291A11"/>
    <w:rsid w:val="002929D8"/>
    <w:rsid w:val="00292D82"/>
    <w:rsid w:val="002A1060"/>
    <w:rsid w:val="002A237D"/>
    <w:rsid w:val="002A2AFD"/>
    <w:rsid w:val="002A4C53"/>
    <w:rsid w:val="002A69FF"/>
    <w:rsid w:val="002B0672"/>
    <w:rsid w:val="002B0AA2"/>
    <w:rsid w:val="002B1B4C"/>
    <w:rsid w:val="002B247F"/>
    <w:rsid w:val="002B61AB"/>
    <w:rsid w:val="002B6706"/>
    <w:rsid w:val="002C04E4"/>
    <w:rsid w:val="002C145D"/>
    <w:rsid w:val="002C1BB4"/>
    <w:rsid w:val="002C293C"/>
    <w:rsid w:val="002C2C3E"/>
    <w:rsid w:val="002C533E"/>
    <w:rsid w:val="002C6FE9"/>
    <w:rsid w:val="002C72C1"/>
    <w:rsid w:val="002D027F"/>
    <w:rsid w:val="002D0824"/>
    <w:rsid w:val="002D7A85"/>
    <w:rsid w:val="002D7B60"/>
    <w:rsid w:val="002E1E53"/>
    <w:rsid w:val="002E2001"/>
    <w:rsid w:val="002E700E"/>
    <w:rsid w:val="002E70F6"/>
    <w:rsid w:val="002E7140"/>
    <w:rsid w:val="002F0FB6"/>
    <w:rsid w:val="002F219D"/>
    <w:rsid w:val="002F23EF"/>
    <w:rsid w:val="002F36E6"/>
    <w:rsid w:val="002F4761"/>
    <w:rsid w:val="002F5C79"/>
    <w:rsid w:val="0030068A"/>
    <w:rsid w:val="003019E2"/>
    <w:rsid w:val="003039B4"/>
    <w:rsid w:val="0031413F"/>
    <w:rsid w:val="003148BB"/>
    <w:rsid w:val="00314F36"/>
    <w:rsid w:val="00317976"/>
    <w:rsid w:val="003227E1"/>
    <w:rsid w:val="003240FB"/>
    <w:rsid w:val="00335248"/>
    <w:rsid w:val="0033557B"/>
    <w:rsid w:val="0034230E"/>
    <w:rsid w:val="00343C10"/>
    <w:rsid w:val="003464A3"/>
    <w:rsid w:val="0034732F"/>
    <w:rsid w:val="003518F7"/>
    <w:rsid w:val="0035323B"/>
    <w:rsid w:val="00355273"/>
    <w:rsid w:val="00355AD6"/>
    <w:rsid w:val="00355EA9"/>
    <w:rsid w:val="00355FDA"/>
    <w:rsid w:val="003578DE"/>
    <w:rsid w:val="00361758"/>
    <w:rsid w:val="0036216E"/>
    <w:rsid w:val="0036265F"/>
    <w:rsid w:val="00362EDB"/>
    <w:rsid w:val="003633D4"/>
    <w:rsid w:val="00363868"/>
    <w:rsid w:val="00363B03"/>
    <w:rsid w:val="00364A5A"/>
    <w:rsid w:val="003652A5"/>
    <w:rsid w:val="00370FD8"/>
    <w:rsid w:val="0037123F"/>
    <w:rsid w:val="00383A31"/>
    <w:rsid w:val="00383FE9"/>
    <w:rsid w:val="00384129"/>
    <w:rsid w:val="0038434D"/>
    <w:rsid w:val="00396257"/>
    <w:rsid w:val="00397EB8"/>
    <w:rsid w:val="003A086E"/>
    <w:rsid w:val="003A1CBE"/>
    <w:rsid w:val="003A4FD0"/>
    <w:rsid w:val="003A69D1"/>
    <w:rsid w:val="003A7705"/>
    <w:rsid w:val="003B0EE9"/>
    <w:rsid w:val="003B1545"/>
    <w:rsid w:val="003B310F"/>
    <w:rsid w:val="003B3A0D"/>
    <w:rsid w:val="003B6D61"/>
    <w:rsid w:val="003C04DD"/>
    <w:rsid w:val="003C31FC"/>
    <w:rsid w:val="003C3B14"/>
    <w:rsid w:val="003C409D"/>
    <w:rsid w:val="003C5BA6"/>
    <w:rsid w:val="003C659E"/>
    <w:rsid w:val="003C718D"/>
    <w:rsid w:val="003D28F5"/>
    <w:rsid w:val="003D47B5"/>
    <w:rsid w:val="003D5559"/>
    <w:rsid w:val="003D5EB6"/>
    <w:rsid w:val="003D71E8"/>
    <w:rsid w:val="003E162E"/>
    <w:rsid w:val="003E48A4"/>
    <w:rsid w:val="003E4E90"/>
    <w:rsid w:val="003F05AD"/>
    <w:rsid w:val="003F0E85"/>
    <w:rsid w:val="003F2B20"/>
    <w:rsid w:val="00400A5A"/>
    <w:rsid w:val="00404549"/>
    <w:rsid w:val="00404D7B"/>
    <w:rsid w:val="00405251"/>
    <w:rsid w:val="00410C55"/>
    <w:rsid w:val="00416854"/>
    <w:rsid w:val="00417725"/>
    <w:rsid w:val="0042502D"/>
    <w:rsid w:val="00427670"/>
    <w:rsid w:val="00430072"/>
    <w:rsid w:val="004328F1"/>
    <w:rsid w:val="00433626"/>
    <w:rsid w:val="00434902"/>
    <w:rsid w:val="004363A2"/>
    <w:rsid w:val="00437F26"/>
    <w:rsid w:val="0044077A"/>
    <w:rsid w:val="004432C7"/>
    <w:rsid w:val="00444097"/>
    <w:rsid w:val="00445487"/>
    <w:rsid w:val="004508D3"/>
    <w:rsid w:val="00454769"/>
    <w:rsid w:val="004602BE"/>
    <w:rsid w:val="00465D1E"/>
    <w:rsid w:val="00466991"/>
    <w:rsid w:val="004702C2"/>
    <w:rsid w:val="0047064C"/>
    <w:rsid w:val="004713E5"/>
    <w:rsid w:val="00477330"/>
    <w:rsid w:val="00481800"/>
    <w:rsid w:val="00495C8D"/>
    <w:rsid w:val="004A0C8D"/>
    <w:rsid w:val="004A42E1"/>
    <w:rsid w:val="004A72C6"/>
    <w:rsid w:val="004B162C"/>
    <w:rsid w:val="004B7FC0"/>
    <w:rsid w:val="004C3DBE"/>
    <w:rsid w:val="004C5C96"/>
    <w:rsid w:val="004D06A4"/>
    <w:rsid w:val="004D2078"/>
    <w:rsid w:val="004D2591"/>
    <w:rsid w:val="004D5E88"/>
    <w:rsid w:val="004E2C4A"/>
    <w:rsid w:val="004E360F"/>
    <w:rsid w:val="004E4976"/>
    <w:rsid w:val="004E7DDB"/>
    <w:rsid w:val="004F122C"/>
    <w:rsid w:val="004F1A81"/>
    <w:rsid w:val="004F3DAD"/>
    <w:rsid w:val="004F78A7"/>
    <w:rsid w:val="00501EA2"/>
    <w:rsid w:val="00503224"/>
    <w:rsid w:val="00507A21"/>
    <w:rsid w:val="00514962"/>
    <w:rsid w:val="0051724C"/>
    <w:rsid w:val="005179AE"/>
    <w:rsid w:val="005218D9"/>
    <w:rsid w:val="00526B7C"/>
    <w:rsid w:val="00526D0B"/>
    <w:rsid w:val="00527DC9"/>
    <w:rsid w:val="0053038F"/>
    <w:rsid w:val="00532230"/>
    <w:rsid w:val="00532622"/>
    <w:rsid w:val="00532B5C"/>
    <w:rsid w:val="00534D79"/>
    <w:rsid w:val="0053504A"/>
    <w:rsid w:val="00536186"/>
    <w:rsid w:val="00540F20"/>
    <w:rsid w:val="005418C0"/>
    <w:rsid w:val="00541B18"/>
    <w:rsid w:val="00542EFF"/>
    <w:rsid w:val="00544CBB"/>
    <w:rsid w:val="00546724"/>
    <w:rsid w:val="0055295A"/>
    <w:rsid w:val="0055437C"/>
    <w:rsid w:val="00555C3A"/>
    <w:rsid w:val="0056056F"/>
    <w:rsid w:val="00562781"/>
    <w:rsid w:val="005672DB"/>
    <w:rsid w:val="0057315F"/>
    <w:rsid w:val="00576104"/>
    <w:rsid w:val="0057657C"/>
    <w:rsid w:val="00577B32"/>
    <w:rsid w:val="00577F3C"/>
    <w:rsid w:val="00581089"/>
    <w:rsid w:val="0058158A"/>
    <w:rsid w:val="00583ACD"/>
    <w:rsid w:val="00586ED4"/>
    <w:rsid w:val="00591A91"/>
    <w:rsid w:val="00593A5B"/>
    <w:rsid w:val="00595983"/>
    <w:rsid w:val="005968F0"/>
    <w:rsid w:val="00597138"/>
    <w:rsid w:val="005A16E3"/>
    <w:rsid w:val="005A3A5F"/>
    <w:rsid w:val="005B518D"/>
    <w:rsid w:val="005B51E0"/>
    <w:rsid w:val="005B5EDD"/>
    <w:rsid w:val="005C0133"/>
    <w:rsid w:val="005C29E1"/>
    <w:rsid w:val="005C2F82"/>
    <w:rsid w:val="005C39E2"/>
    <w:rsid w:val="005C5EF8"/>
    <w:rsid w:val="005C67C8"/>
    <w:rsid w:val="005C7037"/>
    <w:rsid w:val="005C7A41"/>
    <w:rsid w:val="005D00A3"/>
    <w:rsid w:val="005D0249"/>
    <w:rsid w:val="005D4F37"/>
    <w:rsid w:val="005D542B"/>
    <w:rsid w:val="005D6E8C"/>
    <w:rsid w:val="005D7527"/>
    <w:rsid w:val="005E1713"/>
    <w:rsid w:val="005E2BB1"/>
    <w:rsid w:val="005E4A02"/>
    <w:rsid w:val="005F100C"/>
    <w:rsid w:val="005F68DA"/>
    <w:rsid w:val="00601692"/>
    <w:rsid w:val="00602C95"/>
    <w:rsid w:val="0060773B"/>
    <w:rsid w:val="006113F1"/>
    <w:rsid w:val="006128C6"/>
    <w:rsid w:val="00613D68"/>
    <w:rsid w:val="006157B5"/>
    <w:rsid w:val="0061784E"/>
    <w:rsid w:val="00620BA4"/>
    <w:rsid w:val="00626FC6"/>
    <w:rsid w:val="006303B4"/>
    <w:rsid w:val="00633156"/>
    <w:rsid w:val="00633D3D"/>
    <w:rsid w:val="006347C6"/>
    <w:rsid w:val="00637C68"/>
    <w:rsid w:val="006410DE"/>
    <w:rsid w:val="00641703"/>
    <w:rsid w:val="006423C7"/>
    <w:rsid w:val="006431A6"/>
    <w:rsid w:val="006459F6"/>
    <w:rsid w:val="00646C5C"/>
    <w:rsid w:val="006474CE"/>
    <w:rsid w:val="006501AD"/>
    <w:rsid w:val="00651BFA"/>
    <w:rsid w:val="00664E7F"/>
    <w:rsid w:val="00665A4B"/>
    <w:rsid w:val="0067025D"/>
    <w:rsid w:val="006702F7"/>
    <w:rsid w:val="0067410D"/>
    <w:rsid w:val="00680217"/>
    <w:rsid w:val="0068262C"/>
    <w:rsid w:val="00692E2A"/>
    <w:rsid w:val="006A061B"/>
    <w:rsid w:val="006A10E2"/>
    <w:rsid w:val="006A3591"/>
    <w:rsid w:val="006A395C"/>
    <w:rsid w:val="006A6C2E"/>
    <w:rsid w:val="006A6D52"/>
    <w:rsid w:val="006A76F2"/>
    <w:rsid w:val="006B1EDC"/>
    <w:rsid w:val="006B26DE"/>
    <w:rsid w:val="006B3F36"/>
    <w:rsid w:val="006C3B16"/>
    <w:rsid w:val="006D1B64"/>
    <w:rsid w:val="006D1E3A"/>
    <w:rsid w:val="006D338B"/>
    <w:rsid w:val="006D50D5"/>
    <w:rsid w:val="006D5A01"/>
    <w:rsid w:val="006D7EFB"/>
    <w:rsid w:val="006E1D3F"/>
    <w:rsid w:val="006E61F8"/>
    <w:rsid w:val="006E6672"/>
    <w:rsid w:val="006E6722"/>
    <w:rsid w:val="006E7F35"/>
    <w:rsid w:val="006F169F"/>
    <w:rsid w:val="007027B9"/>
    <w:rsid w:val="00702C0B"/>
    <w:rsid w:val="00704C9B"/>
    <w:rsid w:val="00713D8F"/>
    <w:rsid w:val="007151A8"/>
    <w:rsid w:val="007158F8"/>
    <w:rsid w:val="00715C08"/>
    <w:rsid w:val="00715E88"/>
    <w:rsid w:val="00716B92"/>
    <w:rsid w:val="00720A7F"/>
    <w:rsid w:val="007225FF"/>
    <w:rsid w:val="00725411"/>
    <w:rsid w:val="00725CA4"/>
    <w:rsid w:val="00734CAA"/>
    <w:rsid w:val="00737E51"/>
    <w:rsid w:val="00740878"/>
    <w:rsid w:val="0074339D"/>
    <w:rsid w:val="0074380F"/>
    <w:rsid w:val="00743F8B"/>
    <w:rsid w:val="00744FE3"/>
    <w:rsid w:val="00746AA3"/>
    <w:rsid w:val="00747630"/>
    <w:rsid w:val="00751A7C"/>
    <w:rsid w:val="00754B40"/>
    <w:rsid w:val="0075533C"/>
    <w:rsid w:val="00755B57"/>
    <w:rsid w:val="00757581"/>
    <w:rsid w:val="007611A0"/>
    <w:rsid w:val="007658B4"/>
    <w:rsid w:val="00765A19"/>
    <w:rsid w:val="007661E2"/>
    <w:rsid w:val="0076657D"/>
    <w:rsid w:val="007666F9"/>
    <w:rsid w:val="00770D0A"/>
    <w:rsid w:val="00771440"/>
    <w:rsid w:val="007714F1"/>
    <w:rsid w:val="00777A52"/>
    <w:rsid w:val="007829D4"/>
    <w:rsid w:val="00782D49"/>
    <w:rsid w:val="007910F6"/>
    <w:rsid w:val="00796D3F"/>
    <w:rsid w:val="007A0D0A"/>
    <w:rsid w:val="007A1683"/>
    <w:rsid w:val="007A2D88"/>
    <w:rsid w:val="007A36F8"/>
    <w:rsid w:val="007A5C12"/>
    <w:rsid w:val="007A6AF1"/>
    <w:rsid w:val="007A720E"/>
    <w:rsid w:val="007A7998"/>
    <w:rsid w:val="007A7CB0"/>
    <w:rsid w:val="007B4950"/>
    <w:rsid w:val="007B50EB"/>
    <w:rsid w:val="007B68A3"/>
    <w:rsid w:val="007C2541"/>
    <w:rsid w:val="007C3291"/>
    <w:rsid w:val="007C7B20"/>
    <w:rsid w:val="007D033B"/>
    <w:rsid w:val="007D3342"/>
    <w:rsid w:val="007D3E64"/>
    <w:rsid w:val="007D66A8"/>
    <w:rsid w:val="007D7AD6"/>
    <w:rsid w:val="007D7FFA"/>
    <w:rsid w:val="007E003F"/>
    <w:rsid w:val="007F0F76"/>
    <w:rsid w:val="007F33C2"/>
    <w:rsid w:val="007F3BF5"/>
    <w:rsid w:val="008002C0"/>
    <w:rsid w:val="00801F24"/>
    <w:rsid w:val="00802E72"/>
    <w:rsid w:val="00803573"/>
    <w:rsid w:val="008055C2"/>
    <w:rsid w:val="0080713A"/>
    <w:rsid w:val="00812316"/>
    <w:rsid w:val="00814015"/>
    <w:rsid w:val="0081589D"/>
    <w:rsid w:val="008164F2"/>
    <w:rsid w:val="00817374"/>
    <w:rsid w:val="00820007"/>
    <w:rsid w:val="00820BC8"/>
    <w:rsid w:val="00821395"/>
    <w:rsid w:val="00822F7B"/>
    <w:rsid w:val="00824BFC"/>
    <w:rsid w:val="00824E3D"/>
    <w:rsid w:val="00830B89"/>
    <w:rsid w:val="00830E26"/>
    <w:rsid w:val="00832159"/>
    <w:rsid w:val="008345C3"/>
    <w:rsid w:val="00834A99"/>
    <w:rsid w:val="00837FF8"/>
    <w:rsid w:val="00843576"/>
    <w:rsid w:val="008436C8"/>
    <w:rsid w:val="00843B64"/>
    <w:rsid w:val="008478FC"/>
    <w:rsid w:val="00852B90"/>
    <w:rsid w:val="008535CB"/>
    <w:rsid w:val="00867BFF"/>
    <w:rsid w:val="008809F7"/>
    <w:rsid w:val="00880B77"/>
    <w:rsid w:val="0088480A"/>
    <w:rsid w:val="00885F9E"/>
    <w:rsid w:val="00887492"/>
    <w:rsid w:val="0088757A"/>
    <w:rsid w:val="008921A4"/>
    <w:rsid w:val="00893220"/>
    <w:rsid w:val="00893331"/>
    <w:rsid w:val="008957DD"/>
    <w:rsid w:val="00897D98"/>
    <w:rsid w:val="008A26B4"/>
    <w:rsid w:val="008A27FD"/>
    <w:rsid w:val="008A3595"/>
    <w:rsid w:val="008A4030"/>
    <w:rsid w:val="008A68AC"/>
    <w:rsid w:val="008A6DF2"/>
    <w:rsid w:val="008A7807"/>
    <w:rsid w:val="008B4CC9"/>
    <w:rsid w:val="008B675C"/>
    <w:rsid w:val="008B730A"/>
    <w:rsid w:val="008C1E01"/>
    <w:rsid w:val="008C2C12"/>
    <w:rsid w:val="008C3CC8"/>
    <w:rsid w:val="008C3F56"/>
    <w:rsid w:val="008C758B"/>
    <w:rsid w:val="008D3DF7"/>
    <w:rsid w:val="008D7C99"/>
    <w:rsid w:val="008D7F06"/>
    <w:rsid w:val="008E0FCB"/>
    <w:rsid w:val="008E3BBB"/>
    <w:rsid w:val="008F624E"/>
    <w:rsid w:val="009000CA"/>
    <w:rsid w:val="009001F1"/>
    <w:rsid w:val="009003CB"/>
    <w:rsid w:val="0090328C"/>
    <w:rsid w:val="009032B3"/>
    <w:rsid w:val="0090634D"/>
    <w:rsid w:val="00907A88"/>
    <w:rsid w:val="00911314"/>
    <w:rsid w:val="00911323"/>
    <w:rsid w:val="00915615"/>
    <w:rsid w:val="00915B61"/>
    <w:rsid w:val="0092178C"/>
    <w:rsid w:val="00924C90"/>
    <w:rsid w:val="0092633D"/>
    <w:rsid w:val="00927BEC"/>
    <w:rsid w:val="00930B88"/>
    <w:rsid w:val="00931353"/>
    <w:rsid w:val="0093136D"/>
    <w:rsid w:val="00935E8C"/>
    <w:rsid w:val="00936498"/>
    <w:rsid w:val="00936ED3"/>
    <w:rsid w:val="00940DCC"/>
    <w:rsid w:val="009415E8"/>
    <w:rsid w:val="0094179A"/>
    <w:rsid w:val="009432E4"/>
    <w:rsid w:val="0094459E"/>
    <w:rsid w:val="00944DBC"/>
    <w:rsid w:val="009464A6"/>
    <w:rsid w:val="00946ADE"/>
    <w:rsid w:val="00950977"/>
    <w:rsid w:val="0095168D"/>
    <w:rsid w:val="00951A7B"/>
    <w:rsid w:val="00952369"/>
    <w:rsid w:val="0095250F"/>
    <w:rsid w:val="009525AF"/>
    <w:rsid w:val="009535B4"/>
    <w:rsid w:val="009561AE"/>
    <w:rsid w:val="009564A6"/>
    <w:rsid w:val="00960C21"/>
    <w:rsid w:val="009614EA"/>
    <w:rsid w:val="00961A61"/>
    <w:rsid w:val="009648E6"/>
    <w:rsid w:val="00965925"/>
    <w:rsid w:val="009665B5"/>
    <w:rsid w:val="00967112"/>
    <w:rsid w:val="00967621"/>
    <w:rsid w:val="00967E6A"/>
    <w:rsid w:val="00970268"/>
    <w:rsid w:val="0097262B"/>
    <w:rsid w:val="00980F47"/>
    <w:rsid w:val="00982731"/>
    <w:rsid w:val="00983D31"/>
    <w:rsid w:val="009860AA"/>
    <w:rsid w:val="0098785E"/>
    <w:rsid w:val="00992FE0"/>
    <w:rsid w:val="009935AC"/>
    <w:rsid w:val="00995921"/>
    <w:rsid w:val="00996401"/>
    <w:rsid w:val="009A1660"/>
    <w:rsid w:val="009A22E0"/>
    <w:rsid w:val="009A3C1B"/>
    <w:rsid w:val="009A5489"/>
    <w:rsid w:val="009A603A"/>
    <w:rsid w:val="009A698A"/>
    <w:rsid w:val="009B00FF"/>
    <w:rsid w:val="009B0D46"/>
    <w:rsid w:val="009B2F79"/>
    <w:rsid w:val="009B3AA9"/>
    <w:rsid w:val="009B4A0F"/>
    <w:rsid w:val="009B4EA4"/>
    <w:rsid w:val="009B6404"/>
    <w:rsid w:val="009B7B2A"/>
    <w:rsid w:val="009B7C7D"/>
    <w:rsid w:val="009C11D2"/>
    <w:rsid w:val="009C11D7"/>
    <w:rsid w:val="009C4E68"/>
    <w:rsid w:val="009C5159"/>
    <w:rsid w:val="009C5A49"/>
    <w:rsid w:val="009C6C70"/>
    <w:rsid w:val="009D0B63"/>
    <w:rsid w:val="009D105A"/>
    <w:rsid w:val="009D171F"/>
    <w:rsid w:val="009D3E3B"/>
    <w:rsid w:val="009D40DE"/>
    <w:rsid w:val="009E0102"/>
    <w:rsid w:val="009E03BC"/>
    <w:rsid w:val="009E09D9"/>
    <w:rsid w:val="009E307E"/>
    <w:rsid w:val="009E4585"/>
    <w:rsid w:val="009E4E66"/>
    <w:rsid w:val="009F2876"/>
    <w:rsid w:val="009F4294"/>
    <w:rsid w:val="009F4B39"/>
    <w:rsid w:val="009F7A97"/>
    <w:rsid w:val="00A007DD"/>
    <w:rsid w:val="00A024A3"/>
    <w:rsid w:val="00A046AF"/>
    <w:rsid w:val="00A059A4"/>
    <w:rsid w:val="00A05B3C"/>
    <w:rsid w:val="00A05DAA"/>
    <w:rsid w:val="00A07870"/>
    <w:rsid w:val="00A07AE1"/>
    <w:rsid w:val="00A07F19"/>
    <w:rsid w:val="00A113E0"/>
    <w:rsid w:val="00A11DC0"/>
    <w:rsid w:val="00A12293"/>
    <w:rsid w:val="00A1264F"/>
    <w:rsid w:val="00A1348D"/>
    <w:rsid w:val="00A1589E"/>
    <w:rsid w:val="00A232EE"/>
    <w:rsid w:val="00A251D3"/>
    <w:rsid w:val="00A27A02"/>
    <w:rsid w:val="00A31223"/>
    <w:rsid w:val="00A3153D"/>
    <w:rsid w:val="00A31E72"/>
    <w:rsid w:val="00A3332E"/>
    <w:rsid w:val="00A3688A"/>
    <w:rsid w:val="00A37ABD"/>
    <w:rsid w:val="00A37FE8"/>
    <w:rsid w:val="00A4175F"/>
    <w:rsid w:val="00A44411"/>
    <w:rsid w:val="00A45487"/>
    <w:rsid w:val="00A46064"/>
    <w:rsid w:val="00A46922"/>
    <w:rsid w:val="00A469FA"/>
    <w:rsid w:val="00A5040D"/>
    <w:rsid w:val="00A55B01"/>
    <w:rsid w:val="00A56B5B"/>
    <w:rsid w:val="00A603FF"/>
    <w:rsid w:val="00A60E70"/>
    <w:rsid w:val="00A6401B"/>
    <w:rsid w:val="00A657DD"/>
    <w:rsid w:val="00A6647A"/>
    <w:rsid w:val="00A666A6"/>
    <w:rsid w:val="00A66F36"/>
    <w:rsid w:val="00A675FD"/>
    <w:rsid w:val="00A677F8"/>
    <w:rsid w:val="00A72437"/>
    <w:rsid w:val="00A726E8"/>
    <w:rsid w:val="00A727DB"/>
    <w:rsid w:val="00A774D6"/>
    <w:rsid w:val="00A77908"/>
    <w:rsid w:val="00A80611"/>
    <w:rsid w:val="00A80A21"/>
    <w:rsid w:val="00A83724"/>
    <w:rsid w:val="00A83A3B"/>
    <w:rsid w:val="00A83FB1"/>
    <w:rsid w:val="00A87F40"/>
    <w:rsid w:val="00A90B0B"/>
    <w:rsid w:val="00A94405"/>
    <w:rsid w:val="00A95821"/>
    <w:rsid w:val="00A96698"/>
    <w:rsid w:val="00AA4B95"/>
    <w:rsid w:val="00AB1AA6"/>
    <w:rsid w:val="00AB3A48"/>
    <w:rsid w:val="00AB5340"/>
    <w:rsid w:val="00AC3199"/>
    <w:rsid w:val="00AC4122"/>
    <w:rsid w:val="00AC7C96"/>
    <w:rsid w:val="00AD2DDE"/>
    <w:rsid w:val="00AD367C"/>
    <w:rsid w:val="00AD4092"/>
    <w:rsid w:val="00AE237D"/>
    <w:rsid w:val="00AE502A"/>
    <w:rsid w:val="00AF4250"/>
    <w:rsid w:val="00AF7C07"/>
    <w:rsid w:val="00B05344"/>
    <w:rsid w:val="00B065E1"/>
    <w:rsid w:val="00B0676D"/>
    <w:rsid w:val="00B074EF"/>
    <w:rsid w:val="00B07B70"/>
    <w:rsid w:val="00B127C3"/>
    <w:rsid w:val="00B16805"/>
    <w:rsid w:val="00B16AD9"/>
    <w:rsid w:val="00B2089B"/>
    <w:rsid w:val="00B22532"/>
    <w:rsid w:val="00B22C93"/>
    <w:rsid w:val="00B2332E"/>
    <w:rsid w:val="00B23986"/>
    <w:rsid w:val="00B25349"/>
    <w:rsid w:val="00B26B07"/>
    <w:rsid w:val="00B27589"/>
    <w:rsid w:val="00B33BF6"/>
    <w:rsid w:val="00B405B7"/>
    <w:rsid w:val="00B40C4F"/>
    <w:rsid w:val="00B46BCB"/>
    <w:rsid w:val="00B5046B"/>
    <w:rsid w:val="00B513A3"/>
    <w:rsid w:val="00B52222"/>
    <w:rsid w:val="00B54FE7"/>
    <w:rsid w:val="00B615FF"/>
    <w:rsid w:val="00B6352B"/>
    <w:rsid w:val="00B64402"/>
    <w:rsid w:val="00B64E01"/>
    <w:rsid w:val="00B651FC"/>
    <w:rsid w:val="00B66901"/>
    <w:rsid w:val="00B70F0D"/>
    <w:rsid w:val="00B71E6D"/>
    <w:rsid w:val="00B72070"/>
    <w:rsid w:val="00B766C6"/>
    <w:rsid w:val="00B779E1"/>
    <w:rsid w:val="00B813FB"/>
    <w:rsid w:val="00B828C8"/>
    <w:rsid w:val="00B90CC6"/>
    <w:rsid w:val="00B91EE1"/>
    <w:rsid w:val="00B934DF"/>
    <w:rsid w:val="00B97383"/>
    <w:rsid w:val="00BA0090"/>
    <w:rsid w:val="00BA0BD3"/>
    <w:rsid w:val="00BA1A67"/>
    <w:rsid w:val="00BA6586"/>
    <w:rsid w:val="00BB011F"/>
    <w:rsid w:val="00BB69D7"/>
    <w:rsid w:val="00BC4BF6"/>
    <w:rsid w:val="00BD400C"/>
    <w:rsid w:val="00BD4EBD"/>
    <w:rsid w:val="00BD6705"/>
    <w:rsid w:val="00BE1FA2"/>
    <w:rsid w:val="00BE521A"/>
    <w:rsid w:val="00BE5B5F"/>
    <w:rsid w:val="00C00351"/>
    <w:rsid w:val="00C03868"/>
    <w:rsid w:val="00C0698C"/>
    <w:rsid w:val="00C07A7B"/>
    <w:rsid w:val="00C10DA1"/>
    <w:rsid w:val="00C12044"/>
    <w:rsid w:val="00C13220"/>
    <w:rsid w:val="00C16A39"/>
    <w:rsid w:val="00C2031A"/>
    <w:rsid w:val="00C25A95"/>
    <w:rsid w:val="00C26BB5"/>
    <w:rsid w:val="00C26F55"/>
    <w:rsid w:val="00C30C63"/>
    <w:rsid w:val="00C32127"/>
    <w:rsid w:val="00C32A09"/>
    <w:rsid w:val="00C33563"/>
    <w:rsid w:val="00C36B8B"/>
    <w:rsid w:val="00C424A2"/>
    <w:rsid w:val="00C446D2"/>
    <w:rsid w:val="00C45F5B"/>
    <w:rsid w:val="00C46084"/>
    <w:rsid w:val="00C47DBF"/>
    <w:rsid w:val="00C503F0"/>
    <w:rsid w:val="00C534F5"/>
    <w:rsid w:val="00C54BB7"/>
    <w:rsid w:val="00C552FF"/>
    <w:rsid w:val="00C558DA"/>
    <w:rsid w:val="00C55AF3"/>
    <w:rsid w:val="00C55F06"/>
    <w:rsid w:val="00C57BEF"/>
    <w:rsid w:val="00C6083A"/>
    <w:rsid w:val="00C6181E"/>
    <w:rsid w:val="00C618FD"/>
    <w:rsid w:val="00C6493A"/>
    <w:rsid w:val="00C65F89"/>
    <w:rsid w:val="00C80BC8"/>
    <w:rsid w:val="00C81933"/>
    <w:rsid w:val="00C82A80"/>
    <w:rsid w:val="00C8459D"/>
    <w:rsid w:val="00C84759"/>
    <w:rsid w:val="00C865D4"/>
    <w:rsid w:val="00C92745"/>
    <w:rsid w:val="00CA22CE"/>
    <w:rsid w:val="00CA298A"/>
    <w:rsid w:val="00CA4713"/>
    <w:rsid w:val="00CA6C7F"/>
    <w:rsid w:val="00CB0FEA"/>
    <w:rsid w:val="00CB12B6"/>
    <w:rsid w:val="00CB255B"/>
    <w:rsid w:val="00CB4225"/>
    <w:rsid w:val="00CB57EB"/>
    <w:rsid w:val="00CB6095"/>
    <w:rsid w:val="00CC10A6"/>
    <w:rsid w:val="00CC240F"/>
    <w:rsid w:val="00CC311B"/>
    <w:rsid w:val="00CC6708"/>
    <w:rsid w:val="00CD1EBE"/>
    <w:rsid w:val="00CD596A"/>
    <w:rsid w:val="00CD5EB8"/>
    <w:rsid w:val="00CD7044"/>
    <w:rsid w:val="00CE0830"/>
    <w:rsid w:val="00CE08B9"/>
    <w:rsid w:val="00CE2191"/>
    <w:rsid w:val="00CE4602"/>
    <w:rsid w:val="00CE524C"/>
    <w:rsid w:val="00CE5A51"/>
    <w:rsid w:val="00CE6D2F"/>
    <w:rsid w:val="00CF141F"/>
    <w:rsid w:val="00CF2293"/>
    <w:rsid w:val="00CF4777"/>
    <w:rsid w:val="00CF6AC0"/>
    <w:rsid w:val="00D005F4"/>
    <w:rsid w:val="00D02BB2"/>
    <w:rsid w:val="00D03C97"/>
    <w:rsid w:val="00D06715"/>
    <w:rsid w:val="00D067BB"/>
    <w:rsid w:val="00D114A6"/>
    <w:rsid w:val="00D127D5"/>
    <w:rsid w:val="00D1352A"/>
    <w:rsid w:val="00D15187"/>
    <w:rsid w:val="00D1567B"/>
    <w:rsid w:val="00D169AF"/>
    <w:rsid w:val="00D17FAC"/>
    <w:rsid w:val="00D25249"/>
    <w:rsid w:val="00D30455"/>
    <w:rsid w:val="00D44172"/>
    <w:rsid w:val="00D5223D"/>
    <w:rsid w:val="00D54499"/>
    <w:rsid w:val="00D56819"/>
    <w:rsid w:val="00D63B8C"/>
    <w:rsid w:val="00D651C8"/>
    <w:rsid w:val="00D67493"/>
    <w:rsid w:val="00D70A08"/>
    <w:rsid w:val="00D70F6D"/>
    <w:rsid w:val="00D739CC"/>
    <w:rsid w:val="00D8093D"/>
    <w:rsid w:val="00D8108C"/>
    <w:rsid w:val="00D810BF"/>
    <w:rsid w:val="00D82E61"/>
    <w:rsid w:val="00D842AE"/>
    <w:rsid w:val="00D9211C"/>
    <w:rsid w:val="00D92DE0"/>
    <w:rsid w:val="00D92FEF"/>
    <w:rsid w:val="00D939F0"/>
    <w:rsid w:val="00D93A0F"/>
    <w:rsid w:val="00DA1672"/>
    <w:rsid w:val="00DA1BCA"/>
    <w:rsid w:val="00DA5DF5"/>
    <w:rsid w:val="00DA7B49"/>
    <w:rsid w:val="00DB09AC"/>
    <w:rsid w:val="00DB12D7"/>
    <w:rsid w:val="00DB2263"/>
    <w:rsid w:val="00DC46E5"/>
    <w:rsid w:val="00DC46FF"/>
    <w:rsid w:val="00DC5254"/>
    <w:rsid w:val="00DD1A4F"/>
    <w:rsid w:val="00DD238A"/>
    <w:rsid w:val="00DD2E90"/>
    <w:rsid w:val="00DD3107"/>
    <w:rsid w:val="00DD3D25"/>
    <w:rsid w:val="00DD7C2C"/>
    <w:rsid w:val="00DE0B1A"/>
    <w:rsid w:val="00DE0F75"/>
    <w:rsid w:val="00DE4075"/>
    <w:rsid w:val="00DE79D8"/>
    <w:rsid w:val="00DF0E14"/>
    <w:rsid w:val="00DF13BE"/>
    <w:rsid w:val="00E023D9"/>
    <w:rsid w:val="00E02F1C"/>
    <w:rsid w:val="00E06797"/>
    <w:rsid w:val="00E0713B"/>
    <w:rsid w:val="00E10640"/>
    <w:rsid w:val="00E1265B"/>
    <w:rsid w:val="00E13B48"/>
    <w:rsid w:val="00E1404F"/>
    <w:rsid w:val="00E1588A"/>
    <w:rsid w:val="00E16330"/>
    <w:rsid w:val="00E21C83"/>
    <w:rsid w:val="00E22525"/>
    <w:rsid w:val="00E2371B"/>
    <w:rsid w:val="00E23880"/>
    <w:rsid w:val="00E24714"/>
    <w:rsid w:val="00E24ADA"/>
    <w:rsid w:val="00E31027"/>
    <w:rsid w:val="00E32F59"/>
    <w:rsid w:val="00E33A26"/>
    <w:rsid w:val="00E3724F"/>
    <w:rsid w:val="00E4206C"/>
    <w:rsid w:val="00E4297C"/>
    <w:rsid w:val="00E42D91"/>
    <w:rsid w:val="00E43EAF"/>
    <w:rsid w:val="00E442B8"/>
    <w:rsid w:val="00E4449D"/>
    <w:rsid w:val="00E45A42"/>
    <w:rsid w:val="00E46D9A"/>
    <w:rsid w:val="00E565FF"/>
    <w:rsid w:val="00E56EF4"/>
    <w:rsid w:val="00E64E94"/>
    <w:rsid w:val="00E65388"/>
    <w:rsid w:val="00E707F4"/>
    <w:rsid w:val="00E73CE8"/>
    <w:rsid w:val="00E74533"/>
    <w:rsid w:val="00E7474D"/>
    <w:rsid w:val="00E80A03"/>
    <w:rsid w:val="00E85B7D"/>
    <w:rsid w:val="00E85E12"/>
    <w:rsid w:val="00E86A1F"/>
    <w:rsid w:val="00E9121B"/>
    <w:rsid w:val="00E93226"/>
    <w:rsid w:val="00E97071"/>
    <w:rsid w:val="00EA03E5"/>
    <w:rsid w:val="00EA0AE2"/>
    <w:rsid w:val="00EA39E5"/>
    <w:rsid w:val="00EA4C3E"/>
    <w:rsid w:val="00EC283F"/>
    <w:rsid w:val="00EC4E83"/>
    <w:rsid w:val="00EC51C8"/>
    <w:rsid w:val="00EC52CC"/>
    <w:rsid w:val="00EC5995"/>
    <w:rsid w:val="00EC5A46"/>
    <w:rsid w:val="00EC5F4C"/>
    <w:rsid w:val="00EC63E2"/>
    <w:rsid w:val="00ED07D3"/>
    <w:rsid w:val="00ED1DBC"/>
    <w:rsid w:val="00ED2A12"/>
    <w:rsid w:val="00ED5C51"/>
    <w:rsid w:val="00EE459A"/>
    <w:rsid w:val="00EE45A2"/>
    <w:rsid w:val="00EE49EC"/>
    <w:rsid w:val="00EE5E22"/>
    <w:rsid w:val="00EE636C"/>
    <w:rsid w:val="00EE7DD9"/>
    <w:rsid w:val="00EF1B46"/>
    <w:rsid w:val="00EF22B3"/>
    <w:rsid w:val="00EF3BE8"/>
    <w:rsid w:val="00EF5A1A"/>
    <w:rsid w:val="00F02847"/>
    <w:rsid w:val="00F03B69"/>
    <w:rsid w:val="00F07A50"/>
    <w:rsid w:val="00F106B0"/>
    <w:rsid w:val="00F113DA"/>
    <w:rsid w:val="00F12259"/>
    <w:rsid w:val="00F12C21"/>
    <w:rsid w:val="00F133B5"/>
    <w:rsid w:val="00F13704"/>
    <w:rsid w:val="00F13FA7"/>
    <w:rsid w:val="00F1741A"/>
    <w:rsid w:val="00F17E17"/>
    <w:rsid w:val="00F236D7"/>
    <w:rsid w:val="00F252CA"/>
    <w:rsid w:val="00F26747"/>
    <w:rsid w:val="00F3055D"/>
    <w:rsid w:val="00F31F9A"/>
    <w:rsid w:val="00F349C7"/>
    <w:rsid w:val="00F3558F"/>
    <w:rsid w:val="00F37DC8"/>
    <w:rsid w:val="00F409FD"/>
    <w:rsid w:val="00F439B3"/>
    <w:rsid w:val="00F54E48"/>
    <w:rsid w:val="00F553B7"/>
    <w:rsid w:val="00F650C3"/>
    <w:rsid w:val="00F65D85"/>
    <w:rsid w:val="00F70A78"/>
    <w:rsid w:val="00F72EE8"/>
    <w:rsid w:val="00F73A4B"/>
    <w:rsid w:val="00F7702F"/>
    <w:rsid w:val="00F8091E"/>
    <w:rsid w:val="00F83E8C"/>
    <w:rsid w:val="00F8615C"/>
    <w:rsid w:val="00F8775E"/>
    <w:rsid w:val="00F95987"/>
    <w:rsid w:val="00F960A5"/>
    <w:rsid w:val="00F969E5"/>
    <w:rsid w:val="00F97C38"/>
    <w:rsid w:val="00FA003B"/>
    <w:rsid w:val="00FA0AE9"/>
    <w:rsid w:val="00FA3DD0"/>
    <w:rsid w:val="00FA6BB0"/>
    <w:rsid w:val="00FB1BFD"/>
    <w:rsid w:val="00FB4092"/>
    <w:rsid w:val="00FB4873"/>
    <w:rsid w:val="00FB4A03"/>
    <w:rsid w:val="00FB569C"/>
    <w:rsid w:val="00FB577C"/>
    <w:rsid w:val="00FB5FF1"/>
    <w:rsid w:val="00FC00C9"/>
    <w:rsid w:val="00FC13FE"/>
    <w:rsid w:val="00FC2B3D"/>
    <w:rsid w:val="00FC2C59"/>
    <w:rsid w:val="00FD02C9"/>
    <w:rsid w:val="00FD0EC4"/>
    <w:rsid w:val="00FD1003"/>
    <w:rsid w:val="00FD5860"/>
    <w:rsid w:val="00FD5954"/>
    <w:rsid w:val="00FD5D2F"/>
    <w:rsid w:val="00FD7B23"/>
    <w:rsid w:val="00FE0EBA"/>
    <w:rsid w:val="00FE2C1C"/>
    <w:rsid w:val="00FE352D"/>
    <w:rsid w:val="00FE40EB"/>
    <w:rsid w:val="00FE45A6"/>
    <w:rsid w:val="00FE4717"/>
    <w:rsid w:val="00FE4D02"/>
    <w:rsid w:val="00FE7D62"/>
    <w:rsid w:val="00FF3819"/>
    <w:rsid w:val="00FF4108"/>
    <w:rsid w:val="00FF68E5"/>
    <w:rsid w:val="00FF69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1207E59"/>
  <w15:docId w15:val="{D0FA21CE-647F-4007-8D82-3CD91658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42B"/>
    <w:pPr>
      <w:tabs>
        <w:tab w:val="left" w:pos="1247"/>
        <w:tab w:val="left" w:pos="1814"/>
        <w:tab w:val="left" w:pos="2381"/>
        <w:tab w:val="left" w:pos="2948"/>
        <w:tab w:val="left" w:pos="3515"/>
      </w:tabs>
    </w:pPr>
    <w:rPr>
      <w:lang w:eastAsia="en-US"/>
    </w:rPr>
  </w:style>
  <w:style w:type="paragraph" w:styleId="Heading1">
    <w:name w:val="heading 1"/>
    <w:basedOn w:val="Normal"/>
    <w:next w:val="Normalnumber"/>
    <w:link w:val="Heading1Char"/>
    <w:uiPriority w:val="9"/>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DD310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DD3107"/>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9003C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rsid w:val="00DD3107"/>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pool"/>
    <w:next w:val="Normalnumber"/>
    <w:link w:val="CH3Char"/>
    <w:rsid w:val="00DD3107"/>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DD3107"/>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DD310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DD3107"/>
    <w:pPr>
      <w:keepNext/>
      <w:keepLines/>
      <w:tabs>
        <w:tab w:val="right" w:pos="851"/>
      </w:tabs>
      <w:suppressAutoHyphens/>
      <w:spacing w:after="120"/>
      <w:ind w:left="1247" w:right="284" w:hanging="1247"/>
    </w:pPr>
    <w:rPr>
      <w:b/>
    </w:rPr>
  </w:style>
  <w:style w:type="paragraph" w:customStyle="1" w:styleId="Footerpool">
    <w:name w:val="Footer_pool"/>
    <w:basedOn w:val="Normal"/>
    <w:next w:val="Normal"/>
    <w:semiHidden/>
    <w:rsid w:val="00DD3107"/>
    <w:pPr>
      <w:tabs>
        <w:tab w:val="left" w:pos="4321"/>
        <w:tab w:val="right" w:pos="8641"/>
      </w:tabs>
      <w:spacing w:before="60" w:after="120"/>
    </w:pPr>
    <w:rPr>
      <w:b/>
      <w:sz w:val="18"/>
    </w:rPr>
  </w:style>
  <w:style w:type="paragraph" w:customStyle="1" w:styleId="Headerpool">
    <w:name w:val="Header_pool"/>
    <w:basedOn w:val="Normal"/>
    <w:next w:val="Normal"/>
    <w:semiHidden/>
    <w:rsid w:val="00DD3107"/>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rsid w:val="003A086E"/>
    <w:pPr>
      <w:tabs>
        <w:tab w:val="left" w:pos="1247"/>
        <w:tab w:val="left" w:pos="1814"/>
        <w:tab w:val="left" w:pos="2381"/>
        <w:tab w:val="left" w:pos="2948"/>
        <w:tab w:val="left" w:pos="3515"/>
        <w:tab w:val="left" w:pos="4082"/>
      </w:tabs>
    </w:pPr>
    <w:rPr>
      <w:lang w:val="fr-CA" w:eastAsia="en-US"/>
    </w:rPr>
  </w:style>
  <w:style w:type="paragraph" w:customStyle="1" w:styleId="Footer-pool">
    <w:name w:val="Footer-pool"/>
    <w:basedOn w:val="Normal-pool"/>
    <w:next w:val="Normal-pool"/>
    <w:rsid w:val="00DD3107"/>
    <w:pPr>
      <w:tabs>
        <w:tab w:val="left" w:pos="4321"/>
        <w:tab w:val="right" w:pos="8641"/>
      </w:tabs>
      <w:spacing w:before="60" w:after="120"/>
    </w:pPr>
    <w:rPr>
      <w:b/>
      <w:sz w:val="18"/>
    </w:rPr>
  </w:style>
  <w:style w:type="paragraph" w:customStyle="1" w:styleId="Header-pool">
    <w:name w:val="Header-pool"/>
    <w:basedOn w:val="Normal-pool"/>
    <w:next w:val="Normal-pool"/>
    <w:rsid w:val="00DD3107"/>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rsid w:val="00E2371B"/>
    <w:pPr>
      <w:tabs>
        <w:tab w:val="left" w:pos="1247"/>
        <w:tab w:val="left" w:pos="1814"/>
        <w:tab w:val="left" w:pos="2381"/>
        <w:tab w:val="left" w:pos="2948"/>
        <w:tab w:val="left" w:pos="3515"/>
        <w:tab w:val="left" w:pos="4082"/>
      </w:tabs>
    </w:pPr>
    <w:rPr>
      <w:lang w:val="en-GB" w:eastAsia="en-US"/>
    </w:rPr>
  </w:style>
  <w:style w:type="character" w:styleId="FootnoteReference">
    <w:name w:val="footnote reference"/>
    <w:aliases w:val="16 Point,Superscript 6 Point,Footnote text,Footnote Text1,Footnote Text2,ftref,(Ref. de nota al pie),number,SUPERS,Footnote Reference Superscript,Superscript 6 Point + 11 pt,Appel note de bas de page,-E Fußnotenzeichen"/>
    <w:uiPriority w:val="99"/>
    <w:qFormat/>
    <w:rsid w:val="000D6941"/>
    <w:rPr>
      <w:rFonts w:ascii="Times New Roman" w:hAnsi="Times New Roman"/>
      <w:color w:val="auto"/>
      <w:sz w:val="20"/>
      <w:szCs w:val="18"/>
      <w:vertAlign w:val="superscript"/>
    </w:rPr>
  </w:style>
  <w:style w:type="paragraph" w:styleId="FootnoteText">
    <w:name w:val="footnote text"/>
    <w:aliases w:val="Fußnotentextf, Char1,DNV-FT,Geneva 9,Font: Geneva 9,Boston 10,f,footnote3,text,Geneva,92,Font:,Boston,10,FOOTNOTES,fn,single space,Footnote Text Rail EIS,ft,Footnotes,Footnote ak,fn cafc,Footnotes Char Char,Footnote Text Char Char,93"/>
    <w:basedOn w:val="Normalpool"/>
    <w:link w:val="FootnoteTextChar"/>
    <w:uiPriority w:val="99"/>
    <w:qFormat/>
    <w:rsid w:val="000D6941"/>
    <w:pPr>
      <w:spacing w:before="20" w:after="40"/>
      <w:ind w:left="1247"/>
    </w:pPr>
    <w:rPr>
      <w:sz w:val="18"/>
    </w:rPr>
  </w:style>
  <w:style w:type="table" w:customStyle="1" w:styleId="AATable">
    <w:name w:val="AA_Table"/>
    <w:basedOn w:val="TableNormal"/>
    <w:semiHidden/>
    <w:rsid w:val="00DD310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DD3107"/>
    <w:pPr>
      <w:keepNext/>
      <w:keepLines/>
      <w:suppressAutoHyphens/>
      <w:ind w:right="5103"/>
    </w:pPr>
    <w:rPr>
      <w:b/>
    </w:rPr>
  </w:style>
  <w:style w:type="paragraph" w:customStyle="1" w:styleId="AATitle2">
    <w:name w:val="AA_Title2"/>
    <w:basedOn w:val="AATitle"/>
    <w:rsid w:val="003240FB"/>
    <w:pPr>
      <w:tabs>
        <w:tab w:val="clear" w:pos="4082"/>
      </w:tabs>
      <w:spacing w:before="60" w:after="60"/>
      <w:ind w:right="4536"/>
    </w:pPr>
  </w:style>
  <w:style w:type="paragraph" w:customStyle="1" w:styleId="BBTitle">
    <w:name w:val="BB_Title"/>
    <w:basedOn w:val="Normalpool"/>
    <w:link w:val="BBTitleChar"/>
    <w:rsid w:val="00DD3107"/>
    <w:pPr>
      <w:keepNext/>
      <w:keepLines/>
      <w:suppressAutoHyphens/>
      <w:spacing w:before="320" w:after="240"/>
      <w:ind w:left="1247" w:right="567"/>
    </w:pPr>
    <w:rPr>
      <w:b/>
      <w:sz w:val="28"/>
      <w:szCs w:val="28"/>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uiPriority w:val="99"/>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uiPriority w:val="99"/>
    <w:rsid w:val="000D6941"/>
    <w:rPr>
      <w:rFonts w:ascii="Times New Roman" w:hAnsi="Times New Roman"/>
      <w:color w:val="auto"/>
      <w:sz w:val="20"/>
      <w:szCs w:val="20"/>
      <w:u w:val="none"/>
      <w:lang w:val="fr-FR"/>
    </w:rPr>
  </w:style>
  <w:style w:type="numbering" w:customStyle="1" w:styleId="Normallist">
    <w:name w:val="Normal_list"/>
    <w:basedOn w:val="NoList"/>
    <w:rsid w:val="00DD3107"/>
    <w:pPr>
      <w:numPr>
        <w:numId w:val="4"/>
      </w:numPr>
    </w:pPr>
  </w:style>
  <w:style w:type="paragraph" w:customStyle="1" w:styleId="NormalNonumber">
    <w:name w:val="Normal_No_number"/>
    <w:basedOn w:val="Normalpool"/>
    <w:link w:val="NormalNonumberChar"/>
    <w:rsid w:val="003A086E"/>
    <w:pPr>
      <w:spacing w:after="120"/>
      <w:ind w:left="1247"/>
    </w:pPr>
  </w:style>
  <w:style w:type="paragraph" w:customStyle="1" w:styleId="Normalnumber">
    <w:name w:val="Normal_number"/>
    <w:basedOn w:val="Normalpool"/>
    <w:link w:val="NormalnumberChar"/>
    <w:rsid w:val="00EC5995"/>
    <w:pPr>
      <w:numPr>
        <w:numId w:val="4"/>
      </w:numPr>
      <w:tabs>
        <w:tab w:val="clear" w:pos="1247"/>
        <w:tab w:val="clear" w:pos="1814"/>
        <w:tab w:val="clear" w:pos="2381"/>
        <w:tab w:val="clear" w:pos="2948"/>
        <w:tab w:val="clear" w:pos="3515"/>
        <w:tab w:val="clear" w:pos="4082"/>
        <w:tab w:val="left" w:pos="624"/>
      </w:tabs>
      <w:spacing w:after="120"/>
    </w:pPr>
  </w:style>
  <w:style w:type="paragraph" w:customStyle="1" w:styleId="Titletable">
    <w:name w:val="Title_table"/>
    <w:basedOn w:val="Normalpool"/>
    <w:rsid w:val="00DD3107"/>
    <w:pPr>
      <w:keepNext/>
      <w:keepLines/>
      <w:suppressAutoHyphens/>
      <w:spacing w:after="60"/>
      <w:ind w:left="1247"/>
    </w:pPr>
    <w:rPr>
      <w:b/>
      <w:bCs/>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DD3107"/>
    <w:rPr>
      <w:b/>
      <w:bCs/>
      <w:sz w:val="28"/>
      <w:szCs w:val="22"/>
    </w:rPr>
  </w:style>
  <w:style w:type="paragraph" w:customStyle="1" w:styleId="ZZAnxtitle">
    <w:name w:val="ZZ_Anx_title"/>
    <w:basedOn w:val="Normalpool"/>
    <w:rsid w:val="00DD3107"/>
    <w:pPr>
      <w:spacing w:before="360" w:after="120"/>
      <w:ind w:left="1247"/>
    </w:pPr>
    <w:rPr>
      <w:b/>
      <w:bCs/>
      <w:sz w:val="28"/>
      <w:szCs w:val="26"/>
    </w:rPr>
  </w:style>
  <w:style w:type="table" w:styleId="TableGrid">
    <w:name w:val="Table Grid"/>
    <w:basedOn w:val="TableNormal"/>
    <w:uiPriority w:val="59"/>
    <w:rsid w:val="005D542B"/>
    <w:pPr>
      <w:tabs>
        <w:tab w:val="left" w:pos="1247"/>
        <w:tab w:val="left" w:pos="1814"/>
        <w:tab w:val="left" w:pos="2381"/>
        <w:tab w:val="left" w:pos="2948"/>
        <w:tab w:val="left" w:pos="3515"/>
      </w:tab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ußnotentextf Char, Char1 Char,DNV-FT Char,Geneva 9 Char,Font: Geneva 9 Char,Boston 10 Char,f Char,footnote3 Char,text Char,Geneva Char,92 Char,Font: Char,Boston Char,10 Char,FOOTNOTES Char,fn Char,single space Char,ft Char,93 Char"/>
    <w:link w:val="FootnoteText"/>
    <w:uiPriority w:val="99"/>
    <w:rsid w:val="003F05AD"/>
    <w:rPr>
      <w:sz w:val="18"/>
      <w:lang w:val="fr-CA" w:eastAsia="en-US"/>
    </w:rPr>
  </w:style>
  <w:style w:type="character" w:customStyle="1" w:styleId="NormalnumberChar">
    <w:name w:val="Normal_number Char"/>
    <w:link w:val="Normalnumber"/>
    <w:locked/>
    <w:rsid w:val="00EC5995"/>
    <w:rPr>
      <w:lang w:val="fr-CA" w:eastAsia="en-US"/>
    </w:rPr>
  </w:style>
  <w:style w:type="character" w:customStyle="1" w:styleId="CH2Char">
    <w:name w:val="CH2 Char"/>
    <w:link w:val="CH2"/>
    <w:locked/>
    <w:rsid w:val="009003CB"/>
    <w:rPr>
      <w:b/>
      <w:sz w:val="24"/>
      <w:szCs w:val="24"/>
      <w:lang w:val="fr-CA" w:eastAsia="en-US"/>
    </w:rPr>
  </w:style>
  <w:style w:type="paragraph" w:styleId="BalloonText">
    <w:name w:val="Balloon Text"/>
    <w:basedOn w:val="Normal"/>
    <w:link w:val="BalloonTextChar"/>
    <w:uiPriority w:val="99"/>
    <w:rsid w:val="009D3E3B"/>
    <w:rPr>
      <w:rFonts w:ascii="Tahoma" w:hAnsi="Tahoma" w:cs="Tahoma"/>
      <w:sz w:val="16"/>
      <w:szCs w:val="16"/>
    </w:rPr>
  </w:style>
  <w:style w:type="character" w:customStyle="1" w:styleId="BalloonTextChar">
    <w:name w:val="Balloon Text Char"/>
    <w:basedOn w:val="DefaultParagraphFont"/>
    <w:link w:val="BalloonText"/>
    <w:uiPriority w:val="99"/>
    <w:rsid w:val="009D3E3B"/>
    <w:rPr>
      <w:rFonts w:ascii="Tahoma" w:hAnsi="Tahoma" w:cs="Tahoma"/>
      <w:sz w:val="16"/>
      <w:szCs w:val="16"/>
      <w:lang w:eastAsia="en-US"/>
    </w:rPr>
  </w:style>
  <w:style w:type="character" w:styleId="FollowedHyperlink">
    <w:name w:val="FollowedHyperlink"/>
    <w:basedOn w:val="DefaultParagraphFont"/>
    <w:uiPriority w:val="99"/>
    <w:rsid w:val="00A3332E"/>
    <w:rPr>
      <w:color w:val="800080" w:themeColor="followedHyperlink"/>
      <w:u w:val="single"/>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8A4030"/>
    <w:pPr>
      <w:ind w:left="720"/>
      <w:contextualSpacing/>
    </w:pPr>
  </w:style>
  <w:style w:type="character" w:styleId="CommentReference">
    <w:name w:val="annotation reference"/>
    <w:basedOn w:val="DefaultParagraphFont"/>
    <w:uiPriority w:val="99"/>
    <w:rsid w:val="00526D0B"/>
    <w:rPr>
      <w:sz w:val="16"/>
      <w:szCs w:val="16"/>
    </w:rPr>
  </w:style>
  <w:style w:type="paragraph" w:styleId="CommentText">
    <w:name w:val="annotation text"/>
    <w:basedOn w:val="Normal"/>
    <w:link w:val="CommentTextChar"/>
    <w:uiPriority w:val="99"/>
    <w:rsid w:val="00526D0B"/>
  </w:style>
  <w:style w:type="character" w:customStyle="1" w:styleId="CommentTextChar">
    <w:name w:val="Comment Text Char"/>
    <w:basedOn w:val="DefaultParagraphFont"/>
    <w:link w:val="CommentText"/>
    <w:uiPriority w:val="99"/>
    <w:rsid w:val="00526D0B"/>
    <w:rPr>
      <w:lang w:eastAsia="en-US"/>
    </w:rPr>
  </w:style>
  <w:style w:type="paragraph" w:styleId="CommentSubject">
    <w:name w:val="annotation subject"/>
    <w:basedOn w:val="CommentText"/>
    <w:next w:val="CommentText"/>
    <w:link w:val="CommentSubjectChar"/>
    <w:uiPriority w:val="99"/>
    <w:rsid w:val="00526D0B"/>
    <w:rPr>
      <w:b/>
      <w:bCs/>
    </w:rPr>
  </w:style>
  <w:style w:type="character" w:customStyle="1" w:styleId="CommentSubjectChar">
    <w:name w:val="Comment Subject Char"/>
    <w:basedOn w:val="CommentTextChar"/>
    <w:link w:val="CommentSubject"/>
    <w:uiPriority w:val="99"/>
    <w:rsid w:val="00526D0B"/>
    <w:rPr>
      <w:b/>
      <w:bCs/>
      <w:lang w:eastAsia="en-US"/>
    </w:rPr>
  </w:style>
  <w:style w:type="character" w:customStyle="1" w:styleId="FooterChar">
    <w:name w:val="Footer Char"/>
    <w:basedOn w:val="DefaultParagraphFont"/>
    <w:link w:val="Footer"/>
    <w:uiPriority w:val="99"/>
    <w:rsid w:val="00C424A2"/>
    <w:rPr>
      <w:sz w:val="18"/>
      <w:lang w:eastAsia="en-US"/>
    </w:rPr>
  </w:style>
  <w:style w:type="paragraph" w:customStyle="1" w:styleId="Paralevel1">
    <w:name w:val="Para level1"/>
    <w:basedOn w:val="Normal"/>
    <w:link w:val="Paralevel1Char"/>
    <w:autoRedefine/>
    <w:rsid w:val="0001627D"/>
    <w:pPr>
      <w:keepNext/>
      <w:keepLines/>
      <w:tabs>
        <w:tab w:val="clear" w:pos="1247"/>
        <w:tab w:val="clear" w:pos="1814"/>
        <w:tab w:val="clear" w:pos="2381"/>
        <w:tab w:val="clear" w:pos="2948"/>
        <w:tab w:val="clear" w:pos="3515"/>
        <w:tab w:val="left" w:pos="1985"/>
      </w:tabs>
      <w:suppressAutoHyphens/>
      <w:spacing w:after="120"/>
      <w:ind w:left="1418"/>
    </w:pPr>
    <w:rPr>
      <w:bCs/>
      <w:lang w:val="en-GB"/>
    </w:rPr>
  </w:style>
  <w:style w:type="character" w:customStyle="1" w:styleId="Paralevel1Char">
    <w:name w:val="Para level1 Char"/>
    <w:basedOn w:val="DefaultParagraphFont"/>
    <w:link w:val="Paralevel1"/>
    <w:rsid w:val="0001627D"/>
    <w:rPr>
      <w:bCs/>
      <w:lang w:val="en-GB" w:eastAsia="en-US"/>
    </w:rPr>
  </w:style>
  <w:style w:type="character" w:customStyle="1" w:styleId="Inget">
    <w:name w:val="Inget"/>
    <w:rsid w:val="0001627D"/>
  </w:style>
  <w:style w:type="paragraph" w:styleId="Revision">
    <w:name w:val="Revision"/>
    <w:hidden/>
    <w:uiPriority w:val="99"/>
    <w:semiHidden/>
    <w:rsid w:val="006A6D52"/>
    <w:rPr>
      <w:lang w:eastAsia="en-US"/>
    </w:rPr>
  </w:style>
  <w:style w:type="character" w:customStyle="1" w:styleId="NormalNonumberChar">
    <w:name w:val="Normal_No_number Char"/>
    <w:link w:val="NormalNonumber"/>
    <w:locked/>
    <w:rsid w:val="008B675C"/>
    <w:rPr>
      <w:lang w:val="fr-CA" w:eastAsia="en-US"/>
    </w:rPr>
  </w:style>
  <w:style w:type="paragraph" w:customStyle="1" w:styleId="Default">
    <w:name w:val="Default"/>
    <w:rsid w:val="007D033B"/>
    <w:pPr>
      <w:autoSpaceDE w:val="0"/>
      <w:autoSpaceDN w:val="0"/>
      <w:adjustRightInd w:val="0"/>
    </w:pPr>
    <w:rPr>
      <w:color w:val="000000"/>
      <w:sz w:val="24"/>
      <w:szCs w:val="24"/>
    </w:rPr>
  </w:style>
  <w:style w:type="character" w:customStyle="1" w:styleId="BBTitleChar">
    <w:name w:val="BB_Title Char"/>
    <w:link w:val="BBTitle"/>
    <w:rsid w:val="00A113E0"/>
    <w:rPr>
      <w:b/>
      <w:sz w:val="28"/>
      <w:szCs w:val="28"/>
      <w:lang w:val="fr-CA" w:eastAsia="en-US"/>
    </w:rPr>
  </w:style>
  <w:style w:type="character" w:customStyle="1" w:styleId="CH3Char">
    <w:name w:val="CH3 Char"/>
    <w:link w:val="CH3"/>
    <w:locked/>
    <w:rsid w:val="000E3F3F"/>
    <w:rPr>
      <w:b/>
      <w:lang w:val="fr-CA" w:eastAsia="en-US"/>
    </w:rPr>
  </w:style>
  <w:style w:type="numbering" w:customStyle="1" w:styleId="WWNum25">
    <w:name w:val="WWNum25"/>
    <w:basedOn w:val="NoList"/>
    <w:rsid w:val="00961A61"/>
    <w:pPr>
      <w:numPr>
        <w:numId w:val="5"/>
      </w:numPr>
    </w:pPr>
  </w:style>
  <w:style w:type="paragraph" w:styleId="NormalWeb">
    <w:name w:val="Normal (Web)"/>
    <w:basedOn w:val="Normal"/>
    <w:uiPriority w:val="99"/>
    <w:semiHidden/>
    <w:unhideWhenUsed/>
    <w:rsid w:val="00126CF6"/>
    <w:pPr>
      <w:tabs>
        <w:tab w:val="clear" w:pos="1247"/>
        <w:tab w:val="clear" w:pos="1814"/>
        <w:tab w:val="clear" w:pos="2381"/>
        <w:tab w:val="clear" w:pos="2948"/>
        <w:tab w:val="clear" w:pos="3515"/>
      </w:tabs>
      <w:spacing w:before="100" w:beforeAutospacing="1" w:after="100" w:afterAutospacing="1"/>
    </w:pPr>
    <w:rPr>
      <w:rFonts w:eastAsiaTheme="minorEastAsia"/>
      <w:sz w:val="24"/>
      <w:szCs w:val="24"/>
      <w:lang w:val="en-US"/>
    </w:rPr>
  </w:style>
  <w:style w:type="paragraph" w:customStyle="1" w:styleId="main">
    <w:name w:val="main"/>
    <w:basedOn w:val="Normal"/>
    <w:autoRedefine/>
    <w:rsid w:val="00B813FB"/>
    <w:pPr>
      <w:tabs>
        <w:tab w:val="clear" w:pos="1247"/>
        <w:tab w:val="clear" w:pos="1814"/>
        <w:tab w:val="clear" w:pos="2381"/>
        <w:tab w:val="clear" w:pos="2948"/>
        <w:tab w:val="clear" w:pos="3515"/>
      </w:tabs>
    </w:pPr>
    <w:rPr>
      <w:b/>
      <w:lang w:val="en-GB"/>
    </w:rPr>
  </w:style>
  <w:style w:type="character" w:customStyle="1" w:styleId="HeaderChar">
    <w:name w:val="Header Char"/>
    <w:link w:val="Header"/>
    <w:uiPriority w:val="99"/>
    <w:rsid w:val="00B813FB"/>
    <w:rPr>
      <w:b/>
      <w:sz w:val="18"/>
      <w:lang w:eastAsia="en-US"/>
    </w:rPr>
  </w:style>
  <w:style w:type="paragraph" w:customStyle="1" w:styleId="Text">
    <w:name w:val="Text"/>
    <w:rsid w:val="00532B5C"/>
    <w:pPr>
      <w:pBdr>
        <w:top w:val="nil"/>
        <w:left w:val="nil"/>
        <w:bottom w:val="nil"/>
        <w:right w:val="nil"/>
        <w:between w:val="nil"/>
        <w:bar w:val="nil"/>
      </w:pBdr>
      <w:suppressAutoHyphens/>
    </w:pPr>
    <w:rPr>
      <w:rFonts w:eastAsia="Arial Unicode MS" w:cs="Arial Unicode MS"/>
      <w:color w:val="000000"/>
      <w:u w:color="000000"/>
      <w:bdr w:val="nil"/>
      <w:lang w:val="en-US" w:eastAsia="zh-CN"/>
    </w:rPr>
  </w:style>
  <w:style w:type="numbering" w:customStyle="1" w:styleId="Importovanstyl4">
    <w:name w:val="Importovaný styl 4"/>
    <w:rsid w:val="00532B5C"/>
    <w:pPr>
      <w:numPr>
        <w:numId w:val="6"/>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rsid w:val="00532B5C"/>
    <w:rPr>
      <w:lang w:eastAsia="en-US"/>
    </w:rPr>
  </w:style>
  <w:style w:type="numbering" w:customStyle="1" w:styleId="Importovanstyl5">
    <w:name w:val="Importovaný styl 5"/>
    <w:rsid w:val="00532B5C"/>
    <w:pPr>
      <w:numPr>
        <w:numId w:val="7"/>
      </w:numPr>
    </w:pPr>
  </w:style>
  <w:style w:type="numbering" w:customStyle="1" w:styleId="Importovanstyl6">
    <w:name w:val="Importovaný styl 6"/>
    <w:rsid w:val="00532B5C"/>
    <w:pPr>
      <w:numPr>
        <w:numId w:val="8"/>
      </w:numPr>
    </w:pPr>
  </w:style>
  <w:style w:type="character" w:styleId="UnresolvedMention">
    <w:name w:val="Unresolved Mention"/>
    <w:basedOn w:val="DefaultParagraphFont"/>
    <w:uiPriority w:val="99"/>
    <w:semiHidden/>
    <w:unhideWhenUsed/>
    <w:rsid w:val="008E3BBB"/>
    <w:rPr>
      <w:color w:val="605E5C"/>
      <w:shd w:val="clear" w:color="auto" w:fill="E1DFDD"/>
    </w:rPr>
  </w:style>
  <w:style w:type="character" w:customStyle="1" w:styleId="Heading1Char">
    <w:name w:val="Heading 1 Char"/>
    <w:link w:val="Heading1"/>
    <w:uiPriority w:val="9"/>
    <w:rsid w:val="00193C4D"/>
    <w:rPr>
      <w:b/>
      <w:sz w:val="28"/>
      <w:lang w:eastAsia="en-US"/>
    </w:rPr>
  </w:style>
  <w:style w:type="paragraph" w:styleId="Caption">
    <w:name w:val="caption"/>
    <w:basedOn w:val="Normal"/>
    <w:next w:val="Normal"/>
    <w:uiPriority w:val="35"/>
    <w:unhideWhenUsed/>
    <w:qFormat/>
    <w:rsid w:val="00193C4D"/>
    <w:pPr>
      <w:widowControl w:val="0"/>
      <w:tabs>
        <w:tab w:val="clear" w:pos="1247"/>
        <w:tab w:val="clear" w:pos="1814"/>
        <w:tab w:val="clear" w:pos="2381"/>
        <w:tab w:val="clear" w:pos="2948"/>
        <w:tab w:val="clear" w:pos="3515"/>
      </w:tabs>
      <w:jc w:val="both"/>
    </w:pPr>
    <w:rPr>
      <w:rFonts w:ascii="Century" w:eastAsia="MS Mincho" w:hAnsi="Century"/>
      <w:b/>
      <w:bCs/>
      <w:kern w:val="2"/>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6277">
      <w:bodyDiv w:val="1"/>
      <w:marLeft w:val="0"/>
      <w:marRight w:val="0"/>
      <w:marTop w:val="0"/>
      <w:marBottom w:val="0"/>
      <w:divBdr>
        <w:top w:val="none" w:sz="0" w:space="0" w:color="auto"/>
        <w:left w:val="none" w:sz="0" w:space="0" w:color="auto"/>
        <w:bottom w:val="none" w:sz="0" w:space="0" w:color="auto"/>
        <w:right w:val="none" w:sz="0" w:space="0" w:color="auto"/>
      </w:divBdr>
      <w:divsChild>
        <w:div w:id="98527180">
          <w:marLeft w:val="0"/>
          <w:marRight w:val="0"/>
          <w:marTop w:val="0"/>
          <w:marBottom w:val="0"/>
          <w:divBdr>
            <w:top w:val="none" w:sz="0" w:space="0" w:color="auto"/>
            <w:left w:val="none" w:sz="0" w:space="0" w:color="auto"/>
            <w:bottom w:val="none" w:sz="0" w:space="0" w:color="auto"/>
            <w:right w:val="none" w:sz="0" w:space="0" w:color="auto"/>
          </w:divBdr>
        </w:div>
        <w:div w:id="370344957">
          <w:marLeft w:val="0"/>
          <w:marRight w:val="0"/>
          <w:marTop w:val="0"/>
          <w:marBottom w:val="0"/>
          <w:divBdr>
            <w:top w:val="none" w:sz="0" w:space="0" w:color="auto"/>
            <w:left w:val="none" w:sz="0" w:space="0" w:color="auto"/>
            <w:bottom w:val="none" w:sz="0" w:space="0" w:color="auto"/>
            <w:right w:val="none" w:sz="0" w:space="0" w:color="auto"/>
          </w:divBdr>
        </w:div>
        <w:div w:id="606625423">
          <w:marLeft w:val="0"/>
          <w:marRight w:val="0"/>
          <w:marTop w:val="0"/>
          <w:marBottom w:val="0"/>
          <w:divBdr>
            <w:top w:val="none" w:sz="0" w:space="0" w:color="auto"/>
            <w:left w:val="none" w:sz="0" w:space="0" w:color="auto"/>
            <w:bottom w:val="none" w:sz="0" w:space="0" w:color="auto"/>
            <w:right w:val="none" w:sz="0" w:space="0" w:color="auto"/>
          </w:divBdr>
        </w:div>
        <w:div w:id="824903958">
          <w:marLeft w:val="0"/>
          <w:marRight w:val="0"/>
          <w:marTop w:val="0"/>
          <w:marBottom w:val="0"/>
          <w:divBdr>
            <w:top w:val="none" w:sz="0" w:space="0" w:color="auto"/>
            <w:left w:val="none" w:sz="0" w:space="0" w:color="auto"/>
            <w:bottom w:val="none" w:sz="0" w:space="0" w:color="auto"/>
            <w:right w:val="none" w:sz="0" w:space="0" w:color="auto"/>
          </w:divBdr>
        </w:div>
        <w:div w:id="880553466">
          <w:marLeft w:val="0"/>
          <w:marRight w:val="0"/>
          <w:marTop w:val="0"/>
          <w:marBottom w:val="0"/>
          <w:divBdr>
            <w:top w:val="none" w:sz="0" w:space="0" w:color="auto"/>
            <w:left w:val="none" w:sz="0" w:space="0" w:color="auto"/>
            <w:bottom w:val="none" w:sz="0" w:space="0" w:color="auto"/>
            <w:right w:val="none" w:sz="0" w:space="0" w:color="auto"/>
          </w:divBdr>
        </w:div>
        <w:div w:id="1394965493">
          <w:marLeft w:val="0"/>
          <w:marRight w:val="0"/>
          <w:marTop w:val="0"/>
          <w:marBottom w:val="0"/>
          <w:divBdr>
            <w:top w:val="none" w:sz="0" w:space="0" w:color="auto"/>
            <w:left w:val="none" w:sz="0" w:space="0" w:color="auto"/>
            <w:bottom w:val="none" w:sz="0" w:space="0" w:color="auto"/>
            <w:right w:val="none" w:sz="0" w:space="0" w:color="auto"/>
          </w:divBdr>
        </w:div>
      </w:divsChild>
    </w:div>
    <w:div w:id="84613559">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528448325">
      <w:bodyDiv w:val="1"/>
      <w:marLeft w:val="0"/>
      <w:marRight w:val="0"/>
      <w:marTop w:val="0"/>
      <w:marBottom w:val="0"/>
      <w:divBdr>
        <w:top w:val="none" w:sz="0" w:space="0" w:color="auto"/>
        <w:left w:val="none" w:sz="0" w:space="0" w:color="auto"/>
        <w:bottom w:val="none" w:sz="0" w:space="0" w:color="auto"/>
        <w:right w:val="none" w:sz="0" w:space="0" w:color="auto"/>
      </w:divBdr>
      <w:divsChild>
        <w:div w:id="1546871519">
          <w:marLeft w:val="0"/>
          <w:marRight w:val="0"/>
          <w:marTop w:val="0"/>
          <w:marBottom w:val="0"/>
          <w:divBdr>
            <w:top w:val="none" w:sz="0" w:space="0" w:color="auto"/>
            <w:left w:val="none" w:sz="0" w:space="0" w:color="auto"/>
            <w:bottom w:val="none" w:sz="0" w:space="0" w:color="auto"/>
            <w:right w:val="none" w:sz="0" w:space="0" w:color="auto"/>
          </w:divBdr>
        </w:div>
        <w:div w:id="1871844689">
          <w:marLeft w:val="0"/>
          <w:marRight w:val="0"/>
          <w:marTop w:val="0"/>
          <w:marBottom w:val="0"/>
          <w:divBdr>
            <w:top w:val="none" w:sz="0" w:space="0" w:color="auto"/>
            <w:left w:val="none" w:sz="0" w:space="0" w:color="auto"/>
            <w:bottom w:val="none" w:sz="0" w:space="0" w:color="auto"/>
            <w:right w:val="none" w:sz="0" w:space="0" w:color="auto"/>
          </w:divBdr>
        </w:div>
      </w:divsChild>
    </w:div>
    <w:div w:id="1165897583">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659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bit.ly/DoesMinamataWor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nenvironment.org/resources/publication/global-mercury-assessment-2018"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link.springer.com/journal/13280/47/2/page/1" TargetMode="External"/><Relationship Id="rId25" Type="http://schemas.openxmlformats.org/officeDocument/2006/relationships/header" Target="header1.xml"/><Relationship Id="rId33" Type="http://schemas.openxmlformats.org/officeDocument/2006/relationships/hyperlink" Target="https://doi.org/10.1289/EHP3904" TargetMode="External"/><Relationship Id="rId2" Type="http://schemas.openxmlformats.org/officeDocument/2006/relationships/customXml" Target="../customXml/item2.xml"/><Relationship Id="rId16" Type="http://schemas.openxmlformats.org/officeDocument/2006/relationships/hyperlink" Target="http://pubs.acs.org/doi/full/10.1021/acs.est.7b06148" TargetMode="External"/><Relationship Id="rId20" Type="http://schemas.openxmlformats.org/officeDocument/2006/relationships/hyperlink" Target="http://bit.ly/DoesMinamataWor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ehp.niehs.nih.gov/doi/full/10.1289/EHP3904" TargetMode="External"/><Relationship Id="rId5" Type="http://schemas.openxmlformats.org/officeDocument/2006/relationships/numbering" Target="numbering.xml"/><Relationship Id="rId15" Type="http://schemas.openxmlformats.org/officeDocument/2006/relationships/hyperlink" Target="http://www.mercuryconvention.org/Negotiations/COP1/submissionsforCOP1/tabid/5535/language/en-US/Default.aspx"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mercuryconvention.org/Meetings/COP2/SubmissionsforCOP2/tabid/6325/language/en-US/Default.aspx" TargetMode="External"/><Relationship Id="rId31" Type="http://schemas.openxmlformats.org/officeDocument/2006/relationships/hyperlink" Target="http://www.euro.who.int/__data/assets/pdf_file/0009/384174/prenat-exp-mercury-sop-eng.pdf?u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uryconvention.org/Negotiations/INC7/INC7submissions/tabid/4754/Default.aspx"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www.euro.who.int/__data/assets/pdf_file/0010/386893/survey-mercury-eng.pdf?ua=1"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20templates%20and%20mastheads_BACKUP\TEMPLATES%20AND%20MASTHEADS\Document%20templates\Ozone%20OEWG%2038\OEWG%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ymbol xmlns="B7889ACC-2EAE-4FAC-B40D-65C2DAFAF2A5">UNEP/OzL.Pro.WG.1/38/1/Add.1</Document_x0020_Symbo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4894E47D7AF47A3089868D8BD5D71" ma:contentTypeVersion="" ma:contentTypeDescription="Create a new document." ma:contentTypeScope="" ma:versionID="99e002a46db0e83cadfb0eef3ac89df6">
  <xsd:schema xmlns:xsd="http://www.w3.org/2001/XMLSchema" xmlns:xs="http://www.w3.org/2001/XMLSchema" xmlns:p="http://schemas.microsoft.com/office/2006/metadata/properties" xmlns:ns2="B7889ACC-2EAE-4FAC-B40D-65C2DAFAF2A5" targetNamespace="http://schemas.microsoft.com/office/2006/metadata/properties" ma:root="true" ma:fieldsID="f072170b43ab293c619b9d8a5fba8679" ns2:_="">
    <xsd:import namespace="B7889ACC-2EAE-4FAC-B40D-65C2DAFAF2A5"/>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89ACC-2EAE-4FAC-B40D-65C2DAFAF2A5"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4B9F-3E05-4F2E-8D9E-076186388428}">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B7889ACC-2EAE-4FAC-B40D-65C2DAFAF2A5"/>
  </ds:schemaRefs>
</ds:datastoreItem>
</file>

<file path=customXml/itemProps2.xml><?xml version="1.0" encoding="utf-8"?>
<ds:datastoreItem xmlns:ds="http://schemas.openxmlformats.org/officeDocument/2006/customXml" ds:itemID="{BD391971-705C-463C-9CA0-9F674FC06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89ACC-2EAE-4FAC-B40D-65C2DAFA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7136E-DF86-48B0-B8E2-A170C8D196D1}">
  <ds:schemaRefs>
    <ds:schemaRef ds:uri="http://schemas.microsoft.com/sharepoint/v3/contenttype/forms"/>
  </ds:schemaRefs>
</ds:datastoreItem>
</file>

<file path=customXml/itemProps4.xml><?xml version="1.0" encoding="utf-8"?>
<ds:datastoreItem xmlns:ds="http://schemas.openxmlformats.org/officeDocument/2006/customXml" ds:itemID="{94BCA4A5-BA79-4768-9884-D740B631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OEWG - template.dotx</Template>
  <TotalTime>138</TotalTime>
  <Pages>17</Pages>
  <Words>7638</Words>
  <Characters>49463</Characters>
  <Application>Microsoft Office Word</Application>
  <DocSecurity>0</DocSecurity>
  <Lines>412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Annotations to the provisional agenda</vt:lpstr>
      <vt:lpstr>Annotations to the provisional agenda</vt:lpstr>
    </vt:vector>
  </TitlesOfParts>
  <Company/>
  <LinksUpToDate>false</LinksUpToDate>
  <CharactersWithSpaces>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Annotations to the provisional agenda</dc:title>
  <dc:subject/>
  <dc:creator>Veronica Gathu</dc:creator>
  <cp:keywords/>
  <dc:description/>
  <cp:lastModifiedBy>Eisaku Toda</cp:lastModifiedBy>
  <cp:revision>7</cp:revision>
  <cp:lastPrinted>2019-03-25T15:09:00Z</cp:lastPrinted>
  <dcterms:created xsi:type="dcterms:W3CDTF">2019-03-22T14:23:00Z</dcterms:created>
  <dcterms:modified xsi:type="dcterms:W3CDTF">2019-03-25T15:10:00Z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0x0101004424894E47D7AF47A3089868D8BD5D71</vt:lpwstr>
  </property>
</Properties>
</file>