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9496"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04"/>
        <w:gridCol w:w="4839"/>
        <w:gridCol w:w="3153"/>
      </w:tblGrid>
      <w:tr w:rsidR="001717D8">
        <w:trPr>
          <w:trHeight w:val="719"/>
          <w:jc w:val="right"/>
        </w:trPr>
        <w:tc>
          <w:tcPr>
            <w:tcW w:w="1504" w:type="dxa"/>
            <w:tcBorders>
              <w:top w:val="nil"/>
              <w:left w:val="nil"/>
              <w:bottom w:val="nil"/>
              <w:right w:val="nil"/>
            </w:tcBorders>
            <w:shd w:val="clear" w:color="auto" w:fill="auto"/>
            <w:tcMar>
              <w:top w:w="80" w:type="dxa"/>
              <w:left w:w="80" w:type="dxa"/>
              <w:bottom w:w="80" w:type="dxa"/>
              <w:right w:w="80" w:type="dxa"/>
            </w:tcMar>
          </w:tcPr>
          <w:p w:rsidR="001717D8" w:rsidRDefault="00AB1C48">
            <w:pPr>
              <w:pStyle w:val="Text"/>
            </w:pPr>
            <w:r>
              <w:rPr>
                <w:rFonts w:ascii="Arial Bold" w:eastAsia="Univers" w:hAnsi="Arial Bold" w:cs="Univers"/>
                <w:sz w:val="27"/>
                <w:szCs w:val="27"/>
              </w:rPr>
              <w:t xml:space="preserve">UNITED </w:t>
            </w:r>
            <w:r>
              <w:rPr>
                <w:rFonts w:ascii="Arial Unicode MS" w:eastAsia="Arial Unicode MS" w:hAnsi="Arial Unicode MS" w:cs="Arial Unicode MS"/>
                <w:sz w:val="27"/>
                <w:szCs w:val="27"/>
              </w:rPr>
              <w:br/>
            </w:r>
            <w:r>
              <w:rPr>
                <w:rFonts w:ascii="Arial Bold" w:eastAsia="Univers" w:hAnsi="Arial Bold" w:cs="Univers"/>
                <w:sz w:val="27"/>
                <w:szCs w:val="27"/>
              </w:rPr>
              <w:t>NATIONS</w:t>
            </w:r>
          </w:p>
        </w:tc>
        <w:tc>
          <w:tcPr>
            <w:tcW w:w="4839" w:type="dxa"/>
            <w:tcBorders>
              <w:top w:val="nil"/>
              <w:left w:val="nil"/>
              <w:bottom w:val="nil"/>
              <w:right w:val="nil"/>
            </w:tcBorders>
            <w:shd w:val="clear" w:color="auto" w:fill="auto"/>
            <w:tcMar>
              <w:top w:w="80" w:type="dxa"/>
              <w:left w:w="80" w:type="dxa"/>
              <w:bottom w:w="80" w:type="dxa"/>
              <w:right w:w="80" w:type="dxa"/>
            </w:tcMar>
          </w:tcPr>
          <w:p w:rsidR="001717D8" w:rsidRDefault="001717D8"/>
        </w:tc>
        <w:tc>
          <w:tcPr>
            <w:tcW w:w="3153" w:type="dxa"/>
            <w:tcBorders>
              <w:top w:val="nil"/>
              <w:left w:val="nil"/>
              <w:bottom w:val="nil"/>
              <w:right w:val="nil"/>
            </w:tcBorders>
            <w:shd w:val="clear" w:color="auto" w:fill="auto"/>
            <w:tcMar>
              <w:top w:w="80" w:type="dxa"/>
              <w:left w:w="80" w:type="dxa"/>
              <w:bottom w:w="80" w:type="dxa"/>
              <w:right w:w="80" w:type="dxa"/>
            </w:tcMar>
          </w:tcPr>
          <w:p w:rsidR="001717D8" w:rsidRDefault="00AB1C48">
            <w:pPr>
              <w:pStyle w:val="Text"/>
              <w:jc w:val="right"/>
            </w:pPr>
            <w:r>
              <w:rPr>
                <w:rFonts w:ascii="Arial Bold" w:hAnsi="Arial Bold"/>
                <w:sz w:val="64"/>
                <w:szCs w:val="64"/>
              </w:rPr>
              <w:t>MC</w:t>
            </w:r>
          </w:p>
        </w:tc>
      </w:tr>
      <w:tr w:rsidR="001717D8">
        <w:trPr>
          <w:trHeight w:val="313"/>
          <w:jc w:val="right"/>
        </w:trPr>
        <w:tc>
          <w:tcPr>
            <w:tcW w:w="1504" w:type="dxa"/>
            <w:tcBorders>
              <w:top w:val="nil"/>
              <w:left w:val="nil"/>
              <w:bottom w:val="single" w:sz="4" w:space="0" w:color="000000"/>
              <w:right w:val="nil"/>
            </w:tcBorders>
            <w:shd w:val="clear" w:color="auto" w:fill="auto"/>
            <w:tcMar>
              <w:top w:w="80" w:type="dxa"/>
              <w:left w:w="80" w:type="dxa"/>
              <w:bottom w:w="80" w:type="dxa"/>
              <w:right w:w="80" w:type="dxa"/>
            </w:tcMar>
          </w:tcPr>
          <w:p w:rsidR="001717D8" w:rsidRDefault="001717D8"/>
        </w:tc>
        <w:tc>
          <w:tcPr>
            <w:tcW w:w="4839" w:type="dxa"/>
            <w:tcBorders>
              <w:top w:val="nil"/>
              <w:left w:val="nil"/>
              <w:bottom w:val="single" w:sz="4" w:space="0" w:color="000000"/>
              <w:right w:val="nil"/>
            </w:tcBorders>
            <w:shd w:val="clear" w:color="auto" w:fill="auto"/>
            <w:tcMar>
              <w:top w:w="80" w:type="dxa"/>
              <w:left w:w="80" w:type="dxa"/>
              <w:bottom w:w="80" w:type="dxa"/>
              <w:right w:w="80" w:type="dxa"/>
            </w:tcMar>
          </w:tcPr>
          <w:p w:rsidR="001717D8" w:rsidRDefault="001717D8"/>
        </w:tc>
        <w:tc>
          <w:tcPr>
            <w:tcW w:w="3153" w:type="dxa"/>
            <w:tcBorders>
              <w:top w:val="nil"/>
              <w:left w:val="nil"/>
              <w:bottom w:val="single" w:sz="4" w:space="0" w:color="000000"/>
              <w:right w:val="nil"/>
            </w:tcBorders>
            <w:shd w:val="clear" w:color="auto" w:fill="auto"/>
            <w:tcMar>
              <w:top w:w="80" w:type="dxa"/>
              <w:left w:w="80" w:type="dxa"/>
              <w:bottom w:w="80" w:type="dxa"/>
              <w:right w:w="80" w:type="dxa"/>
            </w:tcMar>
          </w:tcPr>
          <w:p w:rsidR="001717D8" w:rsidRDefault="00AB1C48">
            <w:pPr>
              <w:pStyle w:val="Text"/>
            </w:pPr>
            <w:r>
              <w:rPr>
                <w:b/>
                <w:bCs/>
                <w:sz w:val="28"/>
                <w:szCs w:val="28"/>
              </w:rPr>
              <w:t>UNEP/</w:t>
            </w:r>
            <w:r>
              <w:t>MC/EE.2/1/Add.1</w:t>
            </w:r>
          </w:p>
        </w:tc>
      </w:tr>
      <w:tr w:rsidR="001717D8">
        <w:trPr>
          <w:trHeight w:val="2573"/>
          <w:jc w:val="right"/>
        </w:trPr>
        <w:tc>
          <w:tcPr>
            <w:tcW w:w="1504" w:type="dxa"/>
            <w:tcBorders>
              <w:top w:val="single" w:sz="4" w:space="0" w:color="000000"/>
              <w:left w:val="nil"/>
              <w:bottom w:val="single" w:sz="24" w:space="0" w:color="000000"/>
              <w:right w:val="nil"/>
            </w:tcBorders>
            <w:shd w:val="clear" w:color="auto" w:fill="auto"/>
            <w:tcMar>
              <w:top w:w="80" w:type="dxa"/>
              <w:left w:w="80" w:type="dxa"/>
              <w:bottom w:w="80" w:type="dxa"/>
              <w:right w:w="80" w:type="dxa"/>
            </w:tcMar>
          </w:tcPr>
          <w:p w:rsidR="001717D8" w:rsidRDefault="00AB1C48">
            <w:pPr>
              <w:pStyle w:val="Text"/>
            </w:pPr>
            <w:r>
              <w:rPr>
                <w:noProof/>
              </w:rPr>
              <w:drawing>
                <wp:inline distT="0" distB="0" distL="0" distR="0">
                  <wp:extent cx="828675" cy="79057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df"/>
                          <pic:cNvPicPr>
                            <a:picLocks noChangeAspect="1"/>
                          </pic:cNvPicPr>
                        </pic:nvPicPr>
                        <pic:blipFill>
                          <a:blip r:embed="rId8">
                            <a:extLst/>
                          </a:blip>
                          <a:stretch>
                            <a:fillRect/>
                          </a:stretch>
                        </pic:blipFill>
                        <pic:spPr>
                          <a:xfrm>
                            <a:off x="0" y="0"/>
                            <a:ext cx="828675" cy="790575"/>
                          </a:xfrm>
                          <a:prstGeom prst="rect">
                            <a:avLst/>
                          </a:prstGeom>
                          <a:ln w="12700" cap="flat">
                            <a:noFill/>
                            <a:miter lim="400000"/>
                          </a:ln>
                          <a:effectLst/>
                        </pic:spPr>
                      </pic:pic>
                    </a:graphicData>
                  </a:graphic>
                </wp:inline>
              </w:drawing>
            </w:r>
            <w:r>
              <w:rPr>
                <w:noProof/>
              </w:rPr>
              <w:drawing>
                <wp:inline distT="0" distB="0" distL="0" distR="0">
                  <wp:extent cx="723900" cy="760731"/>
                  <wp:effectExtent l="0" t="0" r="0" b="0"/>
                  <wp:docPr id="1073741826" name="officeArt object" descr="Description: Description: EP"/>
                  <wp:cNvGraphicFramePr/>
                  <a:graphic xmlns:a="http://schemas.openxmlformats.org/drawingml/2006/main">
                    <a:graphicData uri="http://schemas.openxmlformats.org/drawingml/2006/picture">
                      <pic:pic xmlns:pic="http://schemas.openxmlformats.org/drawingml/2006/picture">
                        <pic:nvPicPr>
                          <pic:cNvPr id="1073741826" name="Description: Description: EP" descr="Description: Description: EP"/>
                          <pic:cNvPicPr>
                            <a:picLocks noChangeAspect="1"/>
                          </pic:cNvPicPr>
                        </pic:nvPicPr>
                        <pic:blipFill>
                          <a:blip r:embed="rId9">
                            <a:extLst/>
                          </a:blip>
                          <a:stretch>
                            <a:fillRect/>
                          </a:stretch>
                        </pic:blipFill>
                        <pic:spPr>
                          <a:xfrm>
                            <a:off x="0" y="0"/>
                            <a:ext cx="723900" cy="760731"/>
                          </a:xfrm>
                          <a:prstGeom prst="rect">
                            <a:avLst/>
                          </a:prstGeom>
                          <a:ln w="12700" cap="flat">
                            <a:noFill/>
                            <a:miter lim="400000"/>
                          </a:ln>
                          <a:effectLst/>
                        </pic:spPr>
                      </pic:pic>
                    </a:graphicData>
                  </a:graphic>
                </wp:inline>
              </w:drawing>
            </w:r>
          </w:p>
        </w:tc>
        <w:tc>
          <w:tcPr>
            <w:tcW w:w="4839" w:type="dxa"/>
            <w:tcBorders>
              <w:top w:val="single" w:sz="4" w:space="0" w:color="000000"/>
              <w:left w:val="nil"/>
              <w:bottom w:val="single" w:sz="24" w:space="0" w:color="000000"/>
              <w:right w:val="nil"/>
            </w:tcBorders>
            <w:shd w:val="clear" w:color="auto" w:fill="auto"/>
            <w:tcMar>
              <w:top w:w="80" w:type="dxa"/>
              <w:left w:w="80" w:type="dxa"/>
              <w:bottom w:w="80" w:type="dxa"/>
              <w:right w:w="80" w:type="dxa"/>
            </w:tcMar>
          </w:tcPr>
          <w:p w:rsidR="001717D8" w:rsidRPr="001817EF" w:rsidRDefault="00AB1C48">
            <w:pPr>
              <w:pStyle w:val="Text"/>
              <w:spacing w:before="1400"/>
            </w:pPr>
            <w:r w:rsidRPr="001817EF">
              <w:rPr>
                <w:rFonts w:ascii="Arial Bold" w:eastAsia="Univers" w:hAnsi="Arial Bold" w:cs="Univers"/>
                <w:sz w:val="28"/>
                <w:szCs w:val="28"/>
              </w:rPr>
              <w:t xml:space="preserve">United Nations </w:t>
            </w:r>
            <w:r w:rsidRPr="001817EF">
              <w:rPr>
                <w:rFonts w:ascii="Arial Unicode MS" w:eastAsia="Arial Unicode MS" w:hAnsi="Arial Unicode MS" w:cs="Arial Unicode MS"/>
                <w:sz w:val="28"/>
                <w:szCs w:val="28"/>
              </w:rPr>
              <w:br/>
            </w:r>
            <w:r w:rsidRPr="001817EF">
              <w:rPr>
                <w:rFonts w:ascii="Arial Bold" w:eastAsia="Univers" w:hAnsi="Arial Bold" w:cs="Univers"/>
                <w:sz w:val="28"/>
                <w:szCs w:val="28"/>
              </w:rPr>
              <w:t xml:space="preserve">Environment </w:t>
            </w:r>
            <w:r w:rsidRPr="001817EF">
              <w:rPr>
                <w:rFonts w:ascii="Arial Unicode MS" w:eastAsia="Arial Unicode MS" w:hAnsi="Arial Unicode MS" w:cs="Arial Unicode MS"/>
                <w:sz w:val="28"/>
                <w:szCs w:val="28"/>
              </w:rPr>
              <w:br/>
            </w:r>
            <w:r w:rsidRPr="001817EF">
              <w:rPr>
                <w:rFonts w:ascii="Arial Bold" w:eastAsia="Univers" w:hAnsi="Arial Bold" w:cs="Univers"/>
                <w:sz w:val="28"/>
                <w:szCs w:val="28"/>
              </w:rPr>
              <w:t>Programme</w:t>
            </w:r>
          </w:p>
        </w:tc>
        <w:tc>
          <w:tcPr>
            <w:tcW w:w="3153" w:type="dxa"/>
            <w:tcBorders>
              <w:top w:val="single" w:sz="4" w:space="0" w:color="000000"/>
              <w:left w:val="nil"/>
              <w:bottom w:val="single" w:sz="24" w:space="0" w:color="000000"/>
              <w:right w:val="nil"/>
            </w:tcBorders>
            <w:shd w:val="clear" w:color="auto" w:fill="auto"/>
            <w:tcMar>
              <w:top w:w="80" w:type="dxa"/>
              <w:left w:w="80" w:type="dxa"/>
              <w:bottom w:w="80" w:type="dxa"/>
              <w:right w:w="80" w:type="dxa"/>
            </w:tcMar>
          </w:tcPr>
          <w:p w:rsidR="001717D8" w:rsidRPr="001817EF" w:rsidRDefault="00AB1C48">
            <w:pPr>
              <w:pStyle w:val="Text"/>
              <w:spacing w:before="120"/>
            </w:pPr>
            <w:r w:rsidRPr="001817EF">
              <w:t>Distr.: General</w:t>
            </w:r>
            <w:r w:rsidRPr="001817EF">
              <w:rPr>
                <w:rFonts w:ascii="Arial Unicode MS" w:eastAsia="Arial Unicode MS" w:hAnsi="Arial Unicode MS" w:cs="Arial Unicode MS"/>
              </w:rPr>
              <w:br/>
            </w:r>
            <w:r w:rsidR="001817EF">
              <w:t>25 March 2019</w:t>
            </w:r>
          </w:p>
          <w:p w:rsidR="001717D8" w:rsidRPr="001817EF" w:rsidRDefault="00AB1C48">
            <w:pPr>
              <w:pStyle w:val="Text"/>
              <w:spacing w:before="120"/>
            </w:pPr>
            <w:r w:rsidRPr="001817EF">
              <w:t>English only</w:t>
            </w:r>
          </w:p>
        </w:tc>
      </w:tr>
    </w:tbl>
    <w:p w:rsidR="001717D8" w:rsidRDefault="001717D8">
      <w:pPr>
        <w:pStyle w:val="Text"/>
        <w:widowControl w:val="0"/>
        <w:jc w:val="right"/>
      </w:pPr>
    </w:p>
    <w:p w:rsidR="001717D8" w:rsidRDefault="00AB1C48">
      <w:pPr>
        <w:pStyle w:val="main"/>
      </w:pPr>
      <w:r>
        <w:t>Meeting of the Ad-hoc Technical Expert Group on</w:t>
      </w:r>
    </w:p>
    <w:p w:rsidR="001717D8" w:rsidRDefault="00AB1C48">
      <w:pPr>
        <w:pStyle w:val="main"/>
      </w:pPr>
      <w:r>
        <w:t>Effectiveness Evaluation</w:t>
      </w:r>
    </w:p>
    <w:p w:rsidR="001717D8" w:rsidRDefault="00AB1C48">
      <w:pPr>
        <w:pStyle w:val="main"/>
      </w:pPr>
      <w:r>
        <w:t>Minamata Convention on Mercury</w:t>
      </w:r>
    </w:p>
    <w:p w:rsidR="001717D8" w:rsidRDefault="00AB1C48">
      <w:pPr>
        <w:pStyle w:val="Header"/>
        <w:tabs>
          <w:tab w:val="left" w:pos="720"/>
        </w:tabs>
        <w:rPr>
          <w:b w:val="0"/>
          <w:bCs w:val="0"/>
          <w:sz w:val="20"/>
          <w:szCs w:val="20"/>
          <w:lang w:val="en-US"/>
        </w:rPr>
      </w:pPr>
      <w:r>
        <w:rPr>
          <w:b w:val="0"/>
          <w:bCs w:val="0"/>
          <w:sz w:val="20"/>
          <w:szCs w:val="20"/>
          <w:lang w:val="en-US"/>
        </w:rPr>
        <w:t xml:space="preserve">Geneva, Switzerland, 8-12 </w:t>
      </w:r>
      <w:r>
        <w:rPr>
          <w:b w:val="0"/>
          <w:bCs w:val="0"/>
          <w:sz w:val="20"/>
          <w:szCs w:val="20"/>
          <w:lang w:val="en-US"/>
        </w:rPr>
        <w:t>April 2019</w:t>
      </w:r>
    </w:p>
    <w:p w:rsidR="001717D8" w:rsidRDefault="001717D8">
      <w:pPr>
        <w:pStyle w:val="AATitle2"/>
        <w:rPr>
          <w:lang w:val="en-US"/>
        </w:rPr>
      </w:pPr>
    </w:p>
    <w:p w:rsidR="001717D8" w:rsidRDefault="00AB1C48">
      <w:pPr>
        <w:pStyle w:val="BBTitle"/>
        <w:rPr>
          <w:lang w:val="en-US"/>
        </w:rPr>
      </w:pPr>
      <w:r>
        <w:rPr>
          <w:lang w:val="en-US"/>
        </w:rPr>
        <w:t>Annotations to the provisional agenda</w:t>
      </w:r>
      <w:r w:rsidR="001817EF">
        <w:rPr>
          <w:rStyle w:val="FootnoteReference"/>
          <w:rFonts w:eastAsia="Arial Unicode MS"/>
          <w:lang w:val="en-US"/>
        </w:rPr>
        <w:footnoteReference w:id="2"/>
      </w:r>
    </w:p>
    <w:p w:rsidR="001717D8" w:rsidRDefault="00AB1C48">
      <w:pPr>
        <w:pStyle w:val="Normalnumber"/>
        <w:numPr>
          <w:ilvl w:val="0"/>
          <w:numId w:val="2"/>
        </w:numPr>
        <w:rPr>
          <w:lang w:val="en-US"/>
        </w:rPr>
      </w:pPr>
      <w:r>
        <w:rPr>
          <w:lang w:val="en-US"/>
        </w:rPr>
        <w:t xml:space="preserve">The Ad-hoc Technical Expert Group on Effectiveness Evaluation at its first meeting in Ottawa, Canada, on 5-9 March 2018 elected Ms. </w:t>
      </w:r>
      <w:proofErr w:type="spellStart"/>
      <w:r>
        <w:rPr>
          <w:lang w:val="en-US"/>
        </w:rPr>
        <w:t>Kateřina</w:t>
      </w:r>
      <w:proofErr w:type="spellEnd"/>
      <w:r>
        <w:rPr>
          <w:lang w:val="en-US"/>
        </w:rPr>
        <w:t xml:space="preserve"> </w:t>
      </w:r>
      <w:proofErr w:type="spellStart"/>
      <w:r>
        <w:rPr>
          <w:lang w:val="en-US"/>
        </w:rPr>
        <w:t>Šebková</w:t>
      </w:r>
      <w:proofErr w:type="spellEnd"/>
      <w:r>
        <w:rPr>
          <w:lang w:val="en-US"/>
        </w:rPr>
        <w:t xml:space="preserve"> and Mr. Mohammed Khashashneh as co-chairs. As requested f</w:t>
      </w:r>
      <w:r>
        <w:rPr>
          <w:lang w:val="en-US"/>
        </w:rPr>
        <w:t>rom the Conference of the Parties in its decision MC-2/11, the secretariat cooperated with the co-chairs to prepare the agenda and documents for the second meeting to be held in Geneva, Switzerland, on 8-12 April 2019. The present document sets out annotat</w:t>
      </w:r>
      <w:r>
        <w:rPr>
          <w:lang w:val="en-US"/>
        </w:rPr>
        <w:t>ions to the provisional agenda (UNEP/MC/EE.2/1), with further proposal as to how the deliberations at the meeting should be structured.</w:t>
      </w:r>
    </w:p>
    <w:p w:rsidR="001717D8" w:rsidRDefault="00AB1C48">
      <w:pPr>
        <w:pStyle w:val="Normalnumber"/>
        <w:numPr>
          <w:ilvl w:val="0"/>
          <w:numId w:val="2"/>
        </w:numPr>
        <w:rPr>
          <w:lang w:val="en-US"/>
        </w:rPr>
      </w:pPr>
      <w:r>
        <w:rPr>
          <w:lang w:val="en-US"/>
        </w:rPr>
        <w:t>The co-chairs agree that this meeting should be conducted as a result-oriented meeting for preparing a report to be subm</w:t>
      </w:r>
      <w:r>
        <w:rPr>
          <w:lang w:val="en-US"/>
        </w:rPr>
        <w:t>itted to the Conference of the Parties at its third session to be held in Geneva, Switzerland, on 25-29 November 2019. The members and observers are expected to engage in the drafting of part</w:t>
      </w:r>
      <w:r>
        <w:rPr>
          <w:lang w:val="en-US"/>
        </w:rPr>
        <w:t>s</w:t>
      </w:r>
      <w:r>
        <w:rPr>
          <w:lang w:val="en-US"/>
        </w:rPr>
        <w:t xml:space="preserve"> of the report relevant to their expertise. The co-chairs expect</w:t>
      </w:r>
      <w:r>
        <w:rPr>
          <w:lang w:val="en-US"/>
        </w:rPr>
        <w:t xml:space="preserve"> that a draft report </w:t>
      </w:r>
      <w:r>
        <w:rPr>
          <w:lang w:val="en-US"/>
        </w:rPr>
        <w:t xml:space="preserve">addressing a complete range of issues from the mandate in MC 2/11 given to the group by </w:t>
      </w:r>
      <w:r w:rsidR="001817EF">
        <w:rPr>
          <w:lang w:val="en-US"/>
        </w:rPr>
        <w:t>the Conference of the Parties</w:t>
      </w:r>
      <w:r>
        <w:rPr>
          <w:lang w:val="en-US"/>
        </w:rPr>
        <w:t xml:space="preserve"> </w:t>
      </w:r>
      <w:r>
        <w:rPr>
          <w:lang w:val="en-US"/>
        </w:rPr>
        <w:t>should be ready at the closure of the meeting in a form as close as possible to its final one, which will be completed a couple of weeks after</w:t>
      </w:r>
      <w:r>
        <w:rPr>
          <w:lang w:val="en-US"/>
        </w:rPr>
        <w:t xml:space="preserve"> the meeting and circulated to the group for final confirmation</w:t>
      </w:r>
      <w:r>
        <w:rPr>
          <w:lang w:val="en-US"/>
        </w:rPr>
        <w:t xml:space="preserve">. That document will be then shared with all stakeholders for comments in the run up to </w:t>
      </w:r>
      <w:r w:rsidR="001817EF">
        <w:rPr>
          <w:lang w:val="en-US"/>
        </w:rPr>
        <w:t>the third meeting of the Conference of the Parties</w:t>
      </w:r>
      <w:r>
        <w:rPr>
          <w:lang w:val="en-US"/>
        </w:rPr>
        <w:t>.</w:t>
      </w:r>
    </w:p>
    <w:p w:rsidR="001717D8" w:rsidRDefault="00AB1C48">
      <w:pPr>
        <w:pStyle w:val="CH2"/>
        <w:keepNext w:val="0"/>
        <w:keepLines w:val="0"/>
        <w:ind w:left="624" w:firstLine="0"/>
        <w:rPr>
          <w:lang w:val="en-US"/>
        </w:rPr>
      </w:pPr>
      <w:r>
        <w:rPr>
          <w:lang w:val="en-US"/>
        </w:rPr>
        <w:t>Item 1</w:t>
      </w:r>
    </w:p>
    <w:p w:rsidR="001717D8" w:rsidRDefault="00AB1C48">
      <w:pPr>
        <w:pStyle w:val="CH2"/>
        <w:keepNext w:val="0"/>
        <w:keepLines w:val="0"/>
        <w:ind w:left="624" w:firstLine="0"/>
        <w:rPr>
          <w:lang w:val="en-US"/>
        </w:rPr>
      </w:pPr>
      <w:r>
        <w:rPr>
          <w:lang w:val="en-US"/>
        </w:rPr>
        <w:t>Opening of the meeting</w:t>
      </w:r>
    </w:p>
    <w:p w:rsidR="001717D8" w:rsidRDefault="00AB1C48">
      <w:pPr>
        <w:pStyle w:val="Normalnumber"/>
        <w:numPr>
          <w:ilvl w:val="0"/>
          <w:numId w:val="2"/>
        </w:numPr>
        <w:rPr>
          <w:lang w:val="en-US"/>
        </w:rPr>
      </w:pPr>
      <w:r>
        <w:rPr>
          <w:lang w:val="en-US"/>
        </w:rPr>
        <w:t xml:space="preserve">The meeting will be opened at 9 a.m. on Monday, 8 April 2019. </w:t>
      </w:r>
      <w:r>
        <w:rPr>
          <w:lang w:val="en-US"/>
        </w:rPr>
        <w:t>The co-chairs will preside the meeting</w:t>
      </w:r>
      <w:r>
        <w:rPr>
          <w:lang w:val="en-US"/>
        </w:rPr>
        <w:t xml:space="preserve">. </w:t>
      </w:r>
    </w:p>
    <w:p w:rsidR="001717D8" w:rsidRDefault="00AB1C48">
      <w:pPr>
        <w:pStyle w:val="CH2"/>
        <w:keepNext w:val="0"/>
        <w:keepLines w:val="0"/>
        <w:ind w:left="624" w:firstLine="0"/>
        <w:rPr>
          <w:b w:val="0"/>
          <w:bCs w:val="0"/>
          <w:lang w:val="en-US"/>
        </w:rPr>
      </w:pPr>
      <w:r>
        <w:rPr>
          <w:lang w:val="en-US"/>
        </w:rPr>
        <w:t>Item 2</w:t>
      </w:r>
    </w:p>
    <w:p w:rsidR="001717D8" w:rsidRDefault="00AB1C48">
      <w:pPr>
        <w:pStyle w:val="CH2"/>
        <w:keepNext w:val="0"/>
        <w:keepLines w:val="0"/>
        <w:ind w:left="624" w:firstLine="0"/>
        <w:rPr>
          <w:b w:val="0"/>
          <w:bCs w:val="0"/>
          <w:lang w:val="en-US"/>
        </w:rPr>
      </w:pPr>
      <w:r>
        <w:rPr>
          <w:lang w:val="en-US"/>
        </w:rPr>
        <w:t>Organizational matters</w:t>
      </w:r>
    </w:p>
    <w:p w:rsidR="001717D8" w:rsidRDefault="00AB1C48">
      <w:pPr>
        <w:pStyle w:val="CH3"/>
        <w:rPr>
          <w:lang w:val="en-US"/>
        </w:rPr>
      </w:pPr>
      <w:r>
        <w:rPr>
          <w:lang w:val="en-US"/>
        </w:rPr>
        <w:tab/>
        <w:t>(a)</w:t>
      </w:r>
      <w:r>
        <w:rPr>
          <w:lang w:val="en-US"/>
        </w:rPr>
        <w:tab/>
        <w:t>Adoption of the agenda</w:t>
      </w:r>
    </w:p>
    <w:p w:rsidR="001717D8" w:rsidRDefault="00AB1C48">
      <w:pPr>
        <w:pStyle w:val="Normalnumber"/>
        <w:numPr>
          <w:ilvl w:val="0"/>
          <w:numId w:val="2"/>
        </w:numPr>
        <w:rPr>
          <w:lang w:val="en-US"/>
        </w:rPr>
      </w:pPr>
      <w:r>
        <w:rPr>
          <w:lang w:val="en-US"/>
        </w:rPr>
        <w:t xml:space="preserve">The group may wish to adopt the agenda of the meeting </w:t>
      </w:r>
      <w:proofErr w:type="gramStart"/>
      <w:r>
        <w:rPr>
          <w:lang w:val="en-US"/>
        </w:rPr>
        <w:t>on the basis of</w:t>
      </w:r>
      <w:proofErr w:type="gramEnd"/>
      <w:r>
        <w:rPr>
          <w:lang w:val="en-US"/>
        </w:rPr>
        <w:t xml:space="preserve"> the provisional agenda set forth in document UNEP/MC/EE.2/1.</w:t>
      </w:r>
    </w:p>
    <w:p w:rsidR="001717D8" w:rsidRDefault="00AB1C48">
      <w:pPr>
        <w:pStyle w:val="CH3"/>
        <w:rPr>
          <w:b w:val="0"/>
          <w:bCs w:val="0"/>
          <w:lang w:val="en-US"/>
        </w:rPr>
      </w:pPr>
      <w:r>
        <w:rPr>
          <w:lang w:val="en-US"/>
        </w:rPr>
        <w:lastRenderedPageBreak/>
        <w:tab/>
        <w:t>(b)</w:t>
      </w:r>
      <w:r>
        <w:rPr>
          <w:lang w:val="en-US"/>
        </w:rPr>
        <w:tab/>
        <w:t>Organization of work</w:t>
      </w:r>
    </w:p>
    <w:p w:rsidR="001717D8" w:rsidRDefault="00AB1C48">
      <w:pPr>
        <w:pStyle w:val="Normalnumber"/>
        <w:numPr>
          <w:ilvl w:val="0"/>
          <w:numId w:val="2"/>
        </w:numPr>
        <w:rPr>
          <w:lang w:val="en-US"/>
        </w:rPr>
      </w:pPr>
      <w:r>
        <w:rPr>
          <w:lang w:val="en-US"/>
        </w:rPr>
        <w:t>The group may wish to invite the secretariat to briefly present the work done by the group in preparation for the second meeting of the Conference of the Parties and the revised mandate given by the Conference in its decision MC-2/11, set out as an annex t</w:t>
      </w:r>
      <w:r>
        <w:rPr>
          <w:lang w:val="en-US"/>
        </w:rPr>
        <w:t>o document UNEP/MC/EE.2/2.</w:t>
      </w:r>
    </w:p>
    <w:p w:rsidR="001717D8" w:rsidRDefault="00AB1C48">
      <w:pPr>
        <w:pStyle w:val="Normalnumber"/>
        <w:numPr>
          <w:ilvl w:val="0"/>
          <w:numId w:val="2"/>
        </w:numPr>
        <w:rPr>
          <w:lang w:val="en-US"/>
        </w:rPr>
      </w:pPr>
      <w:r>
        <w:rPr>
          <w:lang w:val="en-US"/>
        </w:rPr>
        <w:t>In view of the need for in-depth discussion on specific matters included in the mandates from the Conference of the Parties, and the need for dedicated drafting work by members and observers, the group may wish to consider a form</w:t>
      </w:r>
      <w:r>
        <w:rPr>
          <w:lang w:val="en-US"/>
        </w:rPr>
        <w:t xml:space="preserve">at of the meeting that allows plenary discussions on key issues and in-depth discussion and writing by smaller groups, with </w:t>
      </w:r>
      <w:r>
        <w:rPr>
          <w:lang w:val="en-US"/>
        </w:rPr>
        <w:t xml:space="preserve">a regular </w:t>
      </w:r>
      <w:r>
        <w:rPr>
          <w:lang w:val="en-US"/>
        </w:rPr>
        <w:t>reporting back from the smaller groups to the plenary.</w:t>
      </w:r>
    </w:p>
    <w:p w:rsidR="001717D8" w:rsidRDefault="00AB1C48">
      <w:pPr>
        <w:pStyle w:val="Normalnumber"/>
        <w:numPr>
          <w:ilvl w:val="0"/>
          <w:numId w:val="2"/>
        </w:numPr>
        <w:rPr>
          <w:lang w:val="en-US"/>
        </w:rPr>
      </w:pPr>
      <w:r>
        <w:rPr>
          <w:lang w:val="en-US"/>
        </w:rPr>
        <w:t xml:space="preserve">The group may wish to have two working groups, one on </w:t>
      </w:r>
      <w:r>
        <w:rPr>
          <w:lang w:val="en-US"/>
        </w:rPr>
        <w:t xml:space="preserve">effectiveness evaluation framework and the other on monitoring arrangement, as it did at its first meeting, noting that the membership of the group was amended </w:t>
      </w:r>
      <w:proofErr w:type="gramStart"/>
      <w:r>
        <w:rPr>
          <w:lang w:val="en-US"/>
        </w:rPr>
        <w:t>taking into account</w:t>
      </w:r>
      <w:proofErr w:type="gramEnd"/>
      <w:r>
        <w:rPr>
          <w:lang w:val="en-US"/>
        </w:rPr>
        <w:t xml:space="preserve"> the desire of the Conference of the Parties to augment the capabilities of t</w:t>
      </w:r>
      <w:r>
        <w:rPr>
          <w:lang w:val="en-US"/>
        </w:rPr>
        <w:t xml:space="preserve">he group in the area of effectiveness evaluation. The secretariat will circulate a suggested list of experts in these two working groups </w:t>
      </w:r>
      <w:r w:rsidR="001817EF">
        <w:rPr>
          <w:lang w:val="en-US"/>
        </w:rPr>
        <w:t>before</w:t>
      </w:r>
      <w:r>
        <w:rPr>
          <w:lang w:val="en-US"/>
        </w:rPr>
        <w:t xml:space="preserve"> the meeting. The working groups may wish to divide into smaller </w:t>
      </w:r>
      <w:r>
        <w:rPr>
          <w:lang w:val="en-US"/>
        </w:rPr>
        <w:t>sub-</w:t>
      </w:r>
      <w:r>
        <w:rPr>
          <w:lang w:val="en-US"/>
        </w:rPr>
        <w:t>groups, or to form joint sub-groups consis</w:t>
      </w:r>
      <w:r>
        <w:rPr>
          <w:lang w:val="en-US"/>
        </w:rPr>
        <w:t>ting of experts selected from both working groups, as appropriate.</w:t>
      </w:r>
    </w:p>
    <w:p w:rsidR="001717D8" w:rsidRDefault="00AB1C48">
      <w:pPr>
        <w:pStyle w:val="Normalnumber"/>
        <w:numPr>
          <w:ilvl w:val="0"/>
          <w:numId w:val="2"/>
        </w:numPr>
        <w:rPr>
          <w:lang w:val="en-US"/>
        </w:rPr>
      </w:pPr>
      <w:r>
        <w:rPr>
          <w:lang w:val="en-US"/>
        </w:rPr>
        <w:t>The group may wish to meet daily starting on Monday, 8 April until Friday, 12 April, from 9 a.m. to 6 p.m. The group may wish to refer to a suggested structuring of the discussion in plenar</w:t>
      </w:r>
      <w:r>
        <w:rPr>
          <w:lang w:val="en-US"/>
        </w:rPr>
        <w:t>y and working groups, as set out in the annex to this document, with changes as appropriate.</w:t>
      </w:r>
    </w:p>
    <w:p w:rsidR="001717D8" w:rsidRDefault="00AB1C48">
      <w:pPr>
        <w:pStyle w:val="CH2"/>
        <w:tabs>
          <w:tab w:val="clear" w:pos="851"/>
          <w:tab w:val="clear" w:pos="1247"/>
          <w:tab w:val="left" w:pos="567"/>
        </w:tabs>
        <w:ind w:left="0" w:firstLine="0"/>
        <w:rPr>
          <w:lang w:val="en-US"/>
        </w:rPr>
      </w:pPr>
      <w:r>
        <w:rPr>
          <w:b w:val="0"/>
          <w:bCs w:val="0"/>
          <w:sz w:val="20"/>
          <w:szCs w:val="20"/>
          <w:lang w:val="en-US"/>
        </w:rPr>
        <w:tab/>
      </w:r>
      <w:r>
        <w:rPr>
          <w:lang w:val="en-US"/>
        </w:rPr>
        <w:t>Item 3</w:t>
      </w:r>
    </w:p>
    <w:p w:rsidR="001717D8" w:rsidRDefault="00AB1C48">
      <w:pPr>
        <w:pStyle w:val="CH2"/>
        <w:keepNext w:val="0"/>
        <w:keepLines w:val="0"/>
        <w:ind w:left="624" w:firstLine="0"/>
        <w:rPr>
          <w:lang w:val="en-US"/>
        </w:rPr>
      </w:pPr>
      <w:r>
        <w:rPr>
          <w:lang w:val="en-US"/>
        </w:rPr>
        <w:tab/>
        <w:t>Consideration of the effectiveness evaluation framework</w:t>
      </w:r>
    </w:p>
    <w:p w:rsidR="001717D8" w:rsidRDefault="00AB1C48">
      <w:pPr>
        <w:pStyle w:val="Normalnumber"/>
        <w:numPr>
          <w:ilvl w:val="0"/>
          <w:numId w:val="2"/>
        </w:numPr>
        <w:rPr>
          <w:lang w:val="en-US"/>
        </w:rPr>
      </w:pPr>
      <w:r>
        <w:rPr>
          <w:lang w:val="en-US"/>
        </w:rPr>
        <w:t xml:space="preserve">The group may wish to note that the Conference </w:t>
      </w:r>
      <w:r>
        <w:rPr>
          <w:lang w:val="en-US"/>
        </w:rPr>
        <w:t>of the Parties in its decision 2/11 requested the g</w:t>
      </w:r>
      <w:r>
        <w:rPr>
          <w:lang w:val="en-US"/>
        </w:rPr>
        <w:t>roup to undertake the following tasks:</w:t>
      </w:r>
    </w:p>
    <w:p w:rsidR="001717D8" w:rsidRDefault="00AB1C48">
      <w:pPr>
        <w:pStyle w:val="Normalnumber"/>
        <w:numPr>
          <w:ilvl w:val="1"/>
          <w:numId w:val="2"/>
        </w:numPr>
        <w:rPr>
          <w:lang w:val="en-US"/>
        </w:rPr>
      </w:pPr>
      <w:r>
        <w:rPr>
          <w:lang w:val="en-US"/>
        </w:rPr>
        <w:t xml:space="preserve">Using the objective of the Minamata Convention, review and assess the detailed </w:t>
      </w:r>
      <w:r>
        <w:rPr>
          <w:rFonts w:ascii="Arial Unicode MS" w:hAnsi="Arial Unicode MS"/>
          <w:lang w:val="en-US"/>
        </w:rPr>
        <w:br/>
      </w:r>
      <w:r>
        <w:rPr>
          <w:lang w:val="en-US"/>
        </w:rPr>
        <w:t>article-by-article process and outcome indicators in table 4 of document UNEP/MC/COP.2/INF/8. The ad hoc technical expert group will elab</w:t>
      </w:r>
      <w:r>
        <w:rPr>
          <w:lang w:val="en-US"/>
        </w:rPr>
        <w:t xml:space="preserve">orate on the sources of information and baselines for those indicators, considering cost-effectiveness, practicality, feasibility and sustainability, and, on that basis, provide detailed rationales for the recommended indicators; </w:t>
      </w:r>
    </w:p>
    <w:p w:rsidR="001717D8" w:rsidRDefault="00AB1C48">
      <w:pPr>
        <w:pStyle w:val="Normalnumber"/>
        <w:numPr>
          <w:ilvl w:val="1"/>
          <w:numId w:val="2"/>
        </w:numPr>
        <w:rPr>
          <w:lang w:val="en-US"/>
        </w:rPr>
      </w:pPr>
      <w:r>
        <w:rPr>
          <w:lang w:val="en-US"/>
        </w:rPr>
        <w:t>Identify which recommende</w:t>
      </w:r>
      <w:r>
        <w:rPr>
          <w:lang w:val="en-US"/>
        </w:rPr>
        <w:t xml:space="preserve">d indicators require monitoring data, </w:t>
      </w:r>
      <w:proofErr w:type="gramStart"/>
      <w:r>
        <w:rPr>
          <w:lang w:val="en-US"/>
        </w:rPr>
        <w:t>in particular in</w:t>
      </w:r>
      <w:proofErr w:type="gramEnd"/>
      <w:r>
        <w:rPr>
          <w:lang w:val="en-US"/>
        </w:rPr>
        <w:t xml:space="preserve"> relation to the control measures and objectives set out in the articles of the Convention;</w:t>
      </w:r>
    </w:p>
    <w:p w:rsidR="001717D8" w:rsidRDefault="00AB1C48">
      <w:pPr>
        <w:pStyle w:val="Normalnumber"/>
        <w:numPr>
          <w:ilvl w:val="1"/>
          <w:numId w:val="2"/>
        </w:numPr>
        <w:rPr>
          <w:lang w:val="en-US"/>
        </w:rPr>
      </w:pPr>
      <w:r>
        <w:rPr>
          <w:lang w:val="en-US"/>
        </w:rPr>
        <w:t>Develop a methodology for integrating the recommended indicators with a view to providing an integrative pictu</w:t>
      </w:r>
      <w:r>
        <w:rPr>
          <w:lang w:val="en-US"/>
        </w:rPr>
        <w:t xml:space="preserve">re of the general effectiveness of the Convention, (e.g., by use of aggregated or cross-cutting indicators); and </w:t>
      </w:r>
    </w:p>
    <w:p w:rsidR="001717D8" w:rsidRDefault="00AB1C48">
      <w:pPr>
        <w:pStyle w:val="Normalnumber"/>
        <w:numPr>
          <w:ilvl w:val="1"/>
          <w:numId w:val="3"/>
        </w:numPr>
        <w:rPr>
          <w:lang w:val="en-US"/>
        </w:rPr>
      </w:pPr>
      <w:r>
        <w:rPr>
          <w:lang w:val="en-US"/>
        </w:rPr>
        <w:t>Amend the recommended draft terms of reference of the effectiveness evaluation committee and the schedule for the first effectiveness evaluati</w:t>
      </w:r>
      <w:r>
        <w:rPr>
          <w:lang w:val="en-US"/>
        </w:rPr>
        <w:t xml:space="preserve">on, if needed, </w:t>
      </w:r>
      <w:proofErr w:type="gramStart"/>
      <w:r>
        <w:rPr>
          <w:lang w:val="en-US"/>
        </w:rPr>
        <w:t>on the basis of</w:t>
      </w:r>
      <w:proofErr w:type="gramEnd"/>
      <w:r>
        <w:rPr>
          <w:lang w:val="en-US"/>
        </w:rPr>
        <w:t xml:space="preserve"> the outcome of the above.</w:t>
      </w:r>
    </w:p>
    <w:p w:rsidR="001717D8" w:rsidRDefault="00AB1C48">
      <w:pPr>
        <w:pStyle w:val="Normalnumber"/>
        <w:numPr>
          <w:ilvl w:val="0"/>
          <w:numId w:val="2"/>
        </w:numPr>
        <w:rPr>
          <w:lang w:val="en-US"/>
        </w:rPr>
      </w:pPr>
      <w:r>
        <w:rPr>
          <w:lang w:val="en-US"/>
        </w:rPr>
        <w:t xml:space="preserve">The group </w:t>
      </w:r>
      <w:r>
        <w:rPr>
          <w:lang w:val="en-US"/>
        </w:rPr>
        <w:t>h</w:t>
      </w:r>
      <w:r>
        <w:rPr>
          <w:lang w:val="en-US"/>
        </w:rPr>
        <w:t>as before it a compilation of comments on effectiveness evaluation framework (UNEP/MC/EE.2/5). It may also wish to refer to the overview of submitted information (UNEP/MC/EE.2/3) and the c</w:t>
      </w:r>
      <w:r>
        <w:rPr>
          <w:lang w:val="en-US"/>
        </w:rPr>
        <w:t>ompilation of comments on the report of the group submitted to the Conference of the Parties at its second session (UNEP/MC/EE.2/4).</w:t>
      </w:r>
    </w:p>
    <w:p w:rsidR="001717D8" w:rsidRDefault="00AB1C48">
      <w:pPr>
        <w:pStyle w:val="Normalnumber"/>
        <w:numPr>
          <w:ilvl w:val="0"/>
          <w:numId w:val="2"/>
        </w:numPr>
        <w:rPr>
          <w:lang w:val="en-US"/>
        </w:rPr>
      </w:pPr>
      <w:r>
        <w:rPr>
          <w:lang w:val="en-US"/>
        </w:rPr>
        <w:t>The working group on effectiveness evaluation framework may wish to lead the deliberations on this agenda item.</w:t>
      </w:r>
    </w:p>
    <w:p w:rsidR="001717D8" w:rsidRDefault="00AB1C48">
      <w:pPr>
        <w:pStyle w:val="CH2"/>
        <w:keepNext w:val="0"/>
        <w:keepLines w:val="0"/>
        <w:ind w:left="624" w:firstLine="0"/>
        <w:rPr>
          <w:lang w:val="en-US"/>
        </w:rPr>
      </w:pPr>
      <w:r>
        <w:rPr>
          <w:lang w:val="en-US"/>
        </w:rPr>
        <w:t>Item 4</w:t>
      </w:r>
    </w:p>
    <w:p w:rsidR="001717D8" w:rsidRDefault="00AB1C48">
      <w:pPr>
        <w:pStyle w:val="CH2"/>
        <w:keepNext w:val="0"/>
        <w:keepLines w:val="0"/>
        <w:ind w:left="624" w:firstLine="0"/>
        <w:rPr>
          <w:b w:val="0"/>
          <w:bCs w:val="0"/>
          <w:lang w:val="en-US"/>
        </w:rPr>
      </w:pPr>
      <w:r>
        <w:rPr>
          <w:lang w:val="en-US"/>
        </w:rPr>
        <w:tab/>
        <w:t>Con</w:t>
      </w:r>
      <w:r>
        <w:rPr>
          <w:lang w:val="en-US"/>
        </w:rPr>
        <w:t>sideration of the monitoring arrangements</w:t>
      </w:r>
    </w:p>
    <w:p w:rsidR="001717D8" w:rsidRDefault="00AB1C48">
      <w:pPr>
        <w:pStyle w:val="Normalnumber"/>
        <w:numPr>
          <w:ilvl w:val="0"/>
          <w:numId w:val="2"/>
        </w:numPr>
        <w:rPr>
          <w:lang w:val="en-US"/>
        </w:rPr>
      </w:pPr>
      <w:r>
        <w:rPr>
          <w:lang w:val="en-US"/>
        </w:rPr>
        <w:t xml:space="preserve">The group may wish to note that the Conference </w:t>
      </w:r>
      <w:r>
        <w:rPr>
          <w:lang w:val="en-US"/>
        </w:rPr>
        <w:t>of the Parties in its decision 2/11 requested the group to undertake the following tasks:</w:t>
      </w:r>
    </w:p>
    <w:p w:rsidR="001717D8" w:rsidRDefault="00AB1C48">
      <w:pPr>
        <w:pStyle w:val="ListParagraph"/>
        <w:numPr>
          <w:ilvl w:val="0"/>
          <w:numId w:val="5"/>
        </w:numPr>
        <w:spacing w:after="120"/>
      </w:pPr>
      <w:proofErr w:type="spellStart"/>
      <w:proofErr w:type="gramStart"/>
      <w:r>
        <w:t>Identify</w:t>
      </w:r>
      <w:proofErr w:type="spellEnd"/>
      <w:r>
        <w:t>:</w:t>
      </w:r>
      <w:proofErr w:type="gramEnd"/>
      <w:r>
        <w:t xml:space="preserve"> </w:t>
      </w:r>
    </w:p>
    <w:p w:rsidR="001717D8" w:rsidRDefault="00AB1C48">
      <w:pPr>
        <w:pStyle w:val="ListParagraph"/>
        <w:numPr>
          <w:ilvl w:val="0"/>
          <w:numId w:val="7"/>
        </w:numPr>
        <w:spacing w:after="120"/>
        <w:rPr>
          <w:lang w:val="en-US"/>
        </w:rPr>
      </w:pPr>
      <w:r>
        <w:rPr>
          <w:lang w:val="en-US"/>
        </w:rPr>
        <w:lastRenderedPageBreak/>
        <w:t>Which categories of the available</w:t>
      </w:r>
      <w:r>
        <w:rPr>
          <w:vertAlign w:val="superscript"/>
        </w:rPr>
        <w:footnoteReference w:id="3"/>
      </w:r>
      <w:r>
        <w:rPr>
          <w:lang w:val="en-US"/>
        </w:rPr>
        <w:t xml:space="preserve"> comparable</w:t>
      </w:r>
      <w:r>
        <w:rPr>
          <w:vertAlign w:val="superscript"/>
        </w:rPr>
        <w:footnoteReference w:id="4"/>
      </w:r>
      <w:r>
        <w:rPr>
          <w:lang w:val="en-US"/>
        </w:rPr>
        <w:t xml:space="preserve"> monitoring data would be most effective in providing information on global trends (distinguishing these data from data that may be of use for informing local, national and/or regional policies); </w:t>
      </w:r>
    </w:p>
    <w:p w:rsidR="001717D8" w:rsidRDefault="00AB1C48">
      <w:pPr>
        <w:pStyle w:val="ListParagraph"/>
        <w:numPr>
          <w:ilvl w:val="0"/>
          <w:numId w:val="7"/>
        </w:numPr>
        <w:spacing w:after="120"/>
        <w:rPr>
          <w:lang w:val="en-US"/>
        </w:rPr>
      </w:pPr>
      <w:r>
        <w:rPr>
          <w:lang w:val="en-US"/>
        </w:rPr>
        <w:t>What monitoring data in air, water, biota, and humans could</w:t>
      </w:r>
      <w:r>
        <w:rPr>
          <w:lang w:val="en-US"/>
        </w:rPr>
        <w:t xml:space="preserve"> be used to assess the impact on levels and trends of mercury; and</w:t>
      </w:r>
    </w:p>
    <w:p w:rsidR="001717D8" w:rsidRDefault="00AB1C48">
      <w:pPr>
        <w:pStyle w:val="ListParagraph"/>
        <w:numPr>
          <w:ilvl w:val="0"/>
          <w:numId w:val="7"/>
        </w:numPr>
        <w:spacing w:after="120"/>
        <w:rPr>
          <w:lang w:val="en-US"/>
        </w:rPr>
      </w:pPr>
      <w:r>
        <w:rPr>
          <w:lang w:val="en-US"/>
        </w:rPr>
        <w:t xml:space="preserve">The potential and limitations of the data identified, </w:t>
      </w:r>
      <w:proofErr w:type="gramStart"/>
      <w:r>
        <w:rPr>
          <w:lang w:val="en-US"/>
        </w:rPr>
        <w:t>taking into account</w:t>
      </w:r>
      <w:proofErr w:type="gramEnd"/>
      <w:r>
        <w:rPr>
          <w:lang w:val="en-US"/>
        </w:rPr>
        <w:t xml:space="preserve"> the impacts other than anthropogenic emissions and releases on these spatial and temporal trends;</w:t>
      </w:r>
    </w:p>
    <w:p w:rsidR="001717D8" w:rsidRDefault="00AB1C48">
      <w:pPr>
        <w:pStyle w:val="ListParagraph"/>
        <w:keepNext/>
        <w:keepLines/>
        <w:numPr>
          <w:ilvl w:val="0"/>
          <w:numId w:val="8"/>
        </w:numPr>
        <w:spacing w:after="120"/>
        <w:rPr>
          <w:lang w:val="en-US"/>
        </w:rPr>
      </w:pPr>
      <w:r>
        <w:rPr>
          <w:lang w:val="en-US"/>
        </w:rPr>
        <w:t>Assess the extent</w:t>
      </w:r>
      <w:r>
        <w:rPr>
          <w:lang w:val="en-US"/>
        </w:rPr>
        <w:t xml:space="preserve"> to which the information reviewed meets the needs for monitoring as set out in paragraph 2 of Article 22 of the Convention and identify major gaps that could affect the usability of available data. Outline options or recommendations to enhance the compara</w:t>
      </w:r>
      <w:r>
        <w:rPr>
          <w:lang w:val="en-US"/>
        </w:rPr>
        <w:t>bility and completeness of the information;</w:t>
      </w:r>
    </w:p>
    <w:p w:rsidR="001717D8" w:rsidRDefault="00AB1C48">
      <w:pPr>
        <w:pStyle w:val="ListParagraph"/>
        <w:numPr>
          <w:ilvl w:val="0"/>
          <w:numId w:val="5"/>
        </w:numPr>
        <w:spacing w:after="120"/>
        <w:rPr>
          <w:lang w:val="en-US"/>
        </w:rPr>
      </w:pPr>
      <w:r>
        <w:rPr>
          <w:lang w:val="en-US"/>
        </w:rPr>
        <w:t xml:space="preserve">With the aim of filling gaps in globally relevant monitoring data, for the options and recommendation outlined above, compare their </w:t>
      </w:r>
      <w:bookmarkStart w:id="0" w:name="_Hlk530574572"/>
      <w:r>
        <w:rPr>
          <w:lang w:val="en-US"/>
        </w:rPr>
        <w:t>c</w:t>
      </w:r>
      <w:bookmarkStart w:id="1" w:name="_Hlk530565312"/>
      <w:bookmarkEnd w:id="0"/>
      <w:r>
        <w:rPr>
          <w:lang w:val="en-US"/>
        </w:rPr>
        <w:t>ost-effectiveness, practicality, feasibility, and sustainabilit</w:t>
      </w:r>
      <w:bookmarkEnd w:id="1"/>
      <w:r>
        <w:rPr>
          <w:lang w:val="en-US"/>
        </w:rPr>
        <w:t>y, global covera</w:t>
      </w:r>
      <w:r>
        <w:rPr>
          <w:lang w:val="en-US"/>
        </w:rPr>
        <w:t>ge, and regional capabilities to identify opportunities for future enhancements to monitoring;</w:t>
      </w:r>
    </w:p>
    <w:p w:rsidR="001717D8" w:rsidRDefault="00AB1C48">
      <w:pPr>
        <w:pStyle w:val="ListParagraph"/>
        <w:numPr>
          <w:ilvl w:val="0"/>
          <w:numId w:val="5"/>
        </w:numPr>
        <w:spacing w:after="120"/>
        <w:rPr>
          <w:lang w:val="en-US"/>
        </w:rPr>
      </w:pPr>
      <w:r>
        <w:rPr>
          <w:lang w:val="en-US"/>
        </w:rPr>
        <w:t xml:space="preserve">Identify available modelling capabilities to assess changes in global mercury levels within and across different media; </w:t>
      </w:r>
    </w:p>
    <w:p w:rsidR="001717D8" w:rsidRDefault="00AB1C48">
      <w:pPr>
        <w:pStyle w:val="ListParagraph"/>
        <w:numPr>
          <w:ilvl w:val="0"/>
          <w:numId w:val="5"/>
        </w:numPr>
        <w:spacing w:after="120"/>
        <w:rPr>
          <w:lang w:val="en-US"/>
        </w:rPr>
      </w:pPr>
      <w:r>
        <w:rPr>
          <w:lang w:val="en-US"/>
        </w:rPr>
        <w:t xml:space="preserve">Examine options and identify sources of </w:t>
      </w:r>
      <w:r>
        <w:rPr>
          <w:lang w:val="en-US"/>
        </w:rPr>
        <w:t>data based on those options that can be used for establishing a baseline for monitoring data;</w:t>
      </w:r>
    </w:p>
    <w:p w:rsidR="001717D8" w:rsidRDefault="00AB1C48">
      <w:pPr>
        <w:pStyle w:val="ListParagraph"/>
        <w:numPr>
          <w:ilvl w:val="0"/>
          <w:numId w:val="5"/>
        </w:numPr>
        <w:spacing w:after="120"/>
        <w:rPr>
          <w:lang w:val="en-US"/>
        </w:rPr>
      </w:pPr>
      <w:r>
        <w:rPr>
          <w:lang w:val="en-US"/>
        </w:rPr>
        <w:t xml:space="preserve">Provide other technical inputs and necessary information to address any additional monitoring questions that may be identified </w:t>
      </w:r>
      <w:proofErr w:type="gramStart"/>
      <w:r>
        <w:rPr>
          <w:lang w:val="en-US"/>
        </w:rPr>
        <w:t>in the course of</w:t>
      </w:r>
      <w:proofErr w:type="gramEnd"/>
      <w:r>
        <w:rPr>
          <w:lang w:val="en-US"/>
        </w:rPr>
        <w:t xml:space="preserve"> elaborating the ev</w:t>
      </w:r>
      <w:r>
        <w:rPr>
          <w:lang w:val="en-US"/>
        </w:rPr>
        <w:t>aluation framework; and</w:t>
      </w:r>
    </w:p>
    <w:p w:rsidR="001717D8" w:rsidRDefault="00AB1C48">
      <w:pPr>
        <w:pStyle w:val="ListParagraph"/>
        <w:numPr>
          <w:ilvl w:val="0"/>
          <w:numId w:val="5"/>
        </w:numPr>
        <w:spacing w:after="120"/>
        <w:rPr>
          <w:lang w:val="en-US"/>
        </w:rPr>
      </w:pPr>
      <w:r>
        <w:rPr>
          <w:lang w:val="en-US"/>
        </w:rPr>
        <w:t>Draft terms of reference for global monitoring arrangements, including developing monitoring guidance.</w:t>
      </w:r>
    </w:p>
    <w:p w:rsidR="001717D8" w:rsidRDefault="00AB1C48">
      <w:pPr>
        <w:pStyle w:val="Normalnumber"/>
        <w:numPr>
          <w:ilvl w:val="0"/>
          <w:numId w:val="9"/>
        </w:numPr>
        <w:rPr>
          <w:lang w:val="en-US"/>
        </w:rPr>
      </w:pPr>
      <w:r>
        <w:rPr>
          <w:lang w:val="en-US"/>
        </w:rPr>
        <w:t>The group has before it a compilation of comments on monitoring arrangements (UNEP/MC/EE.2/6). It may also wish to refer to the o</w:t>
      </w:r>
      <w:r>
        <w:rPr>
          <w:lang w:val="en-US"/>
        </w:rPr>
        <w:t>verview of submitted information (UNEP/MC/EE.2/3) and the compilation of comments on the report of the group submitted to the Conference of the Parties at its second session (UNEP/MC/EE.2/4).</w:t>
      </w:r>
    </w:p>
    <w:p w:rsidR="001717D8" w:rsidRDefault="00AB1C48">
      <w:pPr>
        <w:pStyle w:val="Normalnumber"/>
        <w:numPr>
          <w:ilvl w:val="0"/>
          <w:numId w:val="2"/>
        </w:numPr>
        <w:rPr>
          <w:lang w:val="en-US"/>
        </w:rPr>
      </w:pPr>
      <w:r>
        <w:rPr>
          <w:lang w:val="en-US"/>
        </w:rPr>
        <w:t>The working group on monitoring arrangements may wish to lead th</w:t>
      </w:r>
      <w:r>
        <w:rPr>
          <w:lang w:val="en-US"/>
        </w:rPr>
        <w:t>e deliberations on this agenda item.</w:t>
      </w:r>
    </w:p>
    <w:p w:rsidR="001717D8" w:rsidRDefault="00AB1C48">
      <w:pPr>
        <w:pStyle w:val="CH2"/>
        <w:keepNext w:val="0"/>
        <w:keepLines w:val="0"/>
        <w:ind w:left="624" w:firstLine="0"/>
        <w:rPr>
          <w:lang w:val="en-US"/>
        </w:rPr>
      </w:pPr>
      <w:r>
        <w:rPr>
          <w:lang w:val="en-US"/>
        </w:rPr>
        <w:t>Item 5</w:t>
      </w:r>
    </w:p>
    <w:p w:rsidR="001717D8" w:rsidRDefault="00AB1C48">
      <w:pPr>
        <w:pStyle w:val="CH2"/>
        <w:keepNext w:val="0"/>
        <w:keepLines w:val="0"/>
        <w:ind w:left="624" w:firstLine="0"/>
        <w:rPr>
          <w:b w:val="0"/>
          <w:bCs w:val="0"/>
          <w:lang w:val="en-US"/>
        </w:rPr>
      </w:pPr>
      <w:r>
        <w:rPr>
          <w:lang w:val="en-US"/>
        </w:rPr>
        <w:tab/>
        <w:t>Preparation of the report on the work of the ad hoc technical expert group</w:t>
      </w:r>
    </w:p>
    <w:p w:rsidR="001717D8" w:rsidRDefault="00AB1C48">
      <w:pPr>
        <w:pStyle w:val="Normalnumber"/>
        <w:numPr>
          <w:ilvl w:val="0"/>
          <w:numId w:val="10"/>
        </w:numPr>
        <w:rPr>
          <w:lang w:val="en-US"/>
        </w:rPr>
      </w:pPr>
      <w:r>
        <w:rPr>
          <w:lang w:val="en-US"/>
        </w:rPr>
        <w:t>The group may wish to note that the Conference of the Parties in its decision 2/11 specified an outline of the report of the group as fo</w:t>
      </w:r>
      <w:r>
        <w:rPr>
          <w:lang w:val="en-US"/>
        </w:rPr>
        <w:t>llows:</w:t>
      </w:r>
    </w:p>
    <w:p w:rsidR="001717D8" w:rsidRDefault="00AB1C48">
      <w:pPr>
        <w:pStyle w:val="Normalnumber"/>
        <w:numPr>
          <w:ilvl w:val="1"/>
          <w:numId w:val="10"/>
        </w:numPr>
      </w:pPr>
      <w:proofErr w:type="spellStart"/>
      <w:r>
        <w:t>Executive</w:t>
      </w:r>
      <w:proofErr w:type="spellEnd"/>
      <w:r>
        <w:t xml:space="preserve"> </w:t>
      </w:r>
      <w:proofErr w:type="spellStart"/>
      <w:r>
        <w:t>summary</w:t>
      </w:r>
      <w:proofErr w:type="spellEnd"/>
    </w:p>
    <w:p w:rsidR="001717D8" w:rsidRDefault="00AB1C48">
      <w:pPr>
        <w:pStyle w:val="Normalnumber"/>
        <w:numPr>
          <w:ilvl w:val="1"/>
          <w:numId w:val="10"/>
        </w:numPr>
      </w:pPr>
      <w:r>
        <w:t>Introduction</w:t>
      </w:r>
    </w:p>
    <w:p w:rsidR="001717D8" w:rsidRDefault="00AB1C48">
      <w:pPr>
        <w:pStyle w:val="Normalnumber"/>
        <w:numPr>
          <w:ilvl w:val="1"/>
          <w:numId w:val="10"/>
        </w:numPr>
        <w:rPr>
          <w:lang w:val="en-US"/>
        </w:rPr>
      </w:pPr>
      <w:r>
        <w:rPr>
          <w:lang w:val="en-US"/>
        </w:rPr>
        <w:t xml:space="preserve">Description of the effectiveness evaluation framework </w:t>
      </w:r>
    </w:p>
    <w:p w:rsidR="001717D8" w:rsidRDefault="00AB1C48">
      <w:pPr>
        <w:pStyle w:val="Normalnumber"/>
        <w:numPr>
          <w:ilvl w:val="1"/>
          <w:numId w:val="10"/>
        </w:numPr>
        <w:rPr>
          <w:lang w:val="en-US"/>
        </w:rPr>
      </w:pPr>
      <w:r>
        <w:rPr>
          <w:lang w:val="en-US"/>
        </w:rPr>
        <w:t>Proposed methodology and schedule for the evaluation</w:t>
      </w:r>
    </w:p>
    <w:p w:rsidR="001717D8" w:rsidRDefault="00AB1C48">
      <w:pPr>
        <w:pStyle w:val="Normalnumber"/>
        <w:numPr>
          <w:ilvl w:val="1"/>
          <w:numId w:val="10"/>
        </w:numPr>
        <w:rPr>
          <w:lang w:val="en-US"/>
        </w:rPr>
      </w:pPr>
      <w:r>
        <w:rPr>
          <w:lang w:val="en-US"/>
        </w:rPr>
        <w:t xml:space="preserve">Issues for further considerations, if any </w:t>
      </w:r>
    </w:p>
    <w:p w:rsidR="001717D8" w:rsidRDefault="00AB1C48">
      <w:pPr>
        <w:pStyle w:val="Normalnumber"/>
        <w:numPr>
          <w:ilvl w:val="1"/>
          <w:numId w:val="10"/>
        </w:numPr>
        <w:rPr>
          <w:lang w:val="en-US"/>
        </w:rPr>
      </w:pPr>
      <w:r>
        <w:rPr>
          <w:lang w:val="en-US"/>
        </w:rPr>
        <w:t>Annex 1: Technical information on monitoring, if any</w:t>
      </w:r>
    </w:p>
    <w:p w:rsidR="001717D8" w:rsidRDefault="00AB1C48">
      <w:pPr>
        <w:pStyle w:val="Normalnumber"/>
        <w:numPr>
          <w:ilvl w:val="1"/>
          <w:numId w:val="10"/>
        </w:numPr>
        <w:rPr>
          <w:lang w:val="en-US"/>
        </w:rPr>
      </w:pPr>
      <w:r>
        <w:rPr>
          <w:lang w:val="en-US"/>
        </w:rPr>
        <w:t>Annex 2: Draft</w:t>
      </w:r>
      <w:r>
        <w:rPr>
          <w:lang w:val="en-US"/>
        </w:rPr>
        <w:t xml:space="preserve"> terms of reference of the effectiveness evaluation committee</w:t>
      </w:r>
    </w:p>
    <w:p w:rsidR="001717D8" w:rsidRDefault="00AB1C48">
      <w:pPr>
        <w:pStyle w:val="Normalnumber"/>
        <w:numPr>
          <w:ilvl w:val="1"/>
          <w:numId w:val="10"/>
        </w:numPr>
        <w:rPr>
          <w:lang w:val="en-US"/>
        </w:rPr>
      </w:pPr>
      <w:r>
        <w:rPr>
          <w:lang w:val="en-US"/>
        </w:rPr>
        <w:t xml:space="preserve">Annex 3: </w:t>
      </w:r>
      <w:bookmarkStart w:id="2" w:name="_Hlk530677605"/>
      <w:r>
        <w:rPr>
          <w:lang w:val="en-US"/>
        </w:rPr>
        <w:t>Draft terms of reference of the global monitoring arrangements</w:t>
      </w:r>
      <w:bookmarkEnd w:id="2"/>
    </w:p>
    <w:p w:rsidR="001717D8" w:rsidRDefault="00AB1C48">
      <w:pPr>
        <w:pStyle w:val="Normalnumber"/>
        <w:numPr>
          <w:ilvl w:val="0"/>
          <w:numId w:val="10"/>
        </w:numPr>
        <w:rPr>
          <w:lang w:val="en-US"/>
        </w:rPr>
      </w:pPr>
      <w:r>
        <w:rPr>
          <w:lang w:val="en-US"/>
        </w:rPr>
        <w:t xml:space="preserve">The group may wish to draft the report </w:t>
      </w:r>
      <w:proofErr w:type="gramStart"/>
      <w:r>
        <w:rPr>
          <w:lang w:val="en-US"/>
        </w:rPr>
        <w:t>on the basis of</w:t>
      </w:r>
      <w:proofErr w:type="gramEnd"/>
      <w:r>
        <w:rPr>
          <w:lang w:val="en-US"/>
        </w:rPr>
        <w:t xml:space="preserve"> the discussion on items 3 and 4, breaking into smaller groups</w:t>
      </w:r>
      <w:r>
        <w:rPr>
          <w:lang w:val="en-US"/>
        </w:rPr>
        <w:t xml:space="preserve"> and/or form joint sub-groups,</w:t>
      </w:r>
      <w:r>
        <w:rPr>
          <w:lang w:val="en-US"/>
        </w:rPr>
        <w:t xml:space="preserve"> as appropriate.</w:t>
      </w:r>
    </w:p>
    <w:p w:rsidR="001717D8" w:rsidRDefault="00AB1C48">
      <w:pPr>
        <w:pStyle w:val="CH2"/>
        <w:keepNext w:val="0"/>
        <w:keepLines w:val="0"/>
        <w:ind w:left="624" w:firstLine="0"/>
        <w:rPr>
          <w:lang w:val="en-US"/>
        </w:rPr>
      </w:pPr>
      <w:r>
        <w:rPr>
          <w:lang w:val="en-US"/>
        </w:rPr>
        <w:lastRenderedPageBreak/>
        <w:t>Item 6</w:t>
      </w:r>
    </w:p>
    <w:p w:rsidR="001717D8" w:rsidRDefault="00AB1C48">
      <w:pPr>
        <w:pStyle w:val="CH2"/>
        <w:keepNext w:val="0"/>
        <w:keepLines w:val="0"/>
        <w:ind w:left="624" w:firstLine="0"/>
        <w:rPr>
          <w:b w:val="0"/>
          <w:bCs w:val="0"/>
          <w:lang w:val="en-US"/>
        </w:rPr>
      </w:pPr>
      <w:r>
        <w:rPr>
          <w:lang w:val="en-US"/>
        </w:rPr>
        <w:t>Other matters</w:t>
      </w:r>
    </w:p>
    <w:p w:rsidR="001717D8" w:rsidRDefault="00AB1C48">
      <w:pPr>
        <w:pStyle w:val="Normalnumber"/>
        <w:numPr>
          <w:ilvl w:val="0"/>
          <w:numId w:val="2"/>
        </w:numPr>
        <w:rPr>
          <w:lang w:val="en-US"/>
        </w:rPr>
      </w:pPr>
      <w:r>
        <w:rPr>
          <w:lang w:val="en-US"/>
        </w:rPr>
        <w:t xml:space="preserve">The group may wish to consider how it should develop a report of the meeting, which may consist of </w:t>
      </w:r>
      <w:r>
        <w:rPr>
          <w:lang w:val="en-US"/>
        </w:rPr>
        <w:t xml:space="preserve">brief </w:t>
      </w:r>
      <w:r>
        <w:rPr>
          <w:lang w:val="en-US"/>
        </w:rPr>
        <w:t>proceeding</w:t>
      </w:r>
      <w:r>
        <w:rPr>
          <w:lang w:val="en-US"/>
        </w:rPr>
        <w:t>s</w:t>
      </w:r>
      <w:r>
        <w:rPr>
          <w:lang w:val="en-US"/>
        </w:rPr>
        <w:t xml:space="preserve"> of the meeting and a draft report to be submitted to th</w:t>
      </w:r>
      <w:r>
        <w:rPr>
          <w:lang w:val="en-US"/>
        </w:rPr>
        <w:t>e Conference of the Parties at its third session.</w:t>
      </w:r>
    </w:p>
    <w:p w:rsidR="001717D8" w:rsidRDefault="00AB1C48">
      <w:pPr>
        <w:pStyle w:val="Normalnumber"/>
        <w:numPr>
          <w:ilvl w:val="0"/>
          <w:numId w:val="2"/>
        </w:numPr>
        <w:rPr>
          <w:lang w:val="en-US"/>
        </w:rPr>
      </w:pPr>
      <w:r>
        <w:rPr>
          <w:lang w:val="en-US"/>
        </w:rPr>
        <w:t>The group may wish to note that the Conference of the Parties requested in its decision MC-2/11 that a draft report be open for comments from parties from August to mid-September, and the final report be av</w:t>
      </w:r>
      <w:r>
        <w:rPr>
          <w:lang w:val="en-US"/>
        </w:rPr>
        <w:t>ailable for the Conference of the Parties in October 2019. It may also wish to note that the documents for the third meeting of the Conference of the Parties need to be submitted to the UN Environment’s headquarters for translation by 9 August 2019, and th</w:t>
      </w:r>
      <w:r>
        <w:rPr>
          <w:lang w:val="en-US"/>
        </w:rPr>
        <w:t>at the draft report to be posted for comments may be published as a working document for the Conference of the Parties, and the final report may be published either as a revision to the working document or as an information document.</w:t>
      </w:r>
    </w:p>
    <w:p w:rsidR="001717D8" w:rsidRDefault="00AB1C48">
      <w:pPr>
        <w:pStyle w:val="Normalnumber"/>
        <w:numPr>
          <w:ilvl w:val="0"/>
          <w:numId w:val="2"/>
        </w:numPr>
        <w:rPr>
          <w:lang w:val="en-US"/>
        </w:rPr>
      </w:pPr>
      <w:r>
        <w:rPr>
          <w:lang w:val="en-US"/>
        </w:rPr>
        <w:t xml:space="preserve">The group may wish to </w:t>
      </w:r>
      <w:r>
        <w:rPr>
          <w:lang w:val="en-US"/>
        </w:rPr>
        <w:t>consider other matters raised during the meeting.</w:t>
      </w:r>
      <w:r>
        <w:rPr>
          <w:lang w:val="en-US"/>
        </w:rPr>
        <w:t xml:space="preserve"> </w:t>
      </w:r>
    </w:p>
    <w:p w:rsidR="001717D8" w:rsidRDefault="00AB1C48">
      <w:pPr>
        <w:pStyle w:val="CH2"/>
        <w:keepNext w:val="0"/>
        <w:keepLines w:val="0"/>
        <w:ind w:left="624" w:firstLine="0"/>
        <w:rPr>
          <w:b w:val="0"/>
          <w:bCs w:val="0"/>
          <w:lang w:val="en-US"/>
        </w:rPr>
      </w:pPr>
      <w:r>
        <w:rPr>
          <w:lang w:val="en-US"/>
        </w:rPr>
        <w:t>Item 7</w:t>
      </w:r>
    </w:p>
    <w:p w:rsidR="001717D8" w:rsidRDefault="00AB1C48">
      <w:pPr>
        <w:pStyle w:val="CH2"/>
        <w:keepNext w:val="0"/>
        <w:keepLines w:val="0"/>
        <w:ind w:left="624" w:firstLine="0"/>
        <w:rPr>
          <w:b w:val="0"/>
          <w:bCs w:val="0"/>
          <w:lang w:val="en-US"/>
        </w:rPr>
      </w:pPr>
      <w:r>
        <w:rPr>
          <w:lang w:val="en-US"/>
        </w:rPr>
        <w:t>Closure of the meeting</w:t>
      </w:r>
    </w:p>
    <w:p w:rsidR="001717D8" w:rsidRDefault="00AB1C48">
      <w:pPr>
        <w:pStyle w:val="Normalnumber"/>
        <w:numPr>
          <w:ilvl w:val="0"/>
          <w:numId w:val="2"/>
        </w:numPr>
        <w:rPr>
          <w:lang w:val="en-US"/>
        </w:rPr>
      </w:pPr>
      <w:r>
        <w:rPr>
          <w:lang w:val="en-US"/>
        </w:rPr>
        <w:t>It is expected that the meeting will conclude its work by 6 p.m. on Friday, 12 April 2019.</w:t>
      </w:r>
    </w:p>
    <w:p w:rsidR="00AB1C48" w:rsidRDefault="00AB1C48" w:rsidP="00AB1C48">
      <w:pPr>
        <w:pStyle w:val="Normalnumber"/>
        <w:tabs>
          <w:tab w:val="clear" w:pos="567"/>
        </w:tabs>
        <w:rPr>
          <w:lang w:val="en-US"/>
        </w:rPr>
      </w:pPr>
      <w:bookmarkStart w:id="3" w:name="_GoBack"/>
      <w:bookmarkEnd w:id="3"/>
    </w:p>
    <w:p w:rsidR="001717D8" w:rsidRDefault="00AB1C48">
      <w:pPr>
        <w:pStyle w:val="Text"/>
        <w:tabs>
          <w:tab w:val="clear" w:pos="1247"/>
          <w:tab w:val="clear" w:pos="1814"/>
          <w:tab w:val="clear" w:pos="2381"/>
          <w:tab w:val="clear" w:pos="2948"/>
          <w:tab w:val="clear" w:pos="3515"/>
        </w:tabs>
      </w:pPr>
      <w:r>
        <w:rPr>
          <w:rFonts w:ascii="Arial Unicode MS" w:eastAsia="Arial Unicode MS" w:hAnsi="Arial Unicode MS" w:cs="Arial Unicode MS"/>
        </w:rPr>
        <w:br w:type="page"/>
      </w:r>
    </w:p>
    <w:p w:rsidR="001717D8" w:rsidRDefault="00AB1C48">
      <w:pPr>
        <w:pStyle w:val="Text"/>
        <w:spacing w:after="240"/>
      </w:pPr>
      <w:r>
        <w:rPr>
          <w:b/>
          <w:bCs/>
        </w:rPr>
        <w:t>ANNEX:</w:t>
      </w:r>
      <w:r>
        <w:t xml:space="preserve"> Suggested structuring of the discussion</w:t>
      </w:r>
      <w:r>
        <w:t>s</w:t>
      </w:r>
      <w:r>
        <w:t xml:space="preserve"> at the second meeting of the Ad-ho</w:t>
      </w:r>
      <w:r>
        <w:t>c Technical Expert Group on Effectiveness Evaluation</w:t>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75"/>
        <w:gridCol w:w="4675"/>
      </w:tblGrid>
      <w:tr w:rsidR="001717D8" w:rsidTr="00925CB2">
        <w:trPr>
          <w:trHeight w:val="206"/>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17D8" w:rsidRDefault="00AB1C48">
            <w:pPr>
              <w:pStyle w:val="Text"/>
              <w:spacing w:after="240"/>
              <w:jc w:val="center"/>
            </w:pPr>
            <w:r>
              <w:rPr>
                <w:b/>
                <w:bCs/>
              </w:rPr>
              <w:t>Effectiveness evaluation framework</w:t>
            </w: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17D8" w:rsidRDefault="00AB1C48">
            <w:pPr>
              <w:pStyle w:val="Text"/>
              <w:spacing w:after="240"/>
              <w:jc w:val="center"/>
            </w:pPr>
            <w:r>
              <w:rPr>
                <w:b/>
                <w:bCs/>
              </w:rPr>
              <w:t>Monitoring arrangement</w:t>
            </w:r>
          </w:p>
        </w:tc>
      </w:tr>
      <w:tr w:rsidR="001717D8">
        <w:trPr>
          <w:trHeight w:val="222"/>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1717D8" w:rsidRDefault="00AB1C48">
            <w:pPr>
              <w:pStyle w:val="main"/>
              <w:jc w:val="center"/>
            </w:pPr>
            <w:r>
              <w:t>DAY 1: Monday 8 April</w:t>
            </w:r>
          </w:p>
        </w:tc>
      </w:tr>
      <w:tr w:rsidR="001717D8">
        <w:trPr>
          <w:trHeight w:val="442"/>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17D8" w:rsidRDefault="00AB1C48">
            <w:pPr>
              <w:pStyle w:val="main"/>
            </w:pPr>
            <w:r>
              <w:t>9.00 a.m. – 9.30 a.m.  Item 1: Opening of the meeting</w:t>
            </w:r>
          </w:p>
          <w:p w:rsidR="001717D8" w:rsidRDefault="00AB1C48">
            <w:pPr>
              <w:pStyle w:val="main"/>
            </w:pPr>
            <w:r>
              <w:t xml:space="preserve">                                    Item 2: Organizational matters</w:t>
            </w:r>
          </w:p>
        </w:tc>
      </w:tr>
      <w:tr w:rsidR="001717D8">
        <w:trPr>
          <w:trHeight w:val="442"/>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17D8" w:rsidRDefault="00AB1C48">
            <w:pPr>
              <w:pStyle w:val="main"/>
            </w:pPr>
            <w:r>
              <w:t xml:space="preserve">9.30 a.m. – 1.00 p.m.  Item 3 Consideration of the effectiveness evaluation framework </w:t>
            </w:r>
          </w:p>
          <w:p w:rsidR="001717D8" w:rsidRDefault="00AB1C48">
            <w:pPr>
              <w:pStyle w:val="main"/>
            </w:pPr>
            <w:r>
              <w:t>- PLENARY led by framework working group.</w:t>
            </w:r>
          </w:p>
        </w:tc>
      </w:tr>
      <w:tr w:rsidR="001717D8">
        <w:trPr>
          <w:trHeight w:val="1762"/>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17D8" w:rsidRDefault="00AB1C48">
            <w:pPr>
              <w:pStyle w:val="Text"/>
              <w:spacing w:after="240"/>
            </w:pPr>
            <w:r>
              <w:t>3a: Review and assessment of the detailed article-by-article process and outcome indicators in table 4 of document UNEP/MC/CO</w:t>
            </w:r>
            <w:r>
              <w:t>P.2/INF/8, using the objective of the Minamata Convention. This includes elaboration on the sources of information and baselines for those indicators, considering cost-effectiveness, practicality, feasibility and sustainability, and provision of detailed r</w:t>
            </w:r>
            <w:r>
              <w:t xml:space="preserve">ationales for the recommended indicators on that basis. </w:t>
            </w: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17D8" w:rsidRDefault="001717D8"/>
        </w:tc>
      </w:tr>
      <w:tr w:rsidR="001717D8">
        <w:trPr>
          <w:trHeight w:val="882"/>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17D8" w:rsidRDefault="00AB1C48">
            <w:pPr>
              <w:pStyle w:val="Text"/>
              <w:spacing w:after="240"/>
            </w:pPr>
            <w:r>
              <w:t xml:space="preserve">3b: Identification of recommended indicators that require monitoring data, </w:t>
            </w:r>
            <w:proofErr w:type="gramStart"/>
            <w:r>
              <w:t>in particular in</w:t>
            </w:r>
            <w:proofErr w:type="gramEnd"/>
            <w:r>
              <w:t xml:space="preserve"> relation to the control measures and objectives set out in the articles of the Convention</w:t>
            </w: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17D8" w:rsidRDefault="001717D8"/>
        </w:tc>
      </w:tr>
      <w:tr w:rsidR="001717D8">
        <w:trPr>
          <w:trHeight w:val="442"/>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17D8" w:rsidRDefault="00AB1C48">
            <w:pPr>
              <w:pStyle w:val="main"/>
            </w:pPr>
            <w:r>
              <w:t xml:space="preserve">2.00 p.m. – </w:t>
            </w:r>
            <w:r>
              <w:t xml:space="preserve">5.30 p.m.  Item 4: Consideration of the monitoring arrangements </w:t>
            </w:r>
          </w:p>
          <w:p w:rsidR="001717D8" w:rsidRDefault="00AB1C48">
            <w:pPr>
              <w:pStyle w:val="main"/>
            </w:pPr>
            <w:r>
              <w:t>- PLENARY led by monitoring working group.</w:t>
            </w:r>
          </w:p>
        </w:tc>
      </w:tr>
      <w:tr w:rsidR="001717D8">
        <w:trPr>
          <w:trHeight w:val="2642"/>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17D8" w:rsidRDefault="001717D8"/>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17D8" w:rsidRDefault="00AB1C48">
            <w:pPr>
              <w:pStyle w:val="main"/>
              <w:rPr>
                <w:b w:val="0"/>
                <w:bCs w:val="0"/>
              </w:rPr>
            </w:pPr>
            <w:r>
              <w:rPr>
                <w:b w:val="0"/>
                <w:bCs w:val="0"/>
              </w:rPr>
              <w:t>4ai: Identification of categories of the available comparable monitoring data that would be most effective in providing information on global tren</w:t>
            </w:r>
            <w:r>
              <w:rPr>
                <w:b w:val="0"/>
                <w:bCs w:val="0"/>
              </w:rPr>
              <w:t xml:space="preserve">ds (distinguishing these data from data that may be of use for informing local, national and/or regional policies); </w:t>
            </w:r>
          </w:p>
          <w:p w:rsidR="001717D8" w:rsidRDefault="00AB1C48">
            <w:pPr>
              <w:pStyle w:val="main"/>
              <w:rPr>
                <w:b w:val="0"/>
                <w:bCs w:val="0"/>
              </w:rPr>
            </w:pPr>
            <w:r>
              <w:rPr>
                <w:b w:val="0"/>
                <w:bCs w:val="0"/>
              </w:rPr>
              <w:t>4aii: Identification of monitoring data in air, water, biota, and humans that could be used to assess the impact on levels and trends of me</w:t>
            </w:r>
            <w:r>
              <w:rPr>
                <w:b w:val="0"/>
                <w:bCs w:val="0"/>
              </w:rPr>
              <w:t>rcury; and</w:t>
            </w:r>
          </w:p>
          <w:p w:rsidR="001717D8" w:rsidRDefault="00AB1C48">
            <w:pPr>
              <w:pStyle w:val="main"/>
            </w:pPr>
            <w:r>
              <w:rPr>
                <w:b w:val="0"/>
                <w:bCs w:val="0"/>
              </w:rPr>
              <w:t xml:space="preserve">4aiii: Identification of the potential and limitations of the data identified, </w:t>
            </w:r>
            <w:proofErr w:type="gramStart"/>
            <w:r>
              <w:rPr>
                <w:b w:val="0"/>
                <w:bCs w:val="0"/>
              </w:rPr>
              <w:t>taking into account</w:t>
            </w:r>
            <w:proofErr w:type="gramEnd"/>
            <w:r>
              <w:rPr>
                <w:b w:val="0"/>
                <w:bCs w:val="0"/>
              </w:rPr>
              <w:t xml:space="preserve"> the impacts other than anthropogenic emissions and releases on these spatial and temporal trends;</w:t>
            </w:r>
          </w:p>
        </w:tc>
      </w:tr>
      <w:tr w:rsidR="001717D8">
        <w:trPr>
          <w:trHeight w:val="1542"/>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17D8" w:rsidRDefault="001717D8"/>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17D8" w:rsidRDefault="00AB1C48">
            <w:pPr>
              <w:pStyle w:val="main"/>
            </w:pPr>
            <w:r>
              <w:rPr>
                <w:b w:val="0"/>
                <w:bCs w:val="0"/>
              </w:rPr>
              <w:t xml:space="preserve">4b: Assessment of the extent to which the </w:t>
            </w:r>
            <w:r>
              <w:rPr>
                <w:b w:val="0"/>
                <w:bCs w:val="0"/>
              </w:rPr>
              <w:t>information reviewed meets the needs for monitoring as set out in paragraph 2 of Article 22 of the Convention, identification of major gaps that could affect the usability of available data, and outlining options or recommendations to enhance the comparabi</w:t>
            </w:r>
            <w:r>
              <w:rPr>
                <w:b w:val="0"/>
                <w:bCs w:val="0"/>
              </w:rPr>
              <w:t>lity and completeness of the information</w:t>
            </w:r>
          </w:p>
        </w:tc>
      </w:tr>
      <w:tr w:rsidR="001717D8">
        <w:trPr>
          <w:trHeight w:val="1322"/>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17D8" w:rsidRDefault="001717D8"/>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17D8" w:rsidRDefault="00AB1C48">
            <w:pPr>
              <w:pStyle w:val="main"/>
            </w:pPr>
            <w:r>
              <w:rPr>
                <w:b w:val="0"/>
                <w:bCs w:val="0"/>
              </w:rPr>
              <w:t>4c: Comparison of the options and recommendations outlined above for their cost-effectiveness, practicality, feasibility, sustainability, global coverage and regional capabilities to identify opportunities for fut</w:t>
            </w:r>
            <w:r>
              <w:rPr>
                <w:b w:val="0"/>
                <w:bCs w:val="0"/>
              </w:rPr>
              <w:t>ure enhancements to monitoring, with the aim of filling gaps in globally relevant monitoring data</w:t>
            </w:r>
          </w:p>
        </w:tc>
      </w:tr>
      <w:tr w:rsidR="001717D8">
        <w:trPr>
          <w:trHeight w:val="442"/>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17D8" w:rsidRDefault="00AB1C48">
            <w:pPr>
              <w:pStyle w:val="main"/>
            </w:pPr>
            <w:r>
              <w:t>5.30 p.m. – 6.00 p.m.  Day 1 wrap up – Identification of key issues</w:t>
            </w:r>
            <w:r>
              <w:t xml:space="preserve"> for further deliberations and those for drafting by sub-groups</w:t>
            </w:r>
            <w:r w:rsidR="00925CB2">
              <w:t>. Homework may include preparation of arguments and reasoning on key issues so that they are ready for drafting stage, and who can draft which part of the report.</w:t>
            </w:r>
          </w:p>
        </w:tc>
      </w:tr>
      <w:tr w:rsidR="001717D8">
        <w:trPr>
          <w:trHeight w:val="222"/>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1717D8" w:rsidRDefault="00AB1C48">
            <w:pPr>
              <w:pStyle w:val="main"/>
              <w:jc w:val="center"/>
            </w:pPr>
            <w:r>
              <w:t>DAY 2: Tuesday 9 April</w:t>
            </w:r>
          </w:p>
        </w:tc>
      </w:tr>
      <w:tr w:rsidR="001717D8">
        <w:trPr>
          <w:trHeight w:val="442"/>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17D8" w:rsidRDefault="00AB1C48">
            <w:pPr>
              <w:pStyle w:val="main"/>
            </w:pPr>
            <w:r>
              <w:t xml:space="preserve">9.00 a.m.- 9.30 a.m.  Recapturing Day 1 discussion – co-chairs proposal for </w:t>
            </w:r>
            <w:r w:rsidR="00925CB2">
              <w:t xml:space="preserve">the plan for the day and the </w:t>
            </w:r>
            <w:r>
              <w:t xml:space="preserve">drafting </w:t>
            </w:r>
            <w:r w:rsidR="00925CB2">
              <w:t xml:space="preserve">work </w:t>
            </w:r>
            <w:r>
              <w:t>during the meeting</w:t>
            </w:r>
          </w:p>
        </w:tc>
      </w:tr>
      <w:tr w:rsidR="001717D8">
        <w:trPr>
          <w:trHeight w:val="442"/>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17D8" w:rsidRDefault="00AB1C48">
            <w:pPr>
              <w:pStyle w:val="main"/>
            </w:pPr>
            <w:r>
              <w:t xml:space="preserve">9.30 a.m. – </w:t>
            </w:r>
            <w:r>
              <w:t xml:space="preserve">11.00 a.m.  Item 4: Consideration of the monitoring arrangements </w:t>
            </w:r>
          </w:p>
          <w:p w:rsidR="001717D8" w:rsidRDefault="00AB1C48">
            <w:pPr>
              <w:pStyle w:val="main"/>
            </w:pPr>
            <w:r>
              <w:t>- plenary led by monitoring working group.</w:t>
            </w:r>
          </w:p>
        </w:tc>
      </w:tr>
      <w:tr w:rsidR="001717D8">
        <w:trPr>
          <w:trHeight w:val="662"/>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17D8" w:rsidRDefault="001717D8"/>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17D8" w:rsidRDefault="00AB1C48">
            <w:pPr>
              <w:pStyle w:val="main"/>
            </w:pPr>
            <w:r>
              <w:rPr>
                <w:b w:val="0"/>
                <w:bCs w:val="0"/>
              </w:rPr>
              <w:t>4d: Identification of available modelling capabilities to assess changes in global mercury levels within and across different media</w:t>
            </w:r>
          </w:p>
        </w:tc>
      </w:tr>
      <w:tr w:rsidR="001717D8">
        <w:trPr>
          <w:trHeight w:val="662"/>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17D8" w:rsidRDefault="001717D8"/>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17D8" w:rsidRDefault="00AB1C48">
            <w:pPr>
              <w:pStyle w:val="main"/>
            </w:pPr>
            <w:r>
              <w:rPr>
                <w:b w:val="0"/>
                <w:bCs w:val="0"/>
              </w:rPr>
              <w:t xml:space="preserve">4e: </w:t>
            </w:r>
            <w:r>
              <w:rPr>
                <w:b w:val="0"/>
                <w:bCs w:val="0"/>
              </w:rPr>
              <w:t>Examination of options and identification of sources of data based on those options that can be used for establishing a baseline for monitoring data</w:t>
            </w:r>
          </w:p>
        </w:tc>
      </w:tr>
      <w:tr w:rsidR="001717D8">
        <w:trPr>
          <w:trHeight w:val="442"/>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17D8" w:rsidRDefault="00AB1C48">
            <w:pPr>
              <w:pStyle w:val="main"/>
            </w:pPr>
            <w:r>
              <w:t xml:space="preserve">11.30 a.m. – 1.00 p.m.  Item 3 Consideration of the effectiveness evaluation framework </w:t>
            </w:r>
          </w:p>
          <w:p w:rsidR="001717D8" w:rsidRDefault="00AB1C48">
            <w:pPr>
              <w:pStyle w:val="main"/>
            </w:pPr>
            <w:r>
              <w:t>- plenary led by f</w:t>
            </w:r>
            <w:r>
              <w:t>ramework working group.</w:t>
            </w:r>
          </w:p>
        </w:tc>
      </w:tr>
      <w:tr w:rsidR="001717D8">
        <w:trPr>
          <w:trHeight w:val="1102"/>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17D8" w:rsidRDefault="00AB1C48">
            <w:pPr>
              <w:pStyle w:val="Text"/>
              <w:spacing w:after="240"/>
            </w:pPr>
            <w:r>
              <w:t xml:space="preserve">3c: Development of a methodology for integrating the recommended indicators with a view to providing an integrative picture of the general effectiveness of the Convention, (e.g., by use of aggregated or cross-cutting indicators) </w:t>
            </w: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17D8" w:rsidRDefault="001717D8"/>
        </w:tc>
      </w:tr>
      <w:tr w:rsidR="001717D8">
        <w:trPr>
          <w:trHeight w:val="442"/>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17D8" w:rsidRDefault="00AB1C48">
            <w:pPr>
              <w:pStyle w:val="main"/>
            </w:pPr>
            <w:r>
              <w:t>2.00 p.m. – 5.30 p.m.  Item 5: Preparation of the report on the work of the ad hoc technical expert group</w:t>
            </w:r>
          </w:p>
          <w:p w:rsidR="001717D8" w:rsidRDefault="00AB1C48">
            <w:pPr>
              <w:pStyle w:val="main"/>
            </w:pPr>
            <w:r>
              <w:t xml:space="preserve"> - Drafting by working groups</w:t>
            </w:r>
          </w:p>
        </w:tc>
      </w:tr>
      <w:tr w:rsidR="001717D8">
        <w:trPr>
          <w:trHeight w:val="1322"/>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17D8" w:rsidRDefault="00AB1C48">
            <w:pPr>
              <w:pStyle w:val="main"/>
              <w:rPr>
                <w:b w:val="0"/>
                <w:bCs w:val="0"/>
              </w:rPr>
            </w:pPr>
            <w:r>
              <w:rPr>
                <w:b w:val="0"/>
                <w:bCs w:val="0"/>
              </w:rPr>
              <w:t>5b: Introduction</w:t>
            </w:r>
          </w:p>
          <w:p w:rsidR="001717D8" w:rsidRDefault="00AB1C48">
            <w:pPr>
              <w:pStyle w:val="main"/>
              <w:rPr>
                <w:b w:val="0"/>
                <w:bCs w:val="0"/>
              </w:rPr>
            </w:pPr>
            <w:r>
              <w:rPr>
                <w:b w:val="0"/>
                <w:bCs w:val="0"/>
              </w:rPr>
              <w:t xml:space="preserve">5c: Description of the effectiveness evaluation framework </w:t>
            </w:r>
          </w:p>
          <w:p w:rsidR="001717D8" w:rsidRDefault="00AB1C48">
            <w:pPr>
              <w:pStyle w:val="main"/>
              <w:rPr>
                <w:b w:val="0"/>
                <w:bCs w:val="0"/>
              </w:rPr>
            </w:pPr>
            <w:r>
              <w:rPr>
                <w:b w:val="0"/>
                <w:bCs w:val="0"/>
              </w:rPr>
              <w:t xml:space="preserve">5d: Proposed methodology and schedule for </w:t>
            </w:r>
            <w:r>
              <w:rPr>
                <w:b w:val="0"/>
                <w:bCs w:val="0"/>
              </w:rPr>
              <w:t>the evaluation</w:t>
            </w:r>
          </w:p>
          <w:p w:rsidR="001717D8" w:rsidRDefault="00AB1C48">
            <w:pPr>
              <w:pStyle w:val="main"/>
            </w:pPr>
            <w:r>
              <w:rPr>
                <w:b w:val="0"/>
                <w:bCs w:val="0"/>
              </w:rPr>
              <w:t xml:space="preserve">5e: Issues for further consideration, if any </w:t>
            </w: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17D8" w:rsidRDefault="00AB1C48">
            <w:pPr>
              <w:pStyle w:val="main"/>
            </w:pPr>
            <w:r>
              <w:rPr>
                <w:b w:val="0"/>
                <w:bCs w:val="0"/>
              </w:rPr>
              <w:t>5f: Annex 1: Technical information on monitoring, if any</w:t>
            </w:r>
          </w:p>
        </w:tc>
      </w:tr>
      <w:tr w:rsidR="001717D8">
        <w:trPr>
          <w:trHeight w:val="222"/>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17D8" w:rsidRDefault="00AB1C48">
            <w:pPr>
              <w:pStyle w:val="main"/>
            </w:pPr>
            <w:r>
              <w:t>5.30 p.m. – 6.00 p.m.  Day 2 wrap up – identification of remaining issues for discussion</w:t>
            </w:r>
          </w:p>
        </w:tc>
      </w:tr>
      <w:tr w:rsidR="001717D8">
        <w:trPr>
          <w:trHeight w:val="222"/>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1717D8" w:rsidRDefault="00AB1C48">
            <w:pPr>
              <w:pStyle w:val="main"/>
              <w:jc w:val="center"/>
            </w:pPr>
            <w:r>
              <w:t>DAY 3: Wednesday 10 April</w:t>
            </w:r>
          </w:p>
        </w:tc>
      </w:tr>
      <w:tr w:rsidR="001717D8">
        <w:trPr>
          <w:trHeight w:val="222"/>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17D8" w:rsidRDefault="00AB1C48">
            <w:pPr>
              <w:pStyle w:val="main"/>
            </w:pPr>
            <w:r>
              <w:t>9.00 a.m.- 9.30 a.m.  Recapturing Day 2 discussion – first draft of the report (5b – 5f)</w:t>
            </w:r>
          </w:p>
        </w:tc>
      </w:tr>
      <w:tr w:rsidR="001717D8">
        <w:trPr>
          <w:trHeight w:val="222"/>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17D8" w:rsidRDefault="00AB1C48">
            <w:pPr>
              <w:pStyle w:val="main"/>
            </w:pPr>
            <w:r>
              <w:t>9.30 a.m. – 5.30 p.m. Continued drafting by small groups, with feedback to plenary</w:t>
            </w:r>
          </w:p>
        </w:tc>
      </w:tr>
      <w:tr w:rsidR="001717D8">
        <w:trPr>
          <w:trHeight w:val="222"/>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17D8" w:rsidRDefault="00AB1C48">
            <w:pPr>
              <w:pStyle w:val="main"/>
            </w:pPr>
            <w:r>
              <w:t xml:space="preserve">5.30 p.m. – 6.00 p.m.  Day 3 wrap up – identification of remaining issues for </w:t>
            </w:r>
            <w:r>
              <w:t>discussion</w:t>
            </w:r>
          </w:p>
        </w:tc>
      </w:tr>
      <w:tr w:rsidR="001717D8">
        <w:trPr>
          <w:trHeight w:val="222"/>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1717D8" w:rsidRDefault="00AB1C48">
            <w:pPr>
              <w:pStyle w:val="main"/>
              <w:jc w:val="center"/>
            </w:pPr>
            <w:r>
              <w:t>DAY 4: Thursday 11 April</w:t>
            </w:r>
          </w:p>
        </w:tc>
      </w:tr>
      <w:tr w:rsidR="001717D8">
        <w:trPr>
          <w:trHeight w:val="222"/>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17D8" w:rsidRDefault="00AB1C48">
            <w:pPr>
              <w:pStyle w:val="main"/>
            </w:pPr>
            <w:r>
              <w:t>9.00 a.m.- 9.30 a.m.  Recapturing Day 3 discussion – second draft of the report (5b – 5f)</w:t>
            </w:r>
          </w:p>
        </w:tc>
      </w:tr>
      <w:tr w:rsidR="001717D8">
        <w:trPr>
          <w:trHeight w:val="442"/>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17D8" w:rsidRDefault="00AB1C48">
            <w:pPr>
              <w:pStyle w:val="main"/>
            </w:pPr>
            <w:r>
              <w:t xml:space="preserve">9.30 a.m. – 11.00 a.m. Item 3 Consideration of the effectiveness evaluation framework </w:t>
            </w:r>
          </w:p>
          <w:p w:rsidR="001717D8" w:rsidRDefault="00AB1C48">
            <w:pPr>
              <w:pStyle w:val="main"/>
            </w:pPr>
            <w:r>
              <w:t>- plenary led by framework working group</w:t>
            </w:r>
          </w:p>
        </w:tc>
      </w:tr>
      <w:tr w:rsidR="001717D8">
        <w:trPr>
          <w:trHeight w:val="882"/>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17D8" w:rsidRDefault="00AB1C48">
            <w:pPr>
              <w:pStyle w:val="Text"/>
              <w:spacing w:after="240"/>
            </w:pPr>
            <w:r>
              <w:t xml:space="preserve">3d: Amendment to the recommended draft terms of reference of the effectiveness evaluation committee and the schedule for the first effectiveness evaluation, if needed, </w:t>
            </w:r>
            <w:proofErr w:type="gramStart"/>
            <w:r>
              <w:t>on the basis of</w:t>
            </w:r>
            <w:proofErr w:type="gramEnd"/>
            <w:r>
              <w:t xml:space="preserve"> the outcome of the above.</w:t>
            </w: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17D8" w:rsidRDefault="001717D8"/>
        </w:tc>
      </w:tr>
      <w:tr w:rsidR="001717D8">
        <w:trPr>
          <w:trHeight w:val="442"/>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17D8" w:rsidRDefault="00AB1C48">
            <w:pPr>
              <w:pStyle w:val="main"/>
            </w:pPr>
            <w:r>
              <w:t xml:space="preserve">11.30 a.m. – </w:t>
            </w:r>
            <w:r>
              <w:t xml:space="preserve">1.00 p.m. Item 4: Consideration of the monitoring arrangements </w:t>
            </w:r>
          </w:p>
          <w:p w:rsidR="001717D8" w:rsidRDefault="00AB1C48">
            <w:pPr>
              <w:pStyle w:val="main"/>
            </w:pPr>
            <w:r>
              <w:t>- plenary led by monitoring working group</w:t>
            </w:r>
          </w:p>
        </w:tc>
      </w:tr>
      <w:tr w:rsidR="001717D8">
        <w:trPr>
          <w:trHeight w:val="662"/>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17D8" w:rsidRDefault="001717D8"/>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17D8" w:rsidRDefault="00AB1C48">
            <w:pPr>
              <w:pStyle w:val="main"/>
            </w:pPr>
            <w:r>
              <w:rPr>
                <w:b w:val="0"/>
                <w:bCs w:val="0"/>
              </w:rPr>
              <w:t>4g: Draft terms of reference for global monitoring arrangements, including developing monitoring guidance</w:t>
            </w:r>
          </w:p>
        </w:tc>
      </w:tr>
      <w:tr w:rsidR="001717D8">
        <w:trPr>
          <w:trHeight w:val="442"/>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17D8" w:rsidRDefault="00AB1C48">
            <w:pPr>
              <w:pStyle w:val="main"/>
            </w:pPr>
            <w:r>
              <w:t>2.00 p.m. – 5.30 p.m. Item 5: Preparation</w:t>
            </w:r>
            <w:r>
              <w:t xml:space="preserve"> of the report on the work of the ad hoc technical expert group</w:t>
            </w:r>
          </w:p>
          <w:p w:rsidR="001717D8" w:rsidRDefault="00AB1C48">
            <w:pPr>
              <w:pStyle w:val="main"/>
            </w:pPr>
            <w:r>
              <w:t xml:space="preserve"> - Drafting by working groups</w:t>
            </w:r>
          </w:p>
        </w:tc>
      </w:tr>
      <w:tr w:rsidR="001717D8">
        <w:trPr>
          <w:trHeight w:val="442"/>
        </w:trPr>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17D8" w:rsidRDefault="00AB1C48">
            <w:pPr>
              <w:pStyle w:val="main"/>
            </w:pPr>
            <w:r>
              <w:rPr>
                <w:b w:val="0"/>
                <w:bCs w:val="0"/>
              </w:rPr>
              <w:t>5g: Annex 2: Draft terms of reference of the effectiveness evaluation committee</w:t>
            </w: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17D8" w:rsidRDefault="00AB1C48">
            <w:pPr>
              <w:pStyle w:val="main"/>
            </w:pPr>
            <w:r>
              <w:rPr>
                <w:b w:val="0"/>
                <w:bCs w:val="0"/>
              </w:rPr>
              <w:t>5h: Annex 3: Draft terms of reference for global monitoring arrangements</w:t>
            </w:r>
          </w:p>
        </w:tc>
      </w:tr>
      <w:tr w:rsidR="001717D8">
        <w:trPr>
          <w:trHeight w:val="222"/>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17D8" w:rsidRDefault="00AB1C48">
            <w:pPr>
              <w:pStyle w:val="main"/>
            </w:pPr>
            <w:r>
              <w:t>5.30 p.m. – 6.00 p.m.  Day 4 wrap up –identification of remaining issues for discussion</w:t>
            </w:r>
          </w:p>
        </w:tc>
      </w:tr>
      <w:tr w:rsidR="001717D8">
        <w:trPr>
          <w:trHeight w:val="222"/>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1717D8" w:rsidRDefault="00AB1C48">
            <w:pPr>
              <w:pStyle w:val="main"/>
              <w:jc w:val="center"/>
            </w:pPr>
            <w:r>
              <w:t>DAY 5: Friday 12 April</w:t>
            </w:r>
          </w:p>
        </w:tc>
      </w:tr>
      <w:tr w:rsidR="001717D8">
        <w:trPr>
          <w:trHeight w:val="222"/>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17D8" w:rsidRDefault="00AB1C48">
            <w:pPr>
              <w:pStyle w:val="main"/>
            </w:pPr>
            <w:r>
              <w:t>9.00 a.m.- 9.30 a.m.  Recapturing Day 4 discussion – draft report</w:t>
            </w:r>
          </w:p>
        </w:tc>
      </w:tr>
      <w:tr w:rsidR="001717D8">
        <w:trPr>
          <w:trHeight w:val="222"/>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17D8" w:rsidRDefault="00AB1C48">
            <w:pPr>
              <w:pStyle w:val="main"/>
            </w:pPr>
            <w:r>
              <w:t xml:space="preserve">9.30 a.m. – 4.00 p.m. Continued drafting by small groups, with feedback to </w:t>
            </w:r>
            <w:r>
              <w:t>plenary</w:t>
            </w:r>
          </w:p>
        </w:tc>
      </w:tr>
      <w:tr w:rsidR="001717D8">
        <w:trPr>
          <w:trHeight w:val="442"/>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17D8" w:rsidRDefault="00AB1C48">
            <w:pPr>
              <w:pStyle w:val="main"/>
            </w:pPr>
            <w:r>
              <w:t>4.00 p.m. – 5.30 p.m.  Item 5: Preparation of the report on the work of the ad hoc technical expert group</w:t>
            </w:r>
          </w:p>
          <w:p w:rsidR="001717D8" w:rsidRDefault="00AB1C48">
            <w:pPr>
              <w:pStyle w:val="main"/>
            </w:pPr>
            <w:r>
              <w:t>Plenary review of the draft report.</w:t>
            </w:r>
          </w:p>
        </w:tc>
      </w:tr>
      <w:tr w:rsidR="001717D8">
        <w:trPr>
          <w:trHeight w:val="442"/>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17D8" w:rsidRDefault="00AB1C48">
            <w:pPr>
              <w:pStyle w:val="main"/>
            </w:pPr>
            <w:r>
              <w:t>5.30 p.m. – 6.00 p.m.  Item 6: Other business</w:t>
            </w:r>
          </w:p>
          <w:p w:rsidR="001717D8" w:rsidRDefault="00AB1C48">
            <w:pPr>
              <w:pStyle w:val="main"/>
            </w:pPr>
            <w:r>
              <w:t xml:space="preserve">                                     Item 7: Closure o</w:t>
            </w:r>
            <w:r w:rsidR="00925CB2">
              <w:t>f</w:t>
            </w:r>
            <w:r>
              <w:t xml:space="preserve"> the meeting</w:t>
            </w:r>
          </w:p>
        </w:tc>
      </w:tr>
    </w:tbl>
    <w:p w:rsidR="001717D8" w:rsidRDefault="001717D8">
      <w:pPr>
        <w:pStyle w:val="Text"/>
        <w:widowControl w:val="0"/>
        <w:spacing w:after="240"/>
      </w:pPr>
    </w:p>
    <w:tbl>
      <w:tblPr>
        <w:tblW w:w="949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83"/>
        <w:gridCol w:w="1582"/>
        <w:gridCol w:w="1582"/>
        <w:gridCol w:w="1583"/>
        <w:gridCol w:w="1583"/>
        <w:gridCol w:w="1583"/>
      </w:tblGrid>
      <w:tr w:rsidR="001717D8">
        <w:trPr>
          <w:trHeight w:val="217"/>
        </w:trPr>
        <w:tc>
          <w:tcPr>
            <w:tcW w:w="1583" w:type="dxa"/>
            <w:tcBorders>
              <w:top w:val="nil"/>
              <w:left w:val="nil"/>
              <w:bottom w:val="nil"/>
              <w:right w:val="nil"/>
            </w:tcBorders>
            <w:shd w:val="clear" w:color="auto" w:fill="auto"/>
            <w:tcMar>
              <w:top w:w="80" w:type="dxa"/>
              <w:left w:w="80" w:type="dxa"/>
              <w:bottom w:w="80" w:type="dxa"/>
              <w:right w:w="80" w:type="dxa"/>
            </w:tcMar>
          </w:tcPr>
          <w:p w:rsidR="001717D8" w:rsidRDefault="001717D8"/>
        </w:tc>
        <w:tc>
          <w:tcPr>
            <w:tcW w:w="1582" w:type="dxa"/>
            <w:tcBorders>
              <w:top w:val="nil"/>
              <w:left w:val="nil"/>
              <w:bottom w:val="nil"/>
              <w:right w:val="nil"/>
            </w:tcBorders>
            <w:shd w:val="clear" w:color="auto" w:fill="auto"/>
            <w:tcMar>
              <w:top w:w="80" w:type="dxa"/>
              <w:left w:w="80" w:type="dxa"/>
              <w:bottom w:w="80" w:type="dxa"/>
              <w:right w:w="80" w:type="dxa"/>
            </w:tcMar>
          </w:tcPr>
          <w:p w:rsidR="001717D8" w:rsidRDefault="001717D8"/>
        </w:tc>
        <w:tc>
          <w:tcPr>
            <w:tcW w:w="1582" w:type="dxa"/>
            <w:tcBorders>
              <w:top w:val="nil"/>
              <w:left w:val="nil"/>
              <w:bottom w:val="single" w:sz="4" w:space="0" w:color="000000"/>
              <w:right w:val="nil"/>
            </w:tcBorders>
            <w:shd w:val="clear" w:color="auto" w:fill="auto"/>
            <w:tcMar>
              <w:top w:w="80" w:type="dxa"/>
              <w:left w:w="80" w:type="dxa"/>
              <w:bottom w:w="80" w:type="dxa"/>
              <w:right w:w="80" w:type="dxa"/>
            </w:tcMar>
          </w:tcPr>
          <w:p w:rsidR="001717D8" w:rsidRDefault="001717D8"/>
        </w:tc>
        <w:tc>
          <w:tcPr>
            <w:tcW w:w="1583" w:type="dxa"/>
            <w:tcBorders>
              <w:top w:val="nil"/>
              <w:left w:val="nil"/>
              <w:bottom w:val="nil"/>
              <w:right w:val="nil"/>
            </w:tcBorders>
            <w:shd w:val="clear" w:color="auto" w:fill="auto"/>
            <w:tcMar>
              <w:top w:w="80" w:type="dxa"/>
              <w:left w:w="80" w:type="dxa"/>
              <w:bottom w:w="80" w:type="dxa"/>
              <w:right w:w="80" w:type="dxa"/>
            </w:tcMar>
          </w:tcPr>
          <w:p w:rsidR="001717D8" w:rsidRDefault="001717D8"/>
        </w:tc>
        <w:tc>
          <w:tcPr>
            <w:tcW w:w="1583" w:type="dxa"/>
            <w:tcBorders>
              <w:top w:val="nil"/>
              <w:left w:val="nil"/>
              <w:bottom w:val="nil"/>
              <w:right w:val="nil"/>
            </w:tcBorders>
            <w:shd w:val="clear" w:color="auto" w:fill="auto"/>
            <w:tcMar>
              <w:top w:w="80" w:type="dxa"/>
              <w:left w:w="80" w:type="dxa"/>
              <w:bottom w:w="80" w:type="dxa"/>
              <w:right w:w="80" w:type="dxa"/>
            </w:tcMar>
          </w:tcPr>
          <w:p w:rsidR="001717D8" w:rsidRDefault="001717D8"/>
        </w:tc>
        <w:tc>
          <w:tcPr>
            <w:tcW w:w="1583" w:type="dxa"/>
            <w:tcBorders>
              <w:top w:val="nil"/>
              <w:left w:val="nil"/>
              <w:bottom w:val="nil"/>
              <w:right w:val="nil"/>
            </w:tcBorders>
            <w:shd w:val="clear" w:color="auto" w:fill="auto"/>
            <w:tcMar>
              <w:top w:w="80" w:type="dxa"/>
              <w:left w:w="80" w:type="dxa"/>
              <w:bottom w:w="80" w:type="dxa"/>
              <w:right w:w="80" w:type="dxa"/>
            </w:tcMar>
          </w:tcPr>
          <w:p w:rsidR="001717D8" w:rsidRDefault="001717D8"/>
        </w:tc>
      </w:tr>
    </w:tbl>
    <w:p w:rsidR="001717D8" w:rsidRPr="00925CB2" w:rsidRDefault="001717D8">
      <w:pPr>
        <w:pStyle w:val="Normalnumber"/>
        <w:widowControl w:val="0"/>
        <w:ind w:firstLine="0"/>
        <w:rPr>
          <w:lang w:val="en-US"/>
        </w:rPr>
      </w:pPr>
    </w:p>
    <w:sectPr w:rsidR="001717D8" w:rsidRPr="00925CB2">
      <w:headerReference w:type="even" r:id="rId10"/>
      <w:headerReference w:type="default" r:id="rId11"/>
      <w:footerReference w:type="even" r:id="rId12"/>
      <w:footerReference w:type="default" r:id="rId13"/>
      <w:pgSz w:w="11900" w:h="16840"/>
      <w:pgMar w:top="907" w:right="992" w:bottom="1418" w:left="1418" w:header="539" w:footer="97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AB1C48">
      <w:r>
        <w:separator/>
      </w:r>
    </w:p>
  </w:endnote>
  <w:endnote w:type="continuationSeparator" w:id="0">
    <w:p w:rsidR="00000000" w:rsidRDefault="00AB1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pitch w:val="default"/>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7D8" w:rsidRDefault="00AB1C48">
    <w:pPr>
      <w:pStyle w:val="Normal-pool"/>
    </w:pPr>
    <w:r>
      <w:rPr>
        <w:b/>
        <w:bCs/>
        <w:sz w:val="18"/>
        <w:szCs w:val="18"/>
      </w:rPr>
      <w:fldChar w:fldCharType="begin"/>
    </w:r>
    <w:r>
      <w:rPr>
        <w:b/>
        <w:bCs/>
        <w:sz w:val="18"/>
        <w:szCs w:val="18"/>
      </w:rPr>
      <w:instrText xml:space="preserve"> PAGE </w:instrText>
    </w:r>
    <w:r>
      <w:rPr>
        <w:b/>
        <w:bCs/>
        <w:sz w:val="18"/>
        <w:szCs w:val="18"/>
      </w:rPr>
      <w:fldChar w:fldCharType="separate"/>
    </w:r>
    <w:r>
      <w:rPr>
        <w:b/>
        <w:bCs/>
        <w:sz w:val="18"/>
        <w:szCs w:val="18"/>
      </w:rPr>
      <w:t>6</w:t>
    </w:r>
    <w:r>
      <w:rPr>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7D8" w:rsidRDefault="00AB1C48">
    <w:pPr>
      <w:pStyle w:val="Footer"/>
      <w:jc w:val="right"/>
    </w:pPr>
    <w:r>
      <w:rPr>
        <w:b/>
        <w:bCs/>
      </w:rPr>
      <w:fldChar w:fldCharType="begin"/>
    </w:r>
    <w:r>
      <w:rPr>
        <w:b/>
        <w:bCs/>
      </w:rPr>
      <w:instrText xml:space="preserve"> PAGE </w:instrText>
    </w:r>
    <w:r>
      <w:rPr>
        <w:b/>
        <w:bCs/>
      </w:rPr>
      <w:fldChar w:fldCharType="separate"/>
    </w:r>
    <w:r>
      <w:rPr>
        <w:b/>
        <w:bCs/>
      </w:rPr>
      <w:t>7</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17D8" w:rsidRDefault="00AB1C48">
      <w:r>
        <w:separator/>
      </w:r>
    </w:p>
  </w:footnote>
  <w:footnote w:type="continuationSeparator" w:id="0">
    <w:p w:rsidR="001717D8" w:rsidRDefault="00AB1C48">
      <w:r>
        <w:continuationSeparator/>
      </w:r>
    </w:p>
  </w:footnote>
  <w:footnote w:type="continuationNotice" w:id="1">
    <w:p w:rsidR="001717D8" w:rsidRDefault="001717D8"/>
  </w:footnote>
  <w:footnote w:id="2">
    <w:p w:rsidR="001817EF" w:rsidRPr="001817EF" w:rsidRDefault="001817EF">
      <w:pPr>
        <w:pStyle w:val="FootnoteText"/>
        <w:rPr>
          <w:lang w:val="en-US"/>
        </w:rPr>
      </w:pPr>
      <w:r>
        <w:rPr>
          <w:rStyle w:val="FootnoteReference"/>
        </w:rPr>
        <w:footnoteRef/>
      </w:r>
      <w:r w:rsidRPr="001817EF">
        <w:rPr>
          <w:lang w:val="en-US"/>
        </w:rPr>
        <w:t xml:space="preserve"> </w:t>
      </w:r>
      <w:r>
        <w:rPr>
          <w:lang w:val="en-US"/>
        </w:rPr>
        <w:t>This document has not been formally edited.</w:t>
      </w:r>
    </w:p>
  </w:footnote>
  <w:footnote w:id="3">
    <w:p w:rsidR="001717D8" w:rsidRPr="00925CB2" w:rsidRDefault="00AB1C48">
      <w:pPr>
        <w:pStyle w:val="FootnoteText"/>
        <w:rPr>
          <w:lang w:val="en-US"/>
        </w:rPr>
      </w:pPr>
      <w:r>
        <w:rPr>
          <w:vertAlign w:val="superscript"/>
          <w:lang w:val="en-US"/>
        </w:rPr>
        <w:footnoteRef/>
      </w:r>
      <w:r>
        <w:rPr>
          <w:lang w:val="en-US"/>
        </w:rPr>
        <w:t xml:space="preserve"> Available data cover both data presently available and future data collection. </w:t>
      </w:r>
    </w:p>
  </w:footnote>
  <w:footnote w:id="4">
    <w:p w:rsidR="001717D8" w:rsidRDefault="00AB1C48">
      <w:pPr>
        <w:pStyle w:val="TextA"/>
        <w:tabs>
          <w:tab w:val="clear" w:pos="1247"/>
          <w:tab w:val="clear" w:pos="1814"/>
          <w:tab w:val="clear" w:pos="2381"/>
          <w:tab w:val="clear" w:pos="2948"/>
          <w:tab w:val="clear" w:pos="3515"/>
          <w:tab w:val="left" w:pos="624"/>
        </w:tabs>
        <w:spacing w:before="20" w:after="40"/>
        <w:ind w:left="1247"/>
      </w:pPr>
      <w:r>
        <w:rPr>
          <w:vertAlign w:val="superscript"/>
        </w:rPr>
        <w:footnoteRef/>
      </w:r>
      <w:r>
        <w:rPr>
          <w:sz w:val="18"/>
          <w:szCs w:val="18"/>
        </w:rPr>
        <w:t xml:space="preserve"> Data are comparable when collected based on identical methodologies. Data may also </w:t>
      </w:r>
      <w:r>
        <w:rPr>
          <w:sz w:val="18"/>
          <w:szCs w:val="18"/>
        </w:rPr>
        <w:t>be made comparable by using standardized and known scientific methodologies.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7D8" w:rsidRDefault="00AB1C48">
    <w:pPr>
      <w:pStyle w:val="Header"/>
    </w:pPr>
    <w:r>
      <w:rPr>
        <w:lang w:val="en-US"/>
      </w:rPr>
      <w:t>UNEP/MC/EE.2/1/Add.1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7D8" w:rsidRDefault="00AB1C48">
    <w:pPr>
      <w:pStyle w:val="Header"/>
      <w:jc w:val="right"/>
    </w:pPr>
    <w:r>
      <w:rPr>
        <w:lang w:val="en-US"/>
      </w:rPr>
      <w:t>UNEP/MC/EE.2/1/Add.1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B1BB2"/>
    <w:multiLevelType w:val="hybridMultilevel"/>
    <w:tmpl w:val="510803BA"/>
    <w:styleLink w:val="Normallist"/>
    <w:lvl w:ilvl="0" w:tplc="343EAB0A">
      <w:start w:val="1"/>
      <w:numFmt w:val="decimal"/>
      <w:lvlText w:val="%1."/>
      <w:lvlJc w:val="left"/>
      <w:pPr>
        <w:tabs>
          <w:tab w:val="left" w:pos="624"/>
          <w:tab w:val="num" w:pos="1872"/>
        </w:tabs>
        <w:ind w:left="1247"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2E0E558E">
      <w:start w:val="1"/>
      <w:numFmt w:val="lowerLetter"/>
      <w:lvlText w:val="%2)"/>
      <w:lvlJc w:val="left"/>
      <w:pPr>
        <w:tabs>
          <w:tab w:val="left" w:pos="624"/>
          <w:tab w:val="left" w:pos="1192"/>
        </w:tabs>
        <w:ind w:left="2495" w:hanging="624"/>
      </w:pPr>
      <w:rPr>
        <w:rFonts w:hAnsi="Arial Unicode MS"/>
        <w:caps w:val="0"/>
        <w:smallCaps w:val="0"/>
        <w:strike w:val="0"/>
        <w:dstrike w:val="0"/>
        <w:outline w:val="0"/>
        <w:emboss w:val="0"/>
        <w:imprint w:val="0"/>
        <w:spacing w:val="0"/>
        <w:w w:val="100"/>
        <w:kern w:val="0"/>
        <w:position w:val="0"/>
        <w:highlight w:val="none"/>
        <w:vertAlign w:val="baseline"/>
      </w:rPr>
    </w:lvl>
    <w:lvl w:ilvl="2" w:tplc="8514D7B6">
      <w:start w:val="1"/>
      <w:numFmt w:val="lowerLetter"/>
      <w:lvlText w:val="(%3)"/>
      <w:lvlJc w:val="left"/>
      <w:pPr>
        <w:tabs>
          <w:tab w:val="left" w:pos="624"/>
          <w:tab w:val="left" w:pos="1192"/>
        </w:tabs>
        <w:ind w:left="4196" w:hanging="1758"/>
      </w:pPr>
      <w:rPr>
        <w:rFonts w:hAnsi="Arial Unicode MS"/>
        <w:caps w:val="0"/>
        <w:smallCaps w:val="0"/>
        <w:strike w:val="0"/>
        <w:dstrike w:val="0"/>
        <w:outline w:val="0"/>
        <w:emboss w:val="0"/>
        <w:imprint w:val="0"/>
        <w:spacing w:val="0"/>
        <w:w w:val="100"/>
        <w:kern w:val="0"/>
        <w:position w:val="0"/>
        <w:highlight w:val="none"/>
        <w:vertAlign w:val="baseline"/>
      </w:rPr>
    </w:lvl>
    <w:lvl w:ilvl="3" w:tplc="E3500734">
      <w:start w:val="1"/>
      <w:numFmt w:val="lowerLetter"/>
      <w:lvlText w:val="%4."/>
      <w:lvlJc w:val="left"/>
      <w:pPr>
        <w:tabs>
          <w:tab w:val="left" w:pos="624"/>
          <w:tab w:val="left" w:pos="1192"/>
        </w:tabs>
        <w:ind w:left="4763" w:hanging="1758"/>
      </w:pPr>
      <w:rPr>
        <w:rFonts w:hAnsi="Arial Unicode MS"/>
        <w:caps w:val="0"/>
        <w:smallCaps w:val="0"/>
        <w:strike w:val="0"/>
        <w:dstrike w:val="0"/>
        <w:outline w:val="0"/>
        <w:emboss w:val="0"/>
        <w:imprint w:val="0"/>
        <w:spacing w:val="0"/>
        <w:w w:val="100"/>
        <w:kern w:val="0"/>
        <w:position w:val="0"/>
        <w:highlight w:val="none"/>
        <w:vertAlign w:val="baseline"/>
      </w:rPr>
    </w:lvl>
    <w:lvl w:ilvl="4" w:tplc="CB563CD6">
      <w:start w:val="1"/>
      <w:numFmt w:val="lowerRoman"/>
      <w:lvlText w:val="%5."/>
      <w:lvlJc w:val="left"/>
      <w:pPr>
        <w:tabs>
          <w:tab w:val="left" w:pos="624"/>
          <w:tab w:val="left" w:pos="1192"/>
        </w:tabs>
        <w:ind w:left="5330" w:hanging="1758"/>
      </w:pPr>
      <w:rPr>
        <w:rFonts w:hAnsi="Arial Unicode MS"/>
        <w:caps w:val="0"/>
        <w:smallCaps w:val="0"/>
        <w:strike w:val="0"/>
        <w:dstrike w:val="0"/>
        <w:outline w:val="0"/>
        <w:emboss w:val="0"/>
        <w:imprint w:val="0"/>
        <w:spacing w:val="0"/>
        <w:w w:val="100"/>
        <w:kern w:val="0"/>
        <w:position w:val="0"/>
        <w:highlight w:val="none"/>
        <w:vertAlign w:val="baseline"/>
      </w:rPr>
    </w:lvl>
    <w:lvl w:ilvl="5" w:tplc="38D6C0AA">
      <w:start w:val="1"/>
      <w:numFmt w:val="lowerRoman"/>
      <w:lvlText w:val="%6."/>
      <w:lvlJc w:val="left"/>
      <w:pPr>
        <w:tabs>
          <w:tab w:val="left" w:pos="624"/>
          <w:tab w:val="left" w:pos="1192"/>
        </w:tabs>
        <w:ind w:left="7835" w:hanging="223"/>
      </w:pPr>
      <w:rPr>
        <w:rFonts w:hAnsi="Arial Unicode MS"/>
        <w:caps w:val="0"/>
        <w:smallCaps w:val="0"/>
        <w:strike w:val="0"/>
        <w:dstrike w:val="0"/>
        <w:outline w:val="0"/>
        <w:emboss w:val="0"/>
        <w:imprint w:val="0"/>
        <w:spacing w:val="0"/>
        <w:w w:val="100"/>
        <w:kern w:val="0"/>
        <w:position w:val="0"/>
        <w:highlight w:val="none"/>
        <w:vertAlign w:val="baseline"/>
      </w:rPr>
    </w:lvl>
    <w:lvl w:ilvl="6" w:tplc="E5BE2772">
      <w:start w:val="1"/>
      <w:numFmt w:val="decimal"/>
      <w:lvlText w:val="%7."/>
      <w:lvlJc w:val="left"/>
      <w:pPr>
        <w:tabs>
          <w:tab w:val="left" w:pos="624"/>
          <w:tab w:val="left" w:pos="1192"/>
        </w:tabs>
        <w:ind w:left="8555" w:hanging="303"/>
      </w:pPr>
      <w:rPr>
        <w:rFonts w:hAnsi="Arial Unicode MS"/>
        <w:caps w:val="0"/>
        <w:smallCaps w:val="0"/>
        <w:strike w:val="0"/>
        <w:dstrike w:val="0"/>
        <w:outline w:val="0"/>
        <w:emboss w:val="0"/>
        <w:imprint w:val="0"/>
        <w:spacing w:val="0"/>
        <w:w w:val="100"/>
        <w:kern w:val="0"/>
        <w:position w:val="0"/>
        <w:highlight w:val="none"/>
        <w:vertAlign w:val="baseline"/>
      </w:rPr>
    </w:lvl>
    <w:lvl w:ilvl="7" w:tplc="9A32E584">
      <w:start w:val="1"/>
      <w:numFmt w:val="lowerLetter"/>
      <w:lvlText w:val="%8."/>
      <w:lvlJc w:val="left"/>
      <w:pPr>
        <w:tabs>
          <w:tab w:val="left" w:pos="624"/>
          <w:tab w:val="left" w:pos="1192"/>
        </w:tabs>
        <w:ind w:left="9275" w:hanging="303"/>
      </w:pPr>
      <w:rPr>
        <w:rFonts w:hAnsi="Arial Unicode MS"/>
        <w:caps w:val="0"/>
        <w:smallCaps w:val="0"/>
        <w:strike w:val="0"/>
        <w:dstrike w:val="0"/>
        <w:outline w:val="0"/>
        <w:emboss w:val="0"/>
        <w:imprint w:val="0"/>
        <w:spacing w:val="0"/>
        <w:w w:val="100"/>
        <w:kern w:val="0"/>
        <w:position w:val="0"/>
        <w:highlight w:val="none"/>
        <w:vertAlign w:val="baseline"/>
      </w:rPr>
    </w:lvl>
    <w:lvl w:ilvl="8" w:tplc="8116BDCA">
      <w:start w:val="1"/>
      <w:numFmt w:val="lowerRoman"/>
      <w:lvlText w:val="%9."/>
      <w:lvlJc w:val="left"/>
      <w:pPr>
        <w:tabs>
          <w:tab w:val="left" w:pos="624"/>
          <w:tab w:val="left" w:pos="1192"/>
        </w:tabs>
        <w:ind w:left="9995" w:hanging="22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D792801"/>
    <w:multiLevelType w:val="hybridMultilevel"/>
    <w:tmpl w:val="6E3208BC"/>
    <w:numStyleLink w:val="Importovanstyl6"/>
  </w:abstractNum>
  <w:abstractNum w:abstractNumId="2" w15:restartNumberingAfterBreak="0">
    <w:nsid w:val="303D5E29"/>
    <w:multiLevelType w:val="hybridMultilevel"/>
    <w:tmpl w:val="5DBC6334"/>
    <w:numStyleLink w:val="Importovanstyl5"/>
  </w:abstractNum>
  <w:abstractNum w:abstractNumId="3" w15:restartNumberingAfterBreak="0">
    <w:nsid w:val="31D042C8"/>
    <w:multiLevelType w:val="hybridMultilevel"/>
    <w:tmpl w:val="5DBC6334"/>
    <w:styleLink w:val="Importovanstyl5"/>
    <w:lvl w:ilvl="0" w:tplc="45566AA8">
      <w:start w:val="1"/>
      <w:numFmt w:val="lowerLetter"/>
      <w:lvlText w:val="%1)"/>
      <w:lvlJc w:val="left"/>
      <w:pPr>
        <w:tabs>
          <w:tab w:val="left" w:pos="624"/>
        </w:tabs>
        <w:ind w:left="2496" w:hanging="624"/>
      </w:pPr>
      <w:rPr>
        <w:rFonts w:hAnsi="Arial Unicode MS"/>
        <w:caps w:val="0"/>
        <w:smallCaps w:val="0"/>
        <w:strike w:val="0"/>
        <w:dstrike w:val="0"/>
        <w:outline w:val="0"/>
        <w:emboss w:val="0"/>
        <w:imprint w:val="0"/>
        <w:spacing w:val="0"/>
        <w:w w:val="100"/>
        <w:kern w:val="0"/>
        <w:position w:val="0"/>
        <w:highlight w:val="none"/>
        <w:vertAlign w:val="baseline"/>
      </w:rPr>
    </w:lvl>
    <w:lvl w:ilvl="1" w:tplc="403A5A96">
      <w:start w:val="1"/>
      <w:numFmt w:val="lowerLetter"/>
      <w:lvlText w:val="%2."/>
      <w:lvlJc w:val="left"/>
      <w:pPr>
        <w:tabs>
          <w:tab w:val="left" w:pos="624"/>
        </w:tabs>
        <w:ind w:left="3023" w:hanging="431"/>
      </w:pPr>
      <w:rPr>
        <w:rFonts w:hAnsi="Arial Unicode MS"/>
        <w:caps w:val="0"/>
        <w:smallCaps w:val="0"/>
        <w:strike w:val="0"/>
        <w:dstrike w:val="0"/>
        <w:outline w:val="0"/>
        <w:emboss w:val="0"/>
        <w:imprint w:val="0"/>
        <w:spacing w:val="0"/>
        <w:w w:val="100"/>
        <w:kern w:val="0"/>
        <w:position w:val="0"/>
        <w:highlight w:val="none"/>
        <w:vertAlign w:val="baseline"/>
      </w:rPr>
    </w:lvl>
    <w:lvl w:ilvl="2" w:tplc="87183AFC">
      <w:start w:val="1"/>
      <w:numFmt w:val="lowerRoman"/>
      <w:lvlText w:val="%3."/>
      <w:lvlJc w:val="left"/>
      <w:pPr>
        <w:tabs>
          <w:tab w:val="left" w:pos="624"/>
        </w:tabs>
        <w:ind w:left="3936" w:hanging="544"/>
      </w:pPr>
      <w:rPr>
        <w:rFonts w:hAnsi="Arial Unicode MS"/>
        <w:caps w:val="0"/>
        <w:smallCaps w:val="0"/>
        <w:strike w:val="0"/>
        <w:dstrike w:val="0"/>
        <w:outline w:val="0"/>
        <w:emboss w:val="0"/>
        <w:imprint w:val="0"/>
        <w:spacing w:val="0"/>
        <w:w w:val="100"/>
        <w:kern w:val="0"/>
        <w:position w:val="0"/>
        <w:highlight w:val="none"/>
        <w:vertAlign w:val="baseline"/>
      </w:rPr>
    </w:lvl>
    <w:lvl w:ilvl="3" w:tplc="2E526626">
      <w:start w:val="1"/>
      <w:numFmt w:val="decimal"/>
      <w:lvlText w:val="%4."/>
      <w:lvlJc w:val="left"/>
      <w:pPr>
        <w:tabs>
          <w:tab w:val="left" w:pos="624"/>
        </w:tabs>
        <w:ind w:left="4656" w:hanging="624"/>
      </w:pPr>
      <w:rPr>
        <w:rFonts w:hAnsi="Arial Unicode MS"/>
        <w:caps w:val="0"/>
        <w:smallCaps w:val="0"/>
        <w:strike w:val="0"/>
        <w:dstrike w:val="0"/>
        <w:outline w:val="0"/>
        <w:emboss w:val="0"/>
        <w:imprint w:val="0"/>
        <w:spacing w:val="0"/>
        <w:w w:val="100"/>
        <w:kern w:val="0"/>
        <w:position w:val="0"/>
        <w:highlight w:val="none"/>
        <w:vertAlign w:val="baseline"/>
      </w:rPr>
    </w:lvl>
    <w:lvl w:ilvl="4" w:tplc="50D0B278">
      <w:start w:val="1"/>
      <w:numFmt w:val="lowerLetter"/>
      <w:lvlText w:val="%5."/>
      <w:lvlJc w:val="left"/>
      <w:pPr>
        <w:tabs>
          <w:tab w:val="left" w:pos="624"/>
        </w:tabs>
        <w:ind w:left="5291" w:hanging="539"/>
      </w:pPr>
      <w:rPr>
        <w:rFonts w:hAnsi="Arial Unicode MS"/>
        <w:caps w:val="0"/>
        <w:smallCaps w:val="0"/>
        <w:strike w:val="0"/>
        <w:dstrike w:val="0"/>
        <w:outline w:val="0"/>
        <w:emboss w:val="0"/>
        <w:imprint w:val="0"/>
        <w:spacing w:val="0"/>
        <w:w w:val="100"/>
        <w:kern w:val="0"/>
        <w:position w:val="0"/>
        <w:highlight w:val="none"/>
        <w:vertAlign w:val="baseline"/>
      </w:rPr>
    </w:lvl>
    <w:lvl w:ilvl="5" w:tplc="1CCACF2C">
      <w:start w:val="1"/>
      <w:numFmt w:val="lowerRoman"/>
      <w:lvlText w:val="%6."/>
      <w:lvlJc w:val="left"/>
      <w:pPr>
        <w:tabs>
          <w:tab w:val="left" w:pos="624"/>
        </w:tabs>
        <w:ind w:left="6096" w:hanging="544"/>
      </w:pPr>
      <w:rPr>
        <w:rFonts w:hAnsi="Arial Unicode MS"/>
        <w:caps w:val="0"/>
        <w:smallCaps w:val="0"/>
        <w:strike w:val="0"/>
        <w:dstrike w:val="0"/>
        <w:outline w:val="0"/>
        <w:emboss w:val="0"/>
        <w:imprint w:val="0"/>
        <w:spacing w:val="0"/>
        <w:w w:val="100"/>
        <w:kern w:val="0"/>
        <w:position w:val="0"/>
        <w:highlight w:val="none"/>
        <w:vertAlign w:val="baseline"/>
      </w:rPr>
    </w:lvl>
    <w:lvl w:ilvl="6" w:tplc="4274AC06">
      <w:start w:val="1"/>
      <w:numFmt w:val="decimal"/>
      <w:lvlText w:val="%7."/>
      <w:lvlJc w:val="left"/>
      <w:pPr>
        <w:tabs>
          <w:tab w:val="left" w:pos="624"/>
        </w:tabs>
        <w:ind w:left="6816" w:hanging="624"/>
      </w:pPr>
      <w:rPr>
        <w:rFonts w:hAnsi="Arial Unicode MS"/>
        <w:caps w:val="0"/>
        <w:smallCaps w:val="0"/>
        <w:strike w:val="0"/>
        <w:dstrike w:val="0"/>
        <w:outline w:val="0"/>
        <w:emboss w:val="0"/>
        <w:imprint w:val="0"/>
        <w:spacing w:val="0"/>
        <w:w w:val="100"/>
        <w:kern w:val="0"/>
        <w:position w:val="0"/>
        <w:highlight w:val="none"/>
        <w:vertAlign w:val="baseline"/>
      </w:rPr>
    </w:lvl>
    <w:lvl w:ilvl="7" w:tplc="0BBEBFD6">
      <w:start w:val="1"/>
      <w:numFmt w:val="lowerLetter"/>
      <w:lvlText w:val="%8."/>
      <w:lvlJc w:val="left"/>
      <w:pPr>
        <w:tabs>
          <w:tab w:val="left" w:pos="624"/>
        </w:tabs>
        <w:ind w:left="7536"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12C42E2A">
      <w:start w:val="1"/>
      <w:numFmt w:val="lowerRoman"/>
      <w:lvlText w:val="%9."/>
      <w:lvlJc w:val="left"/>
      <w:pPr>
        <w:tabs>
          <w:tab w:val="left" w:pos="624"/>
        </w:tabs>
        <w:ind w:left="8256" w:hanging="5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1EC638C"/>
    <w:multiLevelType w:val="hybridMultilevel"/>
    <w:tmpl w:val="6E3208BC"/>
    <w:styleLink w:val="Importovanstyl6"/>
    <w:lvl w:ilvl="0" w:tplc="83085E40">
      <w:start w:val="1"/>
      <w:numFmt w:val="lowerRoman"/>
      <w:lvlText w:val="(%1)"/>
      <w:lvlJc w:val="left"/>
      <w:pPr>
        <w:tabs>
          <w:tab w:val="left" w:pos="624"/>
          <w:tab w:val="left" w:pos="1247"/>
          <w:tab w:val="left" w:pos="1814"/>
          <w:tab w:val="left" w:pos="1871"/>
          <w:tab w:val="left" w:pos="2381"/>
          <w:tab w:val="num" w:pos="2948"/>
          <w:tab w:val="left" w:pos="3515"/>
        </w:tabs>
        <w:ind w:left="3120" w:hanging="624"/>
      </w:pPr>
      <w:rPr>
        <w:rFonts w:hAnsi="Arial Unicode MS"/>
        <w:caps w:val="0"/>
        <w:smallCaps w:val="0"/>
        <w:strike w:val="0"/>
        <w:dstrike w:val="0"/>
        <w:outline w:val="0"/>
        <w:emboss w:val="0"/>
        <w:imprint w:val="0"/>
        <w:spacing w:val="0"/>
        <w:w w:val="100"/>
        <w:kern w:val="0"/>
        <w:position w:val="0"/>
        <w:highlight w:val="none"/>
        <w:vertAlign w:val="baseline"/>
      </w:rPr>
    </w:lvl>
    <w:lvl w:ilvl="1" w:tplc="19ECCA7C">
      <w:start w:val="1"/>
      <w:numFmt w:val="lowerLetter"/>
      <w:lvlText w:val="%2."/>
      <w:lvlJc w:val="left"/>
      <w:pPr>
        <w:tabs>
          <w:tab w:val="left" w:pos="624"/>
          <w:tab w:val="left" w:pos="1247"/>
          <w:tab w:val="left" w:pos="1814"/>
          <w:tab w:val="left" w:pos="1871"/>
          <w:tab w:val="left" w:pos="2381"/>
          <w:tab w:val="left" w:pos="2948"/>
          <w:tab w:val="num" w:pos="3493"/>
          <w:tab w:val="left" w:pos="3515"/>
        </w:tabs>
        <w:ind w:left="3665" w:hanging="449"/>
      </w:pPr>
      <w:rPr>
        <w:rFonts w:hAnsi="Arial Unicode MS"/>
        <w:caps w:val="0"/>
        <w:smallCaps w:val="0"/>
        <w:strike w:val="0"/>
        <w:dstrike w:val="0"/>
        <w:outline w:val="0"/>
        <w:emboss w:val="0"/>
        <w:imprint w:val="0"/>
        <w:spacing w:val="0"/>
        <w:w w:val="100"/>
        <w:kern w:val="0"/>
        <w:position w:val="0"/>
        <w:highlight w:val="none"/>
        <w:vertAlign w:val="baseline"/>
      </w:rPr>
    </w:lvl>
    <w:lvl w:ilvl="2" w:tplc="82D6CA98">
      <w:start w:val="1"/>
      <w:numFmt w:val="lowerRoman"/>
      <w:suff w:val="nothing"/>
      <w:lvlText w:val="%3."/>
      <w:lvlJc w:val="left"/>
      <w:pPr>
        <w:tabs>
          <w:tab w:val="left" w:pos="624"/>
          <w:tab w:val="left" w:pos="1247"/>
          <w:tab w:val="left" w:pos="1814"/>
          <w:tab w:val="left" w:pos="1871"/>
          <w:tab w:val="left" w:pos="2381"/>
          <w:tab w:val="left" w:pos="2948"/>
          <w:tab w:val="left" w:pos="3515"/>
        </w:tabs>
        <w:ind w:left="4247" w:hanging="272"/>
      </w:pPr>
      <w:rPr>
        <w:rFonts w:hAnsi="Arial Unicode MS"/>
        <w:caps w:val="0"/>
        <w:smallCaps w:val="0"/>
        <w:strike w:val="0"/>
        <w:dstrike w:val="0"/>
        <w:outline w:val="0"/>
        <w:emboss w:val="0"/>
        <w:imprint w:val="0"/>
        <w:spacing w:val="0"/>
        <w:w w:val="100"/>
        <w:kern w:val="0"/>
        <w:position w:val="0"/>
        <w:highlight w:val="none"/>
        <w:vertAlign w:val="baseline"/>
      </w:rPr>
    </w:lvl>
    <w:lvl w:ilvl="3" w:tplc="D320153A">
      <w:start w:val="1"/>
      <w:numFmt w:val="decimal"/>
      <w:lvlText w:val="%4."/>
      <w:lvlJc w:val="left"/>
      <w:pPr>
        <w:tabs>
          <w:tab w:val="left" w:pos="624"/>
          <w:tab w:val="left" w:pos="1247"/>
          <w:tab w:val="left" w:pos="1814"/>
          <w:tab w:val="left" w:pos="1871"/>
          <w:tab w:val="left" w:pos="2381"/>
          <w:tab w:val="left" w:pos="2948"/>
          <w:tab w:val="left" w:pos="3515"/>
          <w:tab w:val="num" w:pos="4933"/>
        </w:tabs>
        <w:ind w:left="5105" w:hanging="449"/>
      </w:pPr>
      <w:rPr>
        <w:rFonts w:hAnsi="Arial Unicode MS"/>
        <w:caps w:val="0"/>
        <w:smallCaps w:val="0"/>
        <w:strike w:val="0"/>
        <w:dstrike w:val="0"/>
        <w:outline w:val="0"/>
        <w:emboss w:val="0"/>
        <w:imprint w:val="0"/>
        <w:spacing w:val="0"/>
        <w:w w:val="100"/>
        <w:kern w:val="0"/>
        <w:position w:val="0"/>
        <w:highlight w:val="none"/>
        <w:vertAlign w:val="baseline"/>
      </w:rPr>
    </w:lvl>
    <w:lvl w:ilvl="4" w:tplc="C134842A">
      <w:start w:val="1"/>
      <w:numFmt w:val="lowerLetter"/>
      <w:lvlText w:val="%5."/>
      <w:lvlJc w:val="left"/>
      <w:pPr>
        <w:tabs>
          <w:tab w:val="left" w:pos="624"/>
          <w:tab w:val="left" w:pos="1247"/>
          <w:tab w:val="left" w:pos="1814"/>
          <w:tab w:val="left" w:pos="1871"/>
          <w:tab w:val="left" w:pos="2381"/>
          <w:tab w:val="left" w:pos="2948"/>
          <w:tab w:val="left" w:pos="3515"/>
          <w:tab w:val="num" w:pos="5653"/>
        </w:tabs>
        <w:ind w:left="5825" w:hanging="449"/>
      </w:pPr>
      <w:rPr>
        <w:rFonts w:hAnsi="Arial Unicode MS"/>
        <w:caps w:val="0"/>
        <w:smallCaps w:val="0"/>
        <w:strike w:val="0"/>
        <w:dstrike w:val="0"/>
        <w:outline w:val="0"/>
        <w:emboss w:val="0"/>
        <w:imprint w:val="0"/>
        <w:spacing w:val="0"/>
        <w:w w:val="100"/>
        <w:kern w:val="0"/>
        <w:position w:val="0"/>
        <w:highlight w:val="none"/>
        <w:vertAlign w:val="baseline"/>
      </w:rPr>
    </w:lvl>
    <w:lvl w:ilvl="5" w:tplc="D8FA7F74">
      <w:start w:val="1"/>
      <w:numFmt w:val="lowerRoman"/>
      <w:lvlText w:val="%6."/>
      <w:lvlJc w:val="left"/>
      <w:pPr>
        <w:tabs>
          <w:tab w:val="left" w:pos="624"/>
          <w:tab w:val="left" w:pos="1247"/>
          <w:tab w:val="left" w:pos="1814"/>
          <w:tab w:val="left" w:pos="1871"/>
          <w:tab w:val="left" w:pos="2381"/>
          <w:tab w:val="left" w:pos="2948"/>
          <w:tab w:val="left" w:pos="3515"/>
          <w:tab w:val="num" w:pos="6373"/>
        </w:tabs>
        <w:ind w:left="6545" w:hanging="861"/>
      </w:pPr>
      <w:rPr>
        <w:rFonts w:hAnsi="Arial Unicode MS"/>
        <w:caps w:val="0"/>
        <w:smallCaps w:val="0"/>
        <w:strike w:val="0"/>
        <w:dstrike w:val="0"/>
        <w:outline w:val="0"/>
        <w:emboss w:val="0"/>
        <w:imprint w:val="0"/>
        <w:spacing w:val="0"/>
        <w:w w:val="100"/>
        <w:kern w:val="0"/>
        <w:position w:val="0"/>
        <w:highlight w:val="none"/>
        <w:vertAlign w:val="baseline"/>
      </w:rPr>
    </w:lvl>
    <w:lvl w:ilvl="6" w:tplc="010EC5D2">
      <w:start w:val="1"/>
      <w:numFmt w:val="decimal"/>
      <w:lvlText w:val="%7."/>
      <w:lvlJc w:val="left"/>
      <w:pPr>
        <w:tabs>
          <w:tab w:val="left" w:pos="624"/>
          <w:tab w:val="left" w:pos="1247"/>
          <w:tab w:val="left" w:pos="1814"/>
          <w:tab w:val="left" w:pos="1871"/>
          <w:tab w:val="left" w:pos="2381"/>
          <w:tab w:val="left" w:pos="2948"/>
          <w:tab w:val="left" w:pos="3515"/>
          <w:tab w:val="num" w:pos="7093"/>
        </w:tabs>
        <w:ind w:left="7265" w:hanging="449"/>
      </w:pPr>
      <w:rPr>
        <w:rFonts w:hAnsi="Arial Unicode MS"/>
        <w:caps w:val="0"/>
        <w:smallCaps w:val="0"/>
        <w:strike w:val="0"/>
        <w:dstrike w:val="0"/>
        <w:outline w:val="0"/>
        <w:emboss w:val="0"/>
        <w:imprint w:val="0"/>
        <w:spacing w:val="0"/>
        <w:w w:val="100"/>
        <w:kern w:val="0"/>
        <w:position w:val="0"/>
        <w:highlight w:val="none"/>
        <w:vertAlign w:val="baseline"/>
      </w:rPr>
    </w:lvl>
    <w:lvl w:ilvl="7" w:tplc="B5AE83FE">
      <w:start w:val="1"/>
      <w:numFmt w:val="lowerLetter"/>
      <w:lvlText w:val="%8."/>
      <w:lvlJc w:val="left"/>
      <w:pPr>
        <w:tabs>
          <w:tab w:val="left" w:pos="624"/>
          <w:tab w:val="left" w:pos="1247"/>
          <w:tab w:val="left" w:pos="1814"/>
          <w:tab w:val="left" w:pos="1871"/>
          <w:tab w:val="left" w:pos="2381"/>
          <w:tab w:val="left" w:pos="2948"/>
          <w:tab w:val="left" w:pos="3515"/>
          <w:tab w:val="num" w:pos="7813"/>
        </w:tabs>
        <w:ind w:left="7985" w:hanging="449"/>
      </w:pPr>
      <w:rPr>
        <w:rFonts w:hAnsi="Arial Unicode MS"/>
        <w:caps w:val="0"/>
        <w:smallCaps w:val="0"/>
        <w:strike w:val="0"/>
        <w:dstrike w:val="0"/>
        <w:outline w:val="0"/>
        <w:emboss w:val="0"/>
        <w:imprint w:val="0"/>
        <w:spacing w:val="0"/>
        <w:w w:val="100"/>
        <w:kern w:val="0"/>
        <w:position w:val="0"/>
        <w:highlight w:val="none"/>
        <w:vertAlign w:val="baseline"/>
      </w:rPr>
    </w:lvl>
    <w:lvl w:ilvl="8" w:tplc="46E08AD2">
      <w:start w:val="1"/>
      <w:numFmt w:val="lowerRoman"/>
      <w:lvlText w:val="%9."/>
      <w:lvlJc w:val="left"/>
      <w:pPr>
        <w:tabs>
          <w:tab w:val="left" w:pos="624"/>
          <w:tab w:val="left" w:pos="1247"/>
          <w:tab w:val="left" w:pos="1814"/>
          <w:tab w:val="left" w:pos="1871"/>
          <w:tab w:val="left" w:pos="2381"/>
          <w:tab w:val="left" w:pos="2948"/>
          <w:tab w:val="left" w:pos="3515"/>
          <w:tab w:val="num" w:pos="8533"/>
        </w:tabs>
        <w:ind w:left="8705" w:hanging="57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CFB5528"/>
    <w:multiLevelType w:val="hybridMultilevel"/>
    <w:tmpl w:val="510803BA"/>
    <w:numStyleLink w:val="Normallist"/>
  </w:abstractNum>
  <w:num w:numId="1">
    <w:abstractNumId w:val="0"/>
  </w:num>
  <w:num w:numId="2">
    <w:abstractNumId w:val="5"/>
  </w:num>
  <w:num w:numId="3">
    <w:abstractNumId w:val="5"/>
    <w:lvlOverride w:ilvl="0">
      <w:lvl w:ilvl="0" w:tplc="F28479E8">
        <w:start w:val="1"/>
        <w:numFmt w:val="decimal"/>
        <w:lvlText w:val="%1."/>
        <w:lvlJc w:val="left"/>
        <w:pPr>
          <w:tabs>
            <w:tab w:val="num" w:pos="1872"/>
          </w:tabs>
          <w:ind w:left="1247"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73AD140">
        <w:start w:val="1"/>
        <w:numFmt w:val="lowerLetter"/>
        <w:lvlText w:val="%2)"/>
        <w:lvlJc w:val="left"/>
        <w:pPr>
          <w:tabs>
            <w:tab w:val="left" w:pos="624"/>
          </w:tabs>
          <w:ind w:left="2495" w:hanging="6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FCC2D74">
        <w:start w:val="1"/>
        <w:numFmt w:val="lowerLetter"/>
        <w:lvlText w:val="(%3)"/>
        <w:lvlJc w:val="left"/>
        <w:pPr>
          <w:tabs>
            <w:tab w:val="left" w:pos="624"/>
          </w:tabs>
          <w:ind w:left="4196" w:hanging="17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148CF1A">
        <w:start w:val="1"/>
        <w:numFmt w:val="lowerLetter"/>
        <w:lvlText w:val="%4."/>
        <w:lvlJc w:val="left"/>
        <w:pPr>
          <w:tabs>
            <w:tab w:val="left" w:pos="624"/>
          </w:tabs>
          <w:ind w:left="4763" w:hanging="17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E9E2D16">
        <w:start w:val="1"/>
        <w:numFmt w:val="lowerRoman"/>
        <w:lvlText w:val="%5."/>
        <w:lvlJc w:val="left"/>
        <w:pPr>
          <w:tabs>
            <w:tab w:val="left" w:pos="624"/>
          </w:tabs>
          <w:ind w:left="5330" w:hanging="17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3183190">
        <w:start w:val="1"/>
        <w:numFmt w:val="lowerRoman"/>
        <w:lvlText w:val="%6."/>
        <w:lvlJc w:val="left"/>
        <w:pPr>
          <w:tabs>
            <w:tab w:val="left" w:pos="624"/>
          </w:tabs>
          <w:ind w:left="7835" w:hanging="2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F6A2BFA">
        <w:start w:val="1"/>
        <w:numFmt w:val="decimal"/>
        <w:lvlText w:val="%7."/>
        <w:lvlJc w:val="left"/>
        <w:pPr>
          <w:tabs>
            <w:tab w:val="left" w:pos="624"/>
          </w:tabs>
          <w:ind w:left="8555" w:hanging="3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66AF8E0">
        <w:start w:val="1"/>
        <w:numFmt w:val="lowerLetter"/>
        <w:lvlText w:val="%8."/>
        <w:lvlJc w:val="left"/>
        <w:pPr>
          <w:tabs>
            <w:tab w:val="left" w:pos="624"/>
          </w:tabs>
          <w:ind w:left="9275" w:hanging="3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8B2076C">
        <w:start w:val="1"/>
        <w:numFmt w:val="lowerRoman"/>
        <w:lvlText w:val="%9."/>
        <w:lvlJc w:val="left"/>
        <w:pPr>
          <w:tabs>
            <w:tab w:val="left" w:pos="624"/>
          </w:tabs>
          <w:ind w:left="9995" w:hanging="22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 w:numId="6">
    <w:abstractNumId w:val="4"/>
  </w:num>
  <w:num w:numId="7">
    <w:abstractNumId w:val="1"/>
  </w:num>
  <w:num w:numId="8">
    <w:abstractNumId w:val="2"/>
    <w:lvlOverride w:ilvl="0">
      <w:startOverride w:val="2"/>
    </w:lvlOverride>
  </w:num>
  <w:num w:numId="9">
    <w:abstractNumId w:val="5"/>
    <w:lvlOverride w:ilvl="0">
      <w:startOverride w:val="13"/>
    </w:lvlOverride>
  </w:num>
  <w:num w:numId="10">
    <w:abstractNumId w:val="5"/>
    <w:lvlOverride w:ilvl="0">
      <w:lvl w:ilvl="0" w:tplc="F28479E8">
        <w:start w:val="1"/>
        <w:numFmt w:val="decimal"/>
        <w:lvlText w:val="%1."/>
        <w:lvlJc w:val="left"/>
        <w:pPr>
          <w:tabs>
            <w:tab w:val="left" w:pos="567"/>
            <w:tab w:val="left" w:pos="1247"/>
            <w:tab w:val="num" w:pos="1814"/>
            <w:tab w:val="left" w:pos="2381"/>
            <w:tab w:val="left" w:pos="2948"/>
            <w:tab w:val="left" w:pos="3515"/>
            <w:tab w:val="left" w:pos="4082"/>
          </w:tabs>
          <w:ind w:left="1247"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73AD140">
        <w:start w:val="1"/>
        <w:numFmt w:val="lowerLetter"/>
        <w:lvlText w:val="%2)"/>
        <w:lvlJc w:val="left"/>
        <w:pPr>
          <w:tabs>
            <w:tab w:val="num" w:pos="2496"/>
          </w:tabs>
          <w:ind w:left="1247" w:firstLine="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FCC2D74">
        <w:start w:val="1"/>
        <w:numFmt w:val="lowerLetter"/>
        <w:lvlText w:val="(%3)"/>
        <w:lvlJc w:val="left"/>
        <w:pPr>
          <w:tabs>
            <w:tab w:val="num" w:pos="4197"/>
          </w:tabs>
          <w:ind w:left="2948" w:firstLine="6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148CF1A">
        <w:start w:val="1"/>
        <w:numFmt w:val="lowerLetter"/>
        <w:lvlText w:val="%4."/>
        <w:lvlJc w:val="left"/>
        <w:pPr>
          <w:tabs>
            <w:tab w:val="num" w:pos="4764"/>
          </w:tabs>
          <w:ind w:left="3515" w:firstLine="6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E9E2D16">
        <w:start w:val="1"/>
        <w:numFmt w:val="lowerRoman"/>
        <w:lvlText w:val="%5."/>
        <w:lvlJc w:val="left"/>
        <w:pPr>
          <w:tabs>
            <w:tab w:val="num" w:pos="5331"/>
          </w:tabs>
          <w:ind w:left="4082" w:firstLine="6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3183190">
        <w:start w:val="1"/>
        <w:numFmt w:val="lowerRoman"/>
        <w:lvlText w:val="%6."/>
        <w:lvlJc w:val="left"/>
        <w:pPr>
          <w:tabs>
            <w:tab w:val="num" w:pos="9084"/>
          </w:tabs>
          <w:ind w:left="7835" w:firstLine="9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F6A2BFA">
        <w:start w:val="1"/>
        <w:numFmt w:val="decimal"/>
        <w:lvlText w:val="%7."/>
        <w:lvlJc w:val="left"/>
        <w:pPr>
          <w:tabs>
            <w:tab w:val="num" w:pos="9804"/>
          </w:tabs>
          <w:ind w:left="8555" w:firstLine="8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66AF8E0">
        <w:start w:val="1"/>
        <w:numFmt w:val="lowerLetter"/>
        <w:lvlText w:val="%8."/>
        <w:lvlJc w:val="left"/>
        <w:pPr>
          <w:tabs>
            <w:tab w:val="num" w:pos="10524"/>
          </w:tabs>
          <w:ind w:left="9275" w:firstLine="8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8B2076C">
        <w:start w:val="1"/>
        <w:numFmt w:val="lowerRoman"/>
        <w:lvlText w:val="%9."/>
        <w:lvlJc w:val="left"/>
        <w:pPr>
          <w:tabs>
            <w:tab w:val="num" w:pos="11244"/>
          </w:tabs>
          <w:ind w:left="9995" w:firstLine="969"/>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624"/>
  <w:evenAndOddHeaders/>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7D8"/>
    <w:rsid w:val="001717D8"/>
    <w:rsid w:val="001817EF"/>
    <w:rsid w:val="00925CB2"/>
    <w:rsid w:val="00AB1C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8667B"/>
  <w15:docId w15:val="{566AE682-7EFB-4783-902E-9E5DF1789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pBdr>
        <w:bottom w:val="single" w:sz="4" w:space="0" w:color="000000"/>
      </w:pBdr>
      <w:tabs>
        <w:tab w:val="left" w:pos="1247"/>
        <w:tab w:val="center" w:pos="4536"/>
        <w:tab w:val="right" w:pos="9072"/>
      </w:tabs>
      <w:spacing w:after="120"/>
    </w:pPr>
    <w:rPr>
      <w:rFonts w:cs="Arial Unicode MS"/>
      <w:b/>
      <w:bCs/>
      <w:color w:val="000000"/>
      <w:sz w:val="18"/>
      <w:szCs w:val="18"/>
      <w:u w:color="000000"/>
      <w:lang w:val="fr-FR"/>
    </w:rPr>
  </w:style>
  <w:style w:type="paragraph" w:styleId="Footer">
    <w:name w:val="footer"/>
    <w:pPr>
      <w:tabs>
        <w:tab w:val="left" w:pos="1247"/>
        <w:tab w:val="left" w:pos="1814"/>
        <w:tab w:val="left" w:pos="2381"/>
        <w:tab w:val="left" w:pos="2948"/>
        <w:tab w:val="left" w:pos="3515"/>
        <w:tab w:val="center" w:pos="4320"/>
        <w:tab w:val="right" w:pos="8640"/>
      </w:tabs>
      <w:spacing w:before="60" w:after="120"/>
    </w:pPr>
    <w:rPr>
      <w:rFonts w:eastAsia="Times New Roman"/>
      <w:color w:val="000000"/>
      <w:sz w:val="18"/>
      <w:szCs w:val="18"/>
      <w:u w:color="000000"/>
      <w:lang w:val="fr-FR"/>
    </w:rPr>
  </w:style>
  <w:style w:type="paragraph" w:customStyle="1" w:styleId="Normal-pool">
    <w:name w:val="Normal-pool"/>
    <w:pPr>
      <w:tabs>
        <w:tab w:val="left" w:pos="1247"/>
        <w:tab w:val="left" w:pos="1814"/>
        <w:tab w:val="left" w:pos="2381"/>
        <w:tab w:val="left" w:pos="2948"/>
        <w:tab w:val="left" w:pos="3515"/>
        <w:tab w:val="left" w:pos="4082"/>
      </w:tabs>
    </w:pPr>
    <w:rPr>
      <w:rFonts w:eastAsia="Times New Roman"/>
      <w:color w:val="000000"/>
      <w:u w:color="000000"/>
    </w:rPr>
  </w:style>
  <w:style w:type="paragraph" w:customStyle="1" w:styleId="Zhlavazpat">
    <w:name w:val="Záhlaví a zápatí"/>
    <w:pPr>
      <w:tabs>
        <w:tab w:val="right" w:pos="9020"/>
      </w:tabs>
    </w:pPr>
    <w:rPr>
      <w:rFonts w:ascii="Helvetica Neue" w:eastAsia="Helvetica Neue" w:hAnsi="Helvetica Neue" w:cs="Helvetica Neue"/>
      <w:color w:val="000000"/>
      <w:sz w:val="24"/>
      <w:szCs w:val="24"/>
    </w:rPr>
  </w:style>
  <w:style w:type="paragraph" w:customStyle="1" w:styleId="Text">
    <w:name w:val="Text"/>
    <w:pPr>
      <w:tabs>
        <w:tab w:val="left" w:pos="1247"/>
        <w:tab w:val="left" w:pos="1814"/>
        <w:tab w:val="left" w:pos="2381"/>
        <w:tab w:val="left" w:pos="2948"/>
        <w:tab w:val="left" w:pos="3515"/>
      </w:tabs>
    </w:pPr>
    <w:rPr>
      <w:rFonts w:eastAsia="Times New Roman"/>
      <w:color w:val="000000"/>
      <w:u w:color="000000"/>
    </w:rPr>
  </w:style>
  <w:style w:type="paragraph" w:customStyle="1" w:styleId="main">
    <w:name w:val="main"/>
    <w:rPr>
      <w:rFonts w:cs="Arial Unicode MS"/>
      <w:b/>
      <w:bCs/>
      <w:color w:val="000000"/>
      <w:u w:color="000000"/>
    </w:rPr>
  </w:style>
  <w:style w:type="paragraph" w:styleId="FootnoteText">
    <w:name w:val="footnote text"/>
    <w:pPr>
      <w:tabs>
        <w:tab w:val="left" w:pos="1247"/>
        <w:tab w:val="left" w:pos="1814"/>
        <w:tab w:val="left" w:pos="2381"/>
        <w:tab w:val="left" w:pos="2948"/>
        <w:tab w:val="left" w:pos="3515"/>
        <w:tab w:val="left" w:pos="4082"/>
      </w:tabs>
      <w:spacing w:before="20" w:after="40"/>
      <w:ind w:left="1247"/>
    </w:pPr>
    <w:rPr>
      <w:rFonts w:eastAsia="Times New Roman"/>
      <w:color w:val="000000"/>
      <w:sz w:val="18"/>
      <w:szCs w:val="18"/>
      <w:u w:color="000000"/>
      <w:lang w:val="fr-FR"/>
    </w:rPr>
  </w:style>
  <w:style w:type="character" w:styleId="FootnoteReference">
    <w:name w:val="footnote reference"/>
    <w:rPr>
      <w:rFonts w:ascii="Times New Roman" w:eastAsia="Times New Roman" w:hAnsi="Times New Roman" w:cs="Times New Roman"/>
      <w:color w:val="000000"/>
      <w:sz w:val="20"/>
      <w:szCs w:val="20"/>
      <w:u w:color="000000"/>
      <w:vertAlign w:val="superscript"/>
    </w:rPr>
  </w:style>
  <w:style w:type="paragraph" w:customStyle="1" w:styleId="AATitle2">
    <w:name w:val="AA_Title2"/>
    <w:pPr>
      <w:keepNext/>
      <w:keepLines/>
      <w:tabs>
        <w:tab w:val="left" w:pos="1247"/>
        <w:tab w:val="left" w:pos="1814"/>
        <w:tab w:val="left" w:pos="2381"/>
        <w:tab w:val="left" w:pos="2948"/>
        <w:tab w:val="left" w:pos="3515"/>
      </w:tabs>
      <w:suppressAutoHyphens/>
      <w:spacing w:before="60" w:after="60"/>
      <w:ind w:right="4536"/>
    </w:pPr>
    <w:rPr>
      <w:rFonts w:eastAsia="Times New Roman"/>
      <w:b/>
      <w:bCs/>
      <w:color w:val="000000"/>
      <w:u w:color="000000"/>
      <w:lang w:val="fr-FR"/>
    </w:rPr>
  </w:style>
  <w:style w:type="paragraph" w:customStyle="1" w:styleId="BBTitle">
    <w:name w:val="BB_Title"/>
    <w:pPr>
      <w:keepNext/>
      <w:keepLines/>
      <w:tabs>
        <w:tab w:val="left" w:pos="1247"/>
        <w:tab w:val="left" w:pos="1814"/>
        <w:tab w:val="left" w:pos="2381"/>
        <w:tab w:val="left" w:pos="2948"/>
        <w:tab w:val="left" w:pos="3515"/>
        <w:tab w:val="left" w:pos="4082"/>
      </w:tabs>
      <w:suppressAutoHyphens/>
      <w:spacing w:before="320" w:after="240"/>
      <w:ind w:left="1247" w:right="567"/>
    </w:pPr>
    <w:rPr>
      <w:rFonts w:cs="Arial Unicode MS"/>
      <w:b/>
      <w:bCs/>
      <w:color w:val="000000"/>
      <w:sz w:val="28"/>
      <w:szCs w:val="28"/>
      <w:u w:color="000000"/>
      <w:lang w:val="fr-FR"/>
    </w:rPr>
  </w:style>
  <w:style w:type="paragraph" w:customStyle="1" w:styleId="Normalnumber">
    <w:name w:val="Normal_number"/>
    <w:pPr>
      <w:tabs>
        <w:tab w:val="left" w:pos="567"/>
        <w:tab w:val="left" w:pos="624"/>
      </w:tabs>
      <w:spacing w:after="120"/>
      <w:ind w:firstLine="625"/>
    </w:pPr>
    <w:rPr>
      <w:rFonts w:cs="Arial Unicode MS"/>
      <w:color w:val="000000"/>
      <w:u w:color="000000"/>
      <w:lang w:val="fr-FR"/>
    </w:rPr>
  </w:style>
  <w:style w:type="numbering" w:customStyle="1" w:styleId="Normallist">
    <w:name w:val="Normal_list"/>
    <w:pPr>
      <w:numPr>
        <w:numId w:val="1"/>
      </w:numPr>
    </w:pPr>
  </w:style>
  <w:style w:type="paragraph" w:customStyle="1" w:styleId="CH2">
    <w:name w:val="CH2"/>
    <w:next w:val="Normalnumber"/>
    <w:pPr>
      <w:keepNext/>
      <w:keepLines/>
      <w:tabs>
        <w:tab w:val="right" w:pos="851"/>
        <w:tab w:val="left" w:pos="1247"/>
        <w:tab w:val="left" w:pos="1814"/>
        <w:tab w:val="left" w:pos="2381"/>
        <w:tab w:val="left" w:pos="2948"/>
        <w:tab w:val="left" w:pos="3515"/>
        <w:tab w:val="left" w:pos="4082"/>
      </w:tabs>
      <w:suppressAutoHyphens/>
      <w:spacing w:before="80" w:after="120"/>
      <w:ind w:left="1247" w:right="284" w:hanging="1247"/>
    </w:pPr>
    <w:rPr>
      <w:rFonts w:cs="Arial Unicode MS"/>
      <w:b/>
      <w:bCs/>
      <w:color w:val="000000"/>
      <w:sz w:val="24"/>
      <w:szCs w:val="24"/>
      <w:u w:color="000000"/>
      <w:lang w:val="fr-FR"/>
    </w:rPr>
  </w:style>
  <w:style w:type="paragraph" w:customStyle="1" w:styleId="CH3">
    <w:name w:val="CH3"/>
    <w:next w:val="Normalnumber"/>
    <w:pPr>
      <w:keepNext/>
      <w:keepLines/>
      <w:tabs>
        <w:tab w:val="right" w:pos="851"/>
        <w:tab w:val="left" w:pos="1247"/>
        <w:tab w:val="left" w:pos="1814"/>
        <w:tab w:val="left" w:pos="2381"/>
        <w:tab w:val="left" w:pos="2948"/>
        <w:tab w:val="left" w:pos="3515"/>
        <w:tab w:val="left" w:pos="4082"/>
      </w:tabs>
      <w:suppressAutoHyphens/>
      <w:spacing w:after="120"/>
      <w:ind w:left="1247" w:right="284" w:hanging="1247"/>
    </w:pPr>
    <w:rPr>
      <w:rFonts w:eastAsia="Times New Roman"/>
      <w:b/>
      <w:bCs/>
      <w:color w:val="000000"/>
      <w:u w:color="000000"/>
      <w:lang w:val="fr-FR"/>
    </w:rPr>
  </w:style>
  <w:style w:type="paragraph" w:styleId="ListParagraph">
    <w:name w:val="List Paragraph"/>
    <w:pPr>
      <w:tabs>
        <w:tab w:val="left" w:pos="1247"/>
        <w:tab w:val="left" w:pos="1814"/>
        <w:tab w:val="left" w:pos="2381"/>
        <w:tab w:val="left" w:pos="2948"/>
        <w:tab w:val="left" w:pos="3515"/>
      </w:tabs>
      <w:ind w:left="720"/>
    </w:pPr>
    <w:rPr>
      <w:rFonts w:cs="Arial Unicode MS"/>
      <w:color w:val="000000"/>
      <w:u w:color="000000"/>
      <w:lang w:val="fr-FR"/>
    </w:rPr>
  </w:style>
  <w:style w:type="numbering" w:customStyle="1" w:styleId="Importovanstyl5">
    <w:name w:val="Importovaný styl 5"/>
    <w:pPr>
      <w:numPr>
        <w:numId w:val="4"/>
      </w:numPr>
    </w:pPr>
  </w:style>
  <w:style w:type="numbering" w:customStyle="1" w:styleId="Importovanstyl6">
    <w:name w:val="Importovaný styl 6"/>
    <w:pPr>
      <w:numPr>
        <w:numId w:val="6"/>
      </w:numPr>
    </w:pPr>
  </w:style>
  <w:style w:type="paragraph" w:customStyle="1" w:styleId="TextA">
    <w:name w:val="Text A"/>
    <w:pPr>
      <w:tabs>
        <w:tab w:val="left" w:pos="1247"/>
        <w:tab w:val="left" w:pos="1814"/>
        <w:tab w:val="left" w:pos="2381"/>
        <w:tab w:val="left" w:pos="2948"/>
        <w:tab w:val="left" w:pos="3515"/>
      </w:tabs>
      <w:suppressAutoHyphens/>
    </w:pPr>
    <w:rPr>
      <w:rFonts w:eastAsia="Times New Roman"/>
      <w:color w:val="000000"/>
      <w:u w:color="000000"/>
    </w:rPr>
  </w:style>
  <w:style w:type="paragraph" w:customStyle="1" w:styleId="Vchoz">
    <w:name w:val="Výchozí"/>
    <w:rPr>
      <w:rFonts w:ascii="Helvetica Neue" w:eastAsia="Helvetica Neue" w:hAnsi="Helvetica Neue" w:cs="Helvetica Neue"/>
      <w:color w:val="000000"/>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817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7E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FEB65-DE71-4082-8F86-BD8DC9D0F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2333</Words>
  <Characters>13301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Eisaku Toda</cp:lastModifiedBy>
  <cp:revision>2</cp:revision>
  <cp:lastPrinted>2019-03-22T16:11:00Z</cp:lastPrinted>
  <dcterms:created xsi:type="dcterms:W3CDTF">2019-03-22T16:11:00Z</dcterms:created>
  <dcterms:modified xsi:type="dcterms:W3CDTF">2019-03-22T16:11:00Z</dcterms:modified>
</cp:coreProperties>
</file>