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196435" w14:paraId="3875A4F0" w14:textId="77777777" w:rsidTr="00AE6AB6">
        <w:trPr>
          <w:trHeight w:val="57"/>
          <w:jc w:val="right"/>
        </w:trPr>
        <w:tc>
          <w:tcPr>
            <w:tcW w:w="1613" w:type="dxa"/>
          </w:tcPr>
          <w:p w14:paraId="237C9056" w14:textId="77777777" w:rsidR="0015442E" w:rsidRPr="00196435" w:rsidRDefault="0015442E" w:rsidP="00AE6AB6">
            <w:pPr>
              <w:rPr>
                <w:rFonts w:ascii="Arial" w:hAnsi="Arial" w:cs="Arial"/>
                <w:b/>
                <w:bCs/>
                <w:sz w:val="27"/>
                <w:szCs w:val="27"/>
              </w:rPr>
            </w:pPr>
            <w:r w:rsidRPr="00196435">
              <w:rPr>
                <w:rFonts w:ascii="Arial" w:hAnsi="Arial" w:cs="Arial"/>
                <w:b/>
                <w:bCs/>
                <w:sz w:val="27"/>
                <w:szCs w:val="27"/>
              </w:rPr>
              <w:t xml:space="preserve">UNITED </w:t>
            </w:r>
            <w:r w:rsidRPr="00196435">
              <w:rPr>
                <w:rFonts w:ascii="Arial" w:hAnsi="Arial" w:cs="Arial"/>
                <w:b/>
                <w:bCs/>
                <w:sz w:val="27"/>
                <w:szCs w:val="27"/>
              </w:rPr>
              <w:br/>
              <w:t>NATIONS</w:t>
            </w:r>
          </w:p>
        </w:tc>
        <w:tc>
          <w:tcPr>
            <w:tcW w:w="6467" w:type="dxa"/>
            <w:gridSpan w:val="3"/>
          </w:tcPr>
          <w:p w14:paraId="7CB9E85D" w14:textId="77777777" w:rsidR="0015442E" w:rsidRPr="00196435" w:rsidRDefault="0015442E" w:rsidP="00AE6AB6">
            <w:pPr>
              <w:spacing w:before="20"/>
            </w:pPr>
            <w:r w:rsidRPr="00196435">
              <w:rPr>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77777777" w:rsidR="0015442E" w:rsidRPr="00196435" w:rsidRDefault="00E3329D" w:rsidP="00AE6AB6">
            <w:pPr>
              <w:jc w:val="right"/>
              <w:rPr>
                <w:rFonts w:ascii="Arial" w:hAnsi="Arial" w:cs="Arial"/>
                <w:b/>
                <w:bCs/>
                <w:sz w:val="64"/>
                <w:szCs w:val="64"/>
              </w:rPr>
            </w:pPr>
            <w:r w:rsidRPr="00196435">
              <w:rPr>
                <w:rFonts w:ascii="Arial" w:hAnsi="Arial" w:cs="Arial"/>
                <w:b/>
                <w:bCs/>
                <w:sz w:val="64"/>
                <w:szCs w:val="64"/>
              </w:rPr>
              <w:t>M</w:t>
            </w:r>
            <w:r w:rsidR="0015442E" w:rsidRPr="00196435">
              <w:rPr>
                <w:rFonts w:ascii="Arial" w:hAnsi="Arial" w:cs="Arial"/>
                <w:b/>
                <w:bCs/>
                <w:sz w:val="64"/>
                <w:szCs w:val="64"/>
              </w:rPr>
              <w:t>C</w:t>
            </w:r>
          </w:p>
        </w:tc>
      </w:tr>
      <w:tr w:rsidR="0015442E" w:rsidRPr="00196435" w14:paraId="3541900C" w14:textId="77777777" w:rsidTr="00F96910">
        <w:trPr>
          <w:trHeight w:val="57"/>
          <w:jc w:val="right"/>
        </w:trPr>
        <w:tc>
          <w:tcPr>
            <w:tcW w:w="1613" w:type="dxa"/>
            <w:tcBorders>
              <w:bottom w:val="single" w:sz="4" w:space="0" w:color="auto"/>
            </w:tcBorders>
          </w:tcPr>
          <w:p w14:paraId="144561A9" w14:textId="77777777" w:rsidR="0015442E" w:rsidRPr="00196435" w:rsidRDefault="0015442E" w:rsidP="00AE6AB6"/>
        </w:tc>
        <w:tc>
          <w:tcPr>
            <w:tcW w:w="4807" w:type="dxa"/>
            <w:gridSpan w:val="2"/>
            <w:tcBorders>
              <w:bottom w:val="single" w:sz="4" w:space="0" w:color="auto"/>
            </w:tcBorders>
          </w:tcPr>
          <w:p w14:paraId="44C04C0A" w14:textId="77777777" w:rsidR="0015442E" w:rsidRPr="00196435" w:rsidRDefault="0015442E" w:rsidP="00AE6AB6"/>
        </w:tc>
        <w:tc>
          <w:tcPr>
            <w:tcW w:w="3076" w:type="dxa"/>
            <w:gridSpan w:val="2"/>
            <w:tcBorders>
              <w:bottom w:val="single" w:sz="4" w:space="0" w:color="auto"/>
            </w:tcBorders>
          </w:tcPr>
          <w:p w14:paraId="2031E597" w14:textId="7E809DFD" w:rsidR="0015442E" w:rsidRPr="00A82631" w:rsidRDefault="0015442E" w:rsidP="00AE6AB6">
            <w:r w:rsidRPr="00A82631">
              <w:rPr>
                <w:b/>
                <w:bCs/>
                <w:sz w:val="28"/>
                <w:szCs w:val="28"/>
              </w:rPr>
              <w:t>UNEP</w:t>
            </w:r>
            <w:r w:rsidRPr="00A82631">
              <w:t>/</w:t>
            </w:r>
            <w:r w:rsidR="00962471" w:rsidRPr="00A82631">
              <w:t>MC</w:t>
            </w:r>
            <w:r w:rsidR="00EA2CF9" w:rsidRPr="00A82631">
              <w:t>/</w:t>
            </w:r>
            <w:r w:rsidR="0099176E" w:rsidRPr="00A82631">
              <w:t>EEG.8</w:t>
            </w:r>
            <w:r w:rsidR="00ED155C" w:rsidRPr="00A82631">
              <w:t>/</w:t>
            </w:r>
            <w:r w:rsidR="0099176E" w:rsidRPr="00A82631">
              <w:t>L.</w:t>
            </w:r>
            <w:r w:rsidR="00A05CB4">
              <w:t>6</w:t>
            </w:r>
          </w:p>
        </w:tc>
      </w:tr>
      <w:tr w:rsidR="0015442E" w:rsidRPr="00196435" w14:paraId="6ED43051" w14:textId="77777777" w:rsidTr="009D7B82">
        <w:trPr>
          <w:trHeight w:val="57"/>
          <w:jc w:val="right"/>
        </w:trPr>
        <w:tc>
          <w:tcPr>
            <w:tcW w:w="3686" w:type="dxa"/>
            <w:gridSpan w:val="2"/>
            <w:tcBorders>
              <w:top w:val="single" w:sz="4" w:space="0" w:color="auto"/>
              <w:bottom w:val="single" w:sz="18" w:space="0" w:color="auto"/>
            </w:tcBorders>
          </w:tcPr>
          <w:p w14:paraId="2F3FED0F" w14:textId="77777777" w:rsidR="0015442E" w:rsidRPr="00196435" w:rsidRDefault="009D7B82" w:rsidP="006520E8">
            <w:pPr>
              <w:spacing w:before="120" w:after="240"/>
              <w:ind w:left="-85"/>
              <w:rPr>
                <w:sz w:val="22"/>
              </w:rPr>
            </w:pPr>
            <w:r w:rsidRPr="00196435">
              <w:rPr>
                <w:noProof/>
                <w:sz w:val="22"/>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427623FA" w14:textId="77777777" w:rsidR="0015442E" w:rsidRPr="00196435" w:rsidRDefault="0015442E" w:rsidP="00962471">
            <w:pPr>
              <w:spacing w:before="240" w:after="480"/>
              <w:rPr>
                <w:rFonts w:ascii="Arial" w:hAnsi="Arial" w:cs="Arial"/>
                <w:b/>
                <w:bCs/>
                <w:sz w:val="28"/>
                <w:szCs w:val="28"/>
              </w:rPr>
            </w:pPr>
          </w:p>
        </w:tc>
        <w:tc>
          <w:tcPr>
            <w:tcW w:w="3076" w:type="dxa"/>
            <w:gridSpan w:val="2"/>
            <w:tcBorders>
              <w:top w:val="single" w:sz="4" w:space="0" w:color="auto"/>
              <w:bottom w:val="single" w:sz="18" w:space="0" w:color="auto"/>
            </w:tcBorders>
          </w:tcPr>
          <w:p w14:paraId="494F0B41" w14:textId="549415C8" w:rsidR="0015442E" w:rsidRPr="00A82631" w:rsidRDefault="0015442E" w:rsidP="00AE6AB6">
            <w:pPr>
              <w:spacing w:before="120"/>
              <w:rPr>
                <w:iCs/>
              </w:rPr>
            </w:pPr>
            <w:r w:rsidRPr="00A82631">
              <w:t xml:space="preserve">Distr.: </w:t>
            </w:r>
            <w:r w:rsidR="0099176E" w:rsidRPr="00A82631">
              <w:t>Limited</w:t>
            </w:r>
            <w:r w:rsidRPr="00A82631">
              <w:br/>
            </w:r>
            <w:r w:rsidR="006A1B72" w:rsidRPr="006A1B72">
              <w:rPr>
                <w:iCs/>
              </w:rPr>
              <w:t>19</w:t>
            </w:r>
            <w:r w:rsidRPr="006A1B72">
              <w:rPr>
                <w:iCs/>
              </w:rPr>
              <w:t xml:space="preserve"> </w:t>
            </w:r>
            <w:r w:rsidR="00F95DB2" w:rsidRPr="006A1B72">
              <w:rPr>
                <w:iCs/>
              </w:rPr>
              <w:t>December</w:t>
            </w:r>
            <w:r w:rsidRPr="00A82631">
              <w:rPr>
                <w:iCs/>
              </w:rPr>
              <w:t xml:space="preserve"> 202</w:t>
            </w:r>
            <w:r w:rsidR="00587F77" w:rsidRPr="00A82631">
              <w:rPr>
                <w:iCs/>
              </w:rPr>
              <w:t>5</w:t>
            </w:r>
          </w:p>
          <w:p w14:paraId="786FA9DB" w14:textId="56F61A68" w:rsidR="0015442E" w:rsidRPr="00A82631" w:rsidRDefault="0099176E" w:rsidP="00AE6AB6">
            <w:pPr>
              <w:spacing w:before="120"/>
              <w:rPr>
                <w:sz w:val="22"/>
              </w:rPr>
            </w:pPr>
            <w:r w:rsidRPr="00A82631">
              <w:t>English only</w:t>
            </w:r>
          </w:p>
        </w:tc>
      </w:tr>
    </w:tbl>
    <w:p w14:paraId="5D4E73B5" w14:textId="32A1A54E" w:rsidR="00962471" w:rsidRPr="00196435" w:rsidRDefault="0099176E" w:rsidP="00962471">
      <w:pPr>
        <w:pStyle w:val="AATitle"/>
        <w:rPr>
          <w:lang w:val="en-GB"/>
        </w:rPr>
      </w:pPr>
      <w:r w:rsidRPr="00196435">
        <w:rPr>
          <w:lang w:val="en-GB"/>
        </w:rPr>
        <w:t>Effectiveness Evaluation Group</w:t>
      </w:r>
      <w:r w:rsidR="00962471" w:rsidRPr="00196435">
        <w:rPr>
          <w:lang w:val="en-GB"/>
        </w:rPr>
        <w:t xml:space="preserve"> </w:t>
      </w:r>
      <w:r w:rsidR="00962471" w:rsidRPr="00196435">
        <w:rPr>
          <w:lang w:val="en-GB"/>
        </w:rPr>
        <w:br/>
        <w:t>Minamata Convention on Mercury</w:t>
      </w:r>
    </w:p>
    <w:p w14:paraId="25B9D054" w14:textId="397AD4DF" w:rsidR="00962471" w:rsidRPr="00196435" w:rsidRDefault="0099176E" w:rsidP="00962471">
      <w:pPr>
        <w:pStyle w:val="AATitle"/>
        <w:rPr>
          <w:lang w:val="en-GB"/>
        </w:rPr>
      </w:pPr>
      <w:r w:rsidRPr="00196435">
        <w:rPr>
          <w:lang w:val="en-GB"/>
        </w:rPr>
        <w:t>Eighth</w:t>
      </w:r>
      <w:r w:rsidR="00962471" w:rsidRPr="00196435">
        <w:rPr>
          <w:lang w:val="en-GB"/>
        </w:rPr>
        <w:t xml:space="preserve"> meeting</w:t>
      </w:r>
    </w:p>
    <w:p w14:paraId="6479FDBB" w14:textId="0567F073" w:rsidR="005369CB" w:rsidRPr="00196435" w:rsidRDefault="00ED155C" w:rsidP="0015442E">
      <w:pPr>
        <w:pStyle w:val="AATitle"/>
        <w:rPr>
          <w:b w:val="0"/>
          <w:lang w:val="en-GB"/>
        </w:rPr>
      </w:pPr>
      <w:r w:rsidRPr="00196435">
        <w:rPr>
          <w:b w:val="0"/>
          <w:lang w:val="en-GB"/>
        </w:rPr>
        <w:t xml:space="preserve">Geneva, </w:t>
      </w:r>
      <w:r w:rsidR="0099176E" w:rsidRPr="00196435">
        <w:rPr>
          <w:b w:val="0"/>
          <w:lang w:val="en-GB"/>
        </w:rPr>
        <w:t>9</w:t>
      </w:r>
      <w:r w:rsidRPr="00196435">
        <w:rPr>
          <w:b w:val="0"/>
          <w:lang w:val="en-GB"/>
        </w:rPr>
        <w:t>–</w:t>
      </w:r>
      <w:r w:rsidR="0099176E" w:rsidRPr="00196435">
        <w:rPr>
          <w:b w:val="0"/>
          <w:lang w:val="en-GB"/>
        </w:rPr>
        <w:t>11</w:t>
      </w:r>
      <w:r w:rsidRPr="00196435">
        <w:rPr>
          <w:b w:val="0"/>
          <w:lang w:val="en-GB"/>
        </w:rPr>
        <w:t xml:space="preserve"> </w:t>
      </w:r>
      <w:r w:rsidR="0099176E" w:rsidRPr="00196435">
        <w:rPr>
          <w:b w:val="0"/>
          <w:lang w:val="en-GB"/>
        </w:rPr>
        <w:t>February 2026</w:t>
      </w:r>
    </w:p>
    <w:p w14:paraId="1D83FFB8" w14:textId="23F34E93" w:rsidR="00435FD9" w:rsidRPr="00196435" w:rsidRDefault="00435FD9" w:rsidP="00880CCB">
      <w:pPr>
        <w:pStyle w:val="AATitle"/>
        <w:rPr>
          <w:b w:val="0"/>
          <w:lang w:val="en-GB"/>
        </w:rPr>
      </w:pPr>
      <w:r w:rsidRPr="00196435">
        <w:rPr>
          <w:b w:val="0"/>
          <w:lang w:val="en-GB"/>
        </w:rPr>
        <w:t xml:space="preserve">Item </w:t>
      </w:r>
      <w:r w:rsidR="00A05CB4">
        <w:rPr>
          <w:b w:val="0"/>
          <w:lang w:val="en-GB"/>
        </w:rPr>
        <w:t>4</w:t>
      </w:r>
      <w:r w:rsidRPr="00196435">
        <w:rPr>
          <w:b w:val="0"/>
          <w:lang w:val="en-GB"/>
        </w:rPr>
        <w:t xml:space="preserve"> of the provisional agenda</w:t>
      </w:r>
    </w:p>
    <w:p w14:paraId="22451A2A" w14:textId="77777777" w:rsidR="000B3B84" w:rsidRDefault="00A05CB4" w:rsidP="000B3B84">
      <w:pPr>
        <w:pStyle w:val="BBTitle"/>
        <w:spacing w:before="0"/>
        <w:ind w:left="0" w:right="115"/>
        <w:rPr>
          <w:rFonts w:eastAsia="Times New Roman"/>
          <w:sz w:val="20"/>
          <w:szCs w:val="20"/>
          <w:lang w:val="en-GB"/>
        </w:rPr>
      </w:pPr>
      <w:r w:rsidRPr="00A05CB4">
        <w:rPr>
          <w:rFonts w:eastAsia="Times New Roman"/>
          <w:sz w:val="20"/>
          <w:szCs w:val="20"/>
          <w:lang w:val="en-GB"/>
        </w:rPr>
        <w:t xml:space="preserve">Elaboration of the preliminary draft of the first effectiveness evaluation report </w:t>
      </w:r>
    </w:p>
    <w:p w14:paraId="43268926" w14:textId="152023A0" w:rsidR="00962471" w:rsidRDefault="00A05CB4" w:rsidP="000B1D80">
      <w:pPr>
        <w:pStyle w:val="BBTitle"/>
        <w:ind w:left="0" w:right="113"/>
        <w:rPr>
          <w:lang w:val="en-GB"/>
        </w:rPr>
      </w:pPr>
      <w:r w:rsidRPr="00A05CB4">
        <w:rPr>
          <w:lang w:val="en-GB"/>
        </w:rPr>
        <w:t>Indicators to support the evaluation of the effectiveness of the Minamata Convention (Annex II to decision MC-5/14)</w:t>
      </w:r>
    </w:p>
    <w:tbl>
      <w:tblPr>
        <w:tblStyle w:val="Tabledocright1"/>
        <w:tblW w:w="5000" w:type="pct"/>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693"/>
        <w:gridCol w:w="1559"/>
        <w:gridCol w:w="2410"/>
        <w:gridCol w:w="2409"/>
      </w:tblGrid>
      <w:tr w:rsidR="005C676A" w:rsidRPr="005C676A" w14:paraId="1B4E8931" w14:textId="77777777" w:rsidTr="0055077A">
        <w:trPr>
          <w:trHeight w:val="57"/>
          <w:tblHeader/>
          <w:jc w:val="right"/>
        </w:trPr>
        <w:tc>
          <w:tcPr>
            <w:tcW w:w="425" w:type="dxa"/>
            <w:tcBorders>
              <w:top w:val="single" w:sz="4" w:space="0" w:color="auto"/>
              <w:left w:val="nil"/>
              <w:bottom w:val="single" w:sz="12" w:space="0" w:color="auto"/>
              <w:right w:val="nil"/>
            </w:tcBorders>
            <w:tcMar>
              <w:top w:w="28" w:type="dxa"/>
              <w:left w:w="57" w:type="dxa"/>
              <w:bottom w:w="28" w:type="dxa"/>
              <w:right w:w="57" w:type="dxa"/>
            </w:tcMar>
            <w:vAlign w:val="bottom"/>
            <w:hideMark/>
          </w:tcPr>
          <w:p w14:paraId="55BBBD71" w14:textId="04A36986"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i/>
                <w:iCs/>
              </w:rPr>
            </w:pPr>
            <w:r w:rsidRPr="005C676A">
              <w:rPr>
                <w:rFonts w:eastAsia="Times New Roman"/>
                <w:b/>
                <w:sz w:val="28"/>
                <w:szCs w:val="28"/>
                <w:lang w:val="en-US" w:eastAsia="en-US"/>
              </w:rPr>
              <w:tab/>
            </w:r>
            <w:r w:rsidRPr="005C676A">
              <w:rPr>
                <w:rFonts w:eastAsia="Times New Roman"/>
                <w:b/>
                <w:sz w:val="28"/>
                <w:szCs w:val="28"/>
                <w:lang w:val="en-US" w:eastAsia="en-US"/>
              </w:rPr>
              <w:tab/>
            </w:r>
            <w:r w:rsidRPr="005C676A">
              <w:rPr>
                <w:rFonts w:eastAsia="DengXian"/>
                <w:i/>
                <w:iCs/>
              </w:rPr>
              <w:t>#</w:t>
            </w:r>
          </w:p>
        </w:tc>
        <w:tc>
          <w:tcPr>
            <w:tcW w:w="2693" w:type="dxa"/>
            <w:tcBorders>
              <w:top w:val="single" w:sz="4" w:space="0" w:color="auto"/>
              <w:left w:val="nil"/>
              <w:bottom w:val="single" w:sz="12" w:space="0" w:color="auto"/>
              <w:right w:val="nil"/>
            </w:tcBorders>
            <w:tcMar>
              <w:top w:w="28" w:type="dxa"/>
              <w:left w:w="57" w:type="dxa"/>
              <w:bottom w:w="28" w:type="dxa"/>
              <w:right w:w="57" w:type="dxa"/>
            </w:tcMar>
            <w:vAlign w:val="bottom"/>
            <w:hideMark/>
          </w:tcPr>
          <w:p w14:paraId="1E5F8B25"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i/>
                <w:iCs/>
              </w:rPr>
            </w:pPr>
            <w:r w:rsidRPr="005C676A">
              <w:rPr>
                <w:rFonts w:eastAsia="DengXian"/>
                <w:i/>
                <w:iCs/>
              </w:rPr>
              <w:t>Indicator</w:t>
            </w:r>
          </w:p>
        </w:tc>
        <w:tc>
          <w:tcPr>
            <w:tcW w:w="1559" w:type="dxa"/>
            <w:tcBorders>
              <w:top w:val="single" w:sz="4" w:space="0" w:color="auto"/>
              <w:left w:val="nil"/>
              <w:bottom w:val="single" w:sz="12" w:space="0" w:color="auto"/>
              <w:right w:val="nil"/>
            </w:tcBorders>
            <w:tcMar>
              <w:top w:w="28" w:type="dxa"/>
              <w:left w:w="57" w:type="dxa"/>
              <w:bottom w:w="28" w:type="dxa"/>
              <w:right w:w="57" w:type="dxa"/>
            </w:tcMar>
            <w:vAlign w:val="bottom"/>
            <w:hideMark/>
          </w:tcPr>
          <w:p w14:paraId="5269BDE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i/>
                <w:iCs/>
              </w:rPr>
            </w:pPr>
            <w:r w:rsidRPr="005C676A">
              <w:rPr>
                <w:rFonts w:eastAsia="DengXian"/>
                <w:i/>
                <w:iCs/>
              </w:rPr>
              <w:t>Relevant article of the Convention</w:t>
            </w:r>
          </w:p>
        </w:tc>
        <w:tc>
          <w:tcPr>
            <w:tcW w:w="2410" w:type="dxa"/>
            <w:tcBorders>
              <w:top w:val="single" w:sz="4" w:space="0" w:color="auto"/>
              <w:left w:val="nil"/>
              <w:bottom w:val="single" w:sz="12" w:space="0" w:color="auto"/>
              <w:right w:val="nil"/>
            </w:tcBorders>
            <w:tcMar>
              <w:top w:w="28" w:type="dxa"/>
              <w:left w:w="57" w:type="dxa"/>
              <w:bottom w:w="28" w:type="dxa"/>
              <w:right w:w="57" w:type="dxa"/>
            </w:tcMar>
            <w:vAlign w:val="bottom"/>
            <w:hideMark/>
          </w:tcPr>
          <w:p w14:paraId="3DA7B20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i/>
                <w:iCs/>
              </w:rPr>
            </w:pPr>
            <w:r w:rsidRPr="005C676A">
              <w:rPr>
                <w:rFonts w:eastAsia="DengXian"/>
                <w:i/>
                <w:iCs/>
              </w:rPr>
              <w:t>Possible sources of information for measuring progress against the indicator</w:t>
            </w:r>
          </w:p>
        </w:tc>
        <w:tc>
          <w:tcPr>
            <w:tcW w:w="2409" w:type="dxa"/>
            <w:tcBorders>
              <w:top w:val="single" w:sz="4" w:space="0" w:color="auto"/>
              <w:left w:val="nil"/>
              <w:bottom w:val="single" w:sz="12" w:space="0" w:color="auto"/>
              <w:right w:val="nil"/>
            </w:tcBorders>
            <w:tcMar>
              <w:top w:w="28" w:type="dxa"/>
              <w:left w:w="57" w:type="dxa"/>
              <w:bottom w:w="28" w:type="dxa"/>
              <w:right w:w="57" w:type="dxa"/>
            </w:tcMar>
            <w:vAlign w:val="bottom"/>
            <w:hideMark/>
          </w:tcPr>
          <w:p w14:paraId="65662962"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i/>
                <w:iCs/>
              </w:rPr>
            </w:pPr>
            <w:r w:rsidRPr="005C676A">
              <w:rPr>
                <w:rFonts w:eastAsia="DengXian"/>
                <w:i/>
                <w:iCs/>
              </w:rPr>
              <w:t>Notes</w:t>
            </w:r>
          </w:p>
        </w:tc>
      </w:tr>
      <w:tr w:rsidR="005C676A" w:rsidRPr="005C676A" w14:paraId="20DC986D" w14:textId="77777777" w:rsidTr="0055077A">
        <w:trPr>
          <w:trHeight w:val="57"/>
          <w:jc w:val="right"/>
        </w:trPr>
        <w:tc>
          <w:tcPr>
            <w:tcW w:w="425" w:type="dxa"/>
            <w:tcBorders>
              <w:top w:val="single" w:sz="12" w:space="0" w:color="auto"/>
              <w:left w:val="nil"/>
              <w:bottom w:val="nil"/>
              <w:right w:val="nil"/>
            </w:tcBorders>
            <w:tcMar>
              <w:top w:w="28" w:type="dxa"/>
              <w:left w:w="57" w:type="dxa"/>
              <w:bottom w:w="28" w:type="dxa"/>
              <w:right w:w="57" w:type="dxa"/>
            </w:tcMar>
            <w:hideMark/>
          </w:tcPr>
          <w:p w14:paraId="2EF1E88E"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1</w:t>
            </w:r>
          </w:p>
        </w:tc>
        <w:tc>
          <w:tcPr>
            <w:tcW w:w="2693" w:type="dxa"/>
            <w:tcBorders>
              <w:top w:val="single" w:sz="12" w:space="0" w:color="auto"/>
              <w:left w:val="nil"/>
              <w:bottom w:val="nil"/>
              <w:right w:val="nil"/>
            </w:tcBorders>
            <w:tcMar>
              <w:top w:w="28" w:type="dxa"/>
              <w:left w:w="57" w:type="dxa"/>
              <w:bottom w:w="28" w:type="dxa"/>
              <w:right w:w="57" w:type="dxa"/>
            </w:tcMar>
            <w:hideMark/>
          </w:tcPr>
          <w:p w14:paraId="11735B91"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Levels and trends of mercury and mercury compounds in the environment and in humans due to anthropogenic emissions and releases</w:t>
            </w:r>
          </w:p>
        </w:tc>
        <w:tc>
          <w:tcPr>
            <w:tcW w:w="1559" w:type="dxa"/>
            <w:tcBorders>
              <w:top w:val="single" w:sz="12" w:space="0" w:color="auto"/>
              <w:left w:val="nil"/>
              <w:bottom w:val="nil"/>
              <w:right w:val="nil"/>
            </w:tcBorders>
            <w:tcMar>
              <w:top w:w="28" w:type="dxa"/>
              <w:left w:w="57" w:type="dxa"/>
              <w:bottom w:w="28" w:type="dxa"/>
              <w:right w:w="57" w:type="dxa"/>
            </w:tcMar>
            <w:hideMark/>
          </w:tcPr>
          <w:p w14:paraId="118C8433"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w:t>
            </w:r>
          </w:p>
        </w:tc>
        <w:tc>
          <w:tcPr>
            <w:tcW w:w="2410" w:type="dxa"/>
            <w:tcBorders>
              <w:top w:val="single" w:sz="12" w:space="0" w:color="auto"/>
              <w:left w:val="nil"/>
              <w:bottom w:val="nil"/>
              <w:right w:val="nil"/>
            </w:tcBorders>
            <w:tcMar>
              <w:top w:w="28" w:type="dxa"/>
              <w:left w:w="57" w:type="dxa"/>
              <w:bottom w:w="28" w:type="dxa"/>
              <w:right w:w="57" w:type="dxa"/>
            </w:tcMar>
            <w:hideMark/>
          </w:tcPr>
          <w:p w14:paraId="56B846AF"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and other information provided by the Open-ended Scientific Group</w:t>
            </w:r>
          </w:p>
        </w:tc>
        <w:tc>
          <w:tcPr>
            <w:tcW w:w="2409" w:type="dxa"/>
            <w:tcBorders>
              <w:top w:val="single" w:sz="12" w:space="0" w:color="auto"/>
              <w:left w:val="nil"/>
              <w:bottom w:val="nil"/>
              <w:right w:val="nil"/>
            </w:tcBorders>
            <w:tcMar>
              <w:top w:w="28" w:type="dxa"/>
              <w:left w:w="57" w:type="dxa"/>
              <w:bottom w:w="28" w:type="dxa"/>
              <w:right w:w="57" w:type="dxa"/>
            </w:tcMar>
            <w:hideMark/>
          </w:tcPr>
          <w:p w14:paraId="767C7D3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As the analysis of monitoring data progresses, the Open</w:t>
            </w:r>
            <w:r w:rsidRPr="005C676A">
              <w:rPr>
                <w:rFonts w:eastAsia="DengXian"/>
              </w:rPr>
              <w:noBreakHyphen/>
              <w:t xml:space="preserve">ended Scientific Group may further elaborate on this indicator (for example, by proposing </w:t>
            </w:r>
            <w:proofErr w:type="spellStart"/>
            <w:r w:rsidRPr="005C676A">
              <w:rPr>
                <w:rFonts w:eastAsia="DengXian"/>
              </w:rPr>
              <w:t>subindicators</w:t>
            </w:r>
            <w:proofErr w:type="spellEnd"/>
            <w:r w:rsidRPr="005C676A">
              <w:rPr>
                <w:rFonts w:eastAsia="DengXian"/>
              </w:rPr>
              <w:t>).</w:t>
            </w:r>
          </w:p>
        </w:tc>
      </w:tr>
      <w:tr w:rsidR="005C676A" w:rsidRPr="005C676A" w14:paraId="753AD3B7" w14:textId="77777777" w:rsidTr="0055077A">
        <w:trPr>
          <w:trHeight w:val="57"/>
          <w:jc w:val="right"/>
        </w:trPr>
        <w:tc>
          <w:tcPr>
            <w:tcW w:w="425" w:type="dxa"/>
            <w:tcMar>
              <w:top w:w="28" w:type="dxa"/>
              <w:left w:w="57" w:type="dxa"/>
              <w:bottom w:w="28" w:type="dxa"/>
              <w:right w:w="57" w:type="dxa"/>
            </w:tcMar>
            <w:hideMark/>
          </w:tcPr>
          <w:p w14:paraId="49D0415F"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2</w:t>
            </w:r>
          </w:p>
        </w:tc>
        <w:tc>
          <w:tcPr>
            <w:tcW w:w="2693" w:type="dxa"/>
            <w:tcMar>
              <w:top w:w="28" w:type="dxa"/>
              <w:left w:w="57" w:type="dxa"/>
              <w:bottom w:w="28" w:type="dxa"/>
              <w:right w:w="57" w:type="dxa"/>
            </w:tcMar>
            <w:hideMark/>
          </w:tcPr>
          <w:p w14:paraId="5568C70E"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Total amount of mercury mined from primary mercury mines</w:t>
            </w:r>
          </w:p>
        </w:tc>
        <w:tc>
          <w:tcPr>
            <w:tcW w:w="1559" w:type="dxa"/>
            <w:tcMar>
              <w:top w:w="28" w:type="dxa"/>
              <w:left w:w="57" w:type="dxa"/>
              <w:bottom w:w="28" w:type="dxa"/>
              <w:right w:w="57" w:type="dxa"/>
            </w:tcMar>
            <w:hideMark/>
          </w:tcPr>
          <w:p w14:paraId="2FA9535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3</w:t>
            </w:r>
          </w:p>
        </w:tc>
        <w:tc>
          <w:tcPr>
            <w:tcW w:w="2410" w:type="dxa"/>
            <w:tcMar>
              <w:top w:w="28" w:type="dxa"/>
              <w:left w:w="57" w:type="dxa"/>
              <w:bottom w:w="28" w:type="dxa"/>
              <w:right w:w="57" w:type="dxa"/>
            </w:tcMar>
            <w:hideMark/>
          </w:tcPr>
          <w:p w14:paraId="0DEF99C9"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 xml:space="preserve">Reports pursuant to article 21 </w:t>
            </w:r>
          </w:p>
          <w:p w14:paraId="3BEB71B0"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Minamata Initial Assessments</w:t>
            </w:r>
          </w:p>
        </w:tc>
        <w:tc>
          <w:tcPr>
            <w:tcW w:w="2409" w:type="dxa"/>
            <w:tcMar>
              <w:top w:w="28" w:type="dxa"/>
              <w:left w:w="57" w:type="dxa"/>
              <w:bottom w:w="28" w:type="dxa"/>
              <w:right w:w="57" w:type="dxa"/>
            </w:tcMar>
          </w:tcPr>
          <w:p w14:paraId="52753338"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3B83D6AB" w14:textId="77777777" w:rsidTr="0055077A">
        <w:trPr>
          <w:trHeight w:val="57"/>
          <w:jc w:val="right"/>
        </w:trPr>
        <w:tc>
          <w:tcPr>
            <w:tcW w:w="425" w:type="dxa"/>
            <w:tcMar>
              <w:top w:w="28" w:type="dxa"/>
              <w:left w:w="57" w:type="dxa"/>
              <w:bottom w:w="28" w:type="dxa"/>
              <w:right w:w="57" w:type="dxa"/>
            </w:tcMar>
            <w:hideMark/>
          </w:tcPr>
          <w:p w14:paraId="6CD914A8"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3</w:t>
            </w:r>
          </w:p>
        </w:tc>
        <w:tc>
          <w:tcPr>
            <w:tcW w:w="2693" w:type="dxa"/>
            <w:tcMar>
              <w:top w:w="28" w:type="dxa"/>
              <w:left w:w="57" w:type="dxa"/>
              <w:bottom w:w="28" w:type="dxa"/>
              <w:right w:w="57" w:type="dxa"/>
            </w:tcMar>
            <w:hideMark/>
          </w:tcPr>
          <w:p w14:paraId="5EFA5090"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pPr>
            <w:r w:rsidRPr="005C676A">
              <w:t xml:space="preserve">Number of </w:t>
            </w:r>
            <w:proofErr w:type="spellStart"/>
            <w:r w:rsidRPr="005C676A">
              <w:t>parties</w:t>
            </w:r>
            <w:r w:rsidRPr="005C676A">
              <w:rPr>
                <w:vertAlign w:val="superscript"/>
              </w:rPr>
              <w:t>a</w:t>
            </w:r>
            <w:proofErr w:type="spellEnd"/>
            <w:r w:rsidRPr="005C676A">
              <w:t xml:space="preserve"> that have endeavoured to identify, within their territories: </w:t>
            </w:r>
          </w:p>
          <w:p w14:paraId="43F194EE" w14:textId="77777777" w:rsidR="005C676A" w:rsidRPr="005C676A" w:rsidRDefault="005C676A" w:rsidP="0055077A">
            <w:pPr>
              <w:numPr>
                <w:ilvl w:val="0"/>
                <w:numId w:val="3"/>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Individual stocks of mercury or mercury compounds exceeding 50 metric tons</w:t>
            </w:r>
          </w:p>
          <w:p w14:paraId="25EB4887" w14:textId="77777777" w:rsidR="005C676A" w:rsidRPr="005C676A" w:rsidRDefault="005C676A" w:rsidP="0055077A">
            <w:pPr>
              <w:numPr>
                <w:ilvl w:val="0"/>
                <w:numId w:val="3"/>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Sources of mercury supply generating stocks exceeding</w:t>
            </w:r>
            <w:r w:rsidRPr="005C676A">
              <w:t xml:space="preserve"> 10 metric tons per year </w:t>
            </w:r>
          </w:p>
        </w:tc>
        <w:tc>
          <w:tcPr>
            <w:tcW w:w="1559" w:type="dxa"/>
            <w:tcMar>
              <w:top w:w="28" w:type="dxa"/>
              <w:left w:w="57" w:type="dxa"/>
              <w:bottom w:w="28" w:type="dxa"/>
              <w:right w:w="57" w:type="dxa"/>
            </w:tcMar>
            <w:hideMark/>
          </w:tcPr>
          <w:p w14:paraId="4E4A2342"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3</w:t>
            </w:r>
          </w:p>
        </w:tc>
        <w:tc>
          <w:tcPr>
            <w:tcW w:w="2410" w:type="dxa"/>
            <w:tcMar>
              <w:top w:w="28" w:type="dxa"/>
              <w:left w:w="57" w:type="dxa"/>
              <w:bottom w:w="28" w:type="dxa"/>
              <w:right w:w="57" w:type="dxa"/>
            </w:tcMar>
            <w:hideMark/>
          </w:tcPr>
          <w:p w14:paraId="0D376802"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tcPr>
          <w:p w14:paraId="219DBDB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2E1CD42E" w14:textId="77777777" w:rsidTr="0055077A">
        <w:trPr>
          <w:trHeight w:val="57"/>
          <w:jc w:val="right"/>
        </w:trPr>
        <w:tc>
          <w:tcPr>
            <w:tcW w:w="425" w:type="dxa"/>
            <w:tcMar>
              <w:top w:w="28" w:type="dxa"/>
              <w:left w:w="57" w:type="dxa"/>
              <w:bottom w:w="28" w:type="dxa"/>
              <w:right w:w="57" w:type="dxa"/>
            </w:tcMar>
            <w:hideMark/>
          </w:tcPr>
          <w:p w14:paraId="4BCF3902"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4</w:t>
            </w:r>
          </w:p>
        </w:tc>
        <w:tc>
          <w:tcPr>
            <w:tcW w:w="2693" w:type="dxa"/>
            <w:tcMar>
              <w:top w:w="28" w:type="dxa"/>
              <w:left w:w="57" w:type="dxa"/>
              <w:bottom w:w="28" w:type="dxa"/>
              <w:right w:w="57" w:type="dxa"/>
            </w:tcMar>
            <w:hideMark/>
          </w:tcPr>
          <w:p w14:paraId="67CAE83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having determined that they have excess mercury, that have taken the measures called for in article 3, paragraph 5 (b), and the amount of mercury disposed of through such measures</w:t>
            </w:r>
          </w:p>
        </w:tc>
        <w:tc>
          <w:tcPr>
            <w:tcW w:w="1559" w:type="dxa"/>
            <w:tcMar>
              <w:top w:w="28" w:type="dxa"/>
              <w:left w:w="57" w:type="dxa"/>
              <w:bottom w:w="28" w:type="dxa"/>
              <w:right w:w="57" w:type="dxa"/>
            </w:tcMar>
            <w:hideMark/>
          </w:tcPr>
          <w:p w14:paraId="6E3BE57D"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3</w:t>
            </w:r>
          </w:p>
        </w:tc>
        <w:tc>
          <w:tcPr>
            <w:tcW w:w="2410" w:type="dxa"/>
            <w:tcMar>
              <w:top w:w="28" w:type="dxa"/>
              <w:left w:w="57" w:type="dxa"/>
              <w:bottom w:w="28" w:type="dxa"/>
              <w:right w:w="57" w:type="dxa"/>
            </w:tcMar>
            <w:hideMark/>
          </w:tcPr>
          <w:p w14:paraId="0ADFE63F"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tcPr>
          <w:p w14:paraId="4A90BFD9"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5BF769BC" w14:textId="77777777" w:rsidTr="0055077A">
        <w:trPr>
          <w:trHeight w:val="57"/>
          <w:jc w:val="right"/>
        </w:trPr>
        <w:tc>
          <w:tcPr>
            <w:tcW w:w="425" w:type="dxa"/>
            <w:tcMar>
              <w:top w:w="28" w:type="dxa"/>
              <w:left w:w="57" w:type="dxa"/>
              <w:bottom w:w="28" w:type="dxa"/>
              <w:right w:w="57" w:type="dxa"/>
            </w:tcMar>
            <w:hideMark/>
          </w:tcPr>
          <w:p w14:paraId="2304B53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5</w:t>
            </w:r>
          </w:p>
        </w:tc>
        <w:tc>
          <w:tcPr>
            <w:tcW w:w="2693" w:type="dxa"/>
            <w:tcMar>
              <w:top w:w="28" w:type="dxa"/>
              <w:left w:w="57" w:type="dxa"/>
              <w:bottom w:w="28" w:type="dxa"/>
              <w:right w:w="57" w:type="dxa"/>
            </w:tcMar>
            <w:hideMark/>
          </w:tcPr>
          <w:p w14:paraId="06A8C3E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 exported or imported mercury in accordance with the procedures established under article 3</w:t>
            </w:r>
          </w:p>
        </w:tc>
        <w:tc>
          <w:tcPr>
            <w:tcW w:w="1559" w:type="dxa"/>
            <w:tcMar>
              <w:top w:w="28" w:type="dxa"/>
              <w:left w:w="57" w:type="dxa"/>
              <w:bottom w:w="28" w:type="dxa"/>
              <w:right w:w="57" w:type="dxa"/>
            </w:tcMar>
            <w:hideMark/>
          </w:tcPr>
          <w:p w14:paraId="1370C60C"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3</w:t>
            </w:r>
          </w:p>
        </w:tc>
        <w:tc>
          <w:tcPr>
            <w:tcW w:w="2410" w:type="dxa"/>
            <w:tcMar>
              <w:top w:w="28" w:type="dxa"/>
              <w:left w:w="57" w:type="dxa"/>
              <w:bottom w:w="28" w:type="dxa"/>
              <w:right w:w="57" w:type="dxa"/>
            </w:tcMar>
            <w:hideMark/>
          </w:tcPr>
          <w:p w14:paraId="686A6C42"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55C81F21"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Forms pursuant to article 3</w:t>
            </w:r>
          </w:p>
          <w:p w14:paraId="795F1831"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developed under the Convention</w:t>
            </w:r>
          </w:p>
        </w:tc>
        <w:tc>
          <w:tcPr>
            <w:tcW w:w="2409" w:type="dxa"/>
            <w:tcMar>
              <w:top w:w="28" w:type="dxa"/>
              <w:left w:w="57" w:type="dxa"/>
              <w:bottom w:w="28" w:type="dxa"/>
              <w:right w:w="57" w:type="dxa"/>
            </w:tcMar>
            <w:hideMark/>
          </w:tcPr>
          <w:p w14:paraId="502FFC85"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 xml:space="preserve">Consideration of this indicator during the evaluation will </w:t>
            </w:r>
            <w:proofErr w:type="gramStart"/>
            <w:r w:rsidRPr="005C676A">
              <w:rPr>
                <w:rFonts w:eastAsia="DengXian"/>
              </w:rPr>
              <w:t>take into account</w:t>
            </w:r>
            <w:proofErr w:type="gramEnd"/>
            <w:r w:rsidRPr="005C676A">
              <w:rPr>
                <w:rFonts w:eastAsia="DengXian"/>
              </w:rPr>
              <w:t xml:space="preserve"> the fact that trade is permitted from sources and for uses allowed under the Convention. </w:t>
            </w:r>
          </w:p>
        </w:tc>
      </w:tr>
      <w:tr w:rsidR="005C676A" w:rsidRPr="005C676A" w14:paraId="6F491862" w14:textId="77777777" w:rsidTr="0055077A">
        <w:trPr>
          <w:trHeight w:val="57"/>
          <w:jc w:val="right"/>
        </w:trPr>
        <w:tc>
          <w:tcPr>
            <w:tcW w:w="425" w:type="dxa"/>
            <w:tcMar>
              <w:top w:w="28" w:type="dxa"/>
              <w:left w:w="57" w:type="dxa"/>
              <w:bottom w:w="28" w:type="dxa"/>
              <w:right w:w="57" w:type="dxa"/>
            </w:tcMar>
            <w:hideMark/>
          </w:tcPr>
          <w:p w14:paraId="3DA02EF5"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6</w:t>
            </w:r>
          </w:p>
        </w:tc>
        <w:tc>
          <w:tcPr>
            <w:tcW w:w="2693" w:type="dxa"/>
            <w:tcMar>
              <w:top w:w="28" w:type="dxa"/>
              <w:left w:w="57" w:type="dxa"/>
              <w:bottom w:w="28" w:type="dxa"/>
              <w:right w:w="57" w:type="dxa"/>
            </w:tcMar>
            <w:hideMark/>
          </w:tcPr>
          <w:p w14:paraId="453648C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Estimated global amount, in metric tons per year, of:</w:t>
            </w:r>
          </w:p>
          <w:p w14:paraId="4E935AC7" w14:textId="77777777" w:rsidR="005C676A" w:rsidRPr="005C676A" w:rsidRDefault="005C676A" w:rsidP="0055077A">
            <w:pPr>
              <w:numPr>
                <w:ilvl w:val="0"/>
                <w:numId w:val="4"/>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 xml:space="preserve">Mercury traded in accordance with the Convention </w:t>
            </w:r>
          </w:p>
          <w:p w14:paraId="060E65A1" w14:textId="77777777" w:rsidR="005C676A" w:rsidRPr="005C676A" w:rsidRDefault="005C676A" w:rsidP="0055077A">
            <w:pPr>
              <w:numPr>
                <w:ilvl w:val="0"/>
                <w:numId w:val="4"/>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Mercury supply</w:t>
            </w:r>
          </w:p>
          <w:p w14:paraId="715D8317" w14:textId="77777777" w:rsidR="005C676A" w:rsidRPr="005C676A" w:rsidRDefault="005C676A" w:rsidP="0055077A">
            <w:pPr>
              <w:numPr>
                <w:ilvl w:val="0"/>
                <w:numId w:val="4"/>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Mercury used in products and processes</w:t>
            </w:r>
          </w:p>
        </w:tc>
        <w:tc>
          <w:tcPr>
            <w:tcW w:w="1559" w:type="dxa"/>
            <w:tcMar>
              <w:top w:w="28" w:type="dxa"/>
              <w:left w:w="57" w:type="dxa"/>
              <w:bottom w:w="28" w:type="dxa"/>
              <w:right w:w="57" w:type="dxa"/>
            </w:tcMar>
            <w:hideMark/>
          </w:tcPr>
          <w:p w14:paraId="2B7AECA3"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3</w:t>
            </w:r>
          </w:p>
        </w:tc>
        <w:tc>
          <w:tcPr>
            <w:tcW w:w="2410" w:type="dxa"/>
            <w:tcMar>
              <w:top w:w="28" w:type="dxa"/>
              <w:left w:w="57" w:type="dxa"/>
              <w:bottom w:w="28" w:type="dxa"/>
              <w:right w:w="57" w:type="dxa"/>
            </w:tcMar>
            <w:hideMark/>
          </w:tcPr>
          <w:p w14:paraId="25D4F69E"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7605D739"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Forms pursuant to article 3 and article 30, para. 4</w:t>
            </w:r>
          </w:p>
          <w:p w14:paraId="591E9F04"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developed under the Convention</w:t>
            </w:r>
          </w:p>
        </w:tc>
        <w:tc>
          <w:tcPr>
            <w:tcW w:w="2409" w:type="dxa"/>
            <w:tcMar>
              <w:top w:w="28" w:type="dxa"/>
              <w:left w:w="57" w:type="dxa"/>
              <w:bottom w:w="28" w:type="dxa"/>
              <w:right w:w="57" w:type="dxa"/>
            </w:tcMar>
            <w:hideMark/>
          </w:tcPr>
          <w:p w14:paraId="06C7394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 xml:space="preserve">Consideration of this indicator during the evaluation will </w:t>
            </w:r>
            <w:proofErr w:type="gramStart"/>
            <w:r w:rsidRPr="005C676A">
              <w:rPr>
                <w:rFonts w:eastAsia="DengXian"/>
              </w:rPr>
              <w:t>take into account</w:t>
            </w:r>
            <w:proofErr w:type="gramEnd"/>
            <w:r w:rsidRPr="005C676A">
              <w:rPr>
                <w:rFonts w:eastAsia="DengXian"/>
              </w:rPr>
              <w:t xml:space="preserve"> the fact that trade is permitted from sources and for uses allowed under the Convention. </w:t>
            </w:r>
          </w:p>
          <w:p w14:paraId="23EDA7BF"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Additional sources of information will likely be necessary to accurately measure progress against this indicator.</w:t>
            </w:r>
          </w:p>
        </w:tc>
      </w:tr>
      <w:tr w:rsidR="005C676A" w:rsidRPr="005C676A" w14:paraId="0ABA1982" w14:textId="77777777" w:rsidTr="0055077A">
        <w:trPr>
          <w:trHeight w:val="57"/>
          <w:jc w:val="right"/>
        </w:trPr>
        <w:tc>
          <w:tcPr>
            <w:tcW w:w="425" w:type="dxa"/>
            <w:tcMar>
              <w:top w:w="28" w:type="dxa"/>
              <w:left w:w="57" w:type="dxa"/>
              <w:bottom w:w="28" w:type="dxa"/>
              <w:right w:w="57" w:type="dxa"/>
            </w:tcMar>
            <w:hideMark/>
          </w:tcPr>
          <w:p w14:paraId="62396B2D"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7</w:t>
            </w:r>
          </w:p>
        </w:tc>
        <w:tc>
          <w:tcPr>
            <w:tcW w:w="2693" w:type="dxa"/>
            <w:tcMar>
              <w:top w:w="28" w:type="dxa"/>
              <w:left w:w="57" w:type="dxa"/>
              <w:bottom w:w="28" w:type="dxa"/>
              <w:right w:w="57" w:type="dxa"/>
            </w:tcMar>
            <w:hideMark/>
          </w:tcPr>
          <w:p w14:paraId="4FD175B0"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 taken appropriate measures to not allow the manufacture, export or import of the mercury-added products listed in part I of annex A after the phase-out date specified for those products</w:t>
            </w:r>
          </w:p>
        </w:tc>
        <w:tc>
          <w:tcPr>
            <w:tcW w:w="1559" w:type="dxa"/>
            <w:tcMar>
              <w:top w:w="28" w:type="dxa"/>
              <w:left w:w="57" w:type="dxa"/>
              <w:bottom w:w="28" w:type="dxa"/>
              <w:right w:w="57" w:type="dxa"/>
            </w:tcMar>
            <w:hideMark/>
          </w:tcPr>
          <w:p w14:paraId="319CC0B2"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4</w:t>
            </w:r>
          </w:p>
        </w:tc>
        <w:tc>
          <w:tcPr>
            <w:tcW w:w="2410" w:type="dxa"/>
            <w:tcMar>
              <w:top w:w="28" w:type="dxa"/>
              <w:left w:w="57" w:type="dxa"/>
              <w:bottom w:w="28" w:type="dxa"/>
              <w:right w:w="57" w:type="dxa"/>
            </w:tcMar>
            <w:hideMark/>
          </w:tcPr>
          <w:p w14:paraId="65994BBF"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hideMark/>
          </w:tcPr>
          <w:p w14:paraId="44FBCB7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 xml:space="preserve">Consideration of this indicator during the evaluation will </w:t>
            </w:r>
            <w:proofErr w:type="gramStart"/>
            <w:r w:rsidRPr="005C676A">
              <w:rPr>
                <w:rFonts w:eastAsia="DengXian"/>
              </w:rPr>
              <w:t>take into account</w:t>
            </w:r>
            <w:proofErr w:type="gramEnd"/>
            <w:r w:rsidRPr="005C676A">
              <w:rPr>
                <w:rFonts w:eastAsia="DengXian"/>
              </w:rPr>
              <w:t xml:space="preserve"> the fact that parties may have different measures in place to not allow the manufacture, export and import of such products, and that some parties have exemptions in place.</w:t>
            </w:r>
          </w:p>
        </w:tc>
      </w:tr>
      <w:tr w:rsidR="005C676A" w:rsidRPr="005C676A" w14:paraId="722FA945" w14:textId="77777777" w:rsidTr="0055077A">
        <w:trPr>
          <w:trHeight w:val="57"/>
          <w:jc w:val="right"/>
        </w:trPr>
        <w:tc>
          <w:tcPr>
            <w:tcW w:w="425" w:type="dxa"/>
            <w:tcMar>
              <w:top w:w="28" w:type="dxa"/>
              <w:left w:w="57" w:type="dxa"/>
              <w:bottom w:w="28" w:type="dxa"/>
              <w:right w:w="57" w:type="dxa"/>
            </w:tcMar>
            <w:hideMark/>
          </w:tcPr>
          <w:p w14:paraId="20715251"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8</w:t>
            </w:r>
          </w:p>
        </w:tc>
        <w:tc>
          <w:tcPr>
            <w:tcW w:w="2693" w:type="dxa"/>
            <w:tcMar>
              <w:top w:w="28" w:type="dxa"/>
              <w:left w:w="57" w:type="dxa"/>
              <w:bottom w:w="28" w:type="dxa"/>
              <w:right w:w="57" w:type="dxa"/>
            </w:tcMar>
            <w:hideMark/>
          </w:tcPr>
          <w:p w14:paraId="366FA8D8"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t xml:space="preserve">Number of parties that have implemented two or more of the measures listed in </w:t>
            </w:r>
            <w:proofErr w:type="spellStart"/>
            <w:r w:rsidRPr="005C676A">
              <w:t>subparas</w:t>
            </w:r>
            <w:proofErr w:type="spellEnd"/>
            <w:r w:rsidRPr="005C676A">
              <w:t xml:space="preserve">. (i)–(ix) of part II of annex A </w:t>
            </w:r>
          </w:p>
        </w:tc>
        <w:tc>
          <w:tcPr>
            <w:tcW w:w="1559" w:type="dxa"/>
            <w:tcMar>
              <w:top w:w="28" w:type="dxa"/>
              <w:left w:w="57" w:type="dxa"/>
              <w:bottom w:w="28" w:type="dxa"/>
              <w:right w:w="57" w:type="dxa"/>
            </w:tcMar>
            <w:hideMark/>
          </w:tcPr>
          <w:p w14:paraId="74AD41E1"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4</w:t>
            </w:r>
          </w:p>
        </w:tc>
        <w:tc>
          <w:tcPr>
            <w:tcW w:w="2410" w:type="dxa"/>
            <w:tcMar>
              <w:top w:w="28" w:type="dxa"/>
              <w:left w:w="57" w:type="dxa"/>
              <w:bottom w:w="28" w:type="dxa"/>
              <w:right w:w="57" w:type="dxa"/>
            </w:tcMar>
            <w:hideMark/>
          </w:tcPr>
          <w:p w14:paraId="35C545A8"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hideMark/>
          </w:tcPr>
          <w:p w14:paraId="6C0E0DAD"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 xml:space="preserve">Consideration of this indicator during the evaluation will </w:t>
            </w:r>
            <w:proofErr w:type="gramStart"/>
            <w:r w:rsidRPr="005C676A">
              <w:rPr>
                <w:rFonts w:eastAsia="DengXian"/>
              </w:rPr>
              <w:t>take into account</w:t>
            </w:r>
            <w:proofErr w:type="gramEnd"/>
            <w:r w:rsidRPr="005C676A">
              <w:rPr>
                <w:rFonts w:eastAsia="DengXian"/>
              </w:rPr>
              <w:t xml:space="preserve"> the fact that decision MC-3/2 encourages parties to take more than the two required measures to phase down dental amalgam. </w:t>
            </w:r>
          </w:p>
        </w:tc>
      </w:tr>
      <w:tr w:rsidR="005C676A" w:rsidRPr="005C676A" w14:paraId="3B473BBF" w14:textId="77777777" w:rsidTr="0055077A">
        <w:trPr>
          <w:trHeight w:val="57"/>
          <w:jc w:val="right"/>
        </w:trPr>
        <w:tc>
          <w:tcPr>
            <w:tcW w:w="425" w:type="dxa"/>
            <w:tcMar>
              <w:top w:w="28" w:type="dxa"/>
              <w:left w:w="57" w:type="dxa"/>
              <w:bottom w:w="28" w:type="dxa"/>
              <w:right w:w="57" w:type="dxa"/>
            </w:tcMar>
            <w:hideMark/>
          </w:tcPr>
          <w:p w14:paraId="297DACFC"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9</w:t>
            </w:r>
          </w:p>
        </w:tc>
        <w:tc>
          <w:tcPr>
            <w:tcW w:w="2693" w:type="dxa"/>
            <w:tcMar>
              <w:top w:w="28" w:type="dxa"/>
              <w:left w:w="57" w:type="dxa"/>
              <w:bottom w:w="28" w:type="dxa"/>
              <w:right w:w="57" w:type="dxa"/>
            </w:tcMar>
            <w:hideMark/>
          </w:tcPr>
          <w:p w14:paraId="55620F32"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 xml:space="preserve">Number of parties that exclude or do not allow: </w:t>
            </w:r>
          </w:p>
          <w:p w14:paraId="2DEDCE3A" w14:textId="77777777" w:rsidR="005C676A" w:rsidRPr="005C676A" w:rsidRDefault="005C676A" w:rsidP="0055077A">
            <w:pPr>
              <w:numPr>
                <w:ilvl w:val="0"/>
                <w:numId w:val="5"/>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 xml:space="preserve">The use of mercury in bulk form by dental practitioners </w:t>
            </w:r>
          </w:p>
          <w:p w14:paraId="170D517A" w14:textId="77777777" w:rsidR="005C676A" w:rsidRPr="005C676A" w:rsidRDefault="005C676A" w:rsidP="0055077A">
            <w:pPr>
              <w:numPr>
                <w:ilvl w:val="0"/>
                <w:numId w:val="5"/>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The use of dental amalgam for the treatment of deciduous teeth in patients under 15 years of age and of pregnant and breastfeeding women</w:t>
            </w:r>
          </w:p>
        </w:tc>
        <w:tc>
          <w:tcPr>
            <w:tcW w:w="1559" w:type="dxa"/>
            <w:tcMar>
              <w:top w:w="28" w:type="dxa"/>
              <w:left w:w="57" w:type="dxa"/>
              <w:bottom w:w="28" w:type="dxa"/>
              <w:right w:w="57" w:type="dxa"/>
            </w:tcMar>
            <w:hideMark/>
          </w:tcPr>
          <w:p w14:paraId="74FB76F4"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4</w:t>
            </w:r>
          </w:p>
        </w:tc>
        <w:tc>
          <w:tcPr>
            <w:tcW w:w="2410" w:type="dxa"/>
            <w:tcMar>
              <w:top w:w="28" w:type="dxa"/>
              <w:left w:w="57" w:type="dxa"/>
              <w:bottom w:w="28" w:type="dxa"/>
              <w:right w:w="57" w:type="dxa"/>
            </w:tcMar>
            <w:hideMark/>
          </w:tcPr>
          <w:p w14:paraId="6E0F7356"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hideMark/>
          </w:tcPr>
          <w:p w14:paraId="61C89E74"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The amended annex A, in decision MC-4/3, comes into force for parties as set out in article 27.</w:t>
            </w:r>
          </w:p>
          <w:p w14:paraId="6873BDD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This indicator will be relevant once the amendment is in force.</w:t>
            </w:r>
          </w:p>
        </w:tc>
      </w:tr>
      <w:tr w:rsidR="005C676A" w:rsidRPr="005C676A" w14:paraId="5DB03363" w14:textId="77777777" w:rsidTr="0055077A">
        <w:trPr>
          <w:trHeight w:val="57"/>
          <w:jc w:val="right"/>
        </w:trPr>
        <w:tc>
          <w:tcPr>
            <w:tcW w:w="425" w:type="dxa"/>
            <w:tcMar>
              <w:top w:w="28" w:type="dxa"/>
              <w:left w:w="57" w:type="dxa"/>
              <w:bottom w:w="28" w:type="dxa"/>
              <w:right w:w="57" w:type="dxa"/>
            </w:tcMar>
            <w:hideMark/>
          </w:tcPr>
          <w:p w14:paraId="36CBE94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10</w:t>
            </w:r>
          </w:p>
        </w:tc>
        <w:tc>
          <w:tcPr>
            <w:tcW w:w="2693" w:type="dxa"/>
            <w:tcMar>
              <w:top w:w="28" w:type="dxa"/>
              <w:left w:w="57" w:type="dxa"/>
              <w:bottom w:w="28" w:type="dxa"/>
              <w:right w:w="57" w:type="dxa"/>
            </w:tcMar>
            <w:hideMark/>
          </w:tcPr>
          <w:p w14:paraId="47C108EE"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For each process listed in part I of annex B: number of parties that have the process within their territories and have measures in place to not allow the use of mercury or mercury compounds after the process phase-out date</w:t>
            </w:r>
          </w:p>
        </w:tc>
        <w:tc>
          <w:tcPr>
            <w:tcW w:w="1559" w:type="dxa"/>
            <w:tcMar>
              <w:top w:w="28" w:type="dxa"/>
              <w:left w:w="57" w:type="dxa"/>
              <w:bottom w:w="28" w:type="dxa"/>
              <w:right w:w="57" w:type="dxa"/>
            </w:tcMar>
            <w:hideMark/>
          </w:tcPr>
          <w:p w14:paraId="53807EE2"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5</w:t>
            </w:r>
          </w:p>
        </w:tc>
        <w:tc>
          <w:tcPr>
            <w:tcW w:w="2410" w:type="dxa"/>
            <w:tcMar>
              <w:top w:w="28" w:type="dxa"/>
              <w:left w:w="57" w:type="dxa"/>
              <w:bottom w:w="28" w:type="dxa"/>
              <w:right w:w="57" w:type="dxa"/>
            </w:tcMar>
            <w:hideMark/>
          </w:tcPr>
          <w:p w14:paraId="03907793"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hideMark/>
          </w:tcPr>
          <w:p w14:paraId="5848033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 xml:space="preserve">Consideration of this indicator during the evaluation will </w:t>
            </w:r>
            <w:proofErr w:type="gramStart"/>
            <w:r w:rsidRPr="005C676A">
              <w:rPr>
                <w:rFonts w:eastAsia="DengXian"/>
              </w:rPr>
              <w:t>take into account</w:t>
            </w:r>
            <w:proofErr w:type="gramEnd"/>
            <w:r w:rsidRPr="005C676A">
              <w:rPr>
                <w:rFonts w:eastAsia="DengXian"/>
              </w:rPr>
              <w:t xml:space="preserve"> the fact that there may be parties that have measures in place even though they do not use the process in question, and that some parties have exemptions in place. </w:t>
            </w:r>
          </w:p>
        </w:tc>
      </w:tr>
      <w:tr w:rsidR="005C676A" w:rsidRPr="005C676A" w14:paraId="771E042C" w14:textId="77777777" w:rsidTr="0055077A">
        <w:trPr>
          <w:trHeight w:val="57"/>
          <w:jc w:val="right"/>
        </w:trPr>
        <w:tc>
          <w:tcPr>
            <w:tcW w:w="425" w:type="dxa"/>
            <w:tcMar>
              <w:top w:w="28" w:type="dxa"/>
              <w:left w:w="57" w:type="dxa"/>
              <w:bottom w:w="28" w:type="dxa"/>
              <w:right w:w="57" w:type="dxa"/>
            </w:tcMar>
            <w:hideMark/>
          </w:tcPr>
          <w:p w14:paraId="4BB05812" w14:textId="77777777" w:rsidR="005C676A" w:rsidRPr="005C676A" w:rsidRDefault="005C676A" w:rsidP="005C676A">
            <w:pPr>
              <w:keepNext/>
              <w:keepLines/>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11</w:t>
            </w:r>
          </w:p>
        </w:tc>
        <w:tc>
          <w:tcPr>
            <w:tcW w:w="2693" w:type="dxa"/>
            <w:tcMar>
              <w:top w:w="28" w:type="dxa"/>
              <w:left w:w="57" w:type="dxa"/>
              <w:bottom w:w="28" w:type="dxa"/>
              <w:right w:w="57" w:type="dxa"/>
            </w:tcMar>
            <w:hideMark/>
          </w:tcPr>
          <w:p w14:paraId="472F9516" w14:textId="77777777" w:rsidR="005C676A" w:rsidRPr="005C676A" w:rsidRDefault="005C676A" w:rsidP="005C676A">
            <w:pPr>
              <w:keepNext/>
              <w:keepLines/>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For each process listed in part II of annex B: number of parties that have the process within their territories and have measures in place to restrict the use of mercury and mercury compounds in accordance with the provisions set out in annex B, part II</w:t>
            </w:r>
          </w:p>
        </w:tc>
        <w:tc>
          <w:tcPr>
            <w:tcW w:w="1559" w:type="dxa"/>
            <w:tcMar>
              <w:top w:w="28" w:type="dxa"/>
              <w:left w:w="57" w:type="dxa"/>
              <w:bottom w:w="28" w:type="dxa"/>
              <w:right w:w="57" w:type="dxa"/>
            </w:tcMar>
            <w:hideMark/>
          </w:tcPr>
          <w:p w14:paraId="07775213" w14:textId="77777777" w:rsidR="005C676A" w:rsidRPr="005C676A" w:rsidRDefault="005C676A" w:rsidP="005C676A">
            <w:pPr>
              <w:keepNext/>
              <w:keepLines/>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5</w:t>
            </w:r>
          </w:p>
        </w:tc>
        <w:tc>
          <w:tcPr>
            <w:tcW w:w="2410" w:type="dxa"/>
            <w:tcMar>
              <w:top w:w="28" w:type="dxa"/>
              <w:left w:w="57" w:type="dxa"/>
              <w:bottom w:w="28" w:type="dxa"/>
              <w:right w:w="57" w:type="dxa"/>
            </w:tcMar>
            <w:hideMark/>
          </w:tcPr>
          <w:p w14:paraId="079457A8" w14:textId="77777777" w:rsidR="005C676A" w:rsidRPr="005C676A" w:rsidRDefault="005C676A" w:rsidP="0055077A">
            <w:pPr>
              <w:keepNext/>
              <w:keepLines/>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hideMark/>
          </w:tcPr>
          <w:p w14:paraId="60F376B6" w14:textId="77777777" w:rsidR="005C676A" w:rsidRPr="005C676A" w:rsidRDefault="005C676A" w:rsidP="005C676A">
            <w:pPr>
              <w:keepNext/>
              <w:keepLines/>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 xml:space="preserve">Consideration of this indicator during the evaluation will </w:t>
            </w:r>
            <w:proofErr w:type="gramStart"/>
            <w:r w:rsidRPr="005C676A">
              <w:rPr>
                <w:rFonts w:eastAsia="DengXian"/>
              </w:rPr>
              <w:t>take into account</w:t>
            </w:r>
            <w:proofErr w:type="gramEnd"/>
            <w:r w:rsidRPr="005C676A">
              <w:rPr>
                <w:rFonts w:eastAsia="DengXian"/>
              </w:rPr>
              <w:t xml:space="preserve"> the fact that there may be parties that have measures in place even though they do not use the process in question. </w:t>
            </w:r>
          </w:p>
        </w:tc>
      </w:tr>
      <w:tr w:rsidR="005C676A" w:rsidRPr="005C676A" w14:paraId="25065B12" w14:textId="77777777" w:rsidTr="0055077A">
        <w:trPr>
          <w:trHeight w:val="57"/>
          <w:jc w:val="right"/>
        </w:trPr>
        <w:tc>
          <w:tcPr>
            <w:tcW w:w="425" w:type="dxa"/>
            <w:tcMar>
              <w:top w:w="28" w:type="dxa"/>
              <w:left w:w="57" w:type="dxa"/>
              <w:bottom w:w="28" w:type="dxa"/>
              <w:right w:w="57" w:type="dxa"/>
            </w:tcMar>
            <w:hideMark/>
          </w:tcPr>
          <w:p w14:paraId="559306F1"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12</w:t>
            </w:r>
          </w:p>
        </w:tc>
        <w:tc>
          <w:tcPr>
            <w:tcW w:w="2693" w:type="dxa"/>
            <w:tcMar>
              <w:top w:w="28" w:type="dxa"/>
              <w:left w:w="57" w:type="dxa"/>
              <w:bottom w:w="28" w:type="dxa"/>
              <w:right w:w="57" w:type="dxa"/>
            </w:tcMar>
            <w:hideMark/>
          </w:tcPr>
          <w:p w14:paraId="047E283E"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Total amount of mercury used globally in artisanal and small-scale gold mining, in metric tons per year</w:t>
            </w:r>
          </w:p>
        </w:tc>
        <w:tc>
          <w:tcPr>
            <w:tcW w:w="1559" w:type="dxa"/>
            <w:tcMar>
              <w:top w:w="28" w:type="dxa"/>
              <w:left w:w="57" w:type="dxa"/>
              <w:bottom w:w="28" w:type="dxa"/>
              <w:right w:w="57" w:type="dxa"/>
            </w:tcMar>
            <w:hideMark/>
          </w:tcPr>
          <w:p w14:paraId="76DA7A15"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7</w:t>
            </w:r>
          </w:p>
        </w:tc>
        <w:tc>
          <w:tcPr>
            <w:tcW w:w="2410" w:type="dxa"/>
            <w:tcMar>
              <w:top w:w="28" w:type="dxa"/>
              <w:left w:w="57" w:type="dxa"/>
              <w:bottom w:w="28" w:type="dxa"/>
              <w:right w:w="57" w:type="dxa"/>
            </w:tcMar>
            <w:hideMark/>
          </w:tcPr>
          <w:p w14:paraId="368A743C"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7899FE55"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National action plans and reviews pursuant to article 7</w:t>
            </w:r>
          </w:p>
        </w:tc>
        <w:tc>
          <w:tcPr>
            <w:tcW w:w="2409" w:type="dxa"/>
            <w:tcMar>
              <w:top w:w="28" w:type="dxa"/>
              <w:left w:w="57" w:type="dxa"/>
              <w:bottom w:w="28" w:type="dxa"/>
              <w:right w:w="57" w:type="dxa"/>
            </w:tcMar>
          </w:tcPr>
          <w:p w14:paraId="46BEE93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7BA0ED98" w14:textId="77777777" w:rsidTr="0055077A">
        <w:trPr>
          <w:trHeight w:val="57"/>
          <w:jc w:val="right"/>
        </w:trPr>
        <w:tc>
          <w:tcPr>
            <w:tcW w:w="425" w:type="dxa"/>
            <w:tcMar>
              <w:top w:w="28" w:type="dxa"/>
              <w:left w:w="57" w:type="dxa"/>
              <w:bottom w:w="28" w:type="dxa"/>
              <w:right w:w="57" w:type="dxa"/>
            </w:tcMar>
            <w:hideMark/>
          </w:tcPr>
          <w:p w14:paraId="7FE084D2"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13</w:t>
            </w:r>
          </w:p>
        </w:tc>
        <w:tc>
          <w:tcPr>
            <w:tcW w:w="2693" w:type="dxa"/>
            <w:tcMar>
              <w:top w:w="28" w:type="dxa"/>
              <w:left w:w="57" w:type="dxa"/>
              <w:bottom w:w="28" w:type="dxa"/>
              <w:right w:w="57" w:type="dxa"/>
            </w:tcMar>
            <w:hideMark/>
          </w:tcPr>
          <w:p w14:paraId="635470D6"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with artisanal and small-scale gold mining and processing within their territories, where mercury amalgamation is used to extract gold from ore, that have taken steps to reduce, and where feasible eliminate, the use of mercury and mercury compounds in, and the emissions and releases to the environment of mercury from, such mining and processing</w:t>
            </w:r>
          </w:p>
        </w:tc>
        <w:tc>
          <w:tcPr>
            <w:tcW w:w="1559" w:type="dxa"/>
            <w:tcMar>
              <w:top w:w="28" w:type="dxa"/>
              <w:left w:w="57" w:type="dxa"/>
              <w:bottom w:w="28" w:type="dxa"/>
              <w:right w:w="57" w:type="dxa"/>
            </w:tcMar>
            <w:hideMark/>
          </w:tcPr>
          <w:p w14:paraId="3979A805"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7</w:t>
            </w:r>
          </w:p>
        </w:tc>
        <w:tc>
          <w:tcPr>
            <w:tcW w:w="2410" w:type="dxa"/>
            <w:tcMar>
              <w:top w:w="28" w:type="dxa"/>
              <w:left w:w="57" w:type="dxa"/>
              <w:bottom w:w="28" w:type="dxa"/>
              <w:right w:w="57" w:type="dxa"/>
            </w:tcMar>
            <w:hideMark/>
          </w:tcPr>
          <w:p w14:paraId="0B2F9F56"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3D005FB6"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Notifications, national action plans and reviews pursuant to article 7</w:t>
            </w:r>
          </w:p>
        </w:tc>
        <w:tc>
          <w:tcPr>
            <w:tcW w:w="2409" w:type="dxa"/>
            <w:tcMar>
              <w:top w:w="28" w:type="dxa"/>
              <w:left w:w="57" w:type="dxa"/>
              <w:bottom w:w="28" w:type="dxa"/>
              <w:right w:w="57" w:type="dxa"/>
            </w:tcMar>
          </w:tcPr>
          <w:p w14:paraId="5264AF2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61EC89B0" w14:textId="77777777" w:rsidTr="0055077A">
        <w:trPr>
          <w:trHeight w:val="57"/>
          <w:jc w:val="right"/>
        </w:trPr>
        <w:tc>
          <w:tcPr>
            <w:tcW w:w="425" w:type="dxa"/>
            <w:tcMar>
              <w:top w:w="28" w:type="dxa"/>
              <w:left w:w="57" w:type="dxa"/>
              <w:bottom w:w="28" w:type="dxa"/>
              <w:right w:w="57" w:type="dxa"/>
            </w:tcMar>
            <w:hideMark/>
          </w:tcPr>
          <w:p w14:paraId="67C7CC6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14</w:t>
            </w:r>
          </w:p>
        </w:tc>
        <w:tc>
          <w:tcPr>
            <w:tcW w:w="2693" w:type="dxa"/>
            <w:tcMar>
              <w:top w:w="28" w:type="dxa"/>
              <w:left w:w="57" w:type="dxa"/>
              <w:bottom w:w="28" w:type="dxa"/>
              <w:right w:w="57" w:type="dxa"/>
            </w:tcMar>
            <w:hideMark/>
          </w:tcPr>
          <w:p w14:paraId="76F9E36F"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having determined that artisanal and small-scale gold mining and processing within their territories is more than insignificant that have:</w:t>
            </w:r>
          </w:p>
          <w:p w14:paraId="6B970CDC" w14:textId="77777777" w:rsidR="005C676A" w:rsidRPr="005C676A" w:rsidRDefault="005C676A" w:rsidP="0055077A">
            <w:pPr>
              <w:numPr>
                <w:ilvl w:val="0"/>
                <w:numId w:val="6"/>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Notified the secretariat</w:t>
            </w:r>
          </w:p>
          <w:p w14:paraId="1CD557B9" w14:textId="77777777" w:rsidR="005C676A" w:rsidRPr="005C676A" w:rsidRDefault="005C676A" w:rsidP="0055077A">
            <w:pPr>
              <w:numPr>
                <w:ilvl w:val="0"/>
                <w:numId w:val="6"/>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 xml:space="preserve">Submitted a national action plan in accordance with annex C </w:t>
            </w:r>
          </w:p>
          <w:p w14:paraId="3F931B2A" w14:textId="77777777" w:rsidR="005C676A" w:rsidRPr="005C676A" w:rsidRDefault="005C676A" w:rsidP="0055077A">
            <w:pPr>
              <w:numPr>
                <w:ilvl w:val="0"/>
                <w:numId w:val="6"/>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Provided a review of the progress made in meeting their obligations under article 7 and included such reviews in reports submitted pursuant to article 21</w:t>
            </w:r>
          </w:p>
        </w:tc>
        <w:tc>
          <w:tcPr>
            <w:tcW w:w="1559" w:type="dxa"/>
            <w:tcMar>
              <w:top w:w="28" w:type="dxa"/>
              <w:left w:w="57" w:type="dxa"/>
              <w:bottom w:w="28" w:type="dxa"/>
              <w:right w:w="57" w:type="dxa"/>
            </w:tcMar>
            <w:hideMark/>
          </w:tcPr>
          <w:p w14:paraId="0985F4A0"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7</w:t>
            </w:r>
          </w:p>
        </w:tc>
        <w:tc>
          <w:tcPr>
            <w:tcW w:w="2410" w:type="dxa"/>
            <w:tcMar>
              <w:top w:w="28" w:type="dxa"/>
              <w:left w:w="57" w:type="dxa"/>
              <w:bottom w:w="28" w:type="dxa"/>
              <w:right w:w="57" w:type="dxa"/>
            </w:tcMar>
            <w:hideMark/>
          </w:tcPr>
          <w:p w14:paraId="730653D9"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54CB8EBD"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Notifications, national action plans and reviews pursuant to article 7</w:t>
            </w:r>
          </w:p>
        </w:tc>
        <w:tc>
          <w:tcPr>
            <w:tcW w:w="2409" w:type="dxa"/>
            <w:tcMar>
              <w:top w:w="28" w:type="dxa"/>
              <w:left w:w="57" w:type="dxa"/>
              <w:bottom w:w="28" w:type="dxa"/>
              <w:right w:w="57" w:type="dxa"/>
            </w:tcMar>
          </w:tcPr>
          <w:p w14:paraId="202FB983"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73462EC2" w14:textId="77777777" w:rsidTr="0055077A">
        <w:trPr>
          <w:trHeight w:val="57"/>
          <w:jc w:val="right"/>
        </w:trPr>
        <w:tc>
          <w:tcPr>
            <w:tcW w:w="425" w:type="dxa"/>
            <w:tcMar>
              <w:top w:w="28" w:type="dxa"/>
              <w:left w:w="57" w:type="dxa"/>
              <w:bottom w:w="28" w:type="dxa"/>
              <w:right w:w="57" w:type="dxa"/>
            </w:tcMar>
            <w:hideMark/>
          </w:tcPr>
          <w:p w14:paraId="4A6B207E"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15</w:t>
            </w:r>
          </w:p>
        </w:tc>
        <w:tc>
          <w:tcPr>
            <w:tcW w:w="2693" w:type="dxa"/>
            <w:tcMar>
              <w:top w:w="28" w:type="dxa"/>
              <w:left w:w="57" w:type="dxa"/>
              <w:bottom w:w="28" w:type="dxa"/>
              <w:right w:w="57" w:type="dxa"/>
            </w:tcMar>
            <w:hideMark/>
          </w:tcPr>
          <w:p w14:paraId="0ACA6FC6"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w:t>
            </w:r>
          </w:p>
          <w:p w14:paraId="132EA4EC" w14:textId="77777777" w:rsidR="005C676A" w:rsidRPr="005C676A" w:rsidRDefault="005C676A" w:rsidP="0055077A">
            <w:pPr>
              <w:numPr>
                <w:ilvl w:val="0"/>
                <w:numId w:val="7"/>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Identified relevant sources of emissions</w:t>
            </w:r>
          </w:p>
          <w:p w14:paraId="7F79A8BA" w14:textId="77777777" w:rsidR="005C676A" w:rsidRPr="005C676A" w:rsidRDefault="005C676A" w:rsidP="0055077A">
            <w:pPr>
              <w:numPr>
                <w:ilvl w:val="0"/>
                <w:numId w:val="7"/>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Established and maintained an inventory of emissions</w:t>
            </w:r>
          </w:p>
          <w:p w14:paraId="794AF435" w14:textId="77777777" w:rsidR="005C676A" w:rsidRPr="005C676A" w:rsidRDefault="005C676A" w:rsidP="0055077A">
            <w:pPr>
              <w:numPr>
                <w:ilvl w:val="0"/>
                <w:numId w:val="7"/>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Put in place one or more control measures from among those indicated in para. 5 of article 8 for existing sources of emissions</w:t>
            </w:r>
          </w:p>
          <w:p w14:paraId="4B879335" w14:textId="77777777" w:rsidR="005C676A" w:rsidRPr="005C676A" w:rsidRDefault="005C676A" w:rsidP="0055077A">
            <w:pPr>
              <w:numPr>
                <w:ilvl w:val="0"/>
                <w:numId w:val="7"/>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Required best available techniques and best environmental practices or emission limit values consistent with the application of best available techniques for new sources of emissions</w:t>
            </w:r>
          </w:p>
          <w:p w14:paraId="2B273F22" w14:textId="77777777" w:rsidR="005C676A" w:rsidRPr="005C676A" w:rsidRDefault="005C676A" w:rsidP="0055077A">
            <w:pPr>
              <w:numPr>
                <w:ilvl w:val="0"/>
                <w:numId w:val="7"/>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A national plan setting out the measures to be taken to control emissions and expected targets, goals and outcomes</w:t>
            </w:r>
          </w:p>
        </w:tc>
        <w:tc>
          <w:tcPr>
            <w:tcW w:w="1559" w:type="dxa"/>
            <w:tcMar>
              <w:top w:w="28" w:type="dxa"/>
              <w:left w:w="57" w:type="dxa"/>
              <w:bottom w:w="28" w:type="dxa"/>
              <w:right w:w="57" w:type="dxa"/>
            </w:tcMar>
            <w:hideMark/>
          </w:tcPr>
          <w:p w14:paraId="1BADBDE4"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8</w:t>
            </w:r>
          </w:p>
        </w:tc>
        <w:tc>
          <w:tcPr>
            <w:tcW w:w="2410" w:type="dxa"/>
            <w:tcMar>
              <w:top w:w="28" w:type="dxa"/>
              <w:left w:w="57" w:type="dxa"/>
              <w:bottom w:w="28" w:type="dxa"/>
              <w:right w:w="57" w:type="dxa"/>
            </w:tcMar>
            <w:hideMark/>
          </w:tcPr>
          <w:p w14:paraId="735A92B1"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74BA7959"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National inventories</w:t>
            </w:r>
          </w:p>
        </w:tc>
        <w:tc>
          <w:tcPr>
            <w:tcW w:w="2409" w:type="dxa"/>
            <w:tcMar>
              <w:top w:w="28" w:type="dxa"/>
              <w:left w:w="57" w:type="dxa"/>
              <w:bottom w:w="28" w:type="dxa"/>
              <w:right w:w="57" w:type="dxa"/>
            </w:tcMar>
          </w:tcPr>
          <w:p w14:paraId="30CE3EA6"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0696AB19" w14:textId="77777777" w:rsidTr="0055077A">
        <w:trPr>
          <w:trHeight w:val="57"/>
          <w:jc w:val="right"/>
        </w:trPr>
        <w:tc>
          <w:tcPr>
            <w:tcW w:w="425" w:type="dxa"/>
            <w:tcMar>
              <w:top w:w="28" w:type="dxa"/>
              <w:left w:w="57" w:type="dxa"/>
              <w:bottom w:w="28" w:type="dxa"/>
              <w:right w:w="57" w:type="dxa"/>
            </w:tcMar>
            <w:hideMark/>
          </w:tcPr>
          <w:p w14:paraId="667CBB1D"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16</w:t>
            </w:r>
          </w:p>
        </w:tc>
        <w:tc>
          <w:tcPr>
            <w:tcW w:w="2693" w:type="dxa"/>
            <w:tcMar>
              <w:top w:w="28" w:type="dxa"/>
              <w:left w:w="57" w:type="dxa"/>
              <w:bottom w:w="28" w:type="dxa"/>
              <w:right w:w="57" w:type="dxa"/>
            </w:tcMar>
            <w:hideMark/>
          </w:tcPr>
          <w:p w14:paraId="5A234470"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Total amount of mercury emitted globally, in metric tons per year, from each point source category identified in annex D, based on parties’ inventories of emissions</w:t>
            </w:r>
          </w:p>
        </w:tc>
        <w:tc>
          <w:tcPr>
            <w:tcW w:w="1559" w:type="dxa"/>
            <w:tcMar>
              <w:top w:w="28" w:type="dxa"/>
              <w:left w:w="57" w:type="dxa"/>
              <w:bottom w:w="28" w:type="dxa"/>
              <w:right w:w="57" w:type="dxa"/>
            </w:tcMar>
            <w:hideMark/>
          </w:tcPr>
          <w:p w14:paraId="16057506"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8</w:t>
            </w:r>
          </w:p>
        </w:tc>
        <w:tc>
          <w:tcPr>
            <w:tcW w:w="2410" w:type="dxa"/>
            <w:tcMar>
              <w:top w:w="28" w:type="dxa"/>
              <w:left w:w="57" w:type="dxa"/>
              <w:bottom w:w="28" w:type="dxa"/>
              <w:right w:w="57" w:type="dxa"/>
            </w:tcMar>
            <w:hideMark/>
          </w:tcPr>
          <w:p w14:paraId="6A673614"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1492815F"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National inventories</w:t>
            </w:r>
          </w:p>
        </w:tc>
        <w:tc>
          <w:tcPr>
            <w:tcW w:w="2409" w:type="dxa"/>
            <w:tcMar>
              <w:top w:w="28" w:type="dxa"/>
              <w:left w:w="57" w:type="dxa"/>
              <w:bottom w:w="28" w:type="dxa"/>
              <w:right w:w="57" w:type="dxa"/>
            </w:tcMar>
          </w:tcPr>
          <w:p w14:paraId="5379E6C3"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78D24094" w14:textId="77777777" w:rsidTr="0055077A">
        <w:trPr>
          <w:trHeight w:val="57"/>
          <w:jc w:val="right"/>
        </w:trPr>
        <w:tc>
          <w:tcPr>
            <w:tcW w:w="425" w:type="dxa"/>
            <w:tcMar>
              <w:top w:w="28" w:type="dxa"/>
              <w:left w:w="57" w:type="dxa"/>
              <w:bottom w:w="28" w:type="dxa"/>
              <w:right w:w="57" w:type="dxa"/>
            </w:tcMar>
            <w:hideMark/>
          </w:tcPr>
          <w:p w14:paraId="5D2E92E8"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17</w:t>
            </w:r>
          </w:p>
        </w:tc>
        <w:tc>
          <w:tcPr>
            <w:tcW w:w="2693" w:type="dxa"/>
            <w:tcMar>
              <w:top w:w="28" w:type="dxa"/>
              <w:left w:w="57" w:type="dxa"/>
              <w:bottom w:w="28" w:type="dxa"/>
              <w:right w:w="57" w:type="dxa"/>
            </w:tcMar>
            <w:hideMark/>
          </w:tcPr>
          <w:p w14:paraId="5EC6AA4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w:t>
            </w:r>
          </w:p>
          <w:p w14:paraId="067FDB30" w14:textId="77777777" w:rsidR="005C676A" w:rsidRPr="005C676A" w:rsidRDefault="005C676A" w:rsidP="0055077A">
            <w:pPr>
              <w:numPr>
                <w:ilvl w:val="0"/>
                <w:numId w:val="8"/>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Identified relevant sources of releases</w:t>
            </w:r>
          </w:p>
          <w:p w14:paraId="72086F0A" w14:textId="77777777" w:rsidR="005C676A" w:rsidRPr="005C676A" w:rsidRDefault="005C676A" w:rsidP="0055077A">
            <w:pPr>
              <w:numPr>
                <w:ilvl w:val="0"/>
                <w:numId w:val="8"/>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Established and maintained an inventory of releases</w:t>
            </w:r>
          </w:p>
          <w:p w14:paraId="4898D216" w14:textId="77777777" w:rsidR="005C676A" w:rsidRPr="005C676A" w:rsidRDefault="005C676A" w:rsidP="0055077A">
            <w:pPr>
              <w:numPr>
                <w:ilvl w:val="0"/>
                <w:numId w:val="8"/>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Put in place one or more control measures from among those indicated in para. 5 of article 9</w:t>
            </w:r>
          </w:p>
          <w:p w14:paraId="29C06EC9" w14:textId="77777777" w:rsidR="005C676A" w:rsidRPr="005C676A" w:rsidRDefault="005C676A" w:rsidP="0055077A">
            <w:pPr>
              <w:numPr>
                <w:ilvl w:val="0"/>
                <w:numId w:val="8"/>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A national plan setting out the measures to be taken to control releases and its expected targets, goals and outcomes</w:t>
            </w:r>
          </w:p>
        </w:tc>
        <w:tc>
          <w:tcPr>
            <w:tcW w:w="1559" w:type="dxa"/>
            <w:tcMar>
              <w:top w:w="28" w:type="dxa"/>
              <w:left w:w="57" w:type="dxa"/>
              <w:bottom w:w="28" w:type="dxa"/>
              <w:right w:w="57" w:type="dxa"/>
            </w:tcMar>
            <w:hideMark/>
          </w:tcPr>
          <w:p w14:paraId="5666D1DC"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9</w:t>
            </w:r>
          </w:p>
        </w:tc>
        <w:tc>
          <w:tcPr>
            <w:tcW w:w="2410" w:type="dxa"/>
            <w:tcMar>
              <w:top w:w="28" w:type="dxa"/>
              <w:left w:w="57" w:type="dxa"/>
              <w:bottom w:w="28" w:type="dxa"/>
              <w:right w:w="57" w:type="dxa"/>
            </w:tcMar>
            <w:hideMark/>
          </w:tcPr>
          <w:p w14:paraId="418DD1A5"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78B06FEB"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National inventories</w:t>
            </w:r>
          </w:p>
        </w:tc>
        <w:tc>
          <w:tcPr>
            <w:tcW w:w="2409" w:type="dxa"/>
            <w:tcMar>
              <w:top w:w="28" w:type="dxa"/>
              <w:left w:w="57" w:type="dxa"/>
              <w:bottom w:w="28" w:type="dxa"/>
              <w:right w:w="57" w:type="dxa"/>
            </w:tcMar>
          </w:tcPr>
          <w:p w14:paraId="23C2876E"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563CEC5D" w14:textId="77777777" w:rsidTr="0055077A">
        <w:trPr>
          <w:trHeight w:val="57"/>
          <w:jc w:val="right"/>
        </w:trPr>
        <w:tc>
          <w:tcPr>
            <w:tcW w:w="425" w:type="dxa"/>
            <w:tcMar>
              <w:top w:w="28" w:type="dxa"/>
              <w:left w:w="57" w:type="dxa"/>
              <w:bottom w:w="28" w:type="dxa"/>
              <w:right w:w="57" w:type="dxa"/>
            </w:tcMar>
            <w:hideMark/>
          </w:tcPr>
          <w:p w14:paraId="350461C1"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18</w:t>
            </w:r>
          </w:p>
        </w:tc>
        <w:tc>
          <w:tcPr>
            <w:tcW w:w="2693" w:type="dxa"/>
            <w:tcMar>
              <w:top w:w="28" w:type="dxa"/>
              <w:left w:w="57" w:type="dxa"/>
              <w:bottom w:w="28" w:type="dxa"/>
              <w:right w:w="57" w:type="dxa"/>
            </w:tcMar>
            <w:hideMark/>
          </w:tcPr>
          <w:p w14:paraId="042709D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Total amount of mercury released globally, in metric tons per year, based on parties’ inventories of releases from relevant sources</w:t>
            </w:r>
          </w:p>
        </w:tc>
        <w:tc>
          <w:tcPr>
            <w:tcW w:w="1559" w:type="dxa"/>
            <w:tcMar>
              <w:top w:w="28" w:type="dxa"/>
              <w:left w:w="57" w:type="dxa"/>
              <w:bottom w:w="28" w:type="dxa"/>
              <w:right w:w="57" w:type="dxa"/>
            </w:tcMar>
            <w:hideMark/>
          </w:tcPr>
          <w:p w14:paraId="68B1906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9</w:t>
            </w:r>
          </w:p>
        </w:tc>
        <w:tc>
          <w:tcPr>
            <w:tcW w:w="2410" w:type="dxa"/>
            <w:tcMar>
              <w:top w:w="28" w:type="dxa"/>
              <w:left w:w="57" w:type="dxa"/>
              <w:bottom w:w="28" w:type="dxa"/>
              <w:right w:w="57" w:type="dxa"/>
            </w:tcMar>
            <w:hideMark/>
          </w:tcPr>
          <w:p w14:paraId="7EFE1064"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73C7BD04"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National inventories</w:t>
            </w:r>
          </w:p>
        </w:tc>
        <w:tc>
          <w:tcPr>
            <w:tcW w:w="2409" w:type="dxa"/>
            <w:tcMar>
              <w:top w:w="28" w:type="dxa"/>
              <w:left w:w="57" w:type="dxa"/>
              <w:bottom w:w="28" w:type="dxa"/>
              <w:right w:w="57" w:type="dxa"/>
            </w:tcMar>
          </w:tcPr>
          <w:p w14:paraId="50AB49D9"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31D0663D" w14:textId="77777777" w:rsidTr="0055077A">
        <w:trPr>
          <w:trHeight w:val="57"/>
          <w:jc w:val="right"/>
        </w:trPr>
        <w:tc>
          <w:tcPr>
            <w:tcW w:w="425" w:type="dxa"/>
            <w:tcMar>
              <w:top w:w="28" w:type="dxa"/>
              <w:left w:w="57" w:type="dxa"/>
              <w:bottom w:w="28" w:type="dxa"/>
              <w:right w:w="57" w:type="dxa"/>
            </w:tcMar>
            <w:hideMark/>
          </w:tcPr>
          <w:p w14:paraId="7A44802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19</w:t>
            </w:r>
          </w:p>
        </w:tc>
        <w:tc>
          <w:tcPr>
            <w:tcW w:w="2693" w:type="dxa"/>
            <w:tcMar>
              <w:top w:w="28" w:type="dxa"/>
              <w:left w:w="57" w:type="dxa"/>
              <w:bottom w:w="28" w:type="dxa"/>
              <w:right w:w="57" w:type="dxa"/>
            </w:tcMar>
            <w:hideMark/>
          </w:tcPr>
          <w:p w14:paraId="30F5463D"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 taken measures to ensure that interim storage of non-waste mercury and mercury compounds intended for a use allowed to a party under the Convention is undertaken in an environmentally sound manner</w:t>
            </w:r>
          </w:p>
        </w:tc>
        <w:tc>
          <w:tcPr>
            <w:tcW w:w="1559" w:type="dxa"/>
            <w:tcMar>
              <w:top w:w="28" w:type="dxa"/>
              <w:left w:w="57" w:type="dxa"/>
              <w:bottom w:w="28" w:type="dxa"/>
              <w:right w:w="57" w:type="dxa"/>
            </w:tcMar>
            <w:hideMark/>
          </w:tcPr>
          <w:p w14:paraId="4C94658E"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10</w:t>
            </w:r>
          </w:p>
        </w:tc>
        <w:tc>
          <w:tcPr>
            <w:tcW w:w="2410" w:type="dxa"/>
            <w:tcMar>
              <w:top w:w="28" w:type="dxa"/>
              <w:left w:w="57" w:type="dxa"/>
              <w:bottom w:w="28" w:type="dxa"/>
              <w:right w:w="57" w:type="dxa"/>
            </w:tcMar>
            <w:hideMark/>
          </w:tcPr>
          <w:p w14:paraId="7408D8CA"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hideMark/>
          </w:tcPr>
          <w:p w14:paraId="1271C648"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Only parties that have mercury to store on an interim basis would have to take such measures.</w:t>
            </w:r>
          </w:p>
        </w:tc>
      </w:tr>
      <w:tr w:rsidR="005C676A" w:rsidRPr="005C676A" w14:paraId="67D75D4E" w14:textId="77777777" w:rsidTr="0055077A">
        <w:trPr>
          <w:trHeight w:val="57"/>
          <w:jc w:val="right"/>
        </w:trPr>
        <w:tc>
          <w:tcPr>
            <w:tcW w:w="425" w:type="dxa"/>
            <w:tcMar>
              <w:top w:w="28" w:type="dxa"/>
              <w:left w:w="57" w:type="dxa"/>
              <w:bottom w:w="28" w:type="dxa"/>
              <w:right w:w="57" w:type="dxa"/>
            </w:tcMar>
            <w:hideMark/>
          </w:tcPr>
          <w:p w14:paraId="22EF00D6"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20</w:t>
            </w:r>
          </w:p>
        </w:tc>
        <w:tc>
          <w:tcPr>
            <w:tcW w:w="2693" w:type="dxa"/>
            <w:tcMar>
              <w:top w:w="28" w:type="dxa"/>
              <w:left w:w="57" w:type="dxa"/>
              <w:bottom w:w="28" w:type="dxa"/>
              <w:right w:w="57" w:type="dxa"/>
            </w:tcMar>
            <w:hideMark/>
          </w:tcPr>
          <w:p w14:paraId="45FFE0F1"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Amount of waste consisting of mercury and mercury compounds subject to final disposal</w:t>
            </w:r>
          </w:p>
        </w:tc>
        <w:tc>
          <w:tcPr>
            <w:tcW w:w="1559" w:type="dxa"/>
            <w:tcMar>
              <w:top w:w="28" w:type="dxa"/>
              <w:left w:w="57" w:type="dxa"/>
              <w:bottom w:w="28" w:type="dxa"/>
              <w:right w:w="57" w:type="dxa"/>
            </w:tcMar>
            <w:hideMark/>
          </w:tcPr>
          <w:p w14:paraId="0465572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11</w:t>
            </w:r>
          </w:p>
        </w:tc>
        <w:tc>
          <w:tcPr>
            <w:tcW w:w="2410" w:type="dxa"/>
            <w:tcMar>
              <w:top w:w="28" w:type="dxa"/>
              <w:left w:w="57" w:type="dxa"/>
              <w:bottom w:w="28" w:type="dxa"/>
              <w:right w:w="57" w:type="dxa"/>
            </w:tcMar>
            <w:hideMark/>
          </w:tcPr>
          <w:p w14:paraId="3ECDC963"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77B3C0B7"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developed under the Convention</w:t>
            </w:r>
          </w:p>
        </w:tc>
        <w:tc>
          <w:tcPr>
            <w:tcW w:w="2409" w:type="dxa"/>
            <w:tcMar>
              <w:top w:w="28" w:type="dxa"/>
              <w:left w:w="57" w:type="dxa"/>
              <w:bottom w:w="28" w:type="dxa"/>
              <w:right w:w="57" w:type="dxa"/>
            </w:tcMar>
          </w:tcPr>
          <w:p w14:paraId="45F51FF2"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222599DA" w14:textId="77777777" w:rsidTr="0055077A">
        <w:trPr>
          <w:trHeight w:val="57"/>
          <w:jc w:val="right"/>
        </w:trPr>
        <w:tc>
          <w:tcPr>
            <w:tcW w:w="425" w:type="dxa"/>
            <w:tcMar>
              <w:top w:w="28" w:type="dxa"/>
              <w:left w:w="57" w:type="dxa"/>
              <w:bottom w:w="28" w:type="dxa"/>
              <w:right w:w="57" w:type="dxa"/>
            </w:tcMar>
            <w:hideMark/>
          </w:tcPr>
          <w:p w14:paraId="4C2363BC"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21</w:t>
            </w:r>
          </w:p>
        </w:tc>
        <w:tc>
          <w:tcPr>
            <w:tcW w:w="2693" w:type="dxa"/>
            <w:tcMar>
              <w:top w:w="28" w:type="dxa"/>
              <w:left w:w="57" w:type="dxa"/>
              <w:bottom w:w="28" w:type="dxa"/>
              <w:right w:w="57" w:type="dxa"/>
            </w:tcMar>
            <w:hideMark/>
          </w:tcPr>
          <w:p w14:paraId="04B5FA71"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utilize facilities for final disposal of waste consisting of mercury or mercury compounds</w:t>
            </w:r>
          </w:p>
        </w:tc>
        <w:tc>
          <w:tcPr>
            <w:tcW w:w="1559" w:type="dxa"/>
            <w:tcMar>
              <w:top w:w="28" w:type="dxa"/>
              <w:left w:w="57" w:type="dxa"/>
              <w:bottom w:w="28" w:type="dxa"/>
              <w:right w:w="57" w:type="dxa"/>
            </w:tcMar>
            <w:hideMark/>
          </w:tcPr>
          <w:p w14:paraId="54557E0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11</w:t>
            </w:r>
          </w:p>
        </w:tc>
        <w:tc>
          <w:tcPr>
            <w:tcW w:w="2410" w:type="dxa"/>
            <w:tcMar>
              <w:top w:w="28" w:type="dxa"/>
              <w:left w:w="57" w:type="dxa"/>
              <w:bottom w:w="28" w:type="dxa"/>
              <w:right w:w="57" w:type="dxa"/>
            </w:tcMar>
            <w:hideMark/>
          </w:tcPr>
          <w:p w14:paraId="6ED1404A"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hideMark/>
          </w:tcPr>
          <w:p w14:paraId="6C9C3DF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 xml:space="preserve">Consideration of this indicator during the evaluation will </w:t>
            </w:r>
            <w:proofErr w:type="gramStart"/>
            <w:r w:rsidRPr="005C676A">
              <w:rPr>
                <w:rFonts w:eastAsia="DengXian"/>
              </w:rPr>
              <w:t>take into account</w:t>
            </w:r>
            <w:proofErr w:type="gramEnd"/>
            <w:r w:rsidRPr="005C676A">
              <w:rPr>
                <w:rFonts w:eastAsia="DengXian"/>
              </w:rPr>
              <w:t xml:space="preserve"> the fact that parties with significant quantities of such waste require access to final disposal facilities but not all parties require their own disposal facility. </w:t>
            </w:r>
          </w:p>
          <w:p w14:paraId="4102C3FD"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The Convention allows mercury waste to be transported across national boundaries for environmentally sound disposal.</w:t>
            </w:r>
          </w:p>
        </w:tc>
      </w:tr>
      <w:tr w:rsidR="005C676A" w:rsidRPr="005C676A" w14:paraId="30022325" w14:textId="77777777" w:rsidTr="0055077A">
        <w:trPr>
          <w:trHeight w:val="57"/>
          <w:jc w:val="right"/>
        </w:trPr>
        <w:tc>
          <w:tcPr>
            <w:tcW w:w="425" w:type="dxa"/>
            <w:tcMar>
              <w:top w:w="28" w:type="dxa"/>
              <w:left w:w="57" w:type="dxa"/>
              <w:bottom w:w="28" w:type="dxa"/>
              <w:right w:w="57" w:type="dxa"/>
            </w:tcMar>
            <w:hideMark/>
          </w:tcPr>
          <w:p w14:paraId="178C0AF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22</w:t>
            </w:r>
          </w:p>
        </w:tc>
        <w:tc>
          <w:tcPr>
            <w:tcW w:w="2693" w:type="dxa"/>
            <w:tcMar>
              <w:top w:w="28" w:type="dxa"/>
              <w:left w:w="57" w:type="dxa"/>
              <w:bottom w:w="28" w:type="dxa"/>
              <w:right w:w="57" w:type="dxa"/>
            </w:tcMar>
            <w:hideMark/>
          </w:tcPr>
          <w:p w14:paraId="728DD6EF"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 implemented measures to meet the requirements of para. 3 of article 11</w:t>
            </w:r>
          </w:p>
        </w:tc>
        <w:tc>
          <w:tcPr>
            <w:tcW w:w="1559" w:type="dxa"/>
            <w:tcMar>
              <w:top w:w="28" w:type="dxa"/>
              <w:left w:w="57" w:type="dxa"/>
              <w:bottom w:w="28" w:type="dxa"/>
              <w:right w:w="57" w:type="dxa"/>
            </w:tcMar>
            <w:hideMark/>
          </w:tcPr>
          <w:p w14:paraId="467B7EE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11</w:t>
            </w:r>
          </w:p>
        </w:tc>
        <w:tc>
          <w:tcPr>
            <w:tcW w:w="2410" w:type="dxa"/>
            <w:tcMar>
              <w:top w:w="28" w:type="dxa"/>
              <w:left w:w="57" w:type="dxa"/>
              <w:bottom w:w="28" w:type="dxa"/>
              <w:right w:w="57" w:type="dxa"/>
            </w:tcMar>
            <w:hideMark/>
          </w:tcPr>
          <w:p w14:paraId="0AC0CD06"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tcPr>
          <w:p w14:paraId="218615E1"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515678C0" w14:textId="77777777" w:rsidTr="0055077A">
        <w:trPr>
          <w:trHeight w:val="57"/>
          <w:jc w:val="right"/>
        </w:trPr>
        <w:tc>
          <w:tcPr>
            <w:tcW w:w="425" w:type="dxa"/>
            <w:tcMar>
              <w:top w:w="28" w:type="dxa"/>
              <w:left w:w="57" w:type="dxa"/>
              <w:bottom w:w="28" w:type="dxa"/>
              <w:right w:w="57" w:type="dxa"/>
            </w:tcMar>
            <w:hideMark/>
          </w:tcPr>
          <w:p w14:paraId="5D0B0414"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23</w:t>
            </w:r>
          </w:p>
        </w:tc>
        <w:tc>
          <w:tcPr>
            <w:tcW w:w="2693" w:type="dxa"/>
            <w:tcMar>
              <w:top w:w="28" w:type="dxa"/>
              <w:left w:w="57" w:type="dxa"/>
              <w:bottom w:w="28" w:type="dxa"/>
              <w:right w:w="57" w:type="dxa"/>
            </w:tcMar>
            <w:hideMark/>
          </w:tcPr>
          <w:p w14:paraId="0AA8519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 endeavoured to develop strategies for identifying and assessing sites contaminated by mercury or mercury compounds in their territories</w:t>
            </w:r>
          </w:p>
        </w:tc>
        <w:tc>
          <w:tcPr>
            <w:tcW w:w="1559" w:type="dxa"/>
            <w:tcMar>
              <w:top w:w="28" w:type="dxa"/>
              <w:left w:w="57" w:type="dxa"/>
              <w:bottom w:w="28" w:type="dxa"/>
              <w:right w:w="57" w:type="dxa"/>
            </w:tcMar>
            <w:hideMark/>
          </w:tcPr>
          <w:p w14:paraId="764F4EB8"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12</w:t>
            </w:r>
          </w:p>
        </w:tc>
        <w:tc>
          <w:tcPr>
            <w:tcW w:w="2410" w:type="dxa"/>
            <w:tcMar>
              <w:top w:w="28" w:type="dxa"/>
              <w:left w:w="57" w:type="dxa"/>
              <w:bottom w:w="28" w:type="dxa"/>
              <w:right w:w="57" w:type="dxa"/>
            </w:tcMar>
            <w:hideMark/>
          </w:tcPr>
          <w:p w14:paraId="5B8BD783"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tcPr>
          <w:p w14:paraId="1ED7A15F"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7832C7B1" w14:textId="77777777" w:rsidTr="0055077A">
        <w:trPr>
          <w:trHeight w:val="57"/>
          <w:jc w:val="right"/>
        </w:trPr>
        <w:tc>
          <w:tcPr>
            <w:tcW w:w="425" w:type="dxa"/>
            <w:tcMar>
              <w:top w:w="28" w:type="dxa"/>
              <w:left w:w="57" w:type="dxa"/>
              <w:bottom w:w="28" w:type="dxa"/>
              <w:right w:w="57" w:type="dxa"/>
            </w:tcMar>
            <w:hideMark/>
          </w:tcPr>
          <w:p w14:paraId="7D634346"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Times New Roman"/>
              </w:rPr>
            </w:pPr>
            <w:r w:rsidRPr="005C676A">
              <w:t>24</w:t>
            </w:r>
          </w:p>
        </w:tc>
        <w:tc>
          <w:tcPr>
            <w:tcW w:w="2693" w:type="dxa"/>
            <w:tcMar>
              <w:top w:w="28" w:type="dxa"/>
              <w:left w:w="57" w:type="dxa"/>
              <w:bottom w:w="28" w:type="dxa"/>
              <w:right w:w="57" w:type="dxa"/>
            </w:tcMar>
            <w:hideMark/>
          </w:tcPr>
          <w:p w14:paraId="6418D95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 xml:space="preserve">Number of parties that have: </w:t>
            </w:r>
          </w:p>
          <w:p w14:paraId="28573487" w14:textId="77777777" w:rsidR="005C676A" w:rsidRPr="005C676A" w:rsidRDefault="005C676A" w:rsidP="0055077A">
            <w:pPr>
              <w:numPr>
                <w:ilvl w:val="0"/>
                <w:numId w:val="9"/>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Mobilized national resources for implementing the Convention within the reporting period</w:t>
            </w:r>
          </w:p>
          <w:p w14:paraId="3486E8EC" w14:textId="77777777" w:rsidR="005C676A" w:rsidRPr="005C676A" w:rsidRDefault="005C676A" w:rsidP="0055077A">
            <w:pPr>
              <w:numPr>
                <w:ilvl w:val="0"/>
                <w:numId w:val="9"/>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 xml:space="preserve">Contributed to the financial mechanism referred to in article 13, para. 5 </w:t>
            </w:r>
          </w:p>
          <w:p w14:paraId="36A28352" w14:textId="77777777" w:rsidR="005C676A" w:rsidRPr="005C676A" w:rsidRDefault="005C676A" w:rsidP="0055077A">
            <w:pPr>
              <w:numPr>
                <w:ilvl w:val="0"/>
                <w:numId w:val="9"/>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Received resources from the Global Environment Facility</w:t>
            </w:r>
          </w:p>
          <w:p w14:paraId="1394B59C" w14:textId="77777777" w:rsidR="005C676A" w:rsidRPr="005C676A" w:rsidRDefault="005C676A" w:rsidP="0055077A">
            <w:pPr>
              <w:numPr>
                <w:ilvl w:val="0"/>
                <w:numId w:val="9"/>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 xml:space="preserve">Received resources from the Specific International Programme to Support Capacity-Building and Technical Assistance </w:t>
            </w:r>
          </w:p>
        </w:tc>
        <w:tc>
          <w:tcPr>
            <w:tcW w:w="1559" w:type="dxa"/>
            <w:tcMar>
              <w:top w:w="28" w:type="dxa"/>
              <w:left w:w="57" w:type="dxa"/>
              <w:bottom w:w="28" w:type="dxa"/>
              <w:right w:w="57" w:type="dxa"/>
            </w:tcMar>
            <w:hideMark/>
          </w:tcPr>
          <w:p w14:paraId="4B07ECD3"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13</w:t>
            </w:r>
          </w:p>
        </w:tc>
        <w:tc>
          <w:tcPr>
            <w:tcW w:w="2410" w:type="dxa"/>
            <w:tcMar>
              <w:top w:w="28" w:type="dxa"/>
              <w:left w:w="57" w:type="dxa"/>
              <w:bottom w:w="28" w:type="dxa"/>
              <w:right w:w="57" w:type="dxa"/>
            </w:tcMar>
            <w:hideMark/>
          </w:tcPr>
          <w:p w14:paraId="0A153B9D"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6B9CAB28"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 xml:space="preserve">Reports of the Global Environment Facility </w:t>
            </w:r>
          </w:p>
          <w:p w14:paraId="745F156A"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of the Specific International Programme</w:t>
            </w:r>
          </w:p>
        </w:tc>
        <w:tc>
          <w:tcPr>
            <w:tcW w:w="2409" w:type="dxa"/>
            <w:tcMar>
              <w:top w:w="28" w:type="dxa"/>
              <w:left w:w="57" w:type="dxa"/>
              <w:bottom w:w="28" w:type="dxa"/>
              <w:right w:w="57" w:type="dxa"/>
            </w:tcMar>
          </w:tcPr>
          <w:p w14:paraId="7EC57552"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22FCF1EB" w14:textId="77777777" w:rsidTr="0055077A">
        <w:trPr>
          <w:trHeight w:val="57"/>
          <w:jc w:val="right"/>
        </w:trPr>
        <w:tc>
          <w:tcPr>
            <w:tcW w:w="425" w:type="dxa"/>
            <w:tcMar>
              <w:top w:w="28" w:type="dxa"/>
              <w:left w:w="57" w:type="dxa"/>
              <w:bottom w:w="28" w:type="dxa"/>
              <w:right w:w="57" w:type="dxa"/>
            </w:tcMar>
            <w:hideMark/>
          </w:tcPr>
          <w:p w14:paraId="4F23C9B6"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25</w:t>
            </w:r>
          </w:p>
        </w:tc>
        <w:tc>
          <w:tcPr>
            <w:tcW w:w="2693" w:type="dxa"/>
            <w:tcMar>
              <w:top w:w="28" w:type="dxa"/>
              <w:left w:w="57" w:type="dxa"/>
              <w:bottom w:w="28" w:type="dxa"/>
              <w:right w:w="57" w:type="dxa"/>
            </w:tcMar>
            <w:hideMark/>
          </w:tcPr>
          <w:p w14:paraId="2AFE2110"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roofErr w:type="gramStart"/>
            <w:r w:rsidRPr="005C676A">
              <w:rPr>
                <w:rFonts w:eastAsia="DengXian"/>
              </w:rPr>
              <w:t>Amount</w:t>
            </w:r>
            <w:proofErr w:type="gramEnd"/>
            <w:r w:rsidRPr="005C676A">
              <w:rPr>
                <w:rFonts w:eastAsia="DengXian"/>
              </w:rPr>
              <w:t xml:space="preserve"> of financial resources provided by: </w:t>
            </w:r>
          </w:p>
          <w:p w14:paraId="72472366" w14:textId="77777777" w:rsidR="005C676A" w:rsidRPr="005C676A" w:rsidRDefault="005C676A" w:rsidP="0055077A">
            <w:pPr>
              <w:numPr>
                <w:ilvl w:val="0"/>
                <w:numId w:val="10"/>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Global Environment Facility</w:t>
            </w:r>
          </w:p>
          <w:p w14:paraId="2E25EFED" w14:textId="77777777" w:rsidR="005C676A" w:rsidRPr="005C676A" w:rsidRDefault="005C676A" w:rsidP="0055077A">
            <w:pPr>
              <w:numPr>
                <w:ilvl w:val="0"/>
                <w:numId w:val="10"/>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Specific International Programme to Support Capacity-Building and Technical Assistance</w:t>
            </w:r>
          </w:p>
          <w:p w14:paraId="007211EC" w14:textId="77777777" w:rsidR="005C676A" w:rsidRPr="005C676A" w:rsidRDefault="005C676A" w:rsidP="0055077A">
            <w:pPr>
              <w:numPr>
                <w:ilvl w:val="0"/>
                <w:numId w:val="10"/>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Multilateral, regional and bilateral support</w:t>
            </w:r>
          </w:p>
        </w:tc>
        <w:tc>
          <w:tcPr>
            <w:tcW w:w="1559" w:type="dxa"/>
            <w:tcMar>
              <w:top w:w="28" w:type="dxa"/>
              <w:left w:w="57" w:type="dxa"/>
              <w:bottom w:w="28" w:type="dxa"/>
              <w:right w:w="57" w:type="dxa"/>
            </w:tcMar>
            <w:hideMark/>
          </w:tcPr>
          <w:p w14:paraId="33262E6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13</w:t>
            </w:r>
          </w:p>
        </w:tc>
        <w:tc>
          <w:tcPr>
            <w:tcW w:w="2410" w:type="dxa"/>
            <w:tcMar>
              <w:top w:w="28" w:type="dxa"/>
              <w:left w:w="57" w:type="dxa"/>
              <w:bottom w:w="28" w:type="dxa"/>
              <w:right w:w="57" w:type="dxa"/>
            </w:tcMar>
            <w:hideMark/>
          </w:tcPr>
          <w:p w14:paraId="5ACEEA94"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p w14:paraId="4F0A07D8"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 xml:space="preserve">Reports of the Global Environment Facility </w:t>
            </w:r>
          </w:p>
          <w:p w14:paraId="4EDBC3FB"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of the Specific International Programme</w:t>
            </w:r>
          </w:p>
        </w:tc>
        <w:tc>
          <w:tcPr>
            <w:tcW w:w="2409" w:type="dxa"/>
            <w:tcMar>
              <w:top w:w="28" w:type="dxa"/>
              <w:left w:w="57" w:type="dxa"/>
              <w:bottom w:w="28" w:type="dxa"/>
              <w:right w:w="57" w:type="dxa"/>
            </w:tcMar>
            <w:hideMark/>
          </w:tcPr>
          <w:p w14:paraId="5FFA5E35"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 xml:space="preserve">Resources can be understood to </w:t>
            </w:r>
            <w:proofErr w:type="spellStart"/>
            <w:r w:rsidRPr="005C676A">
              <w:rPr>
                <w:rFonts w:eastAsia="DengXian"/>
              </w:rPr>
              <w:t>mean</w:t>
            </w:r>
            <w:proofErr w:type="spellEnd"/>
            <w:r w:rsidRPr="005C676A">
              <w:rPr>
                <w:rFonts w:eastAsia="DengXian"/>
              </w:rPr>
              <w:t xml:space="preserve"> </w:t>
            </w:r>
            <w:proofErr w:type="spellStart"/>
            <w:r w:rsidRPr="005C676A">
              <w:rPr>
                <w:rFonts w:eastAsia="DengXian"/>
              </w:rPr>
              <w:t>financial</w:t>
            </w:r>
            <w:proofErr w:type="spellEnd"/>
            <w:r w:rsidRPr="005C676A">
              <w:rPr>
                <w:rFonts w:eastAsia="DengXian"/>
              </w:rPr>
              <w:t xml:space="preserve"> </w:t>
            </w:r>
            <w:proofErr w:type="spellStart"/>
            <w:r w:rsidRPr="005C676A">
              <w:rPr>
                <w:rFonts w:eastAsia="DengXian"/>
              </w:rPr>
              <w:t>resources</w:t>
            </w:r>
            <w:proofErr w:type="spellEnd"/>
            <w:r w:rsidRPr="005C676A">
              <w:rPr>
                <w:rFonts w:eastAsia="DengXian"/>
              </w:rPr>
              <w:t xml:space="preserve">, </w:t>
            </w:r>
            <w:proofErr w:type="spellStart"/>
            <w:r w:rsidRPr="005C676A">
              <w:rPr>
                <w:rFonts w:eastAsia="DengXian"/>
              </w:rPr>
              <w:t>co</w:t>
            </w:r>
            <w:proofErr w:type="spellEnd"/>
            <w:r w:rsidRPr="005C676A">
              <w:rPr>
                <w:lang w:val="en-US" w:eastAsia="en-US"/>
              </w:rPr>
              <w:noBreakHyphen/>
            </w:r>
            <w:proofErr w:type="spellStart"/>
            <w:r w:rsidRPr="005C676A">
              <w:rPr>
                <w:rFonts w:eastAsia="DengXian"/>
              </w:rPr>
              <w:t>financing</w:t>
            </w:r>
            <w:proofErr w:type="spellEnd"/>
            <w:r w:rsidRPr="005C676A">
              <w:rPr>
                <w:rFonts w:eastAsia="DengXian"/>
              </w:rPr>
              <w:t xml:space="preserve"> </w:t>
            </w:r>
            <w:proofErr w:type="spellStart"/>
            <w:r w:rsidRPr="005C676A">
              <w:rPr>
                <w:rFonts w:eastAsia="DengXian"/>
              </w:rPr>
              <w:t>resources</w:t>
            </w:r>
            <w:proofErr w:type="spellEnd"/>
            <w:r w:rsidRPr="005C676A">
              <w:rPr>
                <w:rFonts w:eastAsia="DengXian"/>
              </w:rPr>
              <w:t>, or in-</w:t>
            </w:r>
            <w:proofErr w:type="spellStart"/>
            <w:r w:rsidRPr="005C676A">
              <w:rPr>
                <w:rFonts w:eastAsia="DengXian"/>
              </w:rPr>
              <w:t>kind</w:t>
            </w:r>
            <w:proofErr w:type="spellEnd"/>
            <w:r w:rsidRPr="005C676A">
              <w:rPr>
                <w:rFonts w:eastAsia="DengXian"/>
              </w:rPr>
              <w:t xml:space="preserve"> resources.</w:t>
            </w:r>
          </w:p>
        </w:tc>
      </w:tr>
      <w:tr w:rsidR="005C676A" w:rsidRPr="005C676A" w14:paraId="034016A1" w14:textId="77777777" w:rsidTr="0055077A">
        <w:trPr>
          <w:trHeight w:val="57"/>
          <w:jc w:val="right"/>
        </w:trPr>
        <w:tc>
          <w:tcPr>
            <w:tcW w:w="425" w:type="dxa"/>
            <w:tcMar>
              <w:top w:w="28" w:type="dxa"/>
              <w:left w:w="57" w:type="dxa"/>
              <w:bottom w:w="28" w:type="dxa"/>
              <w:right w:w="57" w:type="dxa"/>
            </w:tcMar>
            <w:hideMark/>
          </w:tcPr>
          <w:p w14:paraId="5CD995F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26</w:t>
            </w:r>
          </w:p>
        </w:tc>
        <w:tc>
          <w:tcPr>
            <w:tcW w:w="2693" w:type="dxa"/>
            <w:tcMar>
              <w:top w:w="28" w:type="dxa"/>
              <w:left w:w="57" w:type="dxa"/>
              <w:bottom w:w="28" w:type="dxa"/>
              <w:right w:w="57" w:type="dxa"/>
            </w:tcMar>
            <w:hideMark/>
          </w:tcPr>
          <w:p w14:paraId="225B1D84"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w:t>
            </w:r>
          </w:p>
          <w:p w14:paraId="1C88234D" w14:textId="77777777" w:rsidR="005C676A" w:rsidRPr="005C676A" w:rsidRDefault="005C676A" w:rsidP="0055077A">
            <w:pPr>
              <w:numPr>
                <w:ilvl w:val="0"/>
                <w:numId w:val="11"/>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Cooperated in providing capacity-building or technical assistance to another party pursuant to article 14</w:t>
            </w:r>
          </w:p>
          <w:p w14:paraId="2DBF0C5A" w14:textId="77777777" w:rsidR="005C676A" w:rsidRPr="005C676A" w:rsidRDefault="005C676A" w:rsidP="0055077A">
            <w:pPr>
              <w:numPr>
                <w:ilvl w:val="0"/>
                <w:numId w:val="11"/>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Received capacity-building or technical assistance pursuant to article 14</w:t>
            </w:r>
          </w:p>
          <w:p w14:paraId="1549A832" w14:textId="77777777" w:rsidR="005C676A" w:rsidRPr="005C676A" w:rsidRDefault="005C676A" w:rsidP="0055077A">
            <w:pPr>
              <w:numPr>
                <w:ilvl w:val="0"/>
                <w:numId w:val="11"/>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Promoted or facilitated technology development, transfer, diffusion or access</w:t>
            </w:r>
          </w:p>
        </w:tc>
        <w:tc>
          <w:tcPr>
            <w:tcW w:w="1559" w:type="dxa"/>
            <w:tcMar>
              <w:top w:w="28" w:type="dxa"/>
              <w:left w:w="57" w:type="dxa"/>
              <w:bottom w:w="28" w:type="dxa"/>
              <w:right w:w="57" w:type="dxa"/>
            </w:tcMar>
            <w:hideMark/>
          </w:tcPr>
          <w:p w14:paraId="45C6554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14</w:t>
            </w:r>
          </w:p>
        </w:tc>
        <w:tc>
          <w:tcPr>
            <w:tcW w:w="2410" w:type="dxa"/>
            <w:tcMar>
              <w:top w:w="28" w:type="dxa"/>
              <w:left w:w="57" w:type="dxa"/>
              <w:bottom w:w="28" w:type="dxa"/>
              <w:right w:w="57" w:type="dxa"/>
            </w:tcMar>
            <w:hideMark/>
          </w:tcPr>
          <w:p w14:paraId="64C2CA87"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tcPr>
          <w:p w14:paraId="1FE0844C"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4F83C36E" w14:textId="77777777" w:rsidTr="0055077A">
        <w:trPr>
          <w:trHeight w:val="57"/>
          <w:jc w:val="right"/>
        </w:trPr>
        <w:tc>
          <w:tcPr>
            <w:tcW w:w="425" w:type="dxa"/>
            <w:tcMar>
              <w:top w:w="28" w:type="dxa"/>
              <w:left w:w="57" w:type="dxa"/>
              <w:bottom w:w="28" w:type="dxa"/>
              <w:right w:w="57" w:type="dxa"/>
            </w:tcMar>
            <w:hideMark/>
          </w:tcPr>
          <w:p w14:paraId="4CB0C8BF"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27</w:t>
            </w:r>
          </w:p>
        </w:tc>
        <w:tc>
          <w:tcPr>
            <w:tcW w:w="2693" w:type="dxa"/>
            <w:tcMar>
              <w:top w:w="28" w:type="dxa"/>
              <w:left w:w="57" w:type="dxa"/>
              <w:bottom w:w="28" w:type="dxa"/>
              <w:right w:w="57" w:type="dxa"/>
            </w:tcMar>
            <w:hideMark/>
          </w:tcPr>
          <w:p w14:paraId="35123250"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 taken measures to provide information to the public on the effects of exposure to mercury</w:t>
            </w:r>
          </w:p>
        </w:tc>
        <w:tc>
          <w:tcPr>
            <w:tcW w:w="1559" w:type="dxa"/>
            <w:tcMar>
              <w:top w:w="28" w:type="dxa"/>
              <w:left w:w="57" w:type="dxa"/>
              <w:bottom w:w="28" w:type="dxa"/>
              <w:right w:w="57" w:type="dxa"/>
            </w:tcMar>
            <w:hideMark/>
          </w:tcPr>
          <w:p w14:paraId="1620F943"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16</w:t>
            </w:r>
          </w:p>
        </w:tc>
        <w:tc>
          <w:tcPr>
            <w:tcW w:w="2410" w:type="dxa"/>
            <w:tcMar>
              <w:top w:w="28" w:type="dxa"/>
              <w:left w:w="57" w:type="dxa"/>
              <w:bottom w:w="28" w:type="dxa"/>
              <w:right w:w="57" w:type="dxa"/>
            </w:tcMar>
            <w:hideMark/>
          </w:tcPr>
          <w:p w14:paraId="0A073CC9"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tcPr>
          <w:p w14:paraId="52B39C65"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74D0ED45" w14:textId="77777777" w:rsidTr="0055077A">
        <w:trPr>
          <w:trHeight w:val="57"/>
          <w:jc w:val="right"/>
        </w:trPr>
        <w:tc>
          <w:tcPr>
            <w:tcW w:w="425" w:type="dxa"/>
            <w:tcMar>
              <w:top w:w="28" w:type="dxa"/>
              <w:left w:w="57" w:type="dxa"/>
              <w:bottom w:w="28" w:type="dxa"/>
              <w:right w:w="57" w:type="dxa"/>
            </w:tcMar>
            <w:hideMark/>
          </w:tcPr>
          <w:p w14:paraId="0CED2CA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28</w:t>
            </w:r>
          </w:p>
        </w:tc>
        <w:tc>
          <w:tcPr>
            <w:tcW w:w="2693" w:type="dxa"/>
            <w:tcMar>
              <w:top w:w="28" w:type="dxa"/>
              <w:left w:w="57" w:type="dxa"/>
              <w:bottom w:w="28" w:type="dxa"/>
              <w:right w:w="57" w:type="dxa"/>
            </w:tcMar>
            <w:hideMark/>
          </w:tcPr>
          <w:p w14:paraId="01D6C668"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 xml:space="preserve">Number of parties that have </w:t>
            </w:r>
            <w:r w:rsidRPr="005C676A">
              <w:t xml:space="preserve">developed and implemented strategies and programmes </w:t>
            </w:r>
            <w:r w:rsidRPr="005C676A">
              <w:rPr>
                <w:rFonts w:eastAsia="DengXian"/>
              </w:rPr>
              <w:t xml:space="preserve">to protect human health </w:t>
            </w:r>
            <w:r w:rsidRPr="005C676A">
              <w:t>from the exposure to mercury or mercury compounds</w:t>
            </w:r>
          </w:p>
        </w:tc>
        <w:tc>
          <w:tcPr>
            <w:tcW w:w="1559" w:type="dxa"/>
            <w:tcMar>
              <w:top w:w="28" w:type="dxa"/>
              <w:left w:w="57" w:type="dxa"/>
              <w:bottom w:w="28" w:type="dxa"/>
              <w:right w:w="57" w:type="dxa"/>
            </w:tcMar>
            <w:hideMark/>
          </w:tcPr>
          <w:p w14:paraId="27863F0D"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16</w:t>
            </w:r>
          </w:p>
        </w:tc>
        <w:tc>
          <w:tcPr>
            <w:tcW w:w="2410" w:type="dxa"/>
            <w:tcMar>
              <w:top w:w="28" w:type="dxa"/>
              <w:left w:w="57" w:type="dxa"/>
              <w:bottom w:w="28" w:type="dxa"/>
              <w:right w:w="57" w:type="dxa"/>
            </w:tcMar>
            <w:hideMark/>
          </w:tcPr>
          <w:p w14:paraId="642DA333"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tcPr>
          <w:p w14:paraId="45DAC553"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2B63DD4B" w14:textId="77777777" w:rsidTr="0055077A">
        <w:trPr>
          <w:trHeight w:val="57"/>
          <w:jc w:val="right"/>
        </w:trPr>
        <w:tc>
          <w:tcPr>
            <w:tcW w:w="425" w:type="dxa"/>
            <w:tcMar>
              <w:top w:w="28" w:type="dxa"/>
              <w:left w:w="57" w:type="dxa"/>
              <w:bottom w:w="28" w:type="dxa"/>
              <w:right w:w="57" w:type="dxa"/>
            </w:tcMar>
            <w:hideMark/>
          </w:tcPr>
          <w:p w14:paraId="0E2B7465"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29</w:t>
            </w:r>
          </w:p>
        </w:tc>
        <w:tc>
          <w:tcPr>
            <w:tcW w:w="2693" w:type="dxa"/>
            <w:tcMar>
              <w:top w:w="28" w:type="dxa"/>
              <w:left w:w="57" w:type="dxa"/>
              <w:bottom w:w="28" w:type="dxa"/>
              <w:right w:w="57" w:type="dxa"/>
            </w:tcMar>
            <w:hideMark/>
          </w:tcPr>
          <w:p w14:paraId="341CF1C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Mercury levels in vulnerable human populations</w:t>
            </w:r>
            <w:r w:rsidRPr="005C676A">
              <w:t xml:space="preserve"> </w:t>
            </w:r>
          </w:p>
        </w:tc>
        <w:tc>
          <w:tcPr>
            <w:tcW w:w="1559" w:type="dxa"/>
            <w:tcMar>
              <w:top w:w="28" w:type="dxa"/>
              <w:left w:w="57" w:type="dxa"/>
              <w:bottom w:w="28" w:type="dxa"/>
              <w:right w:w="57" w:type="dxa"/>
            </w:tcMar>
            <w:hideMark/>
          </w:tcPr>
          <w:p w14:paraId="557423C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16</w:t>
            </w:r>
          </w:p>
        </w:tc>
        <w:tc>
          <w:tcPr>
            <w:tcW w:w="2410" w:type="dxa"/>
            <w:tcMar>
              <w:top w:w="28" w:type="dxa"/>
              <w:left w:w="57" w:type="dxa"/>
              <w:bottom w:w="28" w:type="dxa"/>
              <w:right w:w="57" w:type="dxa"/>
            </w:tcMar>
            <w:hideMark/>
          </w:tcPr>
          <w:p w14:paraId="638D63E1"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and other information provided by the Open-ended Scientific Group</w:t>
            </w:r>
          </w:p>
        </w:tc>
        <w:tc>
          <w:tcPr>
            <w:tcW w:w="2409" w:type="dxa"/>
            <w:tcMar>
              <w:top w:w="28" w:type="dxa"/>
              <w:left w:w="57" w:type="dxa"/>
              <w:bottom w:w="28" w:type="dxa"/>
              <w:right w:w="57" w:type="dxa"/>
            </w:tcMar>
            <w:hideMark/>
          </w:tcPr>
          <w:p w14:paraId="423D9FB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As the analysis of monitoring data progresses, the Open</w:t>
            </w:r>
            <w:r w:rsidRPr="005C676A">
              <w:rPr>
                <w:lang w:val="en-US" w:eastAsia="en-US"/>
              </w:rPr>
              <w:noBreakHyphen/>
            </w:r>
            <w:proofErr w:type="spellStart"/>
            <w:r w:rsidRPr="005C676A">
              <w:rPr>
                <w:rFonts w:eastAsia="DengXian"/>
              </w:rPr>
              <w:t>ended</w:t>
            </w:r>
            <w:proofErr w:type="spellEnd"/>
            <w:r w:rsidRPr="005C676A">
              <w:rPr>
                <w:rFonts w:eastAsia="DengXian"/>
              </w:rPr>
              <w:t xml:space="preserve"> Scientific Group </w:t>
            </w:r>
            <w:proofErr w:type="spellStart"/>
            <w:r w:rsidRPr="005C676A">
              <w:rPr>
                <w:rFonts w:eastAsia="DengXian"/>
              </w:rPr>
              <w:t>may</w:t>
            </w:r>
            <w:proofErr w:type="spellEnd"/>
            <w:r w:rsidRPr="005C676A">
              <w:rPr>
                <w:rFonts w:eastAsia="DengXian"/>
              </w:rPr>
              <w:t xml:space="preserve"> further elaborate on this indicator (for example, by proposing sub-indicators). </w:t>
            </w:r>
          </w:p>
          <w:p w14:paraId="51259F7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The monitoring guidance, as contained in document UNEP/MC/COP.4/INF/12, may also support considerations regarding this indicator.</w:t>
            </w:r>
          </w:p>
        </w:tc>
      </w:tr>
      <w:tr w:rsidR="005C676A" w:rsidRPr="005C676A" w14:paraId="518FE908" w14:textId="77777777" w:rsidTr="0055077A">
        <w:trPr>
          <w:trHeight w:val="57"/>
          <w:jc w:val="right"/>
        </w:trPr>
        <w:tc>
          <w:tcPr>
            <w:tcW w:w="425" w:type="dxa"/>
            <w:tcMar>
              <w:top w:w="28" w:type="dxa"/>
              <w:left w:w="57" w:type="dxa"/>
              <w:bottom w:w="28" w:type="dxa"/>
              <w:right w:w="57" w:type="dxa"/>
            </w:tcMar>
            <w:hideMark/>
          </w:tcPr>
          <w:p w14:paraId="312D5526"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30</w:t>
            </w:r>
          </w:p>
        </w:tc>
        <w:tc>
          <w:tcPr>
            <w:tcW w:w="2693" w:type="dxa"/>
            <w:tcMar>
              <w:top w:w="28" w:type="dxa"/>
              <w:left w:w="57" w:type="dxa"/>
              <w:bottom w:w="28" w:type="dxa"/>
              <w:right w:w="57" w:type="dxa"/>
            </w:tcMar>
            <w:hideMark/>
          </w:tcPr>
          <w:p w14:paraId="3328508C"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with designated national focal points</w:t>
            </w:r>
          </w:p>
        </w:tc>
        <w:tc>
          <w:tcPr>
            <w:tcW w:w="1559" w:type="dxa"/>
            <w:tcMar>
              <w:top w:w="28" w:type="dxa"/>
              <w:left w:w="57" w:type="dxa"/>
              <w:bottom w:w="28" w:type="dxa"/>
              <w:right w:w="57" w:type="dxa"/>
            </w:tcMar>
            <w:hideMark/>
          </w:tcPr>
          <w:p w14:paraId="2CA6D81D"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17</w:t>
            </w:r>
          </w:p>
        </w:tc>
        <w:tc>
          <w:tcPr>
            <w:tcW w:w="2410" w:type="dxa"/>
            <w:tcMar>
              <w:top w:w="28" w:type="dxa"/>
              <w:left w:w="57" w:type="dxa"/>
              <w:bottom w:w="28" w:type="dxa"/>
              <w:right w:w="57" w:type="dxa"/>
            </w:tcMar>
            <w:hideMark/>
          </w:tcPr>
          <w:p w14:paraId="17BD8E6E"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Notifications by parties</w:t>
            </w:r>
          </w:p>
        </w:tc>
        <w:tc>
          <w:tcPr>
            <w:tcW w:w="2409" w:type="dxa"/>
            <w:tcMar>
              <w:top w:w="28" w:type="dxa"/>
              <w:left w:w="57" w:type="dxa"/>
              <w:bottom w:w="28" w:type="dxa"/>
              <w:right w:w="57" w:type="dxa"/>
            </w:tcMar>
          </w:tcPr>
          <w:p w14:paraId="5E0DC6C9"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40191836" w14:textId="77777777" w:rsidTr="0055077A">
        <w:trPr>
          <w:trHeight w:val="57"/>
          <w:jc w:val="right"/>
        </w:trPr>
        <w:tc>
          <w:tcPr>
            <w:tcW w:w="425" w:type="dxa"/>
            <w:tcMar>
              <w:top w:w="28" w:type="dxa"/>
              <w:left w:w="57" w:type="dxa"/>
              <w:bottom w:w="28" w:type="dxa"/>
              <w:right w:w="57" w:type="dxa"/>
            </w:tcMar>
            <w:hideMark/>
          </w:tcPr>
          <w:p w14:paraId="18EBB3D9"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31</w:t>
            </w:r>
          </w:p>
        </w:tc>
        <w:tc>
          <w:tcPr>
            <w:tcW w:w="2693" w:type="dxa"/>
            <w:tcMar>
              <w:top w:w="28" w:type="dxa"/>
              <w:left w:w="57" w:type="dxa"/>
              <w:bottom w:w="28" w:type="dxa"/>
              <w:right w:w="57" w:type="dxa"/>
            </w:tcMar>
            <w:hideMark/>
          </w:tcPr>
          <w:p w14:paraId="255F3A70"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 facilitated the exchange of information related to mercury</w:t>
            </w:r>
          </w:p>
        </w:tc>
        <w:tc>
          <w:tcPr>
            <w:tcW w:w="1559" w:type="dxa"/>
            <w:tcMar>
              <w:top w:w="28" w:type="dxa"/>
              <w:left w:w="57" w:type="dxa"/>
              <w:bottom w:w="28" w:type="dxa"/>
              <w:right w:w="57" w:type="dxa"/>
            </w:tcMar>
            <w:hideMark/>
          </w:tcPr>
          <w:p w14:paraId="5151B3C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17</w:t>
            </w:r>
          </w:p>
        </w:tc>
        <w:tc>
          <w:tcPr>
            <w:tcW w:w="2410" w:type="dxa"/>
            <w:tcMar>
              <w:top w:w="28" w:type="dxa"/>
              <w:left w:w="57" w:type="dxa"/>
              <w:bottom w:w="28" w:type="dxa"/>
              <w:right w:w="57" w:type="dxa"/>
            </w:tcMar>
            <w:hideMark/>
          </w:tcPr>
          <w:p w14:paraId="466AB202"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tcPr>
          <w:p w14:paraId="063BD2F8"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35AAA5D7" w14:textId="77777777" w:rsidTr="0055077A">
        <w:trPr>
          <w:trHeight w:val="57"/>
          <w:jc w:val="right"/>
        </w:trPr>
        <w:tc>
          <w:tcPr>
            <w:tcW w:w="425" w:type="dxa"/>
            <w:tcMar>
              <w:top w:w="28" w:type="dxa"/>
              <w:left w:w="57" w:type="dxa"/>
              <w:bottom w:w="28" w:type="dxa"/>
              <w:right w:w="57" w:type="dxa"/>
            </w:tcMar>
            <w:hideMark/>
          </w:tcPr>
          <w:p w14:paraId="1DC2983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32</w:t>
            </w:r>
          </w:p>
        </w:tc>
        <w:tc>
          <w:tcPr>
            <w:tcW w:w="2693" w:type="dxa"/>
            <w:tcMar>
              <w:top w:w="28" w:type="dxa"/>
              <w:left w:w="57" w:type="dxa"/>
              <w:bottom w:w="28" w:type="dxa"/>
              <w:right w:w="57" w:type="dxa"/>
            </w:tcMar>
            <w:hideMark/>
          </w:tcPr>
          <w:p w14:paraId="4D569CEC"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 promoted and facilitated public</w:t>
            </w:r>
            <w:r w:rsidRPr="005C676A">
              <w:t xml:space="preserve"> information, awareness and education </w:t>
            </w:r>
            <w:r w:rsidRPr="005C676A">
              <w:rPr>
                <w:rFonts w:eastAsia="DengXian"/>
              </w:rPr>
              <w:t>related to mercury</w:t>
            </w:r>
          </w:p>
        </w:tc>
        <w:tc>
          <w:tcPr>
            <w:tcW w:w="1559" w:type="dxa"/>
            <w:tcMar>
              <w:top w:w="28" w:type="dxa"/>
              <w:left w:w="57" w:type="dxa"/>
              <w:bottom w:w="28" w:type="dxa"/>
              <w:right w:w="57" w:type="dxa"/>
            </w:tcMar>
            <w:hideMark/>
          </w:tcPr>
          <w:p w14:paraId="0ECED7E3"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18</w:t>
            </w:r>
          </w:p>
        </w:tc>
        <w:tc>
          <w:tcPr>
            <w:tcW w:w="2410" w:type="dxa"/>
            <w:tcMar>
              <w:top w:w="28" w:type="dxa"/>
              <w:left w:w="57" w:type="dxa"/>
              <w:bottom w:w="28" w:type="dxa"/>
              <w:right w:w="57" w:type="dxa"/>
            </w:tcMar>
            <w:hideMark/>
          </w:tcPr>
          <w:p w14:paraId="303CE440"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tcPr>
          <w:p w14:paraId="2B0D3B5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1D7BC1B3" w14:textId="77777777" w:rsidTr="0055077A">
        <w:trPr>
          <w:trHeight w:val="57"/>
          <w:jc w:val="right"/>
        </w:trPr>
        <w:tc>
          <w:tcPr>
            <w:tcW w:w="425" w:type="dxa"/>
            <w:tcMar>
              <w:top w:w="28" w:type="dxa"/>
              <w:left w:w="57" w:type="dxa"/>
              <w:bottom w:w="28" w:type="dxa"/>
              <w:right w:w="57" w:type="dxa"/>
            </w:tcMar>
            <w:hideMark/>
          </w:tcPr>
          <w:p w14:paraId="6EA90125"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33</w:t>
            </w:r>
          </w:p>
        </w:tc>
        <w:tc>
          <w:tcPr>
            <w:tcW w:w="2693" w:type="dxa"/>
            <w:tcMar>
              <w:top w:w="28" w:type="dxa"/>
              <w:left w:w="57" w:type="dxa"/>
              <w:bottom w:w="28" w:type="dxa"/>
              <w:right w:w="57" w:type="dxa"/>
            </w:tcMar>
            <w:hideMark/>
          </w:tcPr>
          <w:p w14:paraId="649DD2B0"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 endeavoured to cooperate in undertaking research, development and monitoring</w:t>
            </w:r>
          </w:p>
        </w:tc>
        <w:tc>
          <w:tcPr>
            <w:tcW w:w="1559" w:type="dxa"/>
            <w:tcMar>
              <w:top w:w="28" w:type="dxa"/>
              <w:left w:w="57" w:type="dxa"/>
              <w:bottom w:w="28" w:type="dxa"/>
              <w:right w:w="57" w:type="dxa"/>
            </w:tcMar>
            <w:hideMark/>
          </w:tcPr>
          <w:p w14:paraId="15A899A9"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19</w:t>
            </w:r>
          </w:p>
        </w:tc>
        <w:tc>
          <w:tcPr>
            <w:tcW w:w="2410" w:type="dxa"/>
            <w:tcMar>
              <w:top w:w="28" w:type="dxa"/>
              <w:left w:w="57" w:type="dxa"/>
              <w:bottom w:w="28" w:type="dxa"/>
              <w:right w:w="57" w:type="dxa"/>
            </w:tcMar>
            <w:hideMark/>
          </w:tcPr>
          <w:p w14:paraId="001B9535"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Mar>
              <w:top w:w="28" w:type="dxa"/>
              <w:left w:w="57" w:type="dxa"/>
              <w:bottom w:w="28" w:type="dxa"/>
              <w:right w:w="57" w:type="dxa"/>
            </w:tcMar>
            <w:hideMark/>
          </w:tcPr>
          <w:p w14:paraId="3D37B732"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Cooperation to undertake research, development and monitoring can be participation in international, regional or bilateral efforts.</w:t>
            </w:r>
          </w:p>
        </w:tc>
      </w:tr>
      <w:tr w:rsidR="005C676A" w:rsidRPr="005C676A" w14:paraId="50D93DC6" w14:textId="77777777" w:rsidTr="0055077A">
        <w:trPr>
          <w:trHeight w:val="57"/>
          <w:jc w:val="right"/>
        </w:trPr>
        <w:tc>
          <w:tcPr>
            <w:tcW w:w="425" w:type="dxa"/>
            <w:tcMar>
              <w:top w:w="28" w:type="dxa"/>
              <w:left w:w="57" w:type="dxa"/>
              <w:bottom w:w="28" w:type="dxa"/>
              <w:right w:w="57" w:type="dxa"/>
            </w:tcMar>
            <w:hideMark/>
          </w:tcPr>
          <w:p w14:paraId="2FC2AB4C"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34</w:t>
            </w:r>
          </w:p>
        </w:tc>
        <w:tc>
          <w:tcPr>
            <w:tcW w:w="2693" w:type="dxa"/>
            <w:tcMar>
              <w:top w:w="28" w:type="dxa"/>
              <w:left w:w="57" w:type="dxa"/>
              <w:bottom w:w="28" w:type="dxa"/>
              <w:right w:w="57" w:type="dxa"/>
            </w:tcMar>
            <w:hideMark/>
          </w:tcPr>
          <w:p w14:paraId="5A325015"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parties that have submitted national reports</w:t>
            </w:r>
          </w:p>
        </w:tc>
        <w:tc>
          <w:tcPr>
            <w:tcW w:w="1559" w:type="dxa"/>
            <w:tcMar>
              <w:top w:w="28" w:type="dxa"/>
              <w:left w:w="57" w:type="dxa"/>
              <w:bottom w:w="28" w:type="dxa"/>
              <w:right w:w="57" w:type="dxa"/>
            </w:tcMar>
            <w:hideMark/>
          </w:tcPr>
          <w:p w14:paraId="57372EC9"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21</w:t>
            </w:r>
          </w:p>
        </w:tc>
        <w:tc>
          <w:tcPr>
            <w:tcW w:w="2410" w:type="dxa"/>
            <w:tcMar>
              <w:top w:w="28" w:type="dxa"/>
              <w:left w:w="57" w:type="dxa"/>
              <w:bottom w:w="28" w:type="dxa"/>
              <w:right w:w="57" w:type="dxa"/>
            </w:tcMar>
            <w:hideMark/>
          </w:tcPr>
          <w:p w14:paraId="7B0ACA34"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 xml:space="preserve">Secretariat’s report based on the information received pursuant to article 21 </w:t>
            </w:r>
          </w:p>
        </w:tc>
        <w:tc>
          <w:tcPr>
            <w:tcW w:w="2409" w:type="dxa"/>
            <w:tcMar>
              <w:top w:w="28" w:type="dxa"/>
              <w:left w:w="57" w:type="dxa"/>
              <w:bottom w:w="28" w:type="dxa"/>
              <w:right w:w="57" w:type="dxa"/>
            </w:tcMar>
          </w:tcPr>
          <w:p w14:paraId="67FC3063"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0B32A41D" w14:textId="77777777" w:rsidTr="0055077A">
        <w:trPr>
          <w:trHeight w:val="57"/>
          <w:jc w:val="right"/>
        </w:trPr>
        <w:tc>
          <w:tcPr>
            <w:tcW w:w="425" w:type="dxa"/>
            <w:tcMar>
              <w:top w:w="28" w:type="dxa"/>
              <w:left w:w="57" w:type="dxa"/>
              <w:bottom w:w="28" w:type="dxa"/>
              <w:right w:w="57" w:type="dxa"/>
            </w:tcMar>
            <w:hideMark/>
          </w:tcPr>
          <w:p w14:paraId="3923BFC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35</w:t>
            </w:r>
          </w:p>
        </w:tc>
        <w:tc>
          <w:tcPr>
            <w:tcW w:w="2693" w:type="dxa"/>
            <w:tcMar>
              <w:top w:w="28" w:type="dxa"/>
              <w:left w:w="57" w:type="dxa"/>
              <w:bottom w:w="28" w:type="dxa"/>
              <w:right w:w="57" w:type="dxa"/>
            </w:tcMar>
            <w:hideMark/>
          </w:tcPr>
          <w:p w14:paraId="2B810FE2"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Number of national reports received that were:</w:t>
            </w:r>
          </w:p>
          <w:p w14:paraId="114B1BBC" w14:textId="77777777" w:rsidR="005C676A" w:rsidRPr="005C676A" w:rsidRDefault="005C676A" w:rsidP="0055077A">
            <w:pPr>
              <w:numPr>
                <w:ilvl w:val="0"/>
                <w:numId w:val="1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Complete</w:t>
            </w:r>
          </w:p>
          <w:p w14:paraId="0973AB7B" w14:textId="77777777" w:rsidR="005C676A" w:rsidRPr="005C676A" w:rsidRDefault="005C676A" w:rsidP="0055077A">
            <w:pPr>
              <w:numPr>
                <w:ilvl w:val="0"/>
                <w:numId w:val="1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 xml:space="preserve">Submitted on time </w:t>
            </w:r>
          </w:p>
        </w:tc>
        <w:tc>
          <w:tcPr>
            <w:tcW w:w="1559" w:type="dxa"/>
            <w:tcMar>
              <w:top w:w="28" w:type="dxa"/>
              <w:left w:w="57" w:type="dxa"/>
              <w:bottom w:w="28" w:type="dxa"/>
              <w:right w:w="57" w:type="dxa"/>
            </w:tcMar>
            <w:hideMark/>
          </w:tcPr>
          <w:p w14:paraId="3586394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21</w:t>
            </w:r>
          </w:p>
        </w:tc>
        <w:tc>
          <w:tcPr>
            <w:tcW w:w="2410" w:type="dxa"/>
            <w:tcMar>
              <w:top w:w="28" w:type="dxa"/>
              <w:left w:w="57" w:type="dxa"/>
              <w:bottom w:w="28" w:type="dxa"/>
              <w:right w:w="57" w:type="dxa"/>
            </w:tcMar>
            <w:hideMark/>
          </w:tcPr>
          <w:p w14:paraId="7950C124"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Secretariat’s report based on the information received pursuant to article 21</w:t>
            </w:r>
          </w:p>
        </w:tc>
        <w:tc>
          <w:tcPr>
            <w:tcW w:w="2409" w:type="dxa"/>
            <w:tcMar>
              <w:top w:w="28" w:type="dxa"/>
              <w:left w:w="57" w:type="dxa"/>
              <w:bottom w:w="28" w:type="dxa"/>
              <w:right w:w="57" w:type="dxa"/>
            </w:tcMar>
          </w:tcPr>
          <w:p w14:paraId="2A0E8C8C"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r w:rsidR="005C676A" w:rsidRPr="005C676A" w14:paraId="5C49FED5" w14:textId="77777777" w:rsidTr="0055077A">
        <w:trPr>
          <w:trHeight w:val="57"/>
          <w:jc w:val="right"/>
        </w:trPr>
        <w:tc>
          <w:tcPr>
            <w:tcW w:w="425" w:type="dxa"/>
            <w:tcBorders>
              <w:top w:val="nil"/>
              <w:left w:val="nil"/>
              <w:bottom w:val="single" w:sz="12" w:space="0" w:color="auto"/>
              <w:right w:val="nil"/>
            </w:tcBorders>
            <w:tcMar>
              <w:top w:w="28" w:type="dxa"/>
              <w:left w:w="57" w:type="dxa"/>
              <w:bottom w:w="28" w:type="dxa"/>
              <w:right w:w="57" w:type="dxa"/>
            </w:tcMar>
            <w:hideMark/>
          </w:tcPr>
          <w:p w14:paraId="30CEAA6D"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36</w:t>
            </w:r>
          </w:p>
        </w:tc>
        <w:tc>
          <w:tcPr>
            <w:tcW w:w="2693" w:type="dxa"/>
            <w:tcBorders>
              <w:top w:val="nil"/>
              <w:left w:val="nil"/>
              <w:bottom w:val="single" w:sz="12" w:space="0" w:color="auto"/>
              <w:right w:val="nil"/>
            </w:tcBorders>
            <w:tcMar>
              <w:top w:w="28" w:type="dxa"/>
              <w:left w:w="57" w:type="dxa"/>
              <w:bottom w:w="28" w:type="dxa"/>
              <w:right w:w="57" w:type="dxa"/>
            </w:tcMar>
            <w:hideMark/>
          </w:tcPr>
          <w:p w14:paraId="036CF2CA"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t>Number of parties that have identified challenges in:</w:t>
            </w:r>
          </w:p>
          <w:p w14:paraId="05AAE509" w14:textId="77777777" w:rsidR="005C676A" w:rsidRPr="005C676A" w:rsidRDefault="005C676A" w:rsidP="0055077A">
            <w:pPr>
              <w:numPr>
                <w:ilvl w:val="0"/>
                <w:numId w:val="13"/>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Preparing their national reports</w:t>
            </w:r>
          </w:p>
          <w:p w14:paraId="08213FD9" w14:textId="77777777" w:rsidR="005C676A" w:rsidRPr="005C676A" w:rsidRDefault="005C676A" w:rsidP="0055077A">
            <w:pPr>
              <w:numPr>
                <w:ilvl w:val="0"/>
                <w:numId w:val="13"/>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357" w:hanging="357"/>
              <w:rPr>
                <w:rFonts w:eastAsia="DengXian"/>
              </w:rPr>
            </w:pPr>
            <w:r w:rsidRPr="005C676A">
              <w:rPr>
                <w:rFonts w:eastAsia="DengXian"/>
              </w:rPr>
              <w:t>Implementing the Convention</w:t>
            </w:r>
          </w:p>
        </w:tc>
        <w:tc>
          <w:tcPr>
            <w:tcW w:w="1559" w:type="dxa"/>
            <w:tcBorders>
              <w:top w:val="nil"/>
              <w:left w:val="nil"/>
              <w:bottom w:val="single" w:sz="12" w:space="0" w:color="auto"/>
              <w:right w:val="nil"/>
            </w:tcBorders>
            <w:tcMar>
              <w:top w:w="28" w:type="dxa"/>
              <w:left w:w="57" w:type="dxa"/>
              <w:bottom w:w="28" w:type="dxa"/>
              <w:right w:w="57" w:type="dxa"/>
            </w:tcMar>
            <w:hideMark/>
          </w:tcPr>
          <w:p w14:paraId="7E9B166F"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r w:rsidRPr="005C676A">
              <w:rPr>
                <w:rFonts w:eastAsia="DengXian"/>
              </w:rPr>
              <w:t>Article 21</w:t>
            </w:r>
          </w:p>
        </w:tc>
        <w:tc>
          <w:tcPr>
            <w:tcW w:w="2410" w:type="dxa"/>
            <w:tcBorders>
              <w:top w:val="nil"/>
              <w:left w:val="nil"/>
              <w:bottom w:val="single" w:sz="12" w:space="0" w:color="auto"/>
              <w:right w:val="nil"/>
            </w:tcBorders>
            <w:tcMar>
              <w:top w:w="28" w:type="dxa"/>
              <w:left w:w="57" w:type="dxa"/>
              <w:bottom w:w="28" w:type="dxa"/>
              <w:right w:w="57" w:type="dxa"/>
            </w:tcMar>
            <w:hideMark/>
          </w:tcPr>
          <w:p w14:paraId="1EB89FC8" w14:textId="77777777" w:rsidR="005C676A" w:rsidRPr="005C676A" w:rsidRDefault="005C676A" w:rsidP="0055077A">
            <w:pPr>
              <w:numPr>
                <w:ilvl w:val="0"/>
                <w:numId w:val="2"/>
              </w:numPr>
              <w:tabs>
                <w:tab w:val="left" w:pos="624"/>
                <w:tab w:val="left" w:pos="1247"/>
                <w:tab w:val="left" w:pos="1814"/>
                <w:tab w:val="left" w:pos="1871"/>
                <w:tab w:val="left" w:pos="2381"/>
                <w:tab w:val="left" w:pos="2495"/>
                <w:tab w:val="left" w:pos="2948"/>
                <w:tab w:val="left" w:pos="3119"/>
                <w:tab w:val="left" w:pos="3515"/>
                <w:tab w:val="left" w:pos="3742"/>
                <w:tab w:val="left" w:pos="4366"/>
                <w:tab w:val="left" w:pos="4990"/>
              </w:tabs>
              <w:ind w:left="250" w:hanging="250"/>
              <w:rPr>
                <w:rFonts w:eastAsia="DengXian"/>
              </w:rPr>
            </w:pPr>
            <w:r w:rsidRPr="005C676A">
              <w:rPr>
                <w:rFonts w:eastAsia="DengXian"/>
              </w:rPr>
              <w:t>Reports pursuant to article 21</w:t>
            </w:r>
          </w:p>
        </w:tc>
        <w:tc>
          <w:tcPr>
            <w:tcW w:w="2409" w:type="dxa"/>
            <w:tcBorders>
              <w:top w:val="nil"/>
              <w:left w:val="nil"/>
              <w:bottom w:val="single" w:sz="12" w:space="0" w:color="auto"/>
              <w:right w:val="nil"/>
            </w:tcBorders>
            <w:tcMar>
              <w:top w:w="28" w:type="dxa"/>
              <w:left w:w="57" w:type="dxa"/>
              <w:bottom w:w="28" w:type="dxa"/>
              <w:right w:w="57" w:type="dxa"/>
            </w:tcMar>
          </w:tcPr>
          <w:p w14:paraId="2BD66E16"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rPr>
                <w:rFonts w:eastAsia="DengXian"/>
              </w:rPr>
            </w:pPr>
          </w:p>
        </w:tc>
      </w:tr>
    </w:tbl>
    <w:p w14:paraId="1DC21E1A" w14:textId="01F41E17" w:rsidR="005C676A" w:rsidRPr="005C676A" w:rsidRDefault="005C676A" w:rsidP="005C676A">
      <w:pPr>
        <w:tabs>
          <w:tab w:val="left" w:pos="624"/>
          <w:tab w:val="left" w:pos="1247"/>
          <w:tab w:val="left" w:pos="1871"/>
          <w:tab w:val="left" w:pos="2495"/>
          <w:tab w:val="left" w:pos="3119"/>
          <w:tab w:val="left" w:pos="3742"/>
          <w:tab w:val="left" w:pos="4366"/>
          <w:tab w:val="left" w:pos="4990"/>
        </w:tabs>
        <w:spacing w:before="60"/>
        <w:rPr>
          <w:rFonts w:eastAsia="Times New Roman"/>
          <w:sz w:val="18"/>
          <w:szCs w:val="18"/>
          <w:lang w:val="en-US" w:eastAsia="en-US"/>
        </w:rPr>
      </w:pPr>
      <w:proofErr w:type="spellStart"/>
      <w:r w:rsidRPr="005C676A">
        <w:rPr>
          <w:rFonts w:eastAsia="Times New Roman"/>
          <w:sz w:val="18"/>
          <w:szCs w:val="18"/>
          <w:vertAlign w:val="superscript"/>
          <w:lang w:eastAsia="en-US"/>
        </w:rPr>
        <w:t>a</w:t>
      </w:r>
      <w:proofErr w:type="spellEnd"/>
      <w:r w:rsidRPr="005C676A">
        <w:rPr>
          <w:rFonts w:eastAsia="Times New Roman"/>
          <w:sz w:val="18"/>
          <w:szCs w:val="18"/>
          <w:lang w:eastAsia="en-US"/>
        </w:rPr>
        <w:t xml:space="preserve"> </w:t>
      </w:r>
      <w:proofErr w:type="gramStart"/>
      <w:r w:rsidRPr="005C676A">
        <w:rPr>
          <w:rFonts w:eastAsia="Times New Roman"/>
          <w:sz w:val="18"/>
          <w:szCs w:val="18"/>
          <w:lang w:eastAsia="en-US"/>
        </w:rPr>
        <w:t>In</w:t>
      </w:r>
      <w:proofErr w:type="gramEnd"/>
      <w:r w:rsidRPr="005C676A">
        <w:rPr>
          <w:rFonts w:eastAsia="Times New Roman"/>
          <w:sz w:val="18"/>
          <w:szCs w:val="18"/>
          <w:lang w:eastAsia="en-US"/>
        </w:rPr>
        <w:t xml:space="preserve"> </w:t>
      </w:r>
      <w:r w:rsidRPr="005C676A">
        <w:rPr>
          <w:rFonts w:eastAsia="Times New Roman"/>
          <w:sz w:val="18"/>
          <w:szCs w:val="18"/>
          <w:lang w:val="en-US" w:eastAsia="en-US"/>
        </w:rPr>
        <w:t>addition to the number of parties, it is understood that the proportion of parties will also be relevant for some indicators.</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5C676A" w:rsidRPr="005C676A" w14:paraId="5968C7A3" w14:textId="77777777">
        <w:tc>
          <w:tcPr>
            <w:tcW w:w="1872" w:type="dxa"/>
          </w:tcPr>
          <w:p w14:paraId="3B09946D"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spacing w:before="520"/>
              <w:rPr>
                <w:lang w:val="en-US"/>
              </w:rPr>
            </w:pPr>
          </w:p>
        </w:tc>
        <w:tc>
          <w:tcPr>
            <w:tcW w:w="1872" w:type="dxa"/>
          </w:tcPr>
          <w:p w14:paraId="798FF049"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spacing w:before="520"/>
              <w:rPr>
                <w:lang w:val="en-US"/>
              </w:rPr>
            </w:pPr>
          </w:p>
        </w:tc>
        <w:tc>
          <w:tcPr>
            <w:tcW w:w="1872" w:type="dxa"/>
            <w:tcBorders>
              <w:top w:val="nil"/>
              <w:left w:val="nil"/>
              <w:bottom w:val="single" w:sz="4" w:space="0" w:color="auto"/>
              <w:right w:val="nil"/>
            </w:tcBorders>
          </w:tcPr>
          <w:p w14:paraId="220226C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spacing w:before="520"/>
              <w:rPr>
                <w:lang w:val="en-US"/>
              </w:rPr>
            </w:pPr>
          </w:p>
        </w:tc>
        <w:tc>
          <w:tcPr>
            <w:tcW w:w="1872" w:type="dxa"/>
          </w:tcPr>
          <w:p w14:paraId="4797006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spacing w:before="520"/>
              <w:rPr>
                <w:lang w:val="en-US"/>
              </w:rPr>
            </w:pPr>
          </w:p>
        </w:tc>
        <w:tc>
          <w:tcPr>
            <w:tcW w:w="1872" w:type="dxa"/>
          </w:tcPr>
          <w:p w14:paraId="06F75446"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spacing w:before="520"/>
              <w:rPr>
                <w:lang w:val="en-US"/>
              </w:rPr>
            </w:pPr>
          </w:p>
        </w:tc>
      </w:tr>
    </w:tbl>
    <w:p w14:paraId="3CE5B03E" w14:textId="77777777" w:rsidR="0015442E" w:rsidRPr="00196435" w:rsidRDefault="0015442E" w:rsidP="005C676A">
      <w:pPr>
        <w:pStyle w:val="BBTitle"/>
        <w:ind w:left="0" w:right="113"/>
        <w:rPr>
          <w:lang w:val="en-GB"/>
        </w:rPr>
      </w:pPr>
    </w:p>
    <w:sectPr w:rsidR="0015442E" w:rsidRPr="00196435" w:rsidSect="0015442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B0A0" w14:textId="77777777" w:rsidR="00895B58" w:rsidRDefault="00895B58">
      <w:r>
        <w:separator/>
      </w:r>
    </w:p>
  </w:endnote>
  <w:endnote w:type="continuationSeparator" w:id="0">
    <w:p w14:paraId="01B8CCA6" w14:textId="77777777" w:rsidR="00895B58" w:rsidRDefault="00895B58">
      <w:r>
        <w:continuationSeparator/>
      </w:r>
    </w:p>
  </w:endnote>
  <w:endnote w:type="continuationNotice" w:id="1">
    <w:p w14:paraId="08855B44" w14:textId="77777777" w:rsidR="00895B58" w:rsidRDefault="00895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6BAB" w14:textId="36CAD577" w:rsidR="0015442E" w:rsidRDefault="0015442E" w:rsidP="0015442E">
    <w:pPr>
      <w:pStyle w:val="Normal-pool"/>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9B6D" w14:textId="77777777" w:rsidR="00895B58" w:rsidRPr="0072353B" w:rsidRDefault="00895B58" w:rsidP="0072353B">
      <w:pPr>
        <w:tabs>
          <w:tab w:val="left" w:pos="624"/>
        </w:tabs>
        <w:spacing w:before="60"/>
        <w:ind w:left="624"/>
        <w:rPr>
          <w:sz w:val="18"/>
          <w:szCs w:val="18"/>
        </w:rPr>
      </w:pPr>
      <w:r w:rsidRPr="0072353B">
        <w:rPr>
          <w:sz w:val="18"/>
          <w:szCs w:val="18"/>
        </w:rPr>
        <w:separator/>
      </w:r>
    </w:p>
  </w:footnote>
  <w:footnote w:type="continuationSeparator" w:id="0">
    <w:p w14:paraId="03A3FEFF" w14:textId="77777777" w:rsidR="00895B58" w:rsidRDefault="00895B58">
      <w:r>
        <w:continuationSeparator/>
      </w:r>
    </w:p>
  </w:footnote>
  <w:footnote w:type="continuationNotice" w:id="1">
    <w:p w14:paraId="7D270819" w14:textId="77777777" w:rsidR="00895B58" w:rsidRDefault="00895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6A89" w14:textId="655279D3" w:rsidR="00123699" w:rsidRPr="00F96910" w:rsidRDefault="00F96910" w:rsidP="00FE131D">
    <w:pPr>
      <w:pStyle w:val="Header-pool"/>
      <w:tabs>
        <w:tab w:val="clear" w:pos="4082"/>
        <w:tab w:val="clear" w:pos="4536"/>
        <w:tab w:val="clear" w:pos="9072"/>
        <w:tab w:val="left" w:pos="3864"/>
      </w:tabs>
    </w:pPr>
    <w:r w:rsidRPr="00F96910">
      <w:t>UNEP/MC</w:t>
    </w:r>
    <w:r w:rsidR="00EA2CF9">
      <w:t>/</w:t>
    </w:r>
    <w:r w:rsidR="00F95DB2">
      <w:t>EEG.8</w:t>
    </w:r>
    <w:r w:rsidRPr="00F96910">
      <w:t>/</w:t>
    </w:r>
    <w:r w:rsidR="00F95DB2">
      <w:t>L.</w:t>
    </w:r>
    <w:r w:rsidR="00FE131D">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AFE" w14:textId="2263B62E" w:rsidR="00123699" w:rsidRPr="00392F9C" w:rsidRDefault="00F96910" w:rsidP="00F96910">
    <w:pPr>
      <w:pStyle w:val="Header-pool"/>
      <w:jc w:val="right"/>
      <w:rPr>
        <w:szCs w:val="18"/>
      </w:rPr>
    </w:pPr>
    <w:r w:rsidRPr="00F96910">
      <w:t>UNEP/MC</w:t>
    </w:r>
    <w:r w:rsidR="00EA2CF9">
      <w:t>/</w:t>
    </w:r>
    <w:r w:rsidR="00FE131D">
      <w:t>EEG.8</w:t>
    </w:r>
    <w:r w:rsidRPr="00F96910">
      <w:t>/</w:t>
    </w:r>
    <w:r w:rsidR="00FE131D">
      <w:t>L.2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81FC" w14:textId="77777777"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90E"/>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7332738"/>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AD93D9F"/>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5D04E85"/>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8224BDB"/>
    <w:multiLevelType w:val="hybridMultilevel"/>
    <w:tmpl w:val="C68CA29C"/>
    <w:lvl w:ilvl="0" w:tplc="C99E3B0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7D069AE"/>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A0745CB"/>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2A66A9D"/>
    <w:multiLevelType w:val="multilevel"/>
    <w:tmpl w:val="9B10571A"/>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8" w15:restartNumberingAfterBreak="0">
    <w:nsid w:val="563B6929"/>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E3D115A"/>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2870ED0"/>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B471485"/>
    <w:multiLevelType w:val="hybridMultilevel"/>
    <w:tmpl w:val="1FDEF396"/>
    <w:lvl w:ilvl="0" w:tplc="50821044">
      <w:numFmt w:val="bullet"/>
      <w:lvlText w:val="•"/>
      <w:lvlJc w:val="left"/>
      <w:pPr>
        <w:ind w:left="720" w:hanging="360"/>
      </w:pPr>
      <w:rPr>
        <w:rFonts w:ascii="Times New Roman" w:eastAsia="SimSun" w:hAnsi="Times New Roman" w:cs="Times New Roman"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C1630B8"/>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94448980">
    <w:abstractNumId w:val="7"/>
  </w:num>
  <w:num w:numId="2" w16cid:durableId="501624639">
    <w:abstractNumId w:val="11"/>
    <w:lvlOverride w:ilvl="0"/>
    <w:lvlOverride w:ilvl="1"/>
    <w:lvlOverride w:ilvl="2"/>
    <w:lvlOverride w:ilvl="3"/>
    <w:lvlOverride w:ilvl="4"/>
    <w:lvlOverride w:ilvl="5"/>
    <w:lvlOverride w:ilvl="6"/>
    <w:lvlOverride w:ilvl="7"/>
    <w:lvlOverride w:ilvl="8"/>
  </w:num>
  <w:num w:numId="3" w16cid:durableId="2129615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9359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5164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945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411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4744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5632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8236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2631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82809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6235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1"/>
  <w:activeWritingStyle w:appName="MSWord" w:lang="en-GB" w:vendorID="64" w:dllVersion="0" w:nlCheck="1" w:checkStyle="0"/>
  <w:activeWritingStyle w:appName="MSWord" w:lang="es-ES" w:vendorID="64" w:dllVersion="0" w:nlCheck="1" w:checkStyle="1"/>
  <w:activeWritingStyle w:appName="MSWord" w:lang="fr-CA" w:vendorID="64" w:dllVersion="0" w:nlCheck="1" w:checkStyle="0"/>
  <w:activeWritingStyle w:appName="MSWord" w:lang="en-GB" w:vendorID="64" w:dllVersion="4096" w:nlCheck="1" w:checkStyle="0"/>
  <w:activeWritingStyle w:appName="MSWord" w:lang="en-CA"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149E6"/>
    <w:rsid w:val="000247B0"/>
    <w:rsid w:val="00026997"/>
    <w:rsid w:val="00033E0B"/>
    <w:rsid w:val="00035EDE"/>
    <w:rsid w:val="00044340"/>
    <w:rsid w:val="000509B4"/>
    <w:rsid w:val="00055890"/>
    <w:rsid w:val="0006035B"/>
    <w:rsid w:val="00071886"/>
    <w:rsid w:val="000742BC"/>
    <w:rsid w:val="00082A0C"/>
    <w:rsid w:val="00083504"/>
    <w:rsid w:val="000941E5"/>
    <w:rsid w:val="0009640C"/>
    <w:rsid w:val="000A3370"/>
    <w:rsid w:val="000B1D80"/>
    <w:rsid w:val="000B22A2"/>
    <w:rsid w:val="000B3B84"/>
    <w:rsid w:val="000C0F46"/>
    <w:rsid w:val="000C2A52"/>
    <w:rsid w:val="000C43F1"/>
    <w:rsid w:val="000D0733"/>
    <w:rsid w:val="000D33C0"/>
    <w:rsid w:val="000D3B30"/>
    <w:rsid w:val="000D6941"/>
    <w:rsid w:val="000E3219"/>
    <w:rsid w:val="000F0BEA"/>
    <w:rsid w:val="00103655"/>
    <w:rsid w:val="00107E0A"/>
    <w:rsid w:val="00117EA5"/>
    <w:rsid w:val="001202E3"/>
    <w:rsid w:val="00123699"/>
    <w:rsid w:val="0012644F"/>
    <w:rsid w:val="0013059D"/>
    <w:rsid w:val="00141A55"/>
    <w:rsid w:val="001446A3"/>
    <w:rsid w:val="00145960"/>
    <w:rsid w:val="0015442E"/>
    <w:rsid w:val="00155395"/>
    <w:rsid w:val="00160D74"/>
    <w:rsid w:val="00167D02"/>
    <w:rsid w:val="001762D9"/>
    <w:rsid w:val="00181EC8"/>
    <w:rsid w:val="00184349"/>
    <w:rsid w:val="00193DC9"/>
    <w:rsid w:val="00195E9F"/>
    <w:rsid w:val="00195F33"/>
    <w:rsid w:val="00196435"/>
    <w:rsid w:val="001A2136"/>
    <w:rsid w:val="001B1617"/>
    <w:rsid w:val="001B504B"/>
    <w:rsid w:val="001B7D42"/>
    <w:rsid w:val="001D3874"/>
    <w:rsid w:val="001D7E75"/>
    <w:rsid w:val="001E56D2"/>
    <w:rsid w:val="001E7D56"/>
    <w:rsid w:val="001F75DE"/>
    <w:rsid w:val="00200D58"/>
    <w:rsid w:val="002013BE"/>
    <w:rsid w:val="002063A4"/>
    <w:rsid w:val="0021145B"/>
    <w:rsid w:val="00234B59"/>
    <w:rsid w:val="00243D36"/>
    <w:rsid w:val="00247707"/>
    <w:rsid w:val="00250B6D"/>
    <w:rsid w:val="0026018E"/>
    <w:rsid w:val="00260799"/>
    <w:rsid w:val="00275DA1"/>
    <w:rsid w:val="002768BA"/>
    <w:rsid w:val="00277462"/>
    <w:rsid w:val="00286740"/>
    <w:rsid w:val="002929D8"/>
    <w:rsid w:val="002969DC"/>
    <w:rsid w:val="002A1C1C"/>
    <w:rsid w:val="002A237D"/>
    <w:rsid w:val="002A4C53"/>
    <w:rsid w:val="002B0672"/>
    <w:rsid w:val="002B247F"/>
    <w:rsid w:val="002C145D"/>
    <w:rsid w:val="002C2C3E"/>
    <w:rsid w:val="002C533E"/>
    <w:rsid w:val="002D027F"/>
    <w:rsid w:val="002D7A85"/>
    <w:rsid w:val="002D7B60"/>
    <w:rsid w:val="002F0262"/>
    <w:rsid w:val="002F4761"/>
    <w:rsid w:val="002F5C79"/>
    <w:rsid w:val="003019E2"/>
    <w:rsid w:val="003140A7"/>
    <w:rsid w:val="0031413F"/>
    <w:rsid w:val="003148BB"/>
    <w:rsid w:val="00317976"/>
    <w:rsid w:val="00317FE0"/>
    <w:rsid w:val="00324B1A"/>
    <w:rsid w:val="00325A36"/>
    <w:rsid w:val="00355EA9"/>
    <w:rsid w:val="003578DE"/>
    <w:rsid w:val="00357EF6"/>
    <w:rsid w:val="00362047"/>
    <w:rsid w:val="00362877"/>
    <w:rsid w:val="0036669D"/>
    <w:rsid w:val="00372781"/>
    <w:rsid w:val="00386AB0"/>
    <w:rsid w:val="0039169B"/>
    <w:rsid w:val="00392F9C"/>
    <w:rsid w:val="00396257"/>
    <w:rsid w:val="003963DF"/>
    <w:rsid w:val="00397EB8"/>
    <w:rsid w:val="003A1C5B"/>
    <w:rsid w:val="003A4FD0"/>
    <w:rsid w:val="003A69D1"/>
    <w:rsid w:val="003A7705"/>
    <w:rsid w:val="003A77F1"/>
    <w:rsid w:val="003B1545"/>
    <w:rsid w:val="003B5FFF"/>
    <w:rsid w:val="003C409D"/>
    <w:rsid w:val="003C5BA6"/>
    <w:rsid w:val="003D104A"/>
    <w:rsid w:val="003E6F41"/>
    <w:rsid w:val="003E7DE3"/>
    <w:rsid w:val="003F06BB"/>
    <w:rsid w:val="003F0E85"/>
    <w:rsid w:val="003F2397"/>
    <w:rsid w:val="00410C55"/>
    <w:rsid w:val="00416854"/>
    <w:rsid w:val="00417725"/>
    <w:rsid w:val="00421BEC"/>
    <w:rsid w:val="00435FD9"/>
    <w:rsid w:val="00437F26"/>
    <w:rsid w:val="00444097"/>
    <w:rsid w:val="00445487"/>
    <w:rsid w:val="0045295C"/>
    <w:rsid w:val="00454769"/>
    <w:rsid w:val="00466991"/>
    <w:rsid w:val="00466ABA"/>
    <w:rsid w:val="0047064C"/>
    <w:rsid w:val="00494164"/>
    <w:rsid w:val="00496B0F"/>
    <w:rsid w:val="004A42E1"/>
    <w:rsid w:val="004B162C"/>
    <w:rsid w:val="004B26B3"/>
    <w:rsid w:val="004B614E"/>
    <w:rsid w:val="004C3DBE"/>
    <w:rsid w:val="004C5C96"/>
    <w:rsid w:val="004D06A4"/>
    <w:rsid w:val="004D5BF7"/>
    <w:rsid w:val="004D7070"/>
    <w:rsid w:val="004F1A81"/>
    <w:rsid w:val="0050052E"/>
    <w:rsid w:val="005218D9"/>
    <w:rsid w:val="00536186"/>
    <w:rsid w:val="005369CB"/>
    <w:rsid w:val="00544CBB"/>
    <w:rsid w:val="0055077A"/>
    <w:rsid w:val="00551104"/>
    <w:rsid w:val="00554F9B"/>
    <w:rsid w:val="00561676"/>
    <w:rsid w:val="00562867"/>
    <w:rsid w:val="00566B59"/>
    <w:rsid w:val="0057315F"/>
    <w:rsid w:val="00576104"/>
    <w:rsid w:val="00587F77"/>
    <w:rsid w:val="005B42A6"/>
    <w:rsid w:val="005C24DF"/>
    <w:rsid w:val="005C676A"/>
    <w:rsid w:val="005C67C8"/>
    <w:rsid w:val="005C767A"/>
    <w:rsid w:val="005D0249"/>
    <w:rsid w:val="005D1DA1"/>
    <w:rsid w:val="005D6E8C"/>
    <w:rsid w:val="005F100C"/>
    <w:rsid w:val="005F68DA"/>
    <w:rsid w:val="0060773B"/>
    <w:rsid w:val="006157B5"/>
    <w:rsid w:val="00622D02"/>
    <w:rsid w:val="00626FC6"/>
    <w:rsid w:val="006303B4"/>
    <w:rsid w:val="0063222D"/>
    <w:rsid w:val="00633D3D"/>
    <w:rsid w:val="00641703"/>
    <w:rsid w:val="006431A6"/>
    <w:rsid w:val="006459F6"/>
    <w:rsid w:val="006501AD"/>
    <w:rsid w:val="00651BFA"/>
    <w:rsid w:val="006520E8"/>
    <w:rsid w:val="00654475"/>
    <w:rsid w:val="00665A4B"/>
    <w:rsid w:val="006717E6"/>
    <w:rsid w:val="00673665"/>
    <w:rsid w:val="00680611"/>
    <w:rsid w:val="00692E2A"/>
    <w:rsid w:val="00693952"/>
    <w:rsid w:val="006A169E"/>
    <w:rsid w:val="006A1B72"/>
    <w:rsid w:val="006A5E4C"/>
    <w:rsid w:val="006A76F2"/>
    <w:rsid w:val="006D4F04"/>
    <w:rsid w:val="006D7EFB"/>
    <w:rsid w:val="006E6672"/>
    <w:rsid w:val="006E6722"/>
    <w:rsid w:val="006F5276"/>
    <w:rsid w:val="007027B9"/>
    <w:rsid w:val="00715E88"/>
    <w:rsid w:val="0072353B"/>
    <w:rsid w:val="00734CAA"/>
    <w:rsid w:val="00741B20"/>
    <w:rsid w:val="00751150"/>
    <w:rsid w:val="0075533C"/>
    <w:rsid w:val="00757581"/>
    <w:rsid w:val="007611A0"/>
    <w:rsid w:val="0076147A"/>
    <w:rsid w:val="007828A5"/>
    <w:rsid w:val="007841F5"/>
    <w:rsid w:val="007872FA"/>
    <w:rsid w:val="00796D3F"/>
    <w:rsid w:val="007A1683"/>
    <w:rsid w:val="007A5C12"/>
    <w:rsid w:val="007A7CB0"/>
    <w:rsid w:val="007B24F8"/>
    <w:rsid w:val="007B68A3"/>
    <w:rsid w:val="007C2541"/>
    <w:rsid w:val="007C521D"/>
    <w:rsid w:val="007D66A8"/>
    <w:rsid w:val="007E003F"/>
    <w:rsid w:val="00803C43"/>
    <w:rsid w:val="008164F2"/>
    <w:rsid w:val="008201A2"/>
    <w:rsid w:val="00821395"/>
    <w:rsid w:val="00824FC7"/>
    <w:rsid w:val="00830E26"/>
    <w:rsid w:val="0084113F"/>
    <w:rsid w:val="00843576"/>
    <w:rsid w:val="00843B64"/>
    <w:rsid w:val="008478FC"/>
    <w:rsid w:val="0086518B"/>
    <w:rsid w:val="00867BFF"/>
    <w:rsid w:val="00880CCB"/>
    <w:rsid w:val="00882629"/>
    <w:rsid w:val="0088480A"/>
    <w:rsid w:val="0088757A"/>
    <w:rsid w:val="00891CA8"/>
    <w:rsid w:val="00891D47"/>
    <w:rsid w:val="00892987"/>
    <w:rsid w:val="00892B8E"/>
    <w:rsid w:val="008957DD"/>
    <w:rsid w:val="00895B58"/>
    <w:rsid w:val="00897D98"/>
    <w:rsid w:val="008A3441"/>
    <w:rsid w:val="008A664F"/>
    <w:rsid w:val="008A6DF2"/>
    <w:rsid w:val="008A7807"/>
    <w:rsid w:val="008B4456"/>
    <w:rsid w:val="008B4CC9"/>
    <w:rsid w:val="008D4A80"/>
    <w:rsid w:val="008D7C99"/>
    <w:rsid w:val="008E0FCB"/>
    <w:rsid w:val="008F201B"/>
    <w:rsid w:val="008F5D00"/>
    <w:rsid w:val="0092178C"/>
    <w:rsid w:val="0092184C"/>
    <w:rsid w:val="009223D3"/>
    <w:rsid w:val="00930B88"/>
    <w:rsid w:val="00930E68"/>
    <w:rsid w:val="0094095A"/>
    <w:rsid w:val="00940DCC"/>
    <w:rsid w:val="0094179A"/>
    <w:rsid w:val="00942A85"/>
    <w:rsid w:val="0094459E"/>
    <w:rsid w:val="00944DBC"/>
    <w:rsid w:val="009473C6"/>
    <w:rsid w:val="00950977"/>
    <w:rsid w:val="00951A7B"/>
    <w:rsid w:val="0095470E"/>
    <w:rsid w:val="009564A6"/>
    <w:rsid w:val="00962471"/>
    <w:rsid w:val="00967621"/>
    <w:rsid w:val="00967E6A"/>
    <w:rsid w:val="00984069"/>
    <w:rsid w:val="0099176E"/>
    <w:rsid w:val="00992DE3"/>
    <w:rsid w:val="009B4A0F"/>
    <w:rsid w:val="009C11D2"/>
    <w:rsid w:val="009C6C70"/>
    <w:rsid w:val="009D0B63"/>
    <w:rsid w:val="009D7B82"/>
    <w:rsid w:val="009E24BE"/>
    <w:rsid w:val="009E2F3F"/>
    <w:rsid w:val="009E307E"/>
    <w:rsid w:val="009F3016"/>
    <w:rsid w:val="00A001C6"/>
    <w:rsid w:val="00A03B6E"/>
    <w:rsid w:val="00A05CB4"/>
    <w:rsid w:val="00A07870"/>
    <w:rsid w:val="00A07F19"/>
    <w:rsid w:val="00A11B9F"/>
    <w:rsid w:val="00A1348D"/>
    <w:rsid w:val="00A142E9"/>
    <w:rsid w:val="00A2209A"/>
    <w:rsid w:val="00A232EE"/>
    <w:rsid w:val="00A32F74"/>
    <w:rsid w:val="00A3546E"/>
    <w:rsid w:val="00A35EA7"/>
    <w:rsid w:val="00A4175F"/>
    <w:rsid w:val="00A44411"/>
    <w:rsid w:val="00A469FA"/>
    <w:rsid w:val="00A55B01"/>
    <w:rsid w:val="00A56B5B"/>
    <w:rsid w:val="00A603FF"/>
    <w:rsid w:val="00A657DD"/>
    <w:rsid w:val="00A666A6"/>
    <w:rsid w:val="00A675FD"/>
    <w:rsid w:val="00A706CF"/>
    <w:rsid w:val="00A71EFB"/>
    <w:rsid w:val="00A72437"/>
    <w:rsid w:val="00A80611"/>
    <w:rsid w:val="00A82631"/>
    <w:rsid w:val="00A8745F"/>
    <w:rsid w:val="00AB2EF6"/>
    <w:rsid w:val="00AB5340"/>
    <w:rsid w:val="00AC0A89"/>
    <w:rsid w:val="00AC5CBF"/>
    <w:rsid w:val="00AC7C96"/>
    <w:rsid w:val="00AC7FD3"/>
    <w:rsid w:val="00AE237D"/>
    <w:rsid w:val="00AE502A"/>
    <w:rsid w:val="00AE6AB6"/>
    <w:rsid w:val="00AF7C07"/>
    <w:rsid w:val="00B11663"/>
    <w:rsid w:val="00B12B35"/>
    <w:rsid w:val="00B22C93"/>
    <w:rsid w:val="00B27589"/>
    <w:rsid w:val="00B35521"/>
    <w:rsid w:val="00B405B7"/>
    <w:rsid w:val="00B40CD8"/>
    <w:rsid w:val="00B4162D"/>
    <w:rsid w:val="00B52222"/>
    <w:rsid w:val="00B52657"/>
    <w:rsid w:val="00B5428A"/>
    <w:rsid w:val="00B54847"/>
    <w:rsid w:val="00B54FE7"/>
    <w:rsid w:val="00B66901"/>
    <w:rsid w:val="00B71E6D"/>
    <w:rsid w:val="00B72070"/>
    <w:rsid w:val="00B737E9"/>
    <w:rsid w:val="00B779E1"/>
    <w:rsid w:val="00B849E3"/>
    <w:rsid w:val="00B91EE1"/>
    <w:rsid w:val="00B925AB"/>
    <w:rsid w:val="00BA0090"/>
    <w:rsid w:val="00BA1A67"/>
    <w:rsid w:val="00BA7128"/>
    <w:rsid w:val="00BB10A7"/>
    <w:rsid w:val="00BC10FC"/>
    <w:rsid w:val="00BE1166"/>
    <w:rsid w:val="00BE5B5F"/>
    <w:rsid w:val="00BF17E5"/>
    <w:rsid w:val="00BF2FF0"/>
    <w:rsid w:val="00C059F0"/>
    <w:rsid w:val="00C0725D"/>
    <w:rsid w:val="00C214FC"/>
    <w:rsid w:val="00C228DB"/>
    <w:rsid w:val="00C25EF4"/>
    <w:rsid w:val="00C26F55"/>
    <w:rsid w:val="00C30C63"/>
    <w:rsid w:val="00C36B8B"/>
    <w:rsid w:val="00C415C1"/>
    <w:rsid w:val="00C47DBF"/>
    <w:rsid w:val="00C52AC2"/>
    <w:rsid w:val="00C552FF"/>
    <w:rsid w:val="00C558DA"/>
    <w:rsid w:val="00C55AF3"/>
    <w:rsid w:val="00C75250"/>
    <w:rsid w:val="00C829BB"/>
    <w:rsid w:val="00C84759"/>
    <w:rsid w:val="00C86D73"/>
    <w:rsid w:val="00CA69CA"/>
    <w:rsid w:val="00CA6C7F"/>
    <w:rsid w:val="00CB2974"/>
    <w:rsid w:val="00CC10A6"/>
    <w:rsid w:val="00CC2FDC"/>
    <w:rsid w:val="00CC4038"/>
    <w:rsid w:val="00CC5C74"/>
    <w:rsid w:val="00CC7F63"/>
    <w:rsid w:val="00CD5EB8"/>
    <w:rsid w:val="00CD7044"/>
    <w:rsid w:val="00CE08B9"/>
    <w:rsid w:val="00CE3103"/>
    <w:rsid w:val="00CE524C"/>
    <w:rsid w:val="00CF141F"/>
    <w:rsid w:val="00CF4777"/>
    <w:rsid w:val="00D0232F"/>
    <w:rsid w:val="00D032D8"/>
    <w:rsid w:val="00D067BB"/>
    <w:rsid w:val="00D07EDB"/>
    <w:rsid w:val="00D1352A"/>
    <w:rsid w:val="00D13873"/>
    <w:rsid w:val="00D169AF"/>
    <w:rsid w:val="00D25249"/>
    <w:rsid w:val="00D25ED8"/>
    <w:rsid w:val="00D33365"/>
    <w:rsid w:val="00D34DE9"/>
    <w:rsid w:val="00D35F94"/>
    <w:rsid w:val="00D44172"/>
    <w:rsid w:val="00D5726C"/>
    <w:rsid w:val="00D61FBB"/>
    <w:rsid w:val="00D63B8C"/>
    <w:rsid w:val="00D63D88"/>
    <w:rsid w:val="00D64AFD"/>
    <w:rsid w:val="00D65163"/>
    <w:rsid w:val="00D739CC"/>
    <w:rsid w:val="00D74DDC"/>
    <w:rsid w:val="00D76E06"/>
    <w:rsid w:val="00D8093D"/>
    <w:rsid w:val="00D8108C"/>
    <w:rsid w:val="00D842AE"/>
    <w:rsid w:val="00D9211C"/>
    <w:rsid w:val="00D92BFC"/>
    <w:rsid w:val="00D92DE0"/>
    <w:rsid w:val="00D92FEF"/>
    <w:rsid w:val="00D93A0F"/>
    <w:rsid w:val="00DA0077"/>
    <w:rsid w:val="00DA1BCA"/>
    <w:rsid w:val="00DA606E"/>
    <w:rsid w:val="00DC232B"/>
    <w:rsid w:val="00DC46FF"/>
    <w:rsid w:val="00DC5254"/>
    <w:rsid w:val="00DD1A4F"/>
    <w:rsid w:val="00DD3107"/>
    <w:rsid w:val="00DD7C2C"/>
    <w:rsid w:val="00DF6F5F"/>
    <w:rsid w:val="00DF70BF"/>
    <w:rsid w:val="00E04FF0"/>
    <w:rsid w:val="00E06797"/>
    <w:rsid w:val="00E072CC"/>
    <w:rsid w:val="00E1265B"/>
    <w:rsid w:val="00E13B48"/>
    <w:rsid w:val="00E1404F"/>
    <w:rsid w:val="00E14FBA"/>
    <w:rsid w:val="00E21C83"/>
    <w:rsid w:val="00E24063"/>
    <w:rsid w:val="00E24ADA"/>
    <w:rsid w:val="00E276A4"/>
    <w:rsid w:val="00E32F59"/>
    <w:rsid w:val="00E3329D"/>
    <w:rsid w:val="00E46D9A"/>
    <w:rsid w:val="00E565FF"/>
    <w:rsid w:val="00E65388"/>
    <w:rsid w:val="00E726A7"/>
    <w:rsid w:val="00E74763"/>
    <w:rsid w:val="00E74D7F"/>
    <w:rsid w:val="00E85B7D"/>
    <w:rsid w:val="00E9121B"/>
    <w:rsid w:val="00E91D53"/>
    <w:rsid w:val="00E942CC"/>
    <w:rsid w:val="00E96DA8"/>
    <w:rsid w:val="00EA0AE2"/>
    <w:rsid w:val="00EA2CF9"/>
    <w:rsid w:val="00EA39E5"/>
    <w:rsid w:val="00EC5A46"/>
    <w:rsid w:val="00EC63E2"/>
    <w:rsid w:val="00ED155C"/>
    <w:rsid w:val="00EE0073"/>
    <w:rsid w:val="00EE0374"/>
    <w:rsid w:val="00EF22B3"/>
    <w:rsid w:val="00EF2427"/>
    <w:rsid w:val="00EF4643"/>
    <w:rsid w:val="00F03B69"/>
    <w:rsid w:val="00F05C85"/>
    <w:rsid w:val="00F07A50"/>
    <w:rsid w:val="00F113DA"/>
    <w:rsid w:val="00F116A8"/>
    <w:rsid w:val="00F11AC1"/>
    <w:rsid w:val="00F14D68"/>
    <w:rsid w:val="00F254DD"/>
    <w:rsid w:val="00F34719"/>
    <w:rsid w:val="00F37DC8"/>
    <w:rsid w:val="00F439B3"/>
    <w:rsid w:val="00F650C3"/>
    <w:rsid w:val="00F65D85"/>
    <w:rsid w:val="00F7542C"/>
    <w:rsid w:val="00F8091E"/>
    <w:rsid w:val="00F839A2"/>
    <w:rsid w:val="00F8615C"/>
    <w:rsid w:val="00F873F8"/>
    <w:rsid w:val="00F92E48"/>
    <w:rsid w:val="00F95DB2"/>
    <w:rsid w:val="00F96910"/>
    <w:rsid w:val="00F969E5"/>
    <w:rsid w:val="00FA6BB0"/>
    <w:rsid w:val="00FB49C6"/>
    <w:rsid w:val="00FB5D64"/>
    <w:rsid w:val="00FB6A08"/>
    <w:rsid w:val="00FB7DD2"/>
    <w:rsid w:val="00FC42D0"/>
    <w:rsid w:val="00FD5860"/>
    <w:rsid w:val="00FE131D"/>
    <w:rsid w:val="00FE352D"/>
    <w:rsid w:val="00FE40EB"/>
    <w:rsid w:val="00FE4D02"/>
    <w:rsid w:val="00FE58D4"/>
    <w:rsid w:val="00FE7D62"/>
    <w:rsid w:val="00FF3819"/>
    <w:rsid w:val="00FF5C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15:docId w15:val="{8416E937-6964-40CC-AD5A-B3D32ED1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eastAsia="zh-CN"/>
    </w:rPr>
  </w:style>
  <w:style w:type="paragraph" w:styleId="Heading1">
    <w:name w:val="heading 1"/>
    <w:basedOn w:val="Normal"/>
    <w:next w:val="Normalnumber"/>
    <w:rsid w:val="0015442E"/>
    <w:pPr>
      <w:keepNext/>
      <w:spacing w:before="240" w:after="120"/>
      <w:ind w:left="1247" w:hanging="680"/>
      <w:outlineLvl w:val="0"/>
    </w:pPr>
    <w:rPr>
      <w:b/>
      <w:sz w:val="28"/>
    </w:rPr>
  </w:style>
  <w:style w:type="paragraph" w:styleId="Heading2">
    <w:name w:val="heading 2"/>
    <w:basedOn w:val="Normal"/>
    <w:next w:val="Normalnumber"/>
    <w:rsid w:val="0015442E"/>
    <w:pPr>
      <w:keepNext/>
      <w:spacing w:before="240" w:after="120"/>
      <w:ind w:left="1247" w:hanging="680"/>
      <w:outlineLvl w:val="1"/>
    </w:pPr>
    <w:rPr>
      <w:b/>
      <w:sz w:val="24"/>
      <w:szCs w:val="24"/>
    </w:rPr>
  </w:style>
  <w:style w:type="paragraph" w:styleId="Heading3">
    <w:name w:val="heading 3"/>
    <w:basedOn w:val="Normal"/>
    <w:next w:val="Normalnumber"/>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semiHidden/>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qFormat/>
    <w:rsid w:val="0015442E"/>
    <w:pPr>
      <w:keepNext/>
      <w:keepLines/>
      <w:suppressAutoHyphens/>
      <w:spacing w:before="320" w:after="240"/>
      <w:ind w:left="1247" w:right="567"/>
    </w:pPr>
    <w:rPr>
      <w:b/>
      <w:sz w:val="28"/>
      <w:szCs w:val="28"/>
    </w:rPr>
  </w:style>
  <w:style w:type="paragraph" w:styleId="Footer">
    <w:name w:val="footer"/>
    <w:basedOn w:val="Normal"/>
    <w:semiHidden/>
    <w:rsid w:val="0015442E"/>
    <w:pPr>
      <w:tabs>
        <w:tab w:val="center" w:pos="4320"/>
        <w:tab w:val="right" w:pos="8640"/>
      </w:tabs>
      <w:spacing w:before="60" w:after="120"/>
    </w:pPr>
    <w:rPr>
      <w:sz w:val="18"/>
    </w:rPr>
  </w:style>
  <w:style w:type="paragraph" w:styleId="Header">
    <w:name w:val="header"/>
    <w:basedOn w:val="Normal"/>
    <w:link w:val="HeaderChar"/>
    <w:semiHidden/>
    <w:rsid w:val="0015442E"/>
    <w:pPr>
      <w:pBdr>
        <w:bottom w:val="single" w:sz="4" w:space="1" w:color="auto"/>
      </w:pBdr>
      <w:tabs>
        <w:tab w:val="center" w:pos="4536"/>
        <w:tab w:val="right" w:pos="9072"/>
      </w:tabs>
      <w:spacing w:after="120"/>
    </w:pPr>
    <w:rPr>
      <w:b/>
      <w:sz w:val="18"/>
    </w:rPr>
  </w:style>
  <w:style w:type="character" w:styleId="Hyperlink">
    <w:name w:val="Hyperlink"/>
    <w:unhideWhenUsed/>
    <w:rsid w:val="0015442E"/>
    <w:rPr>
      <w:rFonts w:ascii="Times New Roman" w:hAnsi="Times New Roman"/>
      <w:color w:val="auto"/>
      <w:sz w:val="20"/>
      <w:szCs w:val="20"/>
      <w:u w:val="none"/>
      <w:lang w:val="en-US"/>
    </w:rPr>
  </w:style>
  <w:style w:type="numbering" w:customStyle="1" w:styleId="Normallist">
    <w:name w:val="Normal_list"/>
    <w:basedOn w:val="NoList"/>
    <w:semiHidden/>
    <w:rsid w:val="0015442E"/>
    <w:pPr>
      <w:numPr>
        <w:numId w:val="1"/>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link w:val="ZZAnxheaderChar"/>
    <w:rsid w:val="0015442E"/>
    <w:rPr>
      <w:b/>
      <w:bCs/>
      <w:sz w:val="28"/>
      <w:szCs w:val="22"/>
    </w:rPr>
  </w:style>
  <w:style w:type="paragraph" w:customStyle="1" w:styleId="ZZAnxtitle">
    <w:name w:val="ZZ_Anx_title"/>
    <w:basedOn w:val="Normal-pool"/>
    <w:link w:val="ZZAnxtitleChar"/>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uiPriority w:val="99"/>
    <w:rsid w:val="003E6F41"/>
    <w:rPr>
      <w:sz w:val="16"/>
      <w:szCs w:val="16"/>
    </w:rPr>
  </w:style>
  <w:style w:type="paragraph" w:styleId="CommentText">
    <w:name w:val="annotation text"/>
    <w:basedOn w:val="Normal"/>
    <w:link w:val="CommentTextChar"/>
    <w:uiPriority w:val="99"/>
    <w:rsid w:val="003E6F41"/>
    <w:rPr>
      <w:sz w:val="24"/>
      <w:szCs w:val="24"/>
      <w:lang w:eastAsia="en-GB"/>
    </w:rPr>
  </w:style>
  <w:style w:type="character" w:customStyle="1" w:styleId="CommentTextChar">
    <w:name w:val="Comment Text Char"/>
    <w:basedOn w:val="DefaultParagraphFont"/>
    <w:link w:val="CommentText"/>
    <w:uiPriority w:val="99"/>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link w:val="FootnoteText"/>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uiPriority w:val="59"/>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AnxheaderChar">
    <w:name w:val="ZZ_Anx_header Char"/>
    <w:link w:val="ZZAnxheader"/>
    <w:locked/>
    <w:rsid w:val="000F0BEA"/>
    <w:rPr>
      <w:rFonts w:eastAsia="SimSun"/>
      <w:b/>
      <w:bCs/>
      <w:sz w:val="28"/>
      <w:szCs w:val="22"/>
      <w:lang w:val="en-US" w:eastAsia="en-US"/>
    </w:rPr>
  </w:style>
  <w:style w:type="character" w:customStyle="1" w:styleId="ZZAnxtitleChar">
    <w:name w:val="ZZ_Anx_title Char"/>
    <w:link w:val="ZZAnxtitle"/>
    <w:rsid w:val="00942A85"/>
    <w:rPr>
      <w:rFonts w:eastAsia="SimSun"/>
      <w:b/>
      <w:bCs/>
      <w:sz w:val="28"/>
      <w:szCs w:val="26"/>
      <w:lang w:val="en-US" w:eastAsia="en-US"/>
    </w:rPr>
  </w:style>
  <w:style w:type="character" w:customStyle="1" w:styleId="Normal-poolChar">
    <w:name w:val="Normal-pool Char"/>
    <w:link w:val="Normal-pool"/>
    <w:locked/>
    <w:rsid w:val="009223D3"/>
    <w:rPr>
      <w:rFonts w:eastAsia="SimSun"/>
      <w:lang w:val="en-US" w:eastAsia="en-US"/>
    </w:rPr>
  </w:style>
  <w:style w:type="character" w:customStyle="1" w:styleId="CH2Char">
    <w:name w:val="CH2 Char"/>
    <w:link w:val="CH2"/>
    <w:rsid w:val="000E3219"/>
    <w:rPr>
      <w:rFonts w:eastAsia="SimSun"/>
      <w:b/>
      <w:sz w:val="24"/>
      <w:szCs w:val="24"/>
      <w:lang w:val="en-US" w:eastAsia="en-US"/>
    </w:rPr>
  </w:style>
  <w:style w:type="paragraph" w:customStyle="1" w:styleId="Normal-pool-Table">
    <w:name w:val="Normal-pool-Table"/>
    <w:basedOn w:val="Normal-pool"/>
    <w:rsid w:val="00F95DB2"/>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40" w:after="40"/>
    </w:pPr>
    <w:rPr>
      <w:rFonts w:eastAsia="Times New Roman"/>
      <w:sz w:val="18"/>
    </w:rPr>
  </w:style>
  <w:style w:type="paragraph" w:customStyle="1" w:styleId="xmsolistparagraph">
    <w:name w:val="x_msolistparagraph"/>
    <w:basedOn w:val="Normal"/>
    <w:rsid w:val="00F95DB2"/>
    <w:pPr>
      <w:ind w:left="720"/>
    </w:pPr>
    <w:rPr>
      <w:rFonts w:ascii="Calibri" w:eastAsia="Calibri" w:hAnsi="Calibri" w:cs="Calibri"/>
      <w:sz w:val="22"/>
      <w:szCs w:val="22"/>
      <w:lang w:val="en-CA" w:eastAsia="en-CA"/>
    </w:rPr>
  </w:style>
  <w:style w:type="paragraph" w:styleId="Revision">
    <w:name w:val="Revision"/>
    <w:hidden/>
    <w:uiPriority w:val="99"/>
    <w:semiHidden/>
    <w:rsid w:val="00891D47"/>
    <w:rPr>
      <w:rFonts w:eastAsia="SimSun"/>
      <w:lang w:eastAsia="zh-CN"/>
    </w:rPr>
  </w:style>
  <w:style w:type="table" w:customStyle="1" w:styleId="TableGrid1">
    <w:name w:val="Table Grid1"/>
    <w:basedOn w:val="TableNormal"/>
    <w:next w:val="TableGrid"/>
    <w:uiPriority w:val="39"/>
    <w:rsid w:val="008D4A80"/>
    <w:rPr>
      <w:rFonts w:asciiTheme="minorHAnsi" w:eastAsiaTheme="minorHAnsi" w:hAnsiTheme="minorHAnsi" w:cstheme="minorBidi"/>
      <w:kern w:val="2"/>
      <w:sz w:val="24"/>
      <w:szCs w:val="24"/>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C676A"/>
    <w:rPr>
      <w:rFonts w:eastAsia="SimSun"/>
      <w:lang w:val="fr-F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ocright1">
    <w:name w:val="Table_doc_right1"/>
    <w:basedOn w:val="TableNormal"/>
    <w:rsid w:val="005C676A"/>
    <w:pPr>
      <w:spacing w:before="40" w:after="40"/>
    </w:pPr>
    <w:rPr>
      <w:rFonts w:eastAsia="SimSun"/>
      <w:sz w:val="18"/>
      <w:szCs w:val="18"/>
      <w:lang w:val="fr-F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5b153fd9971240d2caba4db6a53e1c8b">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e6c0e9011efdd4ddda284c09105ab3b4"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Props1.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customXml/itemProps2.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3.xml><?xml version="1.0" encoding="utf-8"?>
<ds:datastoreItem xmlns:ds="http://schemas.openxmlformats.org/officeDocument/2006/customXml" ds:itemID="{3EF77BB2-02FD-4F3E-B484-901CB3E77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91B3D-AA87-49FB-9EF7-FD41B95EDECD}">
  <ds:schemaRefs>
    <ds:schemaRef ds:uri="985ec44e-1bab-4c0b-9df0-6ba128686fc9"/>
    <ds:schemaRef ds:uri="http://schemas.openxmlformats.org/package/2006/metadata/core-properties"/>
    <ds:schemaRef ds:uri="http://purl.org/dc/elements/1.1/"/>
    <ds:schemaRef ds:uri="http://schemas.microsoft.com/office/2006/metadata/properties"/>
    <ds:schemaRef ds:uri="822da31b-d518-49e2-88cd-1351ccd720a8"/>
    <ds:schemaRef ds:uri="http://purl.org/dc/terms/"/>
    <ds:schemaRef ds:uri="http://schemas.microsoft.com/office/2006/documentManagement/types"/>
    <ds:schemaRef ds:uri="http://schemas.microsoft.com/office/infopath/2007/PartnerControls"/>
    <ds:schemaRef ds:uri="8e99bad0-3155-475a-8063-b4d93685c2ad"/>
    <ds:schemaRef ds:uri="http://www.w3.org/XML/1998/namespace"/>
    <ds:schemaRef ds:uri="http://purl.org/dc/dcmitype/"/>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UNEP-MC-COP_EN-CORR.dotm</Template>
  <TotalTime>5</TotalTime>
  <Pages>6</Pages>
  <Words>1924</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Koekkoek</dc:creator>
  <cp:keywords/>
  <dc:description/>
  <cp:lastModifiedBy>Brenda Koekkoek</cp:lastModifiedBy>
  <cp:revision>8</cp:revision>
  <dcterms:created xsi:type="dcterms:W3CDTF">2025-12-15T12:41:00Z</dcterms:created>
  <dcterms:modified xsi:type="dcterms:W3CDTF">2025-12-15T12:46:00Z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ies>
</file>