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1613"/>
        <w:gridCol w:w="2073"/>
        <w:gridCol w:w="2734"/>
        <w:gridCol w:w="1660"/>
        <w:gridCol w:w="1416"/>
      </w:tblGrid>
      <w:tr w:rsidR="0015442E" w:rsidRPr="00D705C8" w14:paraId="3875A4F0" w14:textId="77777777" w:rsidTr="00AE6AB6">
        <w:trPr>
          <w:trHeight w:val="57"/>
          <w:jc w:val="right"/>
        </w:trPr>
        <w:tc>
          <w:tcPr>
            <w:tcW w:w="1613" w:type="dxa"/>
          </w:tcPr>
          <w:p w14:paraId="237C9056" w14:textId="77777777" w:rsidR="0015442E" w:rsidRPr="002F59C7" w:rsidRDefault="0015442E" w:rsidP="00AE6AB6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2F59C7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UNITED </w:t>
            </w:r>
            <w:r w:rsidRPr="002F59C7">
              <w:rPr>
                <w:rFonts w:ascii="Arial" w:hAnsi="Arial" w:cs="Arial"/>
                <w:b/>
                <w:bCs/>
                <w:sz w:val="27"/>
                <w:szCs w:val="27"/>
              </w:rPr>
              <w:br/>
              <w:t>NATIONS</w:t>
            </w:r>
          </w:p>
        </w:tc>
        <w:tc>
          <w:tcPr>
            <w:tcW w:w="6467" w:type="dxa"/>
            <w:gridSpan w:val="3"/>
          </w:tcPr>
          <w:p w14:paraId="7CB9E85D" w14:textId="77777777" w:rsidR="0015442E" w:rsidRPr="00D705C8" w:rsidRDefault="0015442E" w:rsidP="00AE6AB6">
            <w:pPr>
              <w:spacing w:before="20"/>
            </w:pPr>
            <w:r>
              <w:rPr>
                <w:noProof/>
              </w:rPr>
              <w:drawing>
                <wp:inline distT="0" distB="0" distL="0" distR="0" wp14:anchorId="52A71257" wp14:editId="6E7768F2">
                  <wp:extent cx="1267200" cy="549573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UN-UNEP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549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03142FAD" w14:textId="77777777" w:rsidR="0015442E" w:rsidRPr="002F59C7" w:rsidRDefault="00E3329D" w:rsidP="00AE6AB6">
            <w:pPr>
              <w:jc w:val="right"/>
              <w:rPr>
                <w:rFonts w:ascii="Arial" w:hAnsi="Arial" w:cs="Arial"/>
                <w:b/>
                <w:bCs/>
                <w:sz w:val="64"/>
                <w:szCs w:val="64"/>
              </w:rPr>
            </w:pPr>
            <w:r>
              <w:rPr>
                <w:rFonts w:ascii="Arial" w:hAnsi="Arial" w:cs="Arial"/>
                <w:b/>
                <w:bCs/>
                <w:sz w:val="64"/>
                <w:szCs w:val="64"/>
              </w:rPr>
              <w:t>M</w:t>
            </w:r>
            <w:r w:rsidR="0015442E" w:rsidRPr="002F59C7">
              <w:rPr>
                <w:rFonts w:ascii="Arial" w:hAnsi="Arial" w:cs="Arial"/>
                <w:b/>
                <w:bCs/>
                <w:sz w:val="64"/>
                <w:szCs w:val="64"/>
              </w:rPr>
              <w:t>C</w:t>
            </w:r>
          </w:p>
        </w:tc>
      </w:tr>
      <w:tr w:rsidR="0015442E" w:rsidRPr="00D705C8" w14:paraId="3541900C" w14:textId="77777777" w:rsidTr="00F96910">
        <w:trPr>
          <w:trHeight w:val="57"/>
          <w:jc w:val="right"/>
        </w:trPr>
        <w:tc>
          <w:tcPr>
            <w:tcW w:w="1613" w:type="dxa"/>
            <w:tcBorders>
              <w:bottom w:val="single" w:sz="4" w:space="0" w:color="auto"/>
            </w:tcBorders>
          </w:tcPr>
          <w:p w14:paraId="144561A9" w14:textId="77777777" w:rsidR="0015442E" w:rsidRPr="00487B54" w:rsidRDefault="0015442E" w:rsidP="00AE6AB6"/>
        </w:tc>
        <w:tc>
          <w:tcPr>
            <w:tcW w:w="4807" w:type="dxa"/>
            <w:gridSpan w:val="2"/>
            <w:tcBorders>
              <w:bottom w:val="single" w:sz="4" w:space="0" w:color="auto"/>
            </w:tcBorders>
          </w:tcPr>
          <w:p w14:paraId="44C04C0A" w14:textId="77777777" w:rsidR="0015442E" w:rsidRPr="00487B54" w:rsidRDefault="0015442E" w:rsidP="00AE6AB6"/>
        </w:tc>
        <w:tc>
          <w:tcPr>
            <w:tcW w:w="3076" w:type="dxa"/>
            <w:gridSpan w:val="2"/>
            <w:tcBorders>
              <w:bottom w:val="single" w:sz="4" w:space="0" w:color="auto"/>
            </w:tcBorders>
          </w:tcPr>
          <w:p w14:paraId="2031E597" w14:textId="5E3D4E7B" w:rsidR="0015442E" w:rsidRPr="00D665EF" w:rsidRDefault="0015442E" w:rsidP="00AE6AB6">
            <w:r w:rsidRPr="002F59C7">
              <w:rPr>
                <w:b/>
                <w:bCs/>
                <w:sz w:val="28"/>
                <w:szCs w:val="28"/>
              </w:rPr>
              <w:t>UNEP</w:t>
            </w:r>
            <w:r w:rsidRPr="00D705C8">
              <w:t>/</w:t>
            </w:r>
            <w:r w:rsidR="00962471">
              <w:t>MC</w:t>
            </w:r>
            <w:r w:rsidR="00EA2CF9">
              <w:t>/</w:t>
            </w:r>
            <w:r w:rsidR="00962471">
              <w:t>COP.</w:t>
            </w:r>
            <w:r w:rsidR="00587F77">
              <w:t>6</w:t>
            </w:r>
            <w:r w:rsidR="00ED155C">
              <w:t>/</w:t>
            </w:r>
            <w:r w:rsidR="006D1C7C">
              <w:t>INF/</w:t>
            </w:r>
            <w:r w:rsidR="00DB7C92">
              <w:t>41</w:t>
            </w:r>
          </w:p>
        </w:tc>
      </w:tr>
      <w:tr w:rsidR="0015442E" w:rsidRPr="00D705C8" w14:paraId="6ED43051" w14:textId="77777777" w:rsidTr="009D7B82">
        <w:trPr>
          <w:trHeight w:val="57"/>
          <w:jc w:val="right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2F3FED0F" w14:textId="77777777" w:rsidR="0015442E" w:rsidRPr="00D705C8" w:rsidRDefault="009D7B82" w:rsidP="006520E8">
            <w:pPr>
              <w:spacing w:before="120" w:after="240"/>
              <w:ind w:left="-85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60207D8" wp14:editId="46F3D417">
                  <wp:extent cx="2204961" cy="1029600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NAMATA-BW_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961" cy="10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4" w:type="dxa"/>
            <w:tcBorders>
              <w:top w:val="single" w:sz="4" w:space="0" w:color="auto"/>
              <w:bottom w:val="single" w:sz="18" w:space="0" w:color="auto"/>
            </w:tcBorders>
          </w:tcPr>
          <w:p w14:paraId="427623FA" w14:textId="77777777" w:rsidR="0015442E" w:rsidRPr="00DB7C92" w:rsidRDefault="0015442E" w:rsidP="00962471">
            <w:pPr>
              <w:spacing w:before="240" w:after="4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494F0B41" w14:textId="1311FD61" w:rsidR="0015442E" w:rsidRPr="00DB7C92" w:rsidRDefault="0015442E" w:rsidP="00AE6AB6">
            <w:pPr>
              <w:spacing w:before="120"/>
              <w:rPr>
                <w:iCs/>
              </w:rPr>
            </w:pPr>
            <w:r w:rsidRPr="00DB7C92">
              <w:t xml:space="preserve">Distr.: General </w:t>
            </w:r>
            <w:r w:rsidRPr="00DB7C92">
              <w:br/>
            </w:r>
            <w:r w:rsidR="003E778A">
              <w:rPr>
                <w:iCs/>
              </w:rPr>
              <w:t>2</w:t>
            </w:r>
            <w:r w:rsidR="002B4AE3">
              <w:rPr>
                <w:iCs/>
              </w:rPr>
              <w:t>6</w:t>
            </w:r>
            <w:r w:rsidRPr="00DB7C92">
              <w:rPr>
                <w:iCs/>
              </w:rPr>
              <w:t xml:space="preserve"> </w:t>
            </w:r>
            <w:r w:rsidR="00DB7C92" w:rsidRPr="00DB7C92">
              <w:rPr>
                <w:iCs/>
              </w:rPr>
              <w:t>August</w:t>
            </w:r>
            <w:r w:rsidRPr="00DB7C92">
              <w:rPr>
                <w:iCs/>
              </w:rPr>
              <w:t xml:space="preserve"> 202</w:t>
            </w:r>
            <w:r w:rsidR="00587F77" w:rsidRPr="00DB7C92">
              <w:rPr>
                <w:iCs/>
              </w:rPr>
              <w:t>5</w:t>
            </w:r>
          </w:p>
          <w:p w14:paraId="786FA9DB" w14:textId="217476E6" w:rsidR="0015442E" w:rsidRPr="00DB7C92" w:rsidRDefault="0015442E" w:rsidP="00AE6AB6">
            <w:pPr>
              <w:spacing w:before="120"/>
              <w:rPr>
                <w:sz w:val="22"/>
              </w:rPr>
            </w:pPr>
            <w:r w:rsidRPr="00DB7C92">
              <w:t>English</w:t>
            </w:r>
            <w:r w:rsidR="00DB7C92" w:rsidRPr="00DB7C92">
              <w:t xml:space="preserve"> only</w:t>
            </w:r>
          </w:p>
        </w:tc>
      </w:tr>
    </w:tbl>
    <w:p w14:paraId="5D4E73B5" w14:textId="77777777" w:rsidR="00962471" w:rsidRPr="0009694E" w:rsidRDefault="00962471" w:rsidP="00962471">
      <w:pPr>
        <w:pStyle w:val="AATitle"/>
      </w:pPr>
      <w:r w:rsidRPr="0009694E">
        <w:t xml:space="preserve">Conference of the Parties to the </w:t>
      </w:r>
      <w:r w:rsidRPr="0009694E">
        <w:br/>
        <w:t>Minamata Convention on Mercury</w:t>
      </w:r>
    </w:p>
    <w:p w14:paraId="25B9D054" w14:textId="67D89B84" w:rsidR="00962471" w:rsidRPr="0009694E" w:rsidRDefault="00587F77" w:rsidP="00962471">
      <w:pPr>
        <w:pStyle w:val="AATitle"/>
      </w:pPr>
      <w:r>
        <w:t>Sixth</w:t>
      </w:r>
      <w:r w:rsidR="00962471" w:rsidRPr="0009694E">
        <w:t xml:space="preserve"> meeting</w:t>
      </w:r>
    </w:p>
    <w:p w14:paraId="6479FDBB" w14:textId="26F55457" w:rsidR="005369CB" w:rsidRDefault="00ED155C" w:rsidP="0015442E">
      <w:pPr>
        <w:pStyle w:val="AATitle"/>
        <w:rPr>
          <w:b w:val="0"/>
        </w:rPr>
      </w:pPr>
      <w:r>
        <w:rPr>
          <w:b w:val="0"/>
        </w:rPr>
        <w:t xml:space="preserve">Geneva, </w:t>
      </w:r>
      <w:r w:rsidR="00587F77">
        <w:rPr>
          <w:b w:val="0"/>
        </w:rPr>
        <w:t>3</w:t>
      </w:r>
      <w:r>
        <w:rPr>
          <w:b w:val="0"/>
        </w:rPr>
        <w:t>–</w:t>
      </w:r>
      <w:r w:rsidR="00587F77">
        <w:rPr>
          <w:b w:val="0"/>
        </w:rPr>
        <w:t>7</w:t>
      </w:r>
      <w:r>
        <w:rPr>
          <w:b w:val="0"/>
        </w:rPr>
        <w:t xml:space="preserve"> November 202</w:t>
      </w:r>
      <w:r w:rsidR="00587F77">
        <w:rPr>
          <w:b w:val="0"/>
        </w:rPr>
        <w:t>5</w:t>
      </w:r>
    </w:p>
    <w:p w14:paraId="1D83FFB8" w14:textId="1A63D69C" w:rsidR="00435FD9" w:rsidRPr="0064723A" w:rsidRDefault="00435FD9" w:rsidP="00880CCB">
      <w:pPr>
        <w:pStyle w:val="AATitle"/>
        <w:rPr>
          <w:b w:val="0"/>
        </w:rPr>
      </w:pPr>
      <w:r w:rsidRPr="0064723A">
        <w:rPr>
          <w:b w:val="0"/>
        </w:rPr>
        <w:t xml:space="preserve">Item </w:t>
      </w:r>
      <w:r w:rsidR="00C8624F" w:rsidRPr="0064723A">
        <w:rPr>
          <w:b w:val="0"/>
        </w:rPr>
        <w:t>4 (l)</w:t>
      </w:r>
      <w:r w:rsidRPr="0064723A">
        <w:rPr>
          <w:b w:val="0"/>
        </w:rPr>
        <w:t xml:space="preserve"> of the provisional agenda</w:t>
      </w:r>
      <w:r w:rsidR="00880CCB" w:rsidRPr="0064723A">
        <w:rPr>
          <w:rStyle w:val="FootnoteReference"/>
          <w:b w:val="0"/>
          <w:vertAlign w:val="baseline"/>
        </w:rPr>
        <w:footnoteReference w:customMarkFollows="1" w:id="2"/>
        <w:t>*</w:t>
      </w:r>
    </w:p>
    <w:p w14:paraId="3A82A9F2" w14:textId="2157126D" w:rsidR="00435FD9" w:rsidRPr="003140A7" w:rsidRDefault="00CB597F" w:rsidP="00C8624F">
      <w:pPr>
        <w:pStyle w:val="AATitle2"/>
        <w:keepNext w:val="0"/>
        <w:keepLines w:val="0"/>
        <w:tabs>
          <w:tab w:val="clear" w:pos="1814"/>
          <w:tab w:val="clear" w:pos="2381"/>
          <w:tab w:val="clear" w:pos="2948"/>
          <w:tab w:val="clear" w:pos="3515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ind w:right="5046"/>
        <w:rPr>
          <w:rFonts w:eastAsia="Times New Roman"/>
        </w:rPr>
      </w:pPr>
      <w:r w:rsidRPr="0064723A">
        <w:rPr>
          <w:rFonts w:eastAsia="Times New Roman"/>
        </w:rPr>
        <w:t>Matters for consideration or action by</w:t>
      </w:r>
      <w:r w:rsidRPr="00CB597F">
        <w:rPr>
          <w:rFonts w:eastAsia="Times New Roman"/>
        </w:rPr>
        <w:t xml:space="preserve"> the Conference of the Parties: </w:t>
      </w:r>
      <w:r w:rsidR="0092370A">
        <w:rPr>
          <w:rFonts w:eastAsia="Times New Roman"/>
        </w:rPr>
        <w:t>m</w:t>
      </w:r>
      <w:r w:rsidRPr="00CB597F">
        <w:rPr>
          <w:rFonts w:eastAsia="Times New Roman"/>
        </w:rPr>
        <w:t>ercury and the Kunming-Montreal Global Biodiversity Framework</w:t>
      </w:r>
    </w:p>
    <w:p w14:paraId="3707D942" w14:textId="46427E71" w:rsidR="000C0F46" w:rsidRDefault="00232C6B" w:rsidP="00F96910">
      <w:pPr>
        <w:pStyle w:val="BBTitle"/>
      </w:pPr>
      <w:r>
        <w:t>K</w:t>
      </w:r>
      <w:r w:rsidR="00526C08" w:rsidRPr="00526C08">
        <w:t xml:space="preserve">ey decisions of the Conference of the Parties to the Convention on Biological Diversity </w:t>
      </w:r>
      <w:r w:rsidR="005F0725">
        <w:t xml:space="preserve">relevant to </w:t>
      </w:r>
      <w:r w:rsidRPr="00232C6B">
        <w:t>the Minamata Convention</w:t>
      </w:r>
      <w:r w:rsidR="00655FAB">
        <w:t xml:space="preserve"> on Mercury</w:t>
      </w:r>
      <w:r w:rsidR="003E778A" w:rsidRPr="003E778A">
        <w:rPr>
          <w:rStyle w:val="FootnoteReference"/>
          <w:sz w:val="28"/>
          <w:szCs w:val="24"/>
          <w:vertAlign w:val="baseline"/>
        </w:rPr>
        <w:footnoteReference w:customMarkFollows="1" w:id="3"/>
        <w:t>**</w:t>
      </w:r>
    </w:p>
    <w:p w14:paraId="5CC09887" w14:textId="5A2EBA6E" w:rsidR="0079019B" w:rsidRPr="00E3591B" w:rsidRDefault="0079019B" w:rsidP="00F96910">
      <w:pPr>
        <w:pStyle w:val="BBTitle"/>
        <w:rPr>
          <w:sz w:val="24"/>
          <w:szCs w:val="24"/>
        </w:rPr>
      </w:pPr>
      <w:r w:rsidRPr="00E3591B">
        <w:rPr>
          <w:sz w:val="24"/>
          <w:szCs w:val="24"/>
        </w:rPr>
        <w:t xml:space="preserve">Note by the </w:t>
      </w:r>
      <w:r w:rsidR="00DB7C92">
        <w:rPr>
          <w:sz w:val="24"/>
          <w:szCs w:val="24"/>
        </w:rPr>
        <w:t>s</w:t>
      </w:r>
      <w:r w:rsidRPr="00E3591B">
        <w:rPr>
          <w:sz w:val="24"/>
          <w:szCs w:val="24"/>
        </w:rPr>
        <w:t>ecretariat</w:t>
      </w:r>
    </w:p>
    <w:p w14:paraId="73D0E588" w14:textId="5C257901" w:rsidR="0032199C" w:rsidRDefault="006B0B84" w:rsidP="006B0B84">
      <w:pPr>
        <w:ind w:left="1247"/>
        <w:rPr>
          <w:rFonts w:eastAsia="Times New Roman"/>
          <w:lang w:eastAsia="en-US"/>
        </w:rPr>
      </w:pPr>
      <w:r w:rsidRPr="006B0B84">
        <w:rPr>
          <w:rFonts w:eastAsia="Times New Roman"/>
          <w:lang w:eastAsia="en-US"/>
        </w:rPr>
        <w:t>The annexes to the present note set out information relevant to the road</w:t>
      </w:r>
      <w:r w:rsidR="0064723A">
        <w:rPr>
          <w:rFonts w:eastAsia="Times New Roman"/>
          <w:lang w:eastAsia="en-US"/>
        </w:rPr>
        <w:t xml:space="preserve"> </w:t>
      </w:r>
      <w:r w:rsidRPr="006B0B84">
        <w:rPr>
          <w:rFonts w:eastAsia="Times New Roman"/>
          <w:lang w:eastAsia="en-US"/>
        </w:rPr>
        <w:t>map for enhancing co-benefits from implementation of the Minamata Convention and the Kunming-Montreal Global Biodiversity Framework, as set out in document UNEP/MC/COP</w:t>
      </w:r>
      <w:r>
        <w:rPr>
          <w:rFonts w:eastAsia="Times New Roman"/>
          <w:lang w:eastAsia="en-US"/>
        </w:rPr>
        <w:t>.</w:t>
      </w:r>
      <w:r w:rsidRPr="006B0B84">
        <w:rPr>
          <w:rFonts w:eastAsia="Times New Roman"/>
          <w:lang w:eastAsia="en-US"/>
        </w:rPr>
        <w:t xml:space="preserve">6/20. Annex I </w:t>
      </w:r>
      <w:r w:rsidR="0057085E" w:rsidRPr="006B0B84">
        <w:rPr>
          <w:rFonts w:eastAsia="Times New Roman"/>
          <w:lang w:eastAsia="en-US"/>
        </w:rPr>
        <w:t>contain</w:t>
      </w:r>
      <w:r w:rsidR="0057085E">
        <w:rPr>
          <w:rFonts w:eastAsia="Times New Roman"/>
          <w:lang w:eastAsia="en-US"/>
        </w:rPr>
        <w:t>s</w:t>
      </w:r>
      <w:r w:rsidRPr="006B0B84">
        <w:rPr>
          <w:rFonts w:eastAsia="Times New Roman"/>
          <w:lang w:eastAsia="en-US"/>
        </w:rPr>
        <w:t xml:space="preserve"> a list of key decisions from the fifteenth and sixteenth meetings of the Conference of the Parties to the Convention on Biological Diversity</w:t>
      </w:r>
      <w:r>
        <w:rPr>
          <w:rFonts w:eastAsia="Times New Roman"/>
          <w:lang w:eastAsia="en-US"/>
        </w:rPr>
        <w:t>. A</w:t>
      </w:r>
      <w:r w:rsidRPr="006B0B84">
        <w:rPr>
          <w:rFonts w:eastAsia="Times New Roman"/>
          <w:lang w:eastAsia="en-US"/>
        </w:rPr>
        <w:t xml:space="preserve">nnex II provides resources to support </w:t>
      </w:r>
      <w:r w:rsidR="0057085E">
        <w:rPr>
          <w:rFonts w:eastAsia="Times New Roman"/>
          <w:lang w:eastAsia="en-US"/>
        </w:rPr>
        <w:t>p</w:t>
      </w:r>
      <w:r w:rsidRPr="006B0B84">
        <w:rPr>
          <w:rFonts w:eastAsia="Times New Roman"/>
          <w:lang w:eastAsia="en-US"/>
        </w:rPr>
        <w:t>arties in integrating mercury reduction actions into their national biodiversity strategies and action plans (NBSAPs).</w:t>
      </w:r>
    </w:p>
    <w:p w14:paraId="3D3EB902" w14:textId="64C4FAA8" w:rsidR="008B4456" w:rsidRDefault="008B4456" w:rsidP="0032199C">
      <w:pPr>
        <w:ind w:left="1247"/>
        <w:rPr>
          <w:rFonts w:eastAsia="Times New Roman"/>
          <w:lang w:val="fr-CA" w:eastAsia="en-US"/>
        </w:rPr>
      </w:pPr>
      <w:r>
        <w:br w:type="page"/>
      </w:r>
    </w:p>
    <w:p w14:paraId="2857D37C" w14:textId="77777777" w:rsidR="000C7A28" w:rsidRDefault="000C7A28" w:rsidP="003E778A">
      <w:pPr>
        <w:pStyle w:val="ZZAnxtitle"/>
        <w:tabs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ind w:left="0"/>
        <w:rPr>
          <w:lang w:val="en-GB"/>
        </w:rPr>
      </w:pPr>
      <w:r>
        <w:rPr>
          <w:lang w:val="en-GB"/>
        </w:rPr>
        <w:lastRenderedPageBreak/>
        <w:t>Annex I</w:t>
      </w:r>
    </w:p>
    <w:p w14:paraId="4C58FF1B" w14:textId="249FF581" w:rsidR="000C7A28" w:rsidRPr="004C5865" w:rsidRDefault="000C7A28" w:rsidP="000C7A28">
      <w:pPr>
        <w:pStyle w:val="ZZAnxtitle"/>
        <w:tabs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rPr>
          <w:rFonts w:asciiTheme="majorBidi" w:hAnsiTheme="majorBidi" w:cstheme="majorBidi"/>
          <w:b w:val="0"/>
          <w:bCs w:val="0"/>
          <w:shd w:val="clear" w:color="auto" w:fill="FFFFFF"/>
          <w:lang w:val="en-GB"/>
        </w:rPr>
      </w:pPr>
      <w:r w:rsidRPr="004C5865">
        <w:rPr>
          <w:lang w:val="en-GB"/>
        </w:rPr>
        <w:t>List of key decisions from the fifteenth and sixteenth meetings of the Conference of the Parties to the Convention on Biological Diversity</w:t>
      </w:r>
      <w:r w:rsidRPr="004C5865">
        <w:rPr>
          <w:b w:val="0"/>
          <w:bCs w:val="0"/>
          <w:lang w:val="en-GB"/>
        </w:rPr>
        <w:t xml:space="preserve"> </w:t>
      </w:r>
      <w:r w:rsidRPr="004C5865">
        <w:rPr>
          <w:lang w:val="en-GB"/>
        </w:rPr>
        <w:t>of relevance in the context of the road</w:t>
      </w:r>
      <w:r w:rsidR="0064723A">
        <w:rPr>
          <w:lang w:val="en-GB"/>
        </w:rPr>
        <w:t xml:space="preserve"> </w:t>
      </w:r>
      <w:r w:rsidRPr="004C5865">
        <w:rPr>
          <w:lang w:val="en-GB"/>
        </w:rPr>
        <w:t>m</w:t>
      </w:r>
      <w:r w:rsidRPr="004C5865">
        <w:rPr>
          <w:szCs w:val="28"/>
          <w:lang w:val="en-GB"/>
        </w:rPr>
        <w:t>ap</w:t>
      </w:r>
    </w:p>
    <w:p w14:paraId="0D3F9E75" w14:textId="77777777" w:rsidR="000C7A28" w:rsidRPr="004C5865" w:rsidRDefault="000C7A28" w:rsidP="001E3181">
      <w:pPr>
        <w:spacing w:before="240" w:after="120"/>
        <w:ind w:left="1247"/>
        <w:rPr>
          <w:rFonts w:asciiTheme="majorBidi" w:hAnsiTheme="majorBidi" w:cstheme="majorBidi"/>
          <w:b/>
          <w:bCs/>
          <w:shd w:val="clear" w:color="auto" w:fill="FFFFFF"/>
        </w:rPr>
      </w:pPr>
      <w:r w:rsidRPr="004C5865">
        <w:rPr>
          <w:rFonts w:asciiTheme="majorBidi" w:hAnsiTheme="majorBidi" w:cstheme="majorBidi"/>
          <w:b/>
          <w:bCs/>
          <w:shd w:val="clear" w:color="auto" w:fill="FFFFFF"/>
        </w:rPr>
        <w:t xml:space="preserve">COP 15 decisions </w:t>
      </w:r>
    </w:p>
    <w:p w14:paraId="5CAE9457" w14:textId="77777777" w:rsidR="000C7A28" w:rsidRPr="006F0281" w:rsidRDefault="000C7A28" w:rsidP="001E3181">
      <w:pPr>
        <w:pStyle w:val="Default"/>
        <w:spacing w:before="120" w:after="120"/>
        <w:ind w:left="1247"/>
        <w:jc w:val="both"/>
        <w:rPr>
          <w:rFonts w:asciiTheme="majorBidi" w:hAnsiTheme="majorBidi" w:cstheme="majorBidi"/>
          <w:i/>
          <w:iCs/>
          <w:color w:val="auto"/>
          <w:sz w:val="20"/>
          <w:szCs w:val="20"/>
          <w:lang w:val="en-GB"/>
        </w:rPr>
      </w:pPr>
      <w:r w:rsidRPr="006F0281">
        <w:rPr>
          <w:rFonts w:asciiTheme="majorBidi" w:hAnsiTheme="majorBidi" w:cstheme="majorBidi"/>
          <w:i/>
          <w:iCs/>
          <w:color w:val="auto"/>
          <w:sz w:val="20"/>
          <w:szCs w:val="20"/>
          <w:lang w:val="en-GB"/>
        </w:rPr>
        <w:t xml:space="preserve">Note: The </w:t>
      </w:r>
      <w:r w:rsidRPr="006F0281">
        <w:rPr>
          <w:rStyle w:val="A7"/>
          <w:rFonts w:asciiTheme="majorBidi" w:hAnsiTheme="majorBidi" w:cstheme="majorBidi"/>
          <w:i/>
          <w:iCs/>
          <w:color w:val="auto"/>
          <w:u w:val="none"/>
          <w:lang w:val="en-GB"/>
        </w:rPr>
        <w:t xml:space="preserve">full list of COP15 Decisions </w:t>
      </w:r>
      <w:r w:rsidRPr="006F0281">
        <w:rPr>
          <w:rFonts w:asciiTheme="majorBidi" w:hAnsiTheme="majorBidi" w:cstheme="majorBidi"/>
          <w:i/>
          <w:iCs/>
          <w:color w:val="auto"/>
          <w:sz w:val="20"/>
          <w:szCs w:val="20"/>
          <w:lang w:val="en-GB"/>
        </w:rPr>
        <w:t>can be found here.</w:t>
      </w:r>
    </w:p>
    <w:p w14:paraId="44EE299B" w14:textId="77777777" w:rsidR="006F0281" w:rsidRPr="006F0281" w:rsidRDefault="006F0281" w:rsidP="006F0281">
      <w:pPr>
        <w:pStyle w:val="Pa15"/>
        <w:spacing w:after="120" w:line="240" w:lineRule="auto"/>
        <w:ind w:left="1247"/>
        <w:rPr>
          <w:rStyle w:val="A8"/>
          <w:rFonts w:asciiTheme="majorBidi" w:hAnsiTheme="majorBidi" w:cstheme="majorBidi"/>
          <w:sz w:val="20"/>
          <w:szCs w:val="20"/>
          <w:lang w:val="en-GB"/>
        </w:rPr>
      </w:pPr>
      <w:r w:rsidRPr="006F0281">
        <w:rPr>
          <w:rFonts w:asciiTheme="majorBidi" w:hAnsiTheme="majorBidi" w:cstheme="majorBidi"/>
          <w:sz w:val="20"/>
          <w:szCs w:val="20"/>
          <w:lang w:val="en-GB"/>
        </w:rPr>
        <w:t>Decision 15/3 “</w:t>
      </w:r>
      <w:r w:rsidRPr="006F0281">
        <w:rPr>
          <w:rStyle w:val="A7"/>
          <w:rFonts w:asciiTheme="majorBidi" w:hAnsiTheme="majorBidi" w:cstheme="majorBidi"/>
          <w:u w:val="none"/>
          <w:lang w:val="en-GB"/>
        </w:rPr>
        <w:t>Review of progress in the implementation of the Convention and the Strategic Plan for Biodiversity 2011-2020 and the achievement of the Aichi Biodiversity Targets</w:t>
      </w:r>
      <w:r w:rsidRPr="006F0281">
        <w:rPr>
          <w:rFonts w:asciiTheme="majorBidi" w:hAnsiTheme="majorBidi" w:cstheme="majorBidi"/>
          <w:sz w:val="20"/>
          <w:szCs w:val="20"/>
          <w:lang w:val="en-GB"/>
        </w:rPr>
        <w:t>”</w:t>
      </w:r>
      <w:r w:rsidRPr="006F0281">
        <w:rPr>
          <w:rStyle w:val="A8"/>
          <w:rFonts w:asciiTheme="majorBidi" w:hAnsiTheme="majorBidi" w:cstheme="majorBidi"/>
          <w:sz w:val="20"/>
          <w:szCs w:val="20"/>
          <w:lang w:val="en-GB"/>
        </w:rPr>
        <w:t xml:space="preserve"> </w:t>
      </w:r>
    </w:p>
    <w:p w14:paraId="307DC365" w14:textId="77777777" w:rsidR="000C7A28" w:rsidRPr="006F0281" w:rsidRDefault="000C7A28" w:rsidP="000C7A28">
      <w:pPr>
        <w:pStyle w:val="Pa15"/>
        <w:spacing w:after="120" w:line="240" w:lineRule="auto"/>
        <w:ind w:left="1247"/>
        <w:rPr>
          <w:rFonts w:asciiTheme="majorBidi" w:hAnsiTheme="majorBidi" w:cstheme="majorBidi"/>
          <w:sz w:val="20"/>
          <w:szCs w:val="20"/>
          <w:lang w:val="en-GB"/>
        </w:rPr>
      </w:pPr>
      <w:r w:rsidRPr="006F0281">
        <w:rPr>
          <w:rFonts w:asciiTheme="majorBidi" w:hAnsiTheme="majorBidi" w:cstheme="majorBidi"/>
          <w:sz w:val="20"/>
          <w:szCs w:val="20"/>
          <w:lang w:val="en-GB"/>
        </w:rPr>
        <w:t>Decision 15/4 “</w:t>
      </w:r>
      <w:r w:rsidRPr="006F0281">
        <w:rPr>
          <w:rStyle w:val="A7"/>
          <w:rFonts w:asciiTheme="majorBidi" w:hAnsiTheme="majorBidi" w:cstheme="majorBidi"/>
          <w:u w:val="none"/>
          <w:lang w:val="en-GB"/>
        </w:rPr>
        <w:t>Kunming-Montreal Global Biodiversity Framework</w:t>
      </w:r>
      <w:r w:rsidRPr="006F0281">
        <w:rPr>
          <w:rFonts w:asciiTheme="majorBidi" w:hAnsiTheme="majorBidi" w:cstheme="majorBidi"/>
          <w:sz w:val="20"/>
          <w:szCs w:val="20"/>
          <w:lang w:val="en-GB"/>
        </w:rPr>
        <w:t>”</w:t>
      </w:r>
    </w:p>
    <w:p w14:paraId="63BDC1D8" w14:textId="77777777" w:rsidR="000C7A28" w:rsidRPr="006F0281" w:rsidRDefault="000C7A28" w:rsidP="000C7A28">
      <w:pPr>
        <w:pStyle w:val="Pa15"/>
        <w:spacing w:after="120" w:line="240" w:lineRule="auto"/>
        <w:ind w:left="1247"/>
        <w:rPr>
          <w:rFonts w:asciiTheme="majorBidi" w:hAnsiTheme="majorBidi" w:cstheme="majorBidi"/>
          <w:sz w:val="20"/>
          <w:szCs w:val="20"/>
          <w:lang w:val="en-GB"/>
        </w:rPr>
      </w:pPr>
      <w:r w:rsidRPr="006F0281">
        <w:rPr>
          <w:rFonts w:asciiTheme="majorBidi" w:hAnsiTheme="majorBidi" w:cstheme="majorBidi"/>
          <w:sz w:val="20"/>
          <w:szCs w:val="20"/>
          <w:lang w:val="en-GB"/>
        </w:rPr>
        <w:t>Decision 15/6 “</w:t>
      </w:r>
      <w:r w:rsidRPr="006F0281">
        <w:rPr>
          <w:rStyle w:val="A7"/>
          <w:rFonts w:asciiTheme="majorBidi" w:hAnsiTheme="majorBidi" w:cstheme="majorBidi"/>
          <w:u w:val="none"/>
          <w:lang w:val="en-GB"/>
        </w:rPr>
        <w:t>Mechanisms for planning, monitoring, reporting and review</w:t>
      </w:r>
      <w:r w:rsidRPr="006F0281">
        <w:rPr>
          <w:rFonts w:asciiTheme="majorBidi" w:hAnsiTheme="majorBidi" w:cstheme="majorBidi"/>
          <w:sz w:val="20"/>
          <w:szCs w:val="20"/>
          <w:lang w:val="en-GB"/>
        </w:rPr>
        <w:t>”</w:t>
      </w:r>
    </w:p>
    <w:p w14:paraId="01C2789A" w14:textId="77777777" w:rsidR="000C7A28" w:rsidRPr="006F0281" w:rsidRDefault="000C7A28" w:rsidP="000C7A28">
      <w:pPr>
        <w:pStyle w:val="Pa15"/>
        <w:spacing w:after="120" w:line="240" w:lineRule="auto"/>
        <w:ind w:left="1247"/>
        <w:rPr>
          <w:rFonts w:asciiTheme="majorBidi" w:hAnsiTheme="majorBidi" w:cstheme="majorBidi"/>
          <w:sz w:val="20"/>
          <w:szCs w:val="20"/>
          <w:lang w:val="en-GB"/>
        </w:rPr>
      </w:pPr>
      <w:r w:rsidRPr="006F0281">
        <w:rPr>
          <w:rFonts w:asciiTheme="majorBidi" w:hAnsiTheme="majorBidi" w:cstheme="majorBidi"/>
          <w:sz w:val="20"/>
          <w:szCs w:val="20"/>
          <w:lang w:val="en-GB"/>
        </w:rPr>
        <w:t>Decision 15/5 “</w:t>
      </w:r>
      <w:r w:rsidRPr="006F0281">
        <w:rPr>
          <w:rStyle w:val="A7"/>
          <w:rFonts w:asciiTheme="majorBidi" w:hAnsiTheme="majorBidi" w:cstheme="majorBidi"/>
          <w:u w:val="none"/>
          <w:lang w:val="en-GB"/>
        </w:rPr>
        <w:t>Monitoring framework for the Kunming-Montreal Global Biodiversity Framework</w:t>
      </w:r>
      <w:r w:rsidRPr="006F0281">
        <w:rPr>
          <w:rFonts w:asciiTheme="majorBidi" w:hAnsiTheme="majorBidi" w:cstheme="majorBidi"/>
          <w:sz w:val="20"/>
          <w:szCs w:val="20"/>
          <w:lang w:val="en-GB"/>
        </w:rPr>
        <w:t>”</w:t>
      </w:r>
    </w:p>
    <w:p w14:paraId="1C996C76" w14:textId="77777777" w:rsidR="000C7A28" w:rsidRPr="006F0281" w:rsidRDefault="000C7A28" w:rsidP="000C7A28">
      <w:pPr>
        <w:pStyle w:val="Pa15"/>
        <w:spacing w:after="120" w:line="240" w:lineRule="auto"/>
        <w:ind w:left="1247"/>
        <w:rPr>
          <w:rFonts w:asciiTheme="majorBidi" w:hAnsiTheme="majorBidi" w:cstheme="majorBidi"/>
          <w:sz w:val="20"/>
          <w:szCs w:val="20"/>
          <w:lang w:val="en-GB"/>
        </w:rPr>
      </w:pPr>
      <w:r w:rsidRPr="006F0281">
        <w:rPr>
          <w:rFonts w:asciiTheme="majorBidi" w:hAnsiTheme="majorBidi" w:cstheme="majorBidi"/>
          <w:sz w:val="20"/>
          <w:szCs w:val="20"/>
          <w:lang w:val="en-GB"/>
        </w:rPr>
        <w:t>Decision 15/7 “</w:t>
      </w:r>
      <w:r w:rsidRPr="006F0281">
        <w:rPr>
          <w:rStyle w:val="A7"/>
          <w:rFonts w:asciiTheme="majorBidi" w:hAnsiTheme="majorBidi" w:cstheme="majorBidi"/>
          <w:u w:val="none"/>
          <w:lang w:val="en-GB"/>
        </w:rPr>
        <w:t>Resource Mobilization</w:t>
      </w:r>
      <w:r w:rsidRPr="006F0281">
        <w:rPr>
          <w:rFonts w:asciiTheme="majorBidi" w:hAnsiTheme="majorBidi" w:cstheme="majorBidi"/>
          <w:sz w:val="20"/>
          <w:szCs w:val="20"/>
          <w:lang w:val="en-GB"/>
        </w:rPr>
        <w:t>”</w:t>
      </w:r>
      <w:r w:rsidRPr="006F0281">
        <w:rPr>
          <w:rStyle w:val="A8"/>
          <w:rFonts w:asciiTheme="majorBidi" w:hAnsiTheme="majorBidi" w:cstheme="majorBidi"/>
          <w:sz w:val="20"/>
          <w:szCs w:val="20"/>
          <w:lang w:val="en-GB"/>
        </w:rPr>
        <w:t xml:space="preserve"> </w:t>
      </w:r>
    </w:p>
    <w:p w14:paraId="44E2AD68" w14:textId="77777777" w:rsidR="000C7A28" w:rsidRPr="006F0281" w:rsidRDefault="000C7A28" w:rsidP="000C7A28">
      <w:pPr>
        <w:pStyle w:val="Pa15"/>
        <w:spacing w:after="120" w:line="240" w:lineRule="auto"/>
        <w:ind w:left="1247"/>
        <w:rPr>
          <w:rFonts w:asciiTheme="majorBidi" w:hAnsiTheme="majorBidi" w:cstheme="majorBidi"/>
          <w:sz w:val="20"/>
          <w:szCs w:val="20"/>
          <w:lang w:val="en-GB"/>
        </w:rPr>
      </w:pPr>
      <w:r w:rsidRPr="006F0281">
        <w:rPr>
          <w:rFonts w:asciiTheme="majorBidi" w:hAnsiTheme="majorBidi" w:cstheme="majorBidi"/>
          <w:sz w:val="20"/>
          <w:szCs w:val="20"/>
          <w:lang w:val="en-GB"/>
        </w:rPr>
        <w:t>Decision 15/8 “</w:t>
      </w:r>
      <w:r w:rsidRPr="006F0281">
        <w:rPr>
          <w:rStyle w:val="A7"/>
          <w:rFonts w:asciiTheme="majorBidi" w:hAnsiTheme="majorBidi" w:cstheme="majorBidi"/>
          <w:u w:val="none"/>
          <w:lang w:val="en-GB"/>
        </w:rPr>
        <w:t>Capacity-building and development and technical and scientific cooperation</w:t>
      </w:r>
      <w:r w:rsidRPr="006F0281">
        <w:rPr>
          <w:rFonts w:asciiTheme="majorBidi" w:hAnsiTheme="majorBidi" w:cstheme="majorBidi"/>
          <w:sz w:val="20"/>
          <w:szCs w:val="20"/>
          <w:lang w:val="en-GB"/>
        </w:rPr>
        <w:t>”</w:t>
      </w:r>
      <w:r w:rsidRPr="006F0281">
        <w:rPr>
          <w:rStyle w:val="A8"/>
          <w:rFonts w:asciiTheme="majorBidi" w:hAnsiTheme="majorBidi" w:cstheme="majorBidi"/>
          <w:sz w:val="20"/>
          <w:szCs w:val="20"/>
          <w:lang w:val="en-GB"/>
        </w:rPr>
        <w:t xml:space="preserve"> </w:t>
      </w:r>
    </w:p>
    <w:p w14:paraId="32330882" w14:textId="77777777" w:rsidR="000C7A28" w:rsidRPr="006F0281" w:rsidRDefault="000C7A28" w:rsidP="000C7A28">
      <w:pPr>
        <w:pStyle w:val="Pa15"/>
        <w:spacing w:after="120" w:line="240" w:lineRule="auto"/>
        <w:ind w:left="1247"/>
        <w:rPr>
          <w:rFonts w:asciiTheme="majorBidi" w:hAnsiTheme="majorBidi" w:cstheme="majorBidi"/>
          <w:sz w:val="20"/>
          <w:szCs w:val="20"/>
          <w:lang w:val="en-GB"/>
        </w:rPr>
      </w:pPr>
      <w:r w:rsidRPr="006F0281">
        <w:rPr>
          <w:rFonts w:asciiTheme="majorBidi" w:hAnsiTheme="majorBidi" w:cstheme="majorBidi"/>
          <w:sz w:val="20"/>
          <w:szCs w:val="20"/>
          <w:lang w:val="en-GB"/>
        </w:rPr>
        <w:t>Decision 15/10 “</w:t>
      </w:r>
      <w:r w:rsidRPr="006F0281">
        <w:rPr>
          <w:rStyle w:val="A7"/>
          <w:rFonts w:asciiTheme="majorBidi" w:hAnsiTheme="majorBidi" w:cstheme="majorBidi"/>
          <w:u w:val="none"/>
          <w:lang w:val="en-GB"/>
        </w:rPr>
        <w:t>Development of a new programme of work and institutional arrangements on Article 8(j) and other provisions of the Convention related to indigenous peoples and local communities</w:t>
      </w:r>
      <w:r w:rsidRPr="006F0281">
        <w:rPr>
          <w:rFonts w:asciiTheme="majorBidi" w:hAnsiTheme="majorBidi" w:cstheme="majorBidi"/>
          <w:sz w:val="20"/>
          <w:szCs w:val="20"/>
          <w:lang w:val="en-GB"/>
        </w:rPr>
        <w:t>”</w:t>
      </w:r>
      <w:r w:rsidRPr="006F0281">
        <w:rPr>
          <w:rStyle w:val="A8"/>
          <w:rFonts w:asciiTheme="majorBidi" w:hAnsiTheme="majorBidi" w:cstheme="majorBidi"/>
          <w:sz w:val="20"/>
          <w:szCs w:val="20"/>
          <w:lang w:val="en-GB"/>
        </w:rPr>
        <w:t xml:space="preserve"> </w:t>
      </w:r>
    </w:p>
    <w:p w14:paraId="1D9D353B" w14:textId="77777777" w:rsidR="006F0281" w:rsidRPr="006F0281" w:rsidRDefault="006F0281" w:rsidP="006F0281">
      <w:pPr>
        <w:pStyle w:val="Pa15"/>
        <w:spacing w:after="120" w:line="240" w:lineRule="auto"/>
        <w:ind w:left="1247"/>
        <w:rPr>
          <w:rFonts w:asciiTheme="majorBidi" w:hAnsiTheme="majorBidi" w:cstheme="majorBidi"/>
          <w:sz w:val="20"/>
          <w:szCs w:val="20"/>
          <w:lang w:val="en-GB"/>
        </w:rPr>
      </w:pPr>
      <w:r w:rsidRPr="006F0281">
        <w:rPr>
          <w:rFonts w:asciiTheme="majorBidi" w:hAnsiTheme="majorBidi" w:cstheme="majorBidi"/>
          <w:sz w:val="20"/>
          <w:szCs w:val="20"/>
          <w:lang w:val="en-GB"/>
        </w:rPr>
        <w:t>Decision 15/11 “</w:t>
      </w:r>
      <w:r w:rsidRPr="006F0281">
        <w:rPr>
          <w:rStyle w:val="A7"/>
          <w:rFonts w:asciiTheme="majorBidi" w:hAnsiTheme="majorBidi" w:cstheme="majorBidi"/>
          <w:u w:val="none"/>
          <w:lang w:val="en-GB"/>
        </w:rPr>
        <w:t>Gender Plan of Action</w:t>
      </w:r>
      <w:r w:rsidRPr="006F0281">
        <w:rPr>
          <w:rFonts w:asciiTheme="majorBidi" w:hAnsiTheme="majorBidi" w:cstheme="majorBidi"/>
          <w:sz w:val="20"/>
          <w:szCs w:val="20"/>
          <w:lang w:val="en-GB"/>
        </w:rPr>
        <w:t>”</w:t>
      </w:r>
    </w:p>
    <w:p w14:paraId="6ADA43F5" w14:textId="77777777" w:rsidR="000C7A28" w:rsidRPr="006F0281" w:rsidRDefault="000C7A28" w:rsidP="000C7A28">
      <w:pPr>
        <w:pStyle w:val="Pa15"/>
        <w:spacing w:after="120" w:line="240" w:lineRule="auto"/>
        <w:ind w:left="1247"/>
        <w:rPr>
          <w:rFonts w:asciiTheme="majorBidi" w:hAnsiTheme="majorBidi" w:cstheme="majorBidi"/>
          <w:sz w:val="20"/>
          <w:szCs w:val="20"/>
          <w:lang w:val="en-GB"/>
        </w:rPr>
      </w:pPr>
      <w:r w:rsidRPr="006F0281">
        <w:rPr>
          <w:rFonts w:asciiTheme="majorBidi" w:hAnsiTheme="majorBidi" w:cstheme="majorBidi"/>
          <w:sz w:val="20"/>
          <w:szCs w:val="20"/>
          <w:lang w:val="en-GB"/>
        </w:rPr>
        <w:t>Decision 15/12 “</w:t>
      </w:r>
      <w:r w:rsidRPr="006F0281">
        <w:rPr>
          <w:rStyle w:val="A7"/>
          <w:rFonts w:asciiTheme="majorBidi" w:hAnsiTheme="majorBidi" w:cstheme="majorBidi"/>
          <w:u w:val="none"/>
          <w:lang w:val="en-GB"/>
        </w:rPr>
        <w:t>Engagement with subnational governments, cities and other local authorities to enhance implementation of the Kunming-Montreal Global Biodiversity Framework</w:t>
      </w:r>
      <w:r w:rsidRPr="006F0281">
        <w:rPr>
          <w:rFonts w:asciiTheme="majorBidi" w:hAnsiTheme="majorBidi" w:cstheme="majorBidi"/>
          <w:sz w:val="20"/>
          <w:szCs w:val="20"/>
          <w:lang w:val="en-GB"/>
        </w:rPr>
        <w:t>”</w:t>
      </w:r>
      <w:r w:rsidRPr="006F0281">
        <w:rPr>
          <w:rStyle w:val="A8"/>
          <w:rFonts w:asciiTheme="majorBidi" w:hAnsiTheme="majorBidi" w:cstheme="majorBidi"/>
          <w:sz w:val="20"/>
          <w:szCs w:val="20"/>
          <w:lang w:val="en-GB"/>
        </w:rPr>
        <w:t xml:space="preserve"> </w:t>
      </w:r>
    </w:p>
    <w:p w14:paraId="7C670097" w14:textId="77777777" w:rsidR="006F0281" w:rsidRPr="006F0281" w:rsidRDefault="006F0281" w:rsidP="006F0281">
      <w:pPr>
        <w:pStyle w:val="Pa15"/>
        <w:spacing w:after="120" w:line="240" w:lineRule="auto"/>
        <w:ind w:left="1247"/>
        <w:rPr>
          <w:rFonts w:asciiTheme="majorBidi" w:hAnsiTheme="majorBidi" w:cstheme="majorBidi"/>
          <w:sz w:val="20"/>
          <w:szCs w:val="20"/>
          <w:lang w:val="en-GB"/>
        </w:rPr>
      </w:pPr>
      <w:r w:rsidRPr="006F0281">
        <w:rPr>
          <w:rFonts w:asciiTheme="majorBidi" w:hAnsiTheme="majorBidi" w:cstheme="majorBidi"/>
          <w:sz w:val="20"/>
          <w:szCs w:val="20"/>
          <w:lang w:val="en-GB"/>
        </w:rPr>
        <w:t>Decision 15/13 “</w:t>
      </w:r>
      <w:r w:rsidRPr="006F0281">
        <w:rPr>
          <w:rStyle w:val="A7"/>
          <w:rFonts w:asciiTheme="majorBidi" w:hAnsiTheme="majorBidi" w:cstheme="majorBidi"/>
          <w:u w:val="none"/>
          <w:lang w:val="en-GB"/>
        </w:rPr>
        <w:t>Cooperation with other conventions and international organizations</w:t>
      </w:r>
      <w:r w:rsidRPr="006F0281">
        <w:rPr>
          <w:rFonts w:asciiTheme="majorBidi" w:hAnsiTheme="majorBidi" w:cstheme="majorBidi"/>
          <w:sz w:val="20"/>
          <w:szCs w:val="20"/>
          <w:lang w:val="en-GB"/>
        </w:rPr>
        <w:t>”</w:t>
      </w:r>
      <w:r w:rsidRPr="006F0281">
        <w:rPr>
          <w:rStyle w:val="A8"/>
          <w:rFonts w:asciiTheme="majorBidi" w:hAnsiTheme="majorBidi" w:cstheme="majorBidi"/>
          <w:sz w:val="20"/>
          <w:szCs w:val="20"/>
          <w:lang w:val="en-GB"/>
        </w:rPr>
        <w:t xml:space="preserve"> </w:t>
      </w:r>
    </w:p>
    <w:p w14:paraId="526DFAF3" w14:textId="77777777" w:rsidR="000C7A28" w:rsidRPr="006F0281" w:rsidRDefault="000C7A28" w:rsidP="000C7A28">
      <w:pPr>
        <w:pStyle w:val="Pa15"/>
        <w:spacing w:after="120" w:line="240" w:lineRule="auto"/>
        <w:ind w:left="1247"/>
        <w:rPr>
          <w:rFonts w:asciiTheme="majorBidi" w:hAnsiTheme="majorBidi" w:cstheme="majorBidi"/>
          <w:sz w:val="20"/>
          <w:szCs w:val="20"/>
          <w:lang w:val="en-GB"/>
        </w:rPr>
      </w:pPr>
      <w:r w:rsidRPr="006F0281">
        <w:rPr>
          <w:rFonts w:asciiTheme="majorBidi" w:hAnsiTheme="majorBidi" w:cstheme="majorBidi"/>
          <w:sz w:val="20"/>
          <w:szCs w:val="20"/>
          <w:lang w:val="en-GB"/>
        </w:rPr>
        <w:t>Decision 15/14 “</w:t>
      </w:r>
      <w:r w:rsidRPr="006F0281">
        <w:rPr>
          <w:rStyle w:val="A7"/>
          <w:rFonts w:asciiTheme="majorBidi" w:hAnsiTheme="majorBidi" w:cstheme="majorBidi"/>
          <w:u w:val="none"/>
          <w:lang w:val="en-GB"/>
        </w:rPr>
        <w:t>Communication</w:t>
      </w:r>
      <w:r w:rsidRPr="006F0281">
        <w:rPr>
          <w:rFonts w:asciiTheme="majorBidi" w:hAnsiTheme="majorBidi" w:cstheme="majorBidi"/>
          <w:sz w:val="20"/>
          <w:szCs w:val="20"/>
          <w:lang w:val="en-GB"/>
        </w:rPr>
        <w:t>”</w:t>
      </w:r>
      <w:r w:rsidRPr="006F0281">
        <w:rPr>
          <w:rStyle w:val="A8"/>
          <w:rFonts w:asciiTheme="majorBidi" w:hAnsiTheme="majorBidi" w:cstheme="majorBidi"/>
          <w:sz w:val="20"/>
          <w:szCs w:val="20"/>
          <w:lang w:val="en-GB"/>
        </w:rPr>
        <w:t xml:space="preserve"> </w:t>
      </w:r>
    </w:p>
    <w:p w14:paraId="3C9B4754" w14:textId="77777777" w:rsidR="000C7A28" w:rsidRPr="00642971" w:rsidRDefault="000C7A28" w:rsidP="000C7A28">
      <w:pPr>
        <w:pStyle w:val="Pa15"/>
        <w:spacing w:after="120" w:line="240" w:lineRule="auto"/>
        <w:ind w:left="1247"/>
        <w:rPr>
          <w:rStyle w:val="A8"/>
          <w:rFonts w:asciiTheme="majorBidi" w:hAnsiTheme="majorBidi" w:cstheme="majorBidi"/>
          <w:sz w:val="20"/>
          <w:szCs w:val="20"/>
          <w:lang w:val="en-GB"/>
        </w:rPr>
      </w:pPr>
      <w:r w:rsidRPr="006F0281">
        <w:rPr>
          <w:rFonts w:asciiTheme="majorBidi" w:hAnsiTheme="majorBidi" w:cstheme="majorBidi"/>
          <w:sz w:val="20"/>
          <w:szCs w:val="20"/>
          <w:lang w:val="en-GB"/>
        </w:rPr>
        <w:t>Decision 15/16 “</w:t>
      </w:r>
      <w:r w:rsidRPr="006F0281">
        <w:rPr>
          <w:rStyle w:val="A7"/>
          <w:rFonts w:asciiTheme="majorBidi" w:hAnsiTheme="majorBidi" w:cstheme="majorBidi"/>
          <w:u w:val="none"/>
          <w:lang w:val="en-GB"/>
        </w:rPr>
        <w:t>Knowledge management and the clearing house mechanism</w:t>
      </w:r>
      <w:r w:rsidRPr="006F0281">
        <w:rPr>
          <w:rFonts w:asciiTheme="majorBidi" w:hAnsiTheme="majorBidi" w:cstheme="majorBidi"/>
          <w:sz w:val="20"/>
          <w:szCs w:val="20"/>
          <w:lang w:val="en-GB"/>
        </w:rPr>
        <w:t>”</w:t>
      </w:r>
    </w:p>
    <w:p w14:paraId="2C0C3A4F" w14:textId="77777777" w:rsidR="000C7A28" w:rsidRPr="00642971" w:rsidRDefault="000C7A28" w:rsidP="000C7A28">
      <w:pPr>
        <w:pStyle w:val="Default"/>
        <w:spacing w:before="360" w:after="120"/>
        <w:ind w:left="1247"/>
        <w:rPr>
          <w:rFonts w:asciiTheme="majorBidi" w:hAnsiTheme="majorBidi" w:cstheme="majorBidi"/>
          <w:b/>
          <w:bCs/>
          <w:color w:val="auto"/>
          <w:sz w:val="20"/>
          <w:szCs w:val="20"/>
          <w:lang w:val="en-GB"/>
        </w:rPr>
      </w:pPr>
      <w:r w:rsidRPr="00642971">
        <w:rPr>
          <w:rFonts w:asciiTheme="majorBidi" w:hAnsiTheme="majorBidi" w:cstheme="majorBidi"/>
          <w:b/>
          <w:bCs/>
          <w:color w:val="auto"/>
          <w:sz w:val="20"/>
          <w:szCs w:val="20"/>
          <w:lang w:val="en-GB"/>
        </w:rPr>
        <w:t>COP 16 decisions</w:t>
      </w:r>
    </w:p>
    <w:p w14:paraId="6C25A58A" w14:textId="77777777" w:rsidR="000C7A28" w:rsidRPr="00642971" w:rsidRDefault="000C7A28" w:rsidP="000C7A28">
      <w:pPr>
        <w:pStyle w:val="Default"/>
        <w:spacing w:after="120"/>
        <w:ind w:left="1247"/>
        <w:jc w:val="both"/>
        <w:rPr>
          <w:rFonts w:asciiTheme="majorBidi" w:hAnsiTheme="majorBidi" w:cstheme="majorBidi"/>
          <w:i/>
          <w:iCs/>
          <w:color w:val="auto"/>
          <w:sz w:val="20"/>
          <w:szCs w:val="20"/>
          <w:lang w:val="en-GB"/>
        </w:rPr>
      </w:pPr>
      <w:r w:rsidRPr="00642971">
        <w:rPr>
          <w:rFonts w:asciiTheme="majorBidi" w:hAnsiTheme="majorBidi" w:cstheme="majorBidi"/>
          <w:i/>
          <w:iCs/>
          <w:color w:val="auto"/>
          <w:sz w:val="20"/>
          <w:szCs w:val="20"/>
          <w:lang w:val="en-GB"/>
        </w:rPr>
        <w:t xml:space="preserve">Note: The </w:t>
      </w:r>
      <w:r w:rsidRPr="00642971">
        <w:rPr>
          <w:rStyle w:val="A7"/>
          <w:rFonts w:asciiTheme="majorBidi" w:hAnsiTheme="majorBidi" w:cstheme="majorBidi"/>
          <w:i/>
          <w:iCs/>
          <w:color w:val="auto"/>
          <w:u w:val="none"/>
          <w:lang w:val="en-GB"/>
        </w:rPr>
        <w:t xml:space="preserve">full list of COP16 Decisions </w:t>
      </w:r>
      <w:r w:rsidRPr="00642971">
        <w:rPr>
          <w:rFonts w:asciiTheme="majorBidi" w:hAnsiTheme="majorBidi" w:cstheme="majorBidi"/>
          <w:i/>
          <w:iCs/>
          <w:color w:val="auto"/>
          <w:sz w:val="20"/>
          <w:szCs w:val="20"/>
          <w:lang w:val="en-GB"/>
        </w:rPr>
        <w:t>can be found here.</w:t>
      </w:r>
    </w:p>
    <w:p w14:paraId="429E199D" w14:textId="77777777" w:rsidR="000C7A28" w:rsidRPr="004C5865" w:rsidRDefault="000C7A28" w:rsidP="000C7A28">
      <w:pPr>
        <w:spacing w:after="120"/>
        <w:ind w:left="1247"/>
        <w:rPr>
          <w:rFonts w:asciiTheme="majorBidi" w:hAnsiTheme="majorBidi" w:cstheme="majorBidi"/>
        </w:rPr>
      </w:pPr>
      <w:r w:rsidRPr="004C5865">
        <w:rPr>
          <w:rFonts w:asciiTheme="majorBidi" w:hAnsiTheme="majorBidi" w:cstheme="majorBidi"/>
        </w:rPr>
        <w:t>Decision 16/1 “Review of implementation: progress in national target setting and updating of national biodiversity strategies and action plans”</w:t>
      </w:r>
    </w:p>
    <w:p w14:paraId="464979C5" w14:textId="77777777" w:rsidR="000C7A28" w:rsidRPr="004C5865" w:rsidRDefault="000C7A28" w:rsidP="000C7A28">
      <w:pPr>
        <w:spacing w:after="120"/>
        <w:ind w:left="1247"/>
        <w:rPr>
          <w:rFonts w:asciiTheme="majorBidi" w:hAnsiTheme="majorBidi" w:cstheme="majorBidi"/>
        </w:rPr>
      </w:pPr>
      <w:r w:rsidRPr="004C5865">
        <w:rPr>
          <w:rFonts w:asciiTheme="majorBidi" w:hAnsiTheme="majorBidi" w:cstheme="majorBidi"/>
        </w:rPr>
        <w:t>Decision 16/11 “Matters related to the work programme of the Intergovernmental Science-Policy Platform on Biodiversity and Ecosystem Services”</w:t>
      </w:r>
    </w:p>
    <w:p w14:paraId="0BD15D53" w14:textId="77777777" w:rsidR="000C7A28" w:rsidRPr="004C5865" w:rsidRDefault="000C7A28" w:rsidP="000C7A28">
      <w:pPr>
        <w:spacing w:after="120"/>
        <w:ind w:left="1247"/>
        <w:rPr>
          <w:rFonts w:asciiTheme="majorBidi" w:hAnsiTheme="majorBidi" w:cstheme="majorBidi"/>
        </w:rPr>
      </w:pPr>
      <w:r w:rsidRPr="004C5865">
        <w:rPr>
          <w:rFonts w:asciiTheme="majorBidi" w:hAnsiTheme="majorBidi" w:cstheme="majorBidi"/>
        </w:rPr>
        <w:t>Decision 16/12 “Scientific and technical needs to support the implementation of the Kunming-Montreal Global Biodiversity Framework”</w:t>
      </w:r>
    </w:p>
    <w:p w14:paraId="79F5FC0F" w14:textId="77777777" w:rsidR="000C7A28" w:rsidRPr="004C5865" w:rsidRDefault="000C7A28" w:rsidP="000C7A28">
      <w:pPr>
        <w:spacing w:after="120"/>
        <w:ind w:left="1247"/>
        <w:rPr>
          <w:rFonts w:asciiTheme="majorBidi" w:hAnsiTheme="majorBidi" w:cstheme="majorBidi"/>
        </w:rPr>
      </w:pPr>
      <w:r w:rsidRPr="004C5865">
        <w:rPr>
          <w:rFonts w:asciiTheme="majorBidi" w:hAnsiTheme="majorBidi" w:cstheme="majorBidi"/>
        </w:rPr>
        <w:t>Decision 16/19 “Biodiversity and health”</w:t>
      </w:r>
    </w:p>
    <w:p w14:paraId="6CD3D384" w14:textId="77777777" w:rsidR="000C7A28" w:rsidRPr="004C5865" w:rsidRDefault="000C7A28" w:rsidP="000C7A28">
      <w:pPr>
        <w:spacing w:after="120"/>
        <w:ind w:left="1247"/>
        <w:rPr>
          <w:rFonts w:asciiTheme="majorBidi" w:hAnsiTheme="majorBidi" w:cstheme="majorBidi"/>
        </w:rPr>
      </w:pPr>
      <w:r w:rsidRPr="004C5865">
        <w:rPr>
          <w:rFonts w:asciiTheme="majorBidi" w:hAnsiTheme="majorBidi" w:cstheme="majorBidi"/>
        </w:rPr>
        <w:t>Decision 16/31 “Monitoring framework for the Kunming-Montreal Global Biodiversity Framework”</w:t>
      </w:r>
    </w:p>
    <w:p w14:paraId="156669C3" w14:textId="77777777" w:rsidR="000C7A28" w:rsidRPr="004C5865" w:rsidRDefault="000C7A28" w:rsidP="000C7A28">
      <w:pPr>
        <w:spacing w:after="120"/>
        <w:ind w:left="1247"/>
        <w:rPr>
          <w:rFonts w:asciiTheme="majorBidi" w:hAnsiTheme="majorBidi" w:cstheme="majorBidi"/>
        </w:rPr>
      </w:pPr>
      <w:r w:rsidRPr="004C5865">
        <w:rPr>
          <w:rFonts w:asciiTheme="majorBidi" w:hAnsiTheme="majorBidi" w:cstheme="majorBidi"/>
        </w:rPr>
        <w:t>Decision 16/32 “Mechanisms for planning, monitoring, reporting and review, including the global review of collective progress in the implementation of the Kunming-Montreal Global Biodiversity Framework to be conducted at the seventeenth and nineteenth meetings of the Conference of the Parties”</w:t>
      </w:r>
    </w:p>
    <w:p w14:paraId="14F42C98" w14:textId="77777777" w:rsidR="000C7A28" w:rsidRPr="004C5865" w:rsidRDefault="000C7A28" w:rsidP="000C7A28">
      <w:pPr>
        <w:spacing w:after="120"/>
        <w:ind w:left="124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Decision 16/33 “Financial Mechanism”</w:t>
      </w:r>
    </w:p>
    <w:p w14:paraId="765F7305" w14:textId="77777777" w:rsidR="000C7A28" w:rsidRPr="004C5865" w:rsidRDefault="000C7A28" w:rsidP="000C7A28">
      <w:pPr>
        <w:spacing w:after="120"/>
        <w:ind w:left="1247"/>
        <w:rPr>
          <w:rFonts w:asciiTheme="majorBidi" w:hAnsiTheme="majorBidi" w:cstheme="majorBidi"/>
        </w:rPr>
      </w:pPr>
      <w:r w:rsidRPr="004C5865">
        <w:rPr>
          <w:rFonts w:asciiTheme="majorBidi" w:hAnsiTheme="majorBidi" w:cstheme="majorBidi"/>
        </w:rPr>
        <w:t xml:space="preserve">Decision 16/35 </w:t>
      </w:r>
      <w:r>
        <w:rPr>
          <w:rFonts w:asciiTheme="majorBidi" w:hAnsiTheme="majorBidi" w:cstheme="majorBidi"/>
        </w:rPr>
        <w:t>“</w:t>
      </w:r>
      <w:r w:rsidRPr="004C5865">
        <w:rPr>
          <w:rFonts w:asciiTheme="majorBidi" w:hAnsiTheme="majorBidi" w:cstheme="majorBidi"/>
        </w:rPr>
        <w:t>Cooperation with other conventions and international organizations</w:t>
      </w:r>
      <w:r>
        <w:rPr>
          <w:rFonts w:asciiTheme="majorBidi" w:hAnsiTheme="majorBidi" w:cstheme="majorBidi"/>
        </w:rPr>
        <w:t>”</w:t>
      </w:r>
    </w:p>
    <w:p w14:paraId="46CC82AC" w14:textId="77777777" w:rsidR="000C7A28" w:rsidRPr="004C5865" w:rsidRDefault="000C7A28" w:rsidP="000C7A28">
      <w:pPr>
        <w:spacing w:before="120" w:after="120"/>
        <w:rPr>
          <w:rFonts w:asciiTheme="majorBidi" w:hAnsiTheme="majorBidi" w:cstheme="majorBidi"/>
        </w:rPr>
      </w:pPr>
      <w:r w:rsidRPr="004C5865">
        <w:rPr>
          <w:rFonts w:asciiTheme="majorBidi" w:hAnsiTheme="majorBidi" w:cstheme="majorBidi"/>
        </w:rPr>
        <w:br w:type="page"/>
      </w:r>
    </w:p>
    <w:p w14:paraId="2EBDE411" w14:textId="302C1BFB" w:rsidR="000C7A28" w:rsidRPr="004C5865" w:rsidRDefault="000C7A28" w:rsidP="000C7A28">
      <w:pPr>
        <w:pStyle w:val="ZZAnxheader"/>
        <w:tabs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rPr>
          <w:rFonts w:asciiTheme="majorBidi" w:hAnsiTheme="majorBidi" w:cstheme="majorBidi"/>
          <w:b w:val="0"/>
          <w:bCs w:val="0"/>
          <w:szCs w:val="28"/>
          <w:lang w:val="en-GB"/>
        </w:rPr>
      </w:pPr>
      <w:r w:rsidRPr="004C5865">
        <w:rPr>
          <w:rFonts w:eastAsia="Times New Roman"/>
          <w:szCs w:val="28"/>
          <w:lang w:val="en-GB"/>
        </w:rPr>
        <w:lastRenderedPageBreak/>
        <w:t xml:space="preserve">Annex </w:t>
      </w:r>
      <w:r w:rsidR="003E778A">
        <w:rPr>
          <w:rFonts w:eastAsia="Times New Roman"/>
          <w:szCs w:val="28"/>
          <w:lang w:val="en-GB"/>
        </w:rPr>
        <w:t>II</w:t>
      </w:r>
    </w:p>
    <w:p w14:paraId="45E32303" w14:textId="08949826" w:rsidR="000C7A28" w:rsidRPr="004C5865" w:rsidRDefault="000C7A28" w:rsidP="000C7A28">
      <w:pPr>
        <w:pStyle w:val="ZZAnxtitle"/>
        <w:tabs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rPr>
          <w:lang w:val="en-GB"/>
        </w:rPr>
      </w:pPr>
      <w:r w:rsidRPr="004C5865">
        <w:rPr>
          <w:lang w:val="en-GB"/>
        </w:rPr>
        <w:t xml:space="preserve">List of resources to support </w:t>
      </w:r>
      <w:r w:rsidR="0057085E">
        <w:rPr>
          <w:lang w:val="en-GB"/>
        </w:rPr>
        <w:t>p</w:t>
      </w:r>
      <w:r w:rsidRPr="004C5865">
        <w:rPr>
          <w:lang w:val="en-GB"/>
        </w:rPr>
        <w:t>arties in their efforts to integrate mercury reduction action into NBSAPs</w:t>
      </w:r>
    </w:p>
    <w:p w14:paraId="159D1195" w14:textId="77777777" w:rsidR="000C7A28" w:rsidRPr="00033042" w:rsidRDefault="000C7A28" w:rsidP="006F0281">
      <w:pPr>
        <w:numPr>
          <w:ilvl w:val="0"/>
          <w:numId w:val="47"/>
        </w:numPr>
        <w:spacing w:before="240" w:after="120"/>
        <w:ind w:left="1607"/>
        <w:rPr>
          <w:rFonts w:asciiTheme="majorBidi" w:hAnsiTheme="majorBidi" w:cstheme="majorBidi"/>
        </w:rPr>
      </w:pPr>
      <w:r w:rsidRPr="00C374D4">
        <w:rPr>
          <w:rFonts w:asciiTheme="majorBidi" w:hAnsiTheme="majorBidi" w:cstheme="majorBidi"/>
        </w:rPr>
        <w:t xml:space="preserve">CBD page on NBSAPs (incl. introduction, guidance, format for submission, NBSAPs submitted, </w:t>
      </w:r>
      <w:r w:rsidRPr="00033042">
        <w:rPr>
          <w:rFonts w:asciiTheme="majorBidi" w:hAnsiTheme="majorBidi" w:cstheme="majorBidi"/>
        </w:rPr>
        <w:t xml:space="preserve">etc): </w:t>
      </w:r>
      <w:hyperlink r:id="rId13" w:tgtFrame="_blank" w:tooltip="https://www.cbd.int/nbsap" w:history="1">
        <w:r w:rsidRPr="00033042">
          <w:rPr>
            <w:rStyle w:val="Hyperlink"/>
            <w:rFonts w:asciiTheme="majorBidi" w:hAnsiTheme="majorBidi" w:cstheme="majorBidi"/>
            <w:lang w:val="en-GB"/>
          </w:rPr>
          <w:t>https://www.cbd.int/nbsap</w:t>
        </w:r>
      </w:hyperlink>
    </w:p>
    <w:p w14:paraId="45B84F6E" w14:textId="77777777" w:rsidR="000C7A28" w:rsidRPr="00033042" w:rsidRDefault="000C7A28" w:rsidP="000C7A28">
      <w:pPr>
        <w:numPr>
          <w:ilvl w:val="0"/>
          <w:numId w:val="47"/>
        </w:numPr>
        <w:spacing w:after="120"/>
        <w:ind w:left="1607"/>
        <w:rPr>
          <w:rFonts w:asciiTheme="majorBidi" w:hAnsiTheme="majorBidi" w:cstheme="majorBidi"/>
        </w:rPr>
      </w:pPr>
      <w:r w:rsidRPr="00033042">
        <w:rPr>
          <w:rStyle w:val="Strong"/>
          <w:rFonts w:asciiTheme="majorBidi" w:hAnsiTheme="majorBidi" w:cstheme="majorBidi"/>
          <w:b w:val="0"/>
          <w:bCs w:val="0"/>
        </w:rPr>
        <w:t>CBD page on NBSAPs training</w:t>
      </w:r>
      <w:r w:rsidRPr="00033042">
        <w:rPr>
          <w:rFonts w:asciiTheme="majorBidi" w:hAnsiTheme="majorBidi" w:cstheme="majorBidi"/>
        </w:rPr>
        <w:t xml:space="preserve"> (also available through the link above): </w:t>
      </w:r>
      <w:hyperlink r:id="rId14" w:tgtFrame="_blank" w:tooltip="https://www.cbd.int/nbsap/training" w:history="1">
        <w:r w:rsidRPr="00033042">
          <w:rPr>
            <w:rStyle w:val="Hyperlink"/>
            <w:rFonts w:asciiTheme="majorBidi" w:hAnsiTheme="majorBidi" w:cstheme="majorBidi"/>
            <w:lang w:val="en-GB"/>
          </w:rPr>
          <w:t>https://www.cbd.int/nbsap/training</w:t>
        </w:r>
      </w:hyperlink>
    </w:p>
    <w:p w14:paraId="4ACC01AE" w14:textId="77777777" w:rsidR="000C7A28" w:rsidRPr="00033042" w:rsidRDefault="000C7A28" w:rsidP="000C7A28">
      <w:pPr>
        <w:numPr>
          <w:ilvl w:val="0"/>
          <w:numId w:val="47"/>
        </w:numPr>
        <w:spacing w:after="120"/>
        <w:ind w:left="1607"/>
        <w:rPr>
          <w:rStyle w:val="Hyperlink"/>
          <w:rFonts w:asciiTheme="majorBidi" w:hAnsiTheme="majorBidi" w:cstheme="majorBidi"/>
          <w:lang w:val="en-GB"/>
        </w:rPr>
      </w:pPr>
      <w:r w:rsidRPr="00033042">
        <w:rPr>
          <w:rStyle w:val="Strong"/>
          <w:rFonts w:asciiTheme="majorBidi" w:hAnsiTheme="majorBidi" w:cstheme="majorBidi"/>
          <w:b w:val="0"/>
          <w:bCs w:val="0"/>
        </w:rPr>
        <w:t>GEF technical guidance to support the alignment of NBSAPs with the KM-GBF:</w:t>
      </w:r>
      <w:r w:rsidRPr="00033042">
        <w:rPr>
          <w:rFonts w:asciiTheme="majorBidi" w:hAnsiTheme="majorBidi" w:cstheme="majorBidi"/>
        </w:rPr>
        <w:t xml:space="preserve">  </w:t>
      </w:r>
      <w:hyperlink r:id="rId15" w:tgtFrame="_blank" w:tooltip="https://www.learningfornature.org/wp-content/uploads/2020/09/en_technical-guidance-on-biodiversity-target-alignment_4-may-2024.pdf" w:history="1">
        <w:r w:rsidRPr="00033042">
          <w:rPr>
            <w:rStyle w:val="Hyperlink"/>
            <w:rFonts w:asciiTheme="majorBidi" w:hAnsiTheme="majorBidi" w:cstheme="majorBidi"/>
            <w:lang w:val="en-GB"/>
          </w:rPr>
          <w:t>https://www.learningfornature.org/wp-content/uploads/2020/09/EN_Technical-Guidance-on-Biodiversity-Target-Alignment_4-May-2024.pdf</w:t>
        </w:r>
      </w:hyperlink>
    </w:p>
    <w:p w14:paraId="0F695E6F" w14:textId="77777777" w:rsidR="000C7A28" w:rsidRPr="00033042" w:rsidRDefault="000C7A28" w:rsidP="000C7A28">
      <w:pPr>
        <w:numPr>
          <w:ilvl w:val="0"/>
          <w:numId w:val="47"/>
        </w:numPr>
        <w:spacing w:after="120"/>
        <w:ind w:left="1607"/>
        <w:rPr>
          <w:rStyle w:val="Strong"/>
          <w:rFonts w:asciiTheme="majorBidi" w:hAnsiTheme="majorBidi" w:cstheme="majorBidi"/>
          <w:b w:val="0"/>
          <w:bCs w:val="0"/>
        </w:rPr>
      </w:pPr>
      <w:r w:rsidRPr="00033042">
        <w:rPr>
          <w:rStyle w:val="Strong"/>
          <w:rFonts w:asciiTheme="majorBidi" w:hAnsiTheme="majorBidi" w:cstheme="majorBidi"/>
          <w:b w:val="0"/>
          <w:bCs w:val="0"/>
        </w:rPr>
        <w:t>NBSAP Forum</w:t>
      </w:r>
    </w:p>
    <w:p w14:paraId="58588337" w14:textId="77777777" w:rsidR="000C7A28" w:rsidRPr="000568B3" w:rsidRDefault="00000000" w:rsidP="000C7A28">
      <w:pPr>
        <w:pStyle w:val="Default"/>
        <w:numPr>
          <w:ilvl w:val="2"/>
          <w:numId w:val="47"/>
        </w:numPr>
        <w:spacing w:after="120"/>
        <w:rPr>
          <w:rFonts w:asciiTheme="majorBidi" w:hAnsiTheme="majorBidi" w:cstheme="majorBidi"/>
          <w:color w:val="auto"/>
          <w:sz w:val="20"/>
          <w:szCs w:val="20"/>
          <w:lang w:val="nb-NO"/>
        </w:rPr>
      </w:pPr>
      <w:hyperlink r:id="rId16" w:history="1">
        <w:r w:rsidR="000C7A28" w:rsidRPr="000D7777">
          <w:rPr>
            <w:rStyle w:val="Hyperlink"/>
            <w:rFonts w:asciiTheme="majorBidi" w:hAnsiTheme="majorBidi" w:cstheme="majorBidi"/>
            <w:lang w:val="nb-NO"/>
          </w:rPr>
          <w:t>https://www.learningfornature.org/wp-content/uploads/2020/07/Technical-guidance-to-support-the-alignment-of-national-biodiversity-targets-with-the-Kunming-Montreal-Global-Biodiversity-Framework-and-relevant-decisions-GM.pdf</w:t>
        </w:r>
      </w:hyperlink>
      <w:r w:rsidR="000C7A28" w:rsidRPr="000568B3">
        <w:rPr>
          <w:rFonts w:asciiTheme="majorBidi" w:hAnsiTheme="majorBidi" w:cstheme="majorBidi"/>
          <w:color w:val="auto"/>
          <w:sz w:val="20"/>
          <w:szCs w:val="20"/>
          <w:lang w:val="nb-NO"/>
        </w:rPr>
        <w:t xml:space="preserve"> </w:t>
      </w:r>
    </w:p>
    <w:p w14:paraId="56AECC57" w14:textId="77777777" w:rsidR="000C7A28" w:rsidRPr="000568B3" w:rsidRDefault="00000000" w:rsidP="000C7A28">
      <w:pPr>
        <w:pStyle w:val="Default"/>
        <w:numPr>
          <w:ilvl w:val="2"/>
          <w:numId w:val="47"/>
        </w:numPr>
        <w:spacing w:after="120"/>
        <w:rPr>
          <w:rFonts w:asciiTheme="majorBidi" w:hAnsiTheme="majorBidi" w:cstheme="majorBidi"/>
          <w:color w:val="auto"/>
          <w:sz w:val="20"/>
          <w:szCs w:val="20"/>
          <w:lang w:val="nb-NO"/>
        </w:rPr>
      </w:pPr>
      <w:hyperlink r:id="rId17" w:history="1">
        <w:r w:rsidR="000C7A28" w:rsidRPr="000D7777">
          <w:rPr>
            <w:rStyle w:val="Hyperlink"/>
            <w:rFonts w:asciiTheme="majorBidi" w:hAnsiTheme="majorBidi" w:cstheme="majorBidi"/>
            <w:lang w:val="nb-NO"/>
          </w:rPr>
          <w:t>https://eservices.nema.go.ug/assets/pdf/GBF%20Road%20Map.pdf</w:t>
        </w:r>
      </w:hyperlink>
    </w:p>
    <w:p w14:paraId="0AE20D03" w14:textId="77777777" w:rsidR="000C7A28" w:rsidRPr="000568B3" w:rsidRDefault="00000000" w:rsidP="000C7A28">
      <w:pPr>
        <w:pStyle w:val="Default"/>
        <w:numPr>
          <w:ilvl w:val="2"/>
          <w:numId w:val="47"/>
        </w:numPr>
        <w:spacing w:after="120"/>
        <w:rPr>
          <w:rFonts w:asciiTheme="majorBidi" w:hAnsiTheme="majorBidi" w:cstheme="majorBidi"/>
          <w:color w:val="auto"/>
          <w:sz w:val="20"/>
          <w:szCs w:val="20"/>
          <w:lang w:val="nb-NO"/>
        </w:rPr>
      </w:pPr>
      <w:hyperlink r:id="rId18" w:history="1">
        <w:r w:rsidR="000C7A28" w:rsidRPr="000D7777">
          <w:rPr>
            <w:rStyle w:val="Hyperlink"/>
            <w:rFonts w:asciiTheme="majorBidi" w:hAnsiTheme="majorBidi" w:cstheme="majorBidi"/>
            <w:lang w:val="nb-NO"/>
          </w:rPr>
          <w:t>https://www.cms.int/sites/default/files/document/doc_27_guidelines_nbsap_e_0.pdf</w:t>
        </w:r>
      </w:hyperlink>
      <w:r w:rsidR="000C7A28" w:rsidRPr="000568B3">
        <w:rPr>
          <w:rFonts w:asciiTheme="majorBidi" w:hAnsiTheme="majorBidi" w:cstheme="majorBidi"/>
          <w:color w:val="auto"/>
          <w:sz w:val="20"/>
          <w:szCs w:val="20"/>
          <w:lang w:val="nb-NO"/>
        </w:rPr>
        <w:t xml:space="preserve"> </w:t>
      </w:r>
    </w:p>
    <w:p w14:paraId="1D19D2AE" w14:textId="77777777" w:rsidR="000C7A28" w:rsidRPr="00C374D4" w:rsidRDefault="000C7A28" w:rsidP="000C7A28">
      <w:pPr>
        <w:numPr>
          <w:ilvl w:val="0"/>
          <w:numId w:val="47"/>
        </w:numPr>
        <w:spacing w:after="120"/>
        <w:ind w:left="1607"/>
        <w:rPr>
          <w:rFonts w:asciiTheme="majorBidi" w:hAnsiTheme="majorBidi" w:cstheme="majorBidi"/>
        </w:rPr>
      </w:pPr>
      <w:r w:rsidRPr="00C374D4">
        <w:rPr>
          <w:rFonts w:asciiTheme="majorBidi" w:hAnsiTheme="majorBidi" w:cstheme="majorBidi"/>
        </w:rPr>
        <w:t xml:space="preserve">CMS Guidelines on integrating migratory species into NBSAPs (2011): </w:t>
      </w:r>
      <w:hyperlink r:id="rId19" w:tgtFrame="_blank" w:tooltip="https://www.cbd.int/doc/nbsap/nbsap-guidelines-cms.pdf" w:history="1">
        <w:r w:rsidRPr="00C374D4">
          <w:rPr>
            <w:rStyle w:val="Hyperlink"/>
            <w:rFonts w:asciiTheme="majorBidi" w:hAnsiTheme="majorBidi" w:cstheme="majorBidi"/>
            <w:lang w:val="en-GB"/>
          </w:rPr>
          <w:t>https://www.cbd.int/doc/nbsap/NBSAP-guidelines-CMS.pdf</w:t>
        </w:r>
      </w:hyperlink>
    </w:p>
    <w:p w14:paraId="02B42599" w14:textId="77777777" w:rsidR="000C7A28" w:rsidRPr="00C374D4" w:rsidRDefault="000C7A28" w:rsidP="000C7A28">
      <w:pPr>
        <w:numPr>
          <w:ilvl w:val="0"/>
          <w:numId w:val="47"/>
        </w:numPr>
        <w:spacing w:after="120"/>
        <w:ind w:left="1607"/>
        <w:rPr>
          <w:rFonts w:asciiTheme="majorBidi" w:hAnsiTheme="majorBidi" w:cstheme="majorBidi"/>
        </w:rPr>
      </w:pPr>
      <w:r w:rsidRPr="00C374D4">
        <w:rPr>
          <w:rFonts w:asciiTheme="majorBidi" w:hAnsiTheme="majorBidi" w:cstheme="majorBidi"/>
        </w:rPr>
        <w:t xml:space="preserve">NBSAPs and synergies among Biodiversity-related Conventions: </w:t>
      </w:r>
      <w:hyperlink r:id="rId20" w:tgtFrame="_blank" w:tooltip="https://www.cms.int/sites/default/files/uploads/nbsap%20guidance%20document%20on%20meas%20focused%20on%20species%20targets.pdf" w:history="1">
        <w:r w:rsidRPr="00C374D4">
          <w:rPr>
            <w:rStyle w:val="Hyperlink"/>
            <w:rFonts w:asciiTheme="majorBidi" w:hAnsiTheme="majorBidi" w:cstheme="majorBidi"/>
            <w:lang w:val="en-GB"/>
          </w:rPr>
          <w:t>https://www.cms.int/sites/default/files/uploads/NBSAP%20Guidance%20Document%20on%20MEAs%20Focused%20on%20Species%20Targets.pdf</w:t>
        </w:r>
      </w:hyperlink>
    </w:p>
    <w:p w14:paraId="5412FD87" w14:textId="77777777" w:rsidR="000C7A28" w:rsidRPr="00C374D4" w:rsidRDefault="000C7A28" w:rsidP="000C7A28">
      <w:pPr>
        <w:numPr>
          <w:ilvl w:val="0"/>
          <w:numId w:val="47"/>
        </w:numPr>
        <w:spacing w:after="120"/>
        <w:ind w:left="1607"/>
        <w:rPr>
          <w:rFonts w:asciiTheme="majorBidi" w:hAnsiTheme="majorBidi" w:cstheme="majorBidi"/>
        </w:rPr>
      </w:pPr>
      <w:r w:rsidRPr="00C374D4">
        <w:rPr>
          <w:rFonts w:asciiTheme="majorBidi" w:hAnsiTheme="majorBidi" w:cstheme="majorBidi"/>
        </w:rPr>
        <w:t xml:space="preserve">UN EMG Guidance on integrating human rights in NBSAPs: </w:t>
      </w:r>
      <w:hyperlink r:id="rId21" w:tgtFrame="_blank" w:tooltip="https://unemg.org/wp-content/uploads/2022/12/nbsap-guidance-final.pdf" w:history="1">
        <w:r w:rsidRPr="00C374D4">
          <w:rPr>
            <w:rStyle w:val="Hyperlink"/>
            <w:rFonts w:asciiTheme="majorBidi" w:hAnsiTheme="majorBidi" w:cstheme="majorBidi"/>
            <w:lang w:val="en-GB"/>
          </w:rPr>
          <w:t>https://unemg.org/wp-content/uploads/2022/12/NBSAP-guidance-final.pdf</w:t>
        </w:r>
      </w:hyperlink>
    </w:p>
    <w:p w14:paraId="7794FE8E" w14:textId="77777777" w:rsidR="000C7A28" w:rsidRDefault="000C7A28" w:rsidP="000C7A28">
      <w:pPr>
        <w:numPr>
          <w:ilvl w:val="0"/>
          <w:numId w:val="47"/>
        </w:numPr>
        <w:spacing w:after="120"/>
        <w:ind w:left="1607"/>
        <w:rPr>
          <w:rStyle w:val="Hyperlink"/>
          <w:rFonts w:asciiTheme="majorBidi" w:hAnsiTheme="majorBidi" w:cstheme="majorBidi"/>
          <w:lang w:val="en-GB"/>
        </w:rPr>
      </w:pPr>
      <w:r w:rsidRPr="00C374D4">
        <w:rPr>
          <w:rFonts w:asciiTheme="majorBidi" w:hAnsiTheme="majorBidi" w:cstheme="majorBidi"/>
        </w:rPr>
        <w:t xml:space="preserve">OHCHR guidance on integrating human rights into NBSAPs: </w:t>
      </w:r>
      <w:hyperlink r:id="rId22" w:tgtFrame="_blank" w:tooltip="https://www.ohchr.org/sites/default/files/documents/issues/climatechange/information-materials/integrating-hr-in-national-biodiversity-strategies-action-plans.pdf" w:history="1">
        <w:r w:rsidRPr="00C374D4">
          <w:rPr>
            <w:rStyle w:val="Hyperlink"/>
            <w:rFonts w:asciiTheme="majorBidi" w:hAnsiTheme="majorBidi" w:cstheme="majorBidi"/>
            <w:lang w:val="en-GB"/>
          </w:rPr>
          <w:t>https://www.ohchr.org/sites/default/files/documents/issues/climatechange/information-materials/integrating-hr-in-national-biodiversity-strategies-action-plans.pdf</w:t>
        </w:r>
      </w:hyperlink>
    </w:p>
    <w:p w14:paraId="72C9EEC7" w14:textId="77777777" w:rsidR="000C7A28" w:rsidRPr="00C374D4" w:rsidRDefault="000C7A28" w:rsidP="003E778A">
      <w:pPr>
        <w:pStyle w:val="Default"/>
        <w:spacing w:before="240" w:after="120"/>
        <w:ind w:left="1247"/>
        <w:rPr>
          <w:rFonts w:asciiTheme="majorBidi" w:hAnsiTheme="majorBidi" w:cstheme="majorBidi"/>
          <w:b/>
          <w:bCs/>
          <w:color w:val="auto"/>
          <w:sz w:val="20"/>
          <w:szCs w:val="20"/>
          <w:lang w:val="en-GB"/>
        </w:rPr>
      </w:pPr>
      <w:r w:rsidRPr="00C374D4">
        <w:rPr>
          <w:rFonts w:asciiTheme="majorBidi" w:hAnsiTheme="majorBidi" w:cstheme="majorBidi"/>
          <w:b/>
          <w:bCs/>
          <w:color w:val="auto"/>
          <w:sz w:val="20"/>
          <w:szCs w:val="20"/>
          <w:lang w:val="en-GB"/>
        </w:rPr>
        <w:t>Additional resources:</w:t>
      </w:r>
    </w:p>
    <w:p w14:paraId="47DA4F04" w14:textId="77777777" w:rsidR="000C7A28" w:rsidRPr="004C5865" w:rsidRDefault="000C7A28" w:rsidP="000C7A28">
      <w:pPr>
        <w:numPr>
          <w:ilvl w:val="0"/>
          <w:numId w:val="47"/>
        </w:numPr>
        <w:spacing w:after="120"/>
        <w:ind w:left="1607"/>
        <w:rPr>
          <w:rFonts w:asciiTheme="majorBidi" w:hAnsiTheme="majorBidi" w:cstheme="majorBidi"/>
        </w:rPr>
      </w:pPr>
      <w:r w:rsidRPr="004C5865">
        <w:rPr>
          <w:rFonts w:asciiTheme="majorBidi" w:hAnsiTheme="majorBidi" w:cstheme="majorBidi"/>
        </w:rPr>
        <w:t xml:space="preserve">TNC Steps to update NBSAPs: </w:t>
      </w:r>
      <w:hyperlink r:id="rId23" w:tgtFrame="_blank" w:tooltip="https://www.nature.org/content/dam/tnc/nature/en/documents/tnc_nbsap_14april_final.pdf" w:history="1">
        <w:r w:rsidRPr="004C5865">
          <w:rPr>
            <w:rStyle w:val="Hyperlink"/>
            <w:rFonts w:asciiTheme="majorBidi" w:hAnsiTheme="majorBidi" w:cstheme="majorBidi"/>
            <w:lang w:val="en-GB"/>
          </w:rPr>
          <w:t>https://www.nature.org/content/dam/tnc/nature/en/documents/TNC_NBSAP_14April_final.pdf</w:t>
        </w:r>
      </w:hyperlink>
    </w:p>
    <w:p w14:paraId="1D1616B6" w14:textId="77777777" w:rsidR="000C7A28" w:rsidRPr="004C5865" w:rsidRDefault="000C7A28" w:rsidP="000C7A28">
      <w:pPr>
        <w:numPr>
          <w:ilvl w:val="0"/>
          <w:numId w:val="47"/>
        </w:numPr>
        <w:spacing w:after="120"/>
        <w:ind w:left="1607"/>
        <w:rPr>
          <w:rFonts w:asciiTheme="majorBidi" w:hAnsiTheme="majorBidi" w:cstheme="majorBidi"/>
        </w:rPr>
      </w:pPr>
      <w:r w:rsidRPr="004C5865">
        <w:rPr>
          <w:rFonts w:asciiTheme="majorBidi" w:hAnsiTheme="majorBidi" w:cstheme="majorBidi"/>
        </w:rPr>
        <w:t xml:space="preserve">ICRI guidance on integrating coral reef into NBSAPs: </w:t>
      </w:r>
      <w:hyperlink r:id="rId24" w:tgtFrame="_blank" w:tooltip="https://icriforum.org/wp-content/uploads/2024/03/icri_integration_coral_reefs_nbsaps_guidance_2024_final_v3.pdf" w:history="1">
        <w:r w:rsidRPr="00C374D4">
          <w:t>https://icriforum.org/wp-content/uploads/2024/03/ICRI_Integration_Coral_Reefs_NBSAPs_Guidance_2024_FINAL_V3.pdf</w:t>
        </w:r>
      </w:hyperlink>
    </w:p>
    <w:p w14:paraId="7371F7D1" w14:textId="77777777" w:rsidR="000C7A28" w:rsidRPr="004C5865" w:rsidRDefault="000C7A28" w:rsidP="000C7A28">
      <w:pPr>
        <w:numPr>
          <w:ilvl w:val="0"/>
          <w:numId w:val="47"/>
        </w:numPr>
        <w:spacing w:after="120"/>
        <w:ind w:left="1607"/>
        <w:rPr>
          <w:rFonts w:asciiTheme="majorBidi" w:hAnsiTheme="majorBidi" w:cstheme="majorBidi"/>
        </w:rPr>
      </w:pPr>
      <w:r w:rsidRPr="004C5865">
        <w:rPr>
          <w:rFonts w:asciiTheme="majorBidi" w:hAnsiTheme="majorBidi" w:cstheme="majorBidi"/>
        </w:rPr>
        <w:t xml:space="preserve">WWF "The NBSAPs We Need": </w:t>
      </w:r>
      <w:hyperlink r:id="rId25" w:tgtFrame="_blank" w:tooltip="https://wwfint.awsassets.panda.org/downloads/wwf-nbsaps-we-need-2023_final.pdf" w:history="1">
        <w:r w:rsidRPr="00C374D4">
          <w:t>https://wwfint.awsassets.panda.org/downloads/wwf-nbsaps-we-need-2023_final.pdf</w:t>
        </w:r>
      </w:hyperlink>
    </w:p>
    <w:p w14:paraId="763CF380" w14:textId="77777777" w:rsidR="000C7A28" w:rsidRPr="004C5865" w:rsidRDefault="000C7A28" w:rsidP="000C7A28">
      <w:pPr>
        <w:numPr>
          <w:ilvl w:val="0"/>
          <w:numId w:val="47"/>
        </w:numPr>
        <w:spacing w:after="120"/>
        <w:ind w:left="1607"/>
        <w:rPr>
          <w:rFonts w:asciiTheme="majorBidi" w:hAnsiTheme="majorBidi" w:cstheme="majorBidi"/>
        </w:rPr>
      </w:pPr>
      <w:proofErr w:type="spellStart"/>
      <w:r w:rsidRPr="004C5865">
        <w:rPr>
          <w:rFonts w:asciiTheme="majorBidi" w:hAnsiTheme="majorBidi" w:cstheme="majorBidi"/>
        </w:rPr>
        <w:t>Biovision</w:t>
      </w:r>
      <w:proofErr w:type="spellEnd"/>
      <w:r w:rsidRPr="004C5865">
        <w:rPr>
          <w:rFonts w:asciiTheme="majorBidi" w:hAnsiTheme="majorBidi" w:cstheme="majorBidi"/>
        </w:rPr>
        <w:t xml:space="preserve"> "Boost NBSAPs through Agroecology": </w:t>
      </w:r>
      <w:hyperlink r:id="rId26" w:tgtFrame="_blank" w:tooltip="https://www.agroecology-pool.org/national-biodiversity-strategies-and-action-plans/" w:history="1">
        <w:r w:rsidRPr="00C374D4">
          <w:t>https://www.agroecology-pool.org/national-biodiversity-strategies-and-action-plans/</w:t>
        </w:r>
      </w:hyperlink>
    </w:p>
    <w:p w14:paraId="1B5668F8" w14:textId="77777777" w:rsidR="000C7A28" w:rsidRPr="004C5865" w:rsidRDefault="000C7A28" w:rsidP="000C7A28">
      <w:pPr>
        <w:numPr>
          <w:ilvl w:val="0"/>
          <w:numId w:val="47"/>
        </w:numPr>
        <w:spacing w:after="120"/>
        <w:ind w:left="1607"/>
        <w:rPr>
          <w:rFonts w:asciiTheme="majorBidi" w:hAnsiTheme="majorBidi" w:cstheme="majorBidi"/>
        </w:rPr>
      </w:pPr>
      <w:r w:rsidRPr="004C5865">
        <w:rPr>
          <w:rFonts w:asciiTheme="majorBidi" w:hAnsiTheme="majorBidi" w:cstheme="majorBidi"/>
        </w:rPr>
        <w:t xml:space="preserve">Ramsar Conv Upscaling wetland conservation, restoration and wise use through NBSAPs: </w:t>
      </w:r>
      <w:hyperlink r:id="rId27" w:tgtFrame="_blank" w:tooltip="https://www.ramsar.org/sites/default/files/2023-11/gbf_nbsap_e.pdf" w:history="1">
        <w:r w:rsidRPr="00C374D4">
          <w:t>https://www.ramsar.org/sites/default/files/2023-11/GBF_NBSAP_e.pdf</w:t>
        </w:r>
      </w:hyperlink>
    </w:p>
    <w:p w14:paraId="5D05A21F" w14:textId="77777777" w:rsidR="000C7A28" w:rsidRPr="004C5865" w:rsidRDefault="000C7A28" w:rsidP="000C7A28">
      <w:pPr>
        <w:numPr>
          <w:ilvl w:val="0"/>
          <w:numId w:val="47"/>
        </w:numPr>
        <w:spacing w:after="120"/>
        <w:ind w:left="1607"/>
        <w:rPr>
          <w:rFonts w:asciiTheme="majorBidi" w:hAnsiTheme="majorBidi" w:cstheme="majorBidi"/>
        </w:rPr>
      </w:pPr>
      <w:r w:rsidRPr="004C5865">
        <w:rPr>
          <w:rFonts w:asciiTheme="majorBidi" w:hAnsiTheme="majorBidi" w:cstheme="majorBidi"/>
        </w:rPr>
        <w:t xml:space="preserve">Ramsar Conv Guidance on including wetlands in NBSAPs: </w:t>
      </w:r>
      <w:hyperlink r:id="rId28" w:tgtFrame="_blank" w:tooltip="https://www.ramsar.org/sites/default/files/2024-08/tr12_nbsaps_km_gbf_rev2_e.pdf" w:history="1">
        <w:r w:rsidRPr="004C5865">
          <w:rPr>
            <w:rStyle w:val="Hyperlink"/>
            <w:rFonts w:asciiTheme="majorBidi" w:hAnsiTheme="majorBidi" w:cstheme="majorBidi"/>
            <w:lang w:val="en-GB"/>
          </w:rPr>
          <w:t>https://www.ramsar.org/sites/default/files/2024-08/TR12_NBSAPs_KM_GBF_rev2_e.pdf</w:t>
        </w:r>
      </w:hyperlink>
    </w:p>
    <w:p w14:paraId="6F2CE4F1" w14:textId="77777777" w:rsidR="000C7A28" w:rsidRPr="003E778A" w:rsidRDefault="000C7A28" w:rsidP="003E778A">
      <w:pPr>
        <w:pStyle w:val="Normal-pool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8"/>
      </w:tblGrid>
      <w:tr w:rsidR="0015442E" w14:paraId="2E924820" w14:textId="77777777" w:rsidTr="0015442E">
        <w:tc>
          <w:tcPr>
            <w:tcW w:w="1897" w:type="dxa"/>
          </w:tcPr>
          <w:p w14:paraId="16F5C414" w14:textId="77777777" w:rsidR="0015442E" w:rsidRDefault="0015442E" w:rsidP="0015442E">
            <w:pPr>
              <w:pStyle w:val="Normal-pool"/>
            </w:pPr>
          </w:p>
        </w:tc>
        <w:tc>
          <w:tcPr>
            <w:tcW w:w="1897" w:type="dxa"/>
          </w:tcPr>
          <w:p w14:paraId="6D6FF786" w14:textId="77777777" w:rsidR="0015442E" w:rsidRDefault="0015442E" w:rsidP="0015442E">
            <w:pPr>
              <w:pStyle w:val="Normal-pool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7B77BBB9" w14:textId="77777777" w:rsidR="0015442E" w:rsidRDefault="0015442E" w:rsidP="0015442E">
            <w:pPr>
              <w:pStyle w:val="Normal-pool"/>
              <w:spacing w:before="480"/>
            </w:pPr>
          </w:p>
        </w:tc>
        <w:tc>
          <w:tcPr>
            <w:tcW w:w="1897" w:type="dxa"/>
          </w:tcPr>
          <w:p w14:paraId="3B69A5B6" w14:textId="77777777" w:rsidR="0015442E" w:rsidRDefault="0015442E" w:rsidP="0015442E">
            <w:pPr>
              <w:pStyle w:val="Normal-pool"/>
            </w:pPr>
          </w:p>
        </w:tc>
        <w:tc>
          <w:tcPr>
            <w:tcW w:w="1898" w:type="dxa"/>
          </w:tcPr>
          <w:p w14:paraId="5F071A8C" w14:textId="77777777" w:rsidR="0015442E" w:rsidRDefault="0015442E" w:rsidP="0015442E">
            <w:pPr>
              <w:pStyle w:val="Normal-pool"/>
            </w:pPr>
          </w:p>
        </w:tc>
      </w:tr>
    </w:tbl>
    <w:p w14:paraId="3CE5B03E" w14:textId="77777777" w:rsidR="0015442E" w:rsidRDefault="0015442E" w:rsidP="0015442E">
      <w:pPr>
        <w:pStyle w:val="Normal-pool"/>
      </w:pPr>
    </w:p>
    <w:sectPr w:rsidR="0015442E" w:rsidSect="0015442E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06" w:h="16838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B7870" w14:textId="77777777" w:rsidR="00556A60" w:rsidRDefault="00556A60">
      <w:r>
        <w:separator/>
      </w:r>
    </w:p>
  </w:endnote>
  <w:endnote w:type="continuationSeparator" w:id="0">
    <w:p w14:paraId="4EE9A256" w14:textId="77777777" w:rsidR="00556A60" w:rsidRDefault="00556A60">
      <w:r>
        <w:continuationSeparator/>
      </w:r>
    </w:p>
  </w:endnote>
  <w:endnote w:type="continuationNotice" w:id="1">
    <w:p w14:paraId="157C1290" w14:textId="77777777" w:rsidR="00556A60" w:rsidRDefault="00556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roxima Nova Medium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8C83" w14:textId="77777777" w:rsidR="00123699" w:rsidRPr="00F96910" w:rsidRDefault="00123699" w:rsidP="00F96910">
    <w:pPr>
      <w:pStyle w:val="Footer-pool"/>
    </w:pPr>
    <w:r w:rsidRPr="0015442E">
      <w:rPr>
        <w:rStyle w:val="PageNumber"/>
        <w:b/>
      </w:rPr>
      <w:fldChar w:fldCharType="begin"/>
    </w:r>
    <w:r w:rsidRPr="0015442E">
      <w:rPr>
        <w:rStyle w:val="PageNumber"/>
        <w:b/>
      </w:rPr>
      <w:instrText xml:space="preserve"> PAGE </w:instrText>
    </w:r>
    <w:r w:rsidRPr="0015442E">
      <w:rPr>
        <w:rStyle w:val="PageNumber"/>
        <w:b/>
      </w:rPr>
      <w:fldChar w:fldCharType="separate"/>
    </w:r>
    <w:r w:rsidR="00F7542C" w:rsidRPr="0015442E">
      <w:rPr>
        <w:rStyle w:val="PageNumber"/>
        <w:b/>
        <w:noProof/>
      </w:rPr>
      <w:t>2</w:t>
    </w:r>
    <w:r w:rsidRPr="0015442E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8F5F" w14:textId="77777777" w:rsidR="00123699" w:rsidRPr="0015442E" w:rsidRDefault="00123699" w:rsidP="00F96910">
    <w:pPr>
      <w:pStyle w:val="Footer-pool"/>
      <w:jc w:val="right"/>
      <w:rPr>
        <w:b w:val="0"/>
      </w:rPr>
    </w:pPr>
    <w:r w:rsidRPr="0015442E">
      <w:rPr>
        <w:rStyle w:val="PageNumber"/>
        <w:b/>
      </w:rPr>
      <w:fldChar w:fldCharType="begin"/>
    </w:r>
    <w:r w:rsidRPr="0015442E">
      <w:rPr>
        <w:rStyle w:val="PageNumber"/>
        <w:b/>
      </w:rPr>
      <w:instrText xml:space="preserve"> PAGE </w:instrText>
    </w:r>
    <w:r w:rsidRPr="0015442E">
      <w:rPr>
        <w:rStyle w:val="PageNumber"/>
        <w:b/>
      </w:rPr>
      <w:fldChar w:fldCharType="separate"/>
    </w:r>
    <w:r w:rsidR="00250B6D" w:rsidRPr="0015442E">
      <w:rPr>
        <w:rStyle w:val="PageNumber"/>
        <w:b/>
        <w:noProof/>
      </w:rPr>
      <w:t>3</w:t>
    </w:r>
    <w:r w:rsidRPr="0015442E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6BAB" w14:textId="0376084D" w:rsidR="0015442E" w:rsidRDefault="00DB7C92" w:rsidP="0015442E">
    <w:pPr>
      <w:pStyle w:val="Normal-pool"/>
    </w:pPr>
    <w:r>
      <w:tab/>
      <w:t>2</w:t>
    </w:r>
    <w:r w:rsidR="002B4AE3">
      <w:t>6</w:t>
    </w:r>
    <w:r>
      <w:t>08</w:t>
    </w:r>
    <w:r w:rsidR="0015442E">
      <w:t>2</w:t>
    </w:r>
    <w:r w:rsidR="00587F7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0359" w14:textId="77777777" w:rsidR="00556A60" w:rsidRPr="0072353B" w:rsidRDefault="00556A60" w:rsidP="0072353B">
      <w:pPr>
        <w:tabs>
          <w:tab w:val="left" w:pos="624"/>
        </w:tabs>
        <w:spacing w:before="60"/>
        <w:ind w:left="624"/>
        <w:rPr>
          <w:sz w:val="18"/>
          <w:szCs w:val="18"/>
        </w:rPr>
      </w:pPr>
      <w:r w:rsidRPr="0072353B">
        <w:rPr>
          <w:sz w:val="18"/>
          <w:szCs w:val="18"/>
        </w:rPr>
        <w:separator/>
      </w:r>
    </w:p>
  </w:footnote>
  <w:footnote w:type="continuationSeparator" w:id="0">
    <w:p w14:paraId="1DF9CCEA" w14:textId="77777777" w:rsidR="00556A60" w:rsidRDefault="00556A60">
      <w:r>
        <w:continuationSeparator/>
      </w:r>
    </w:p>
  </w:footnote>
  <w:footnote w:type="continuationNotice" w:id="1">
    <w:p w14:paraId="3F6DB742" w14:textId="77777777" w:rsidR="00556A60" w:rsidRDefault="00556A60"/>
  </w:footnote>
  <w:footnote w:id="2">
    <w:p w14:paraId="7BD0C3DA" w14:textId="591DA95D" w:rsidR="00880CCB" w:rsidRPr="003E778A" w:rsidRDefault="00880CCB">
      <w:pPr>
        <w:pStyle w:val="FootnoteText"/>
        <w:rPr>
          <w:szCs w:val="18"/>
          <w:lang w:val="fr-CH"/>
        </w:rPr>
      </w:pPr>
      <w:r w:rsidRPr="003E778A">
        <w:rPr>
          <w:rStyle w:val="FootnoteReference"/>
          <w:sz w:val="18"/>
          <w:vertAlign w:val="baseline"/>
        </w:rPr>
        <w:t>*</w:t>
      </w:r>
      <w:r w:rsidRPr="003E778A">
        <w:rPr>
          <w:szCs w:val="18"/>
        </w:rPr>
        <w:t xml:space="preserve"> </w:t>
      </w:r>
      <w:r w:rsidR="00AC7FD3" w:rsidRPr="003E778A">
        <w:rPr>
          <w:szCs w:val="18"/>
        </w:rPr>
        <w:t>UNEP/MC/COP.6/1</w:t>
      </w:r>
      <w:r w:rsidR="00DB7C92" w:rsidRPr="003E778A">
        <w:rPr>
          <w:szCs w:val="18"/>
        </w:rPr>
        <w:t>/Rev.1</w:t>
      </w:r>
      <w:r w:rsidR="00AC7FD3" w:rsidRPr="003E778A">
        <w:rPr>
          <w:szCs w:val="18"/>
        </w:rPr>
        <w:t>.</w:t>
      </w:r>
    </w:p>
  </w:footnote>
  <w:footnote w:id="3">
    <w:p w14:paraId="1EF373CF" w14:textId="1074CB40" w:rsidR="003E778A" w:rsidRPr="00F402F3" w:rsidRDefault="003E778A" w:rsidP="003E778A">
      <w:pPr>
        <w:pStyle w:val="FootnoteText"/>
        <w:rPr>
          <w:lang w:val="en-GB"/>
        </w:rPr>
      </w:pPr>
      <w:r w:rsidRPr="003E778A">
        <w:rPr>
          <w:rStyle w:val="FootnoteReference"/>
          <w:sz w:val="18"/>
          <w:vertAlign w:val="baseline"/>
        </w:rPr>
        <w:t>**</w:t>
      </w:r>
      <w:r w:rsidRPr="003E778A">
        <w:rPr>
          <w:szCs w:val="18"/>
          <w:lang w:val="en-GB"/>
        </w:rPr>
        <w:t xml:space="preserve"> The </w:t>
      </w:r>
      <w:r>
        <w:rPr>
          <w:szCs w:val="18"/>
          <w:lang w:val="en-GB"/>
        </w:rPr>
        <w:t>document</w:t>
      </w:r>
      <w:r w:rsidRPr="003E778A">
        <w:rPr>
          <w:szCs w:val="18"/>
          <w:lang w:val="en-GB"/>
        </w:rPr>
        <w:t xml:space="preserve"> has not been formally edited.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6A89" w14:textId="66E8561B" w:rsidR="00123699" w:rsidRPr="00F96910" w:rsidRDefault="00F96910" w:rsidP="00F96910">
    <w:pPr>
      <w:pStyle w:val="Header-pool"/>
    </w:pPr>
    <w:r w:rsidRPr="00F96910">
      <w:t>UNEP/MC</w:t>
    </w:r>
    <w:r w:rsidR="00EA2CF9">
      <w:t>/</w:t>
    </w:r>
    <w:r w:rsidRPr="00F96910">
      <w:t>COP.</w:t>
    </w:r>
    <w:r w:rsidR="003140A7">
      <w:t>6</w:t>
    </w:r>
    <w:r w:rsidRPr="00F96910">
      <w:t>/</w:t>
    </w:r>
    <w:r w:rsidR="006D1C7C">
      <w:t>INF/</w:t>
    </w:r>
    <w:r w:rsidR="005778B6">
      <w:t>41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7AFE" w14:textId="11A68053" w:rsidR="00123699" w:rsidRPr="00392F9C" w:rsidRDefault="00F96910" w:rsidP="00F96910">
    <w:pPr>
      <w:pStyle w:val="Header-pool"/>
      <w:jc w:val="right"/>
      <w:rPr>
        <w:szCs w:val="18"/>
      </w:rPr>
    </w:pPr>
    <w:r w:rsidRPr="00F96910">
      <w:t>UNEP/MC</w:t>
    </w:r>
    <w:r w:rsidR="00EA2CF9">
      <w:t>/</w:t>
    </w:r>
    <w:r w:rsidRPr="00F96910">
      <w:t>COP.</w:t>
    </w:r>
    <w:r w:rsidR="005778B6">
      <w:t>6</w:t>
    </w:r>
    <w:r w:rsidRPr="00F96910">
      <w:t>/</w:t>
    </w:r>
    <w:r w:rsidR="005778B6">
      <w:t>INF/41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81FC" w14:textId="77777777" w:rsidR="00C059F0" w:rsidRPr="00F7542C" w:rsidRDefault="00C059F0" w:rsidP="00F7542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14"/>
    <w:multiLevelType w:val="hybridMultilevel"/>
    <w:tmpl w:val="BCF6A50E"/>
    <w:lvl w:ilvl="0" w:tplc="EDC41ED8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7" w:hanging="360"/>
      </w:pPr>
    </w:lvl>
    <w:lvl w:ilvl="2" w:tplc="0809001B" w:tentative="1">
      <w:start w:val="1"/>
      <w:numFmt w:val="lowerRoman"/>
      <w:lvlText w:val="%3."/>
      <w:lvlJc w:val="right"/>
      <w:pPr>
        <w:ind w:left="3047" w:hanging="180"/>
      </w:pPr>
    </w:lvl>
    <w:lvl w:ilvl="3" w:tplc="0809000F" w:tentative="1">
      <w:start w:val="1"/>
      <w:numFmt w:val="decimal"/>
      <w:lvlText w:val="%4."/>
      <w:lvlJc w:val="left"/>
      <w:pPr>
        <w:ind w:left="3767" w:hanging="360"/>
      </w:pPr>
    </w:lvl>
    <w:lvl w:ilvl="4" w:tplc="08090019" w:tentative="1">
      <w:start w:val="1"/>
      <w:numFmt w:val="lowerLetter"/>
      <w:lvlText w:val="%5."/>
      <w:lvlJc w:val="left"/>
      <w:pPr>
        <w:ind w:left="4487" w:hanging="360"/>
      </w:pPr>
    </w:lvl>
    <w:lvl w:ilvl="5" w:tplc="0809001B" w:tentative="1">
      <w:start w:val="1"/>
      <w:numFmt w:val="lowerRoman"/>
      <w:lvlText w:val="%6."/>
      <w:lvlJc w:val="right"/>
      <w:pPr>
        <w:ind w:left="5207" w:hanging="180"/>
      </w:pPr>
    </w:lvl>
    <w:lvl w:ilvl="6" w:tplc="0809000F" w:tentative="1">
      <w:start w:val="1"/>
      <w:numFmt w:val="decimal"/>
      <w:lvlText w:val="%7."/>
      <w:lvlJc w:val="left"/>
      <w:pPr>
        <w:ind w:left="5927" w:hanging="360"/>
      </w:pPr>
    </w:lvl>
    <w:lvl w:ilvl="7" w:tplc="08090019" w:tentative="1">
      <w:start w:val="1"/>
      <w:numFmt w:val="lowerLetter"/>
      <w:lvlText w:val="%8."/>
      <w:lvlJc w:val="left"/>
      <w:pPr>
        <w:ind w:left="6647" w:hanging="360"/>
      </w:pPr>
    </w:lvl>
    <w:lvl w:ilvl="8" w:tplc="08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037848C0"/>
    <w:multiLevelType w:val="hybridMultilevel"/>
    <w:tmpl w:val="F8186692"/>
    <w:lvl w:ilvl="0" w:tplc="F1BAF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415E7"/>
    <w:multiLevelType w:val="hybridMultilevel"/>
    <w:tmpl w:val="D4683434"/>
    <w:lvl w:ilvl="0" w:tplc="B776CA36">
      <w:start w:val="1"/>
      <w:numFmt w:val="lowerLetter"/>
      <w:lvlText w:val="(%1)"/>
      <w:lvlJc w:val="left"/>
      <w:pPr>
        <w:ind w:left="321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938" w:hanging="360"/>
      </w:pPr>
    </w:lvl>
    <w:lvl w:ilvl="2" w:tplc="0809001B">
      <w:start w:val="1"/>
      <w:numFmt w:val="lowerRoman"/>
      <w:lvlText w:val="%3."/>
      <w:lvlJc w:val="right"/>
      <w:pPr>
        <w:ind w:left="4658" w:hanging="180"/>
      </w:pPr>
    </w:lvl>
    <w:lvl w:ilvl="3" w:tplc="0809000F" w:tentative="1">
      <w:start w:val="1"/>
      <w:numFmt w:val="decimal"/>
      <w:lvlText w:val="%4."/>
      <w:lvlJc w:val="left"/>
      <w:pPr>
        <w:ind w:left="5378" w:hanging="360"/>
      </w:pPr>
    </w:lvl>
    <w:lvl w:ilvl="4" w:tplc="08090019" w:tentative="1">
      <w:start w:val="1"/>
      <w:numFmt w:val="lowerLetter"/>
      <w:lvlText w:val="%5."/>
      <w:lvlJc w:val="left"/>
      <w:pPr>
        <w:ind w:left="6098" w:hanging="360"/>
      </w:pPr>
    </w:lvl>
    <w:lvl w:ilvl="5" w:tplc="0809001B" w:tentative="1">
      <w:start w:val="1"/>
      <w:numFmt w:val="lowerRoman"/>
      <w:lvlText w:val="%6."/>
      <w:lvlJc w:val="right"/>
      <w:pPr>
        <w:ind w:left="6818" w:hanging="180"/>
      </w:pPr>
    </w:lvl>
    <w:lvl w:ilvl="6" w:tplc="0809000F" w:tentative="1">
      <w:start w:val="1"/>
      <w:numFmt w:val="decimal"/>
      <w:lvlText w:val="%7."/>
      <w:lvlJc w:val="left"/>
      <w:pPr>
        <w:ind w:left="7538" w:hanging="360"/>
      </w:pPr>
    </w:lvl>
    <w:lvl w:ilvl="7" w:tplc="08090019" w:tentative="1">
      <w:start w:val="1"/>
      <w:numFmt w:val="lowerLetter"/>
      <w:lvlText w:val="%8."/>
      <w:lvlJc w:val="left"/>
      <w:pPr>
        <w:ind w:left="8258" w:hanging="360"/>
      </w:pPr>
    </w:lvl>
    <w:lvl w:ilvl="8" w:tplc="0809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3" w15:restartNumberingAfterBreak="0">
    <w:nsid w:val="0EBF581F"/>
    <w:multiLevelType w:val="hybridMultilevel"/>
    <w:tmpl w:val="B81A3326"/>
    <w:lvl w:ilvl="0" w:tplc="EA1CBB0E">
      <w:start w:val="1"/>
      <w:numFmt w:val="upperRoman"/>
      <w:lvlText w:val="%1."/>
      <w:lvlJc w:val="left"/>
      <w:pPr>
        <w:ind w:left="196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7" w:hanging="360"/>
      </w:pPr>
    </w:lvl>
    <w:lvl w:ilvl="2" w:tplc="0809001B" w:tentative="1">
      <w:start w:val="1"/>
      <w:numFmt w:val="lowerRoman"/>
      <w:lvlText w:val="%3."/>
      <w:lvlJc w:val="right"/>
      <w:pPr>
        <w:ind w:left="3047" w:hanging="180"/>
      </w:pPr>
    </w:lvl>
    <w:lvl w:ilvl="3" w:tplc="0809000F" w:tentative="1">
      <w:start w:val="1"/>
      <w:numFmt w:val="decimal"/>
      <w:lvlText w:val="%4."/>
      <w:lvlJc w:val="left"/>
      <w:pPr>
        <w:ind w:left="3767" w:hanging="360"/>
      </w:pPr>
    </w:lvl>
    <w:lvl w:ilvl="4" w:tplc="08090019" w:tentative="1">
      <w:start w:val="1"/>
      <w:numFmt w:val="lowerLetter"/>
      <w:lvlText w:val="%5."/>
      <w:lvlJc w:val="left"/>
      <w:pPr>
        <w:ind w:left="4487" w:hanging="360"/>
      </w:pPr>
    </w:lvl>
    <w:lvl w:ilvl="5" w:tplc="0809001B" w:tentative="1">
      <w:start w:val="1"/>
      <w:numFmt w:val="lowerRoman"/>
      <w:lvlText w:val="%6."/>
      <w:lvlJc w:val="right"/>
      <w:pPr>
        <w:ind w:left="5207" w:hanging="180"/>
      </w:pPr>
    </w:lvl>
    <w:lvl w:ilvl="6" w:tplc="0809000F" w:tentative="1">
      <w:start w:val="1"/>
      <w:numFmt w:val="decimal"/>
      <w:lvlText w:val="%7."/>
      <w:lvlJc w:val="left"/>
      <w:pPr>
        <w:ind w:left="5927" w:hanging="360"/>
      </w:pPr>
    </w:lvl>
    <w:lvl w:ilvl="7" w:tplc="08090019" w:tentative="1">
      <w:start w:val="1"/>
      <w:numFmt w:val="lowerLetter"/>
      <w:lvlText w:val="%8."/>
      <w:lvlJc w:val="left"/>
      <w:pPr>
        <w:ind w:left="6647" w:hanging="360"/>
      </w:pPr>
    </w:lvl>
    <w:lvl w:ilvl="8" w:tplc="08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B571867"/>
    <w:multiLevelType w:val="singleLevel"/>
    <w:tmpl w:val="A2E252A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5571603"/>
    <w:multiLevelType w:val="singleLevel"/>
    <w:tmpl w:val="2868AC2A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BA2231"/>
    <w:multiLevelType w:val="hybridMultilevel"/>
    <w:tmpl w:val="BD4E035A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7" w15:restartNumberingAfterBreak="0">
    <w:nsid w:val="518C3520"/>
    <w:multiLevelType w:val="hybridMultilevel"/>
    <w:tmpl w:val="B986EE94"/>
    <w:lvl w:ilvl="0" w:tplc="2C7E5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66A9D"/>
    <w:multiLevelType w:val="multilevel"/>
    <w:tmpl w:val="C0FC3350"/>
    <w:styleLink w:val="Normallist"/>
    <w:lvl w:ilvl="0">
      <w:start w:val="1"/>
      <w:numFmt w:val="decimal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9" w15:restartNumberingAfterBreak="0">
    <w:nsid w:val="5F34278E"/>
    <w:multiLevelType w:val="hybridMultilevel"/>
    <w:tmpl w:val="BCF6A50E"/>
    <w:lvl w:ilvl="0" w:tplc="FFFFFFFF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0" w15:restartNumberingAfterBreak="0">
    <w:nsid w:val="662615F4"/>
    <w:multiLevelType w:val="multilevel"/>
    <w:tmpl w:val="BED4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0A3978"/>
    <w:multiLevelType w:val="hybridMultilevel"/>
    <w:tmpl w:val="A0067BEA"/>
    <w:lvl w:ilvl="0" w:tplc="086EB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565261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1247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134"/>
          </w:tabs>
          <w:ind w:left="1247" w:firstLine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1134"/>
          </w:tabs>
          <w:ind w:left="2948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3515" w:hanging="567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4082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7835"/>
          </w:tabs>
          <w:ind w:left="783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8555"/>
          </w:tabs>
          <w:ind w:left="855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275"/>
          </w:tabs>
          <w:ind w:left="927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9995"/>
          </w:tabs>
          <w:ind w:left="9995" w:hanging="180"/>
        </w:pPr>
        <w:rPr>
          <w:rFonts w:hint="default"/>
        </w:rPr>
      </w:lvl>
    </w:lvlOverride>
  </w:num>
  <w:num w:numId="2" w16cid:durableId="1016267553">
    <w:abstractNumId w:val="4"/>
  </w:num>
  <w:num w:numId="3" w16cid:durableId="282033796">
    <w:abstractNumId w:val="5"/>
  </w:num>
  <w:num w:numId="4" w16cid:durableId="1494448980">
    <w:abstractNumId w:val="8"/>
  </w:num>
  <w:num w:numId="5" w16cid:durableId="1135946353">
    <w:abstractNumId w:val="6"/>
  </w:num>
  <w:num w:numId="6" w16cid:durableId="1100219994">
    <w:abstractNumId w:val="2"/>
  </w:num>
  <w:num w:numId="7" w16cid:durableId="837236890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1247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Text w:val="(%2)"/>
        <w:lvlJc w:val="left"/>
        <w:pPr>
          <w:tabs>
            <w:tab w:val="num" w:pos="1134"/>
          </w:tabs>
          <w:ind w:left="1247" w:firstLine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(%3)"/>
        <w:lvlJc w:val="left"/>
        <w:pPr>
          <w:tabs>
            <w:tab w:val="num" w:pos="1134"/>
          </w:tabs>
          <w:ind w:left="294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3515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408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7835"/>
          </w:tabs>
          <w:ind w:left="783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8555"/>
          </w:tabs>
          <w:ind w:left="855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9275"/>
          </w:tabs>
          <w:ind w:left="927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9995"/>
          </w:tabs>
          <w:ind w:left="9995" w:hanging="180"/>
        </w:pPr>
        <w:rPr>
          <w:rFonts w:hint="default"/>
        </w:rPr>
      </w:lvl>
    </w:lvlOverride>
  </w:num>
  <w:num w:numId="8" w16cid:durableId="1235167672">
    <w:abstractNumId w:val="8"/>
  </w:num>
  <w:num w:numId="9" w16cid:durableId="1672561967">
    <w:abstractNumId w:val="8"/>
  </w:num>
  <w:num w:numId="10" w16cid:durableId="1437212726">
    <w:abstractNumId w:val="8"/>
  </w:num>
  <w:num w:numId="11" w16cid:durableId="2016877031">
    <w:abstractNumId w:val="8"/>
  </w:num>
  <w:num w:numId="12" w16cid:durableId="1771202158">
    <w:abstractNumId w:val="8"/>
  </w:num>
  <w:num w:numId="13" w16cid:durableId="860124871">
    <w:abstractNumId w:val="8"/>
  </w:num>
  <w:num w:numId="14" w16cid:durableId="1326588141">
    <w:abstractNumId w:val="8"/>
  </w:num>
  <w:num w:numId="15" w16cid:durableId="645666334">
    <w:abstractNumId w:val="8"/>
  </w:num>
  <w:num w:numId="16" w16cid:durableId="1863744742">
    <w:abstractNumId w:val="8"/>
  </w:num>
  <w:num w:numId="17" w16cid:durableId="1171330947">
    <w:abstractNumId w:val="8"/>
  </w:num>
  <w:num w:numId="18" w16cid:durableId="1935552929">
    <w:abstractNumId w:val="8"/>
  </w:num>
  <w:num w:numId="19" w16cid:durableId="1174610815">
    <w:abstractNumId w:val="8"/>
  </w:num>
  <w:num w:numId="20" w16cid:durableId="960376072">
    <w:abstractNumId w:val="8"/>
  </w:num>
  <w:num w:numId="21" w16cid:durableId="1267301723">
    <w:abstractNumId w:val="8"/>
  </w:num>
  <w:num w:numId="22" w16cid:durableId="711611048">
    <w:abstractNumId w:val="8"/>
  </w:num>
  <w:num w:numId="23" w16cid:durableId="1040713280">
    <w:abstractNumId w:val="8"/>
  </w:num>
  <w:num w:numId="24" w16cid:durableId="327173741">
    <w:abstractNumId w:val="8"/>
  </w:num>
  <w:num w:numId="25" w16cid:durableId="795369156">
    <w:abstractNumId w:val="8"/>
  </w:num>
  <w:num w:numId="26" w16cid:durableId="133528854">
    <w:abstractNumId w:val="8"/>
  </w:num>
  <w:num w:numId="27" w16cid:durableId="986323153">
    <w:abstractNumId w:val="8"/>
  </w:num>
  <w:num w:numId="28" w16cid:durableId="433213590">
    <w:abstractNumId w:val="8"/>
  </w:num>
  <w:num w:numId="29" w16cid:durableId="265043740">
    <w:abstractNumId w:val="8"/>
  </w:num>
  <w:num w:numId="30" w16cid:durableId="1791820401">
    <w:abstractNumId w:val="8"/>
  </w:num>
  <w:num w:numId="31" w16cid:durableId="1300576112">
    <w:abstractNumId w:val="8"/>
  </w:num>
  <w:num w:numId="32" w16cid:durableId="201483325">
    <w:abstractNumId w:val="8"/>
  </w:num>
  <w:num w:numId="33" w16cid:durableId="685595495">
    <w:abstractNumId w:val="8"/>
  </w:num>
  <w:num w:numId="34" w16cid:durableId="747459989">
    <w:abstractNumId w:val="8"/>
  </w:num>
  <w:num w:numId="35" w16cid:durableId="1902908779">
    <w:abstractNumId w:val="8"/>
  </w:num>
  <w:num w:numId="36" w16cid:durableId="431437778">
    <w:abstractNumId w:val="8"/>
  </w:num>
  <w:num w:numId="37" w16cid:durableId="1020814842">
    <w:abstractNumId w:val="8"/>
  </w:num>
  <w:num w:numId="38" w16cid:durableId="147790694">
    <w:abstractNumId w:val="8"/>
  </w:num>
  <w:num w:numId="39" w16cid:durableId="1005400598">
    <w:abstractNumId w:val="8"/>
  </w:num>
  <w:num w:numId="40" w16cid:durableId="1527334094">
    <w:abstractNumId w:val="8"/>
  </w:num>
  <w:num w:numId="41" w16cid:durableId="1255939666">
    <w:abstractNumId w:val="3"/>
  </w:num>
  <w:num w:numId="42" w16cid:durableId="1800299503">
    <w:abstractNumId w:val="11"/>
  </w:num>
  <w:num w:numId="43" w16cid:durableId="1423144864">
    <w:abstractNumId w:val="7"/>
  </w:num>
  <w:num w:numId="44" w16cid:durableId="1302687383">
    <w:abstractNumId w:val="1"/>
  </w:num>
  <w:num w:numId="45" w16cid:durableId="1764568846">
    <w:abstractNumId w:val="0"/>
  </w:num>
  <w:num w:numId="46" w16cid:durableId="645429366">
    <w:abstractNumId w:val="9"/>
  </w:num>
  <w:num w:numId="47" w16cid:durableId="12092598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fr-FR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0"/>
  <w:activeWritingStyle w:appName="MSWord" w:lang="es-ES" w:vendorID="64" w:dllVersion="0" w:nlCheck="1" w:checkStyle="1"/>
  <w:activeWritingStyle w:appName="MSWord" w:lang="fr-CA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1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5C"/>
    <w:rsid w:val="00000CCB"/>
    <w:rsid w:val="000149E6"/>
    <w:rsid w:val="000247B0"/>
    <w:rsid w:val="00026997"/>
    <w:rsid w:val="00033042"/>
    <w:rsid w:val="00033E0B"/>
    <w:rsid w:val="00035EDE"/>
    <w:rsid w:val="00044340"/>
    <w:rsid w:val="000509B4"/>
    <w:rsid w:val="0006035B"/>
    <w:rsid w:val="00071886"/>
    <w:rsid w:val="0007367E"/>
    <w:rsid w:val="000742BC"/>
    <w:rsid w:val="00082A0C"/>
    <w:rsid w:val="00083504"/>
    <w:rsid w:val="000941E5"/>
    <w:rsid w:val="0009640C"/>
    <w:rsid w:val="000969B1"/>
    <w:rsid w:val="000B22A2"/>
    <w:rsid w:val="000B5BC8"/>
    <w:rsid w:val="000C0F46"/>
    <w:rsid w:val="000C2A52"/>
    <w:rsid w:val="000C43F1"/>
    <w:rsid w:val="000C7A28"/>
    <w:rsid w:val="000D0733"/>
    <w:rsid w:val="000D33C0"/>
    <w:rsid w:val="000D6941"/>
    <w:rsid w:val="00103655"/>
    <w:rsid w:val="00117EA5"/>
    <w:rsid w:val="001202E3"/>
    <w:rsid w:val="00123699"/>
    <w:rsid w:val="0012644F"/>
    <w:rsid w:val="0013059D"/>
    <w:rsid w:val="00141A55"/>
    <w:rsid w:val="001446A3"/>
    <w:rsid w:val="00145960"/>
    <w:rsid w:val="0015442E"/>
    <w:rsid w:val="00155395"/>
    <w:rsid w:val="00160D74"/>
    <w:rsid w:val="00167D02"/>
    <w:rsid w:val="00181EC8"/>
    <w:rsid w:val="00184349"/>
    <w:rsid w:val="00193DC9"/>
    <w:rsid w:val="00195E9F"/>
    <w:rsid w:val="00195F33"/>
    <w:rsid w:val="001B1617"/>
    <w:rsid w:val="001B504B"/>
    <w:rsid w:val="001B525E"/>
    <w:rsid w:val="001B7D42"/>
    <w:rsid w:val="001D2C8D"/>
    <w:rsid w:val="001D3874"/>
    <w:rsid w:val="001D7E75"/>
    <w:rsid w:val="001E0389"/>
    <w:rsid w:val="001E3181"/>
    <w:rsid w:val="001E56D2"/>
    <w:rsid w:val="001E7D56"/>
    <w:rsid w:val="001F75DE"/>
    <w:rsid w:val="00200D58"/>
    <w:rsid w:val="002013BE"/>
    <w:rsid w:val="002063A4"/>
    <w:rsid w:val="0021145B"/>
    <w:rsid w:val="00232C6B"/>
    <w:rsid w:val="00234B59"/>
    <w:rsid w:val="00243D36"/>
    <w:rsid w:val="00247707"/>
    <w:rsid w:val="00250B6D"/>
    <w:rsid w:val="002525C0"/>
    <w:rsid w:val="0026018E"/>
    <w:rsid w:val="00260799"/>
    <w:rsid w:val="00275DA1"/>
    <w:rsid w:val="002768BA"/>
    <w:rsid w:val="00286740"/>
    <w:rsid w:val="002929D8"/>
    <w:rsid w:val="002A1C1C"/>
    <w:rsid w:val="002A237D"/>
    <w:rsid w:val="002A4C53"/>
    <w:rsid w:val="002B0672"/>
    <w:rsid w:val="002B247F"/>
    <w:rsid w:val="002B4AE3"/>
    <w:rsid w:val="002C0E47"/>
    <w:rsid w:val="002C145D"/>
    <w:rsid w:val="002C2C3E"/>
    <w:rsid w:val="002C533E"/>
    <w:rsid w:val="002C79E4"/>
    <w:rsid w:val="002C7A45"/>
    <w:rsid w:val="002D027F"/>
    <w:rsid w:val="002D7A85"/>
    <w:rsid w:val="002D7B60"/>
    <w:rsid w:val="002F4761"/>
    <w:rsid w:val="002F5C79"/>
    <w:rsid w:val="003019E2"/>
    <w:rsid w:val="003140A7"/>
    <w:rsid w:val="0031413F"/>
    <w:rsid w:val="003148BB"/>
    <w:rsid w:val="00317976"/>
    <w:rsid w:val="0032199C"/>
    <w:rsid w:val="00324B1A"/>
    <w:rsid w:val="00325A36"/>
    <w:rsid w:val="00355EA9"/>
    <w:rsid w:val="003578DE"/>
    <w:rsid w:val="00362047"/>
    <w:rsid w:val="00362877"/>
    <w:rsid w:val="0036669D"/>
    <w:rsid w:val="00372781"/>
    <w:rsid w:val="00386AB0"/>
    <w:rsid w:val="0039169B"/>
    <w:rsid w:val="00392F9C"/>
    <w:rsid w:val="00396257"/>
    <w:rsid w:val="003963DF"/>
    <w:rsid w:val="00397EB8"/>
    <w:rsid w:val="003A1C5B"/>
    <w:rsid w:val="003A4FD0"/>
    <w:rsid w:val="003A69D1"/>
    <w:rsid w:val="003A7705"/>
    <w:rsid w:val="003A77F1"/>
    <w:rsid w:val="003B1545"/>
    <w:rsid w:val="003B5FFF"/>
    <w:rsid w:val="003C409D"/>
    <w:rsid w:val="003C5BA6"/>
    <w:rsid w:val="003D104A"/>
    <w:rsid w:val="003E6F41"/>
    <w:rsid w:val="003E778A"/>
    <w:rsid w:val="003E7DE3"/>
    <w:rsid w:val="003F06BB"/>
    <w:rsid w:val="003F0E85"/>
    <w:rsid w:val="00406F8E"/>
    <w:rsid w:val="00410C55"/>
    <w:rsid w:val="00416854"/>
    <w:rsid w:val="00417725"/>
    <w:rsid w:val="00430C2B"/>
    <w:rsid w:val="00435FD9"/>
    <w:rsid w:val="00437F26"/>
    <w:rsid w:val="00444097"/>
    <w:rsid w:val="00445487"/>
    <w:rsid w:val="00454769"/>
    <w:rsid w:val="00466991"/>
    <w:rsid w:val="0047064C"/>
    <w:rsid w:val="00494164"/>
    <w:rsid w:val="004A42E1"/>
    <w:rsid w:val="004B162C"/>
    <w:rsid w:val="004B614E"/>
    <w:rsid w:val="004C3DBE"/>
    <w:rsid w:val="004C5C96"/>
    <w:rsid w:val="004D06A4"/>
    <w:rsid w:val="004D7070"/>
    <w:rsid w:val="004F1A81"/>
    <w:rsid w:val="0050052E"/>
    <w:rsid w:val="005218D9"/>
    <w:rsid w:val="00526C08"/>
    <w:rsid w:val="00536186"/>
    <w:rsid w:val="005369CB"/>
    <w:rsid w:val="00537579"/>
    <w:rsid w:val="005421CD"/>
    <w:rsid w:val="00544CBB"/>
    <w:rsid w:val="00545860"/>
    <w:rsid w:val="00551104"/>
    <w:rsid w:val="00556A60"/>
    <w:rsid w:val="00561676"/>
    <w:rsid w:val="00562867"/>
    <w:rsid w:val="00566B59"/>
    <w:rsid w:val="0057085E"/>
    <w:rsid w:val="00570873"/>
    <w:rsid w:val="0057315F"/>
    <w:rsid w:val="00576104"/>
    <w:rsid w:val="005778B6"/>
    <w:rsid w:val="0058703C"/>
    <w:rsid w:val="00587F77"/>
    <w:rsid w:val="005B42A6"/>
    <w:rsid w:val="005C67C8"/>
    <w:rsid w:val="005D0249"/>
    <w:rsid w:val="005D1DA1"/>
    <w:rsid w:val="005D6E8C"/>
    <w:rsid w:val="005F0725"/>
    <w:rsid w:val="005F100C"/>
    <w:rsid w:val="005F68DA"/>
    <w:rsid w:val="0060773B"/>
    <w:rsid w:val="0061272C"/>
    <w:rsid w:val="006157B5"/>
    <w:rsid w:val="00622D02"/>
    <w:rsid w:val="00626FC6"/>
    <w:rsid w:val="006303B4"/>
    <w:rsid w:val="00633D3D"/>
    <w:rsid w:val="00641703"/>
    <w:rsid w:val="006428C7"/>
    <w:rsid w:val="00642971"/>
    <w:rsid w:val="006431A6"/>
    <w:rsid w:val="006459F6"/>
    <w:rsid w:val="0064723A"/>
    <w:rsid w:val="006501AD"/>
    <w:rsid w:val="00651BFA"/>
    <w:rsid w:val="006520E8"/>
    <w:rsid w:val="00654475"/>
    <w:rsid w:val="00655FAB"/>
    <w:rsid w:val="006562BF"/>
    <w:rsid w:val="00665A4B"/>
    <w:rsid w:val="006717E6"/>
    <w:rsid w:val="00673665"/>
    <w:rsid w:val="00680611"/>
    <w:rsid w:val="00692E2A"/>
    <w:rsid w:val="006A76F2"/>
    <w:rsid w:val="006B0B84"/>
    <w:rsid w:val="006D1C7C"/>
    <w:rsid w:val="006D4F04"/>
    <w:rsid w:val="006D7EFB"/>
    <w:rsid w:val="006E6672"/>
    <w:rsid w:val="006E6722"/>
    <w:rsid w:val="006F0281"/>
    <w:rsid w:val="006F5276"/>
    <w:rsid w:val="007027B9"/>
    <w:rsid w:val="00702DF0"/>
    <w:rsid w:val="00715E88"/>
    <w:rsid w:val="0072353B"/>
    <w:rsid w:val="00734CAA"/>
    <w:rsid w:val="00741B20"/>
    <w:rsid w:val="00751150"/>
    <w:rsid w:val="0075533C"/>
    <w:rsid w:val="00757581"/>
    <w:rsid w:val="007611A0"/>
    <w:rsid w:val="0076147A"/>
    <w:rsid w:val="007828A5"/>
    <w:rsid w:val="007841F5"/>
    <w:rsid w:val="0079019B"/>
    <w:rsid w:val="00796D3F"/>
    <w:rsid w:val="007A1683"/>
    <w:rsid w:val="007A5C12"/>
    <w:rsid w:val="007A7CB0"/>
    <w:rsid w:val="007B24F8"/>
    <w:rsid w:val="007B68A3"/>
    <w:rsid w:val="007C2541"/>
    <w:rsid w:val="007C521D"/>
    <w:rsid w:val="007D66A8"/>
    <w:rsid w:val="007E003F"/>
    <w:rsid w:val="00815730"/>
    <w:rsid w:val="008164F2"/>
    <w:rsid w:val="008201A2"/>
    <w:rsid w:val="00821395"/>
    <w:rsid w:val="00824FC7"/>
    <w:rsid w:val="00830E26"/>
    <w:rsid w:val="0083278B"/>
    <w:rsid w:val="0084113F"/>
    <w:rsid w:val="00843576"/>
    <w:rsid w:val="00843B64"/>
    <w:rsid w:val="008478FC"/>
    <w:rsid w:val="0086518B"/>
    <w:rsid w:val="00867BFF"/>
    <w:rsid w:val="00874524"/>
    <w:rsid w:val="00880CCB"/>
    <w:rsid w:val="0088480A"/>
    <w:rsid w:val="0088757A"/>
    <w:rsid w:val="008957DD"/>
    <w:rsid w:val="00897D98"/>
    <w:rsid w:val="008A3441"/>
    <w:rsid w:val="008A6DF2"/>
    <w:rsid w:val="008A7807"/>
    <w:rsid w:val="008B4456"/>
    <w:rsid w:val="008B4CC9"/>
    <w:rsid w:val="008D7C99"/>
    <w:rsid w:val="008E0FCB"/>
    <w:rsid w:val="008F201B"/>
    <w:rsid w:val="008F5D00"/>
    <w:rsid w:val="0092178C"/>
    <w:rsid w:val="0092184C"/>
    <w:rsid w:val="0092370A"/>
    <w:rsid w:val="00930B88"/>
    <w:rsid w:val="00930E68"/>
    <w:rsid w:val="0094095A"/>
    <w:rsid w:val="00940DCC"/>
    <w:rsid w:val="0094179A"/>
    <w:rsid w:val="0094459E"/>
    <w:rsid w:val="00944DBC"/>
    <w:rsid w:val="009473C6"/>
    <w:rsid w:val="00950977"/>
    <w:rsid w:val="00951A7B"/>
    <w:rsid w:val="009564A6"/>
    <w:rsid w:val="00962471"/>
    <w:rsid w:val="00967621"/>
    <w:rsid w:val="00967E6A"/>
    <w:rsid w:val="00984069"/>
    <w:rsid w:val="00992DE3"/>
    <w:rsid w:val="009B4A0F"/>
    <w:rsid w:val="009C11D2"/>
    <w:rsid w:val="009C2593"/>
    <w:rsid w:val="009C5440"/>
    <w:rsid w:val="009C6C70"/>
    <w:rsid w:val="009D0B63"/>
    <w:rsid w:val="009D7B82"/>
    <w:rsid w:val="009E24BE"/>
    <w:rsid w:val="009E2F3F"/>
    <w:rsid w:val="009E307E"/>
    <w:rsid w:val="009F23CD"/>
    <w:rsid w:val="00A001C6"/>
    <w:rsid w:val="00A03B6E"/>
    <w:rsid w:val="00A07870"/>
    <w:rsid w:val="00A07F19"/>
    <w:rsid w:val="00A11B9F"/>
    <w:rsid w:val="00A1348D"/>
    <w:rsid w:val="00A142E9"/>
    <w:rsid w:val="00A232EE"/>
    <w:rsid w:val="00A32F74"/>
    <w:rsid w:val="00A3546E"/>
    <w:rsid w:val="00A35EA7"/>
    <w:rsid w:val="00A4175F"/>
    <w:rsid w:val="00A44411"/>
    <w:rsid w:val="00A469FA"/>
    <w:rsid w:val="00A55B01"/>
    <w:rsid w:val="00A56B5B"/>
    <w:rsid w:val="00A603FF"/>
    <w:rsid w:val="00A657DD"/>
    <w:rsid w:val="00A666A6"/>
    <w:rsid w:val="00A675FD"/>
    <w:rsid w:val="00A706CF"/>
    <w:rsid w:val="00A71EFB"/>
    <w:rsid w:val="00A72437"/>
    <w:rsid w:val="00A80611"/>
    <w:rsid w:val="00A94604"/>
    <w:rsid w:val="00AB5340"/>
    <w:rsid w:val="00AC0A89"/>
    <w:rsid w:val="00AC5CBF"/>
    <w:rsid w:val="00AC7C96"/>
    <w:rsid w:val="00AC7FD3"/>
    <w:rsid w:val="00AE237D"/>
    <w:rsid w:val="00AE2EFF"/>
    <w:rsid w:val="00AE502A"/>
    <w:rsid w:val="00AE6AB6"/>
    <w:rsid w:val="00AF7C07"/>
    <w:rsid w:val="00B11663"/>
    <w:rsid w:val="00B12B35"/>
    <w:rsid w:val="00B22C93"/>
    <w:rsid w:val="00B27589"/>
    <w:rsid w:val="00B405B7"/>
    <w:rsid w:val="00B40CD8"/>
    <w:rsid w:val="00B4162D"/>
    <w:rsid w:val="00B51F1B"/>
    <w:rsid w:val="00B52222"/>
    <w:rsid w:val="00B52657"/>
    <w:rsid w:val="00B5428A"/>
    <w:rsid w:val="00B54847"/>
    <w:rsid w:val="00B54FE7"/>
    <w:rsid w:val="00B66901"/>
    <w:rsid w:val="00B71E6D"/>
    <w:rsid w:val="00B72070"/>
    <w:rsid w:val="00B737E9"/>
    <w:rsid w:val="00B76A21"/>
    <w:rsid w:val="00B779E1"/>
    <w:rsid w:val="00B849E3"/>
    <w:rsid w:val="00B84D51"/>
    <w:rsid w:val="00B91EE1"/>
    <w:rsid w:val="00B925AB"/>
    <w:rsid w:val="00BA0090"/>
    <w:rsid w:val="00BA1A67"/>
    <w:rsid w:val="00BA3CEA"/>
    <w:rsid w:val="00BA7128"/>
    <w:rsid w:val="00BE5B5F"/>
    <w:rsid w:val="00BF17E5"/>
    <w:rsid w:val="00C059F0"/>
    <w:rsid w:val="00C0725D"/>
    <w:rsid w:val="00C228DB"/>
    <w:rsid w:val="00C26F55"/>
    <w:rsid w:val="00C30C63"/>
    <w:rsid w:val="00C36B8B"/>
    <w:rsid w:val="00C415C1"/>
    <w:rsid w:val="00C47DBF"/>
    <w:rsid w:val="00C52AC2"/>
    <w:rsid w:val="00C552FF"/>
    <w:rsid w:val="00C558DA"/>
    <w:rsid w:val="00C55AF3"/>
    <w:rsid w:val="00C84759"/>
    <w:rsid w:val="00C8624F"/>
    <w:rsid w:val="00C86D73"/>
    <w:rsid w:val="00CA6C7F"/>
    <w:rsid w:val="00CB1021"/>
    <w:rsid w:val="00CB597F"/>
    <w:rsid w:val="00CC10A6"/>
    <w:rsid w:val="00CC2FDC"/>
    <w:rsid w:val="00CC7F63"/>
    <w:rsid w:val="00CD5EB8"/>
    <w:rsid w:val="00CD7044"/>
    <w:rsid w:val="00CE08B9"/>
    <w:rsid w:val="00CE3103"/>
    <w:rsid w:val="00CE524C"/>
    <w:rsid w:val="00CF141F"/>
    <w:rsid w:val="00CF4777"/>
    <w:rsid w:val="00D067BB"/>
    <w:rsid w:val="00D07EDB"/>
    <w:rsid w:val="00D1352A"/>
    <w:rsid w:val="00D13873"/>
    <w:rsid w:val="00D169AF"/>
    <w:rsid w:val="00D25249"/>
    <w:rsid w:val="00D25ED8"/>
    <w:rsid w:val="00D33365"/>
    <w:rsid w:val="00D34DE9"/>
    <w:rsid w:val="00D35F94"/>
    <w:rsid w:val="00D44172"/>
    <w:rsid w:val="00D61FBB"/>
    <w:rsid w:val="00D63B8C"/>
    <w:rsid w:val="00D63D88"/>
    <w:rsid w:val="00D65163"/>
    <w:rsid w:val="00D739CC"/>
    <w:rsid w:val="00D76E06"/>
    <w:rsid w:val="00D8093D"/>
    <w:rsid w:val="00D8108C"/>
    <w:rsid w:val="00D842AE"/>
    <w:rsid w:val="00D90CBC"/>
    <w:rsid w:val="00D9211C"/>
    <w:rsid w:val="00D922FD"/>
    <w:rsid w:val="00D92DE0"/>
    <w:rsid w:val="00D92FEF"/>
    <w:rsid w:val="00D93A0F"/>
    <w:rsid w:val="00DA0077"/>
    <w:rsid w:val="00DA1BCA"/>
    <w:rsid w:val="00DA606E"/>
    <w:rsid w:val="00DB7C92"/>
    <w:rsid w:val="00DC46FF"/>
    <w:rsid w:val="00DC5254"/>
    <w:rsid w:val="00DD1A4F"/>
    <w:rsid w:val="00DD3107"/>
    <w:rsid w:val="00DD7C2C"/>
    <w:rsid w:val="00DE260E"/>
    <w:rsid w:val="00DF70BF"/>
    <w:rsid w:val="00E04FF0"/>
    <w:rsid w:val="00E06797"/>
    <w:rsid w:val="00E072CC"/>
    <w:rsid w:val="00E1265B"/>
    <w:rsid w:val="00E13B48"/>
    <w:rsid w:val="00E1404F"/>
    <w:rsid w:val="00E21C83"/>
    <w:rsid w:val="00E24063"/>
    <w:rsid w:val="00E24ADA"/>
    <w:rsid w:val="00E276A4"/>
    <w:rsid w:val="00E32F59"/>
    <w:rsid w:val="00E3329D"/>
    <w:rsid w:val="00E3591B"/>
    <w:rsid w:val="00E46D9A"/>
    <w:rsid w:val="00E565FF"/>
    <w:rsid w:val="00E65388"/>
    <w:rsid w:val="00E726A7"/>
    <w:rsid w:val="00E85B7D"/>
    <w:rsid w:val="00E9121B"/>
    <w:rsid w:val="00E9168B"/>
    <w:rsid w:val="00E91D53"/>
    <w:rsid w:val="00E942CC"/>
    <w:rsid w:val="00E96DA8"/>
    <w:rsid w:val="00EA0AE2"/>
    <w:rsid w:val="00EA2CF9"/>
    <w:rsid w:val="00EA39E5"/>
    <w:rsid w:val="00EC5A46"/>
    <w:rsid w:val="00EC63E2"/>
    <w:rsid w:val="00ED155C"/>
    <w:rsid w:val="00EE0374"/>
    <w:rsid w:val="00EF22B3"/>
    <w:rsid w:val="00F03B69"/>
    <w:rsid w:val="00F05C85"/>
    <w:rsid w:val="00F07A50"/>
    <w:rsid w:val="00F113DA"/>
    <w:rsid w:val="00F116A8"/>
    <w:rsid w:val="00F11AC1"/>
    <w:rsid w:val="00F34719"/>
    <w:rsid w:val="00F37DC8"/>
    <w:rsid w:val="00F402F3"/>
    <w:rsid w:val="00F439B3"/>
    <w:rsid w:val="00F650C3"/>
    <w:rsid w:val="00F65A57"/>
    <w:rsid w:val="00F65D85"/>
    <w:rsid w:val="00F7542C"/>
    <w:rsid w:val="00F77FAA"/>
    <w:rsid w:val="00F8091E"/>
    <w:rsid w:val="00F839A2"/>
    <w:rsid w:val="00F8615C"/>
    <w:rsid w:val="00F873F8"/>
    <w:rsid w:val="00F92E48"/>
    <w:rsid w:val="00F96910"/>
    <w:rsid w:val="00F969E5"/>
    <w:rsid w:val="00FA32C2"/>
    <w:rsid w:val="00FA6BB0"/>
    <w:rsid w:val="00FB0BB9"/>
    <w:rsid w:val="00FB1394"/>
    <w:rsid w:val="00FB49C6"/>
    <w:rsid w:val="00FB7DD2"/>
    <w:rsid w:val="00FD5860"/>
    <w:rsid w:val="00FE352D"/>
    <w:rsid w:val="00FE40EB"/>
    <w:rsid w:val="00FE4D02"/>
    <w:rsid w:val="00FE7D62"/>
    <w:rsid w:val="00FF3819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89A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5442E"/>
    <w:rPr>
      <w:rFonts w:eastAsia="SimSun"/>
      <w:lang w:eastAsia="zh-CN"/>
    </w:rPr>
  </w:style>
  <w:style w:type="paragraph" w:styleId="Heading1">
    <w:name w:val="heading 1"/>
    <w:basedOn w:val="Normal"/>
    <w:next w:val="Normalnumber"/>
    <w:rsid w:val="0015442E"/>
    <w:pPr>
      <w:keepNext/>
      <w:spacing w:before="240" w:after="120"/>
      <w:ind w:left="1247" w:hanging="680"/>
      <w:outlineLvl w:val="0"/>
    </w:pPr>
    <w:rPr>
      <w:b/>
      <w:sz w:val="28"/>
    </w:rPr>
  </w:style>
  <w:style w:type="paragraph" w:styleId="Heading2">
    <w:name w:val="heading 2"/>
    <w:basedOn w:val="Normal"/>
    <w:next w:val="Normalnumber"/>
    <w:rsid w:val="0015442E"/>
    <w:pPr>
      <w:keepNext/>
      <w:spacing w:before="240" w:after="120"/>
      <w:ind w:left="1247" w:hanging="6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number"/>
    <w:rsid w:val="0015442E"/>
    <w:pPr>
      <w:spacing w:after="120"/>
      <w:ind w:left="1247" w:hanging="680"/>
      <w:outlineLvl w:val="2"/>
    </w:pPr>
    <w:rPr>
      <w:b/>
    </w:rPr>
  </w:style>
  <w:style w:type="paragraph" w:styleId="Heading4">
    <w:name w:val="heading 4"/>
    <w:basedOn w:val="Heading3"/>
    <w:next w:val="Normalnumber"/>
    <w:rsid w:val="0015442E"/>
    <w:pPr>
      <w:keepNext/>
      <w:outlineLvl w:val="3"/>
    </w:pPr>
  </w:style>
  <w:style w:type="paragraph" w:styleId="Heading5">
    <w:name w:val="heading 5"/>
    <w:basedOn w:val="Normal"/>
    <w:next w:val="Normal"/>
    <w:rsid w:val="0015442E"/>
    <w:pPr>
      <w:keepNext/>
      <w:outlineLvl w:val="4"/>
    </w:pPr>
    <w:rPr>
      <w:rFonts w:ascii="Univers" w:hAnsi="Univers"/>
      <w:b/>
      <w:sz w:val="24"/>
    </w:rPr>
  </w:style>
  <w:style w:type="paragraph" w:styleId="Heading6">
    <w:name w:val="heading 6"/>
    <w:basedOn w:val="Normal"/>
    <w:next w:val="Normal"/>
    <w:rsid w:val="0015442E"/>
    <w:pPr>
      <w:keepNext/>
      <w:ind w:left="578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rsid w:val="0015442E"/>
    <w:pPr>
      <w:keepNext/>
      <w:widowControl w:val="0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Normal"/>
    <w:next w:val="Normal"/>
    <w:rsid w:val="0015442E"/>
    <w:pPr>
      <w:keepNext/>
      <w:widowControl w:val="0"/>
      <w:tabs>
        <w:tab w:val="left" w:pos="-1440"/>
        <w:tab w:val="left" w:pos="-720"/>
        <w:tab w:val="num" w:pos="720"/>
      </w:tabs>
      <w:suppressAutoHyphens/>
      <w:ind w:left="720" w:hanging="720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rsid w:val="0015442E"/>
    <w:pPr>
      <w:keepNext/>
      <w:widowControl w:val="0"/>
      <w:suppressAutoHyphens/>
      <w:ind w:left="360" w:hanging="36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15442E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15442E"/>
    <w:pPr>
      <w:spacing w:before="40" w:after="40"/>
    </w:pPr>
    <w:rPr>
      <w:rFonts w:eastAsia="SimSun"/>
      <w:sz w:val="18"/>
      <w:szCs w:val="18"/>
      <w:lang w:val="fr-FR" w:eastAsia="zh-CN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15442E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5442E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5442E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5442E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15442E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15442E"/>
    <w:pPr>
      <w:ind w:left="1814" w:hanging="567"/>
    </w:pPr>
  </w:style>
  <w:style w:type="paragraph" w:customStyle="1" w:styleId="CH1">
    <w:name w:val="CH1"/>
    <w:basedOn w:val="Normal-pool"/>
    <w:next w:val="CH2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15442E"/>
    <w:pPr>
      <w:keepNext/>
      <w:keepLines/>
      <w:tabs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15442E"/>
    <w:rPr>
      <w:rFonts w:ascii="Arial" w:eastAsia="SimSun" w:hAnsi="Arial"/>
      <w:sz w:val="16"/>
      <w:lang w:val="fr-FR" w:eastAsia="zh-CN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"/>
    <w:next w:val="Normalnumber"/>
    <w:unhideWhenUsed/>
    <w:rsid w:val="0015442E"/>
    <w:pPr>
      <w:keepNext/>
      <w:keepLines/>
      <w:tabs>
        <w:tab w:val="right" w:pos="851"/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uppressAutoHyphens/>
      <w:spacing w:after="120"/>
      <w:ind w:left="1247" w:right="284" w:hanging="1247"/>
    </w:pPr>
    <w:rPr>
      <w:b/>
      <w:lang w:eastAsia="en-US"/>
    </w:rPr>
  </w:style>
  <w:style w:type="paragraph" w:customStyle="1" w:styleId="Footerpool">
    <w:name w:val="Footer_pool"/>
    <w:basedOn w:val="Normal"/>
    <w:next w:val="Normal"/>
    <w:semiHidden/>
    <w:rsid w:val="0015442E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pool">
    <w:name w:val="Header_pool"/>
    <w:basedOn w:val="Normal"/>
    <w:next w:val="Normal"/>
    <w:semiHidden/>
    <w:rsid w:val="0015442E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pool">
    <w:name w:val="Normal_pool"/>
    <w:autoRedefine/>
    <w:semiHidden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rFonts w:eastAsia="SimSun"/>
      <w:lang w:val="fr-CA" w:eastAsia="en-US"/>
    </w:rPr>
  </w:style>
  <w:style w:type="paragraph" w:customStyle="1" w:styleId="Footer-pool">
    <w:name w:val="Footer-pool"/>
    <w:basedOn w:val="Normal-pool"/>
    <w:next w:val="Normal-pool"/>
    <w:rsid w:val="0015442E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15442E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qFormat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rFonts w:eastAsia="SimSun"/>
      <w:lang w:val="en-US" w:eastAsia="en-US"/>
    </w:rPr>
  </w:style>
  <w:style w:type="paragraph" w:styleId="FootnoteText">
    <w:name w:val="footnote text"/>
    <w:basedOn w:val="Normal"/>
    <w:link w:val="FootnoteTextChar"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pacing w:before="20" w:after="40"/>
      <w:ind w:left="1247"/>
    </w:pPr>
    <w:rPr>
      <w:sz w:val="18"/>
      <w:lang w:val="fr-CA" w:eastAsia="en-US"/>
    </w:rPr>
  </w:style>
  <w:style w:type="character" w:customStyle="1" w:styleId="HeaderChar">
    <w:name w:val="Header Char"/>
    <w:link w:val="Header"/>
    <w:semiHidden/>
    <w:rsid w:val="00250B6D"/>
    <w:rPr>
      <w:rFonts w:eastAsia="SimSun"/>
      <w:b/>
      <w:sz w:val="18"/>
      <w:lang w:val="en-US" w:eastAsia="zh-CN"/>
    </w:rPr>
  </w:style>
  <w:style w:type="table" w:customStyle="1" w:styleId="AATable">
    <w:name w:val="AA_Table"/>
    <w:basedOn w:val="TableNormal"/>
    <w:semiHidden/>
    <w:rsid w:val="0015442E"/>
    <w:rPr>
      <w:rFonts w:eastAsia="SimSun"/>
      <w:lang w:val="fr-FR" w:eastAsia="zh-CN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15442E"/>
    <w:pPr>
      <w:keepNext/>
      <w:keepLines/>
      <w:suppressAutoHyphens/>
      <w:ind w:right="5103"/>
    </w:pPr>
    <w:rPr>
      <w:b/>
    </w:rPr>
  </w:style>
  <w:style w:type="paragraph" w:customStyle="1" w:styleId="AATitle2">
    <w:name w:val="AA_Title2"/>
    <w:basedOn w:val="AATitle"/>
    <w:qFormat/>
    <w:rsid w:val="0015442E"/>
    <w:pPr>
      <w:tabs>
        <w:tab w:val="clear" w:pos="4082"/>
      </w:tabs>
      <w:spacing w:before="120" w:after="120"/>
      <w:ind w:right="4536"/>
    </w:pPr>
  </w:style>
  <w:style w:type="paragraph" w:customStyle="1" w:styleId="BBTitle">
    <w:name w:val="BB_Title"/>
    <w:basedOn w:val="Normal-pool"/>
    <w:qFormat/>
    <w:rsid w:val="0015442E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semiHidden/>
    <w:rsid w:val="0015442E"/>
    <w:pPr>
      <w:tabs>
        <w:tab w:val="center" w:pos="4320"/>
        <w:tab w:val="right" w:pos="8640"/>
      </w:tabs>
      <w:spacing w:before="60" w:after="120"/>
    </w:pPr>
    <w:rPr>
      <w:sz w:val="18"/>
    </w:rPr>
  </w:style>
  <w:style w:type="paragraph" w:styleId="Header">
    <w:name w:val="header"/>
    <w:basedOn w:val="Normal"/>
    <w:link w:val="HeaderChar"/>
    <w:semiHidden/>
    <w:rsid w:val="0015442E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unhideWhenUsed/>
    <w:rsid w:val="0015442E"/>
    <w:rPr>
      <w:rFonts w:ascii="Times New Roman" w:hAnsi="Times New Roman"/>
      <w:color w:val="auto"/>
      <w:sz w:val="20"/>
      <w:szCs w:val="20"/>
      <w:u w:val="none"/>
      <w:lang w:val="en-US"/>
    </w:rPr>
  </w:style>
  <w:style w:type="numbering" w:customStyle="1" w:styleId="Normallist">
    <w:name w:val="Normal_list"/>
    <w:basedOn w:val="NoList"/>
    <w:semiHidden/>
    <w:rsid w:val="0015442E"/>
    <w:pPr>
      <w:numPr>
        <w:numId w:val="4"/>
      </w:numPr>
    </w:pPr>
  </w:style>
  <w:style w:type="paragraph" w:customStyle="1" w:styleId="NormalNonumber">
    <w:name w:val="Normal_No_number"/>
    <w:basedOn w:val="Normal-pool"/>
    <w:qFormat/>
    <w:rsid w:val="0015442E"/>
    <w:pPr>
      <w:spacing w:after="120"/>
      <w:ind w:left="1247"/>
    </w:pPr>
  </w:style>
  <w:style w:type="paragraph" w:customStyle="1" w:styleId="Normalnumber">
    <w:name w:val="Normal_number"/>
    <w:basedOn w:val="Normalpool"/>
    <w:link w:val="NormalnumberChar"/>
    <w:rsid w:val="0015442E"/>
    <w:pPr>
      <w:spacing w:after="120"/>
    </w:pPr>
    <w:rPr>
      <w:rFonts w:eastAsia="Times New Roman"/>
    </w:rPr>
  </w:style>
  <w:style w:type="paragraph" w:customStyle="1" w:styleId="Titletable">
    <w:name w:val="Title_table"/>
    <w:basedOn w:val="Normal-pool"/>
    <w:next w:val="NormalNonumber"/>
    <w:rsid w:val="0015442E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-pool"/>
    <w:next w:val="Normal-pool"/>
    <w:unhideWhenUsed/>
    <w:rsid w:val="0015442E"/>
    <w:pPr>
      <w:tabs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-pool"/>
    <w:next w:val="Normal-pool"/>
    <w:unhideWhenUsed/>
    <w:rsid w:val="0015442E"/>
    <w:pPr>
      <w:tabs>
        <w:tab w:val="right" w:leader="dot" w:pos="9486"/>
      </w:tabs>
      <w:ind w:left="2381" w:hanging="567"/>
    </w:pPr>
  </w:style>
  <w:style w:type="paragraph" w:styleId="TOC3">
    <w:name w:val="toc 3"/>
    <w:basedOn w:val="Normal-pool"/>
    <w:next w:val="Normal-pool"/>
    <w:unhideWhenUsed/>
    <w:rsid w:val="0015442E"/>
    <w:pPr>
      <w:tabs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-pool"/>
    <w:next w:val="Normal-pool"/>
    <w:unhideWhenUsed/>
    <w:rsid w:val="0015442E"/>
    <w:pPr>
      <w:tabs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-pool"/>
    <w:next w:val="Normal-pool"/>
    <w:rsid w:val="0015442E"/>
    <w:pPr>
      <w:ind w:left="800"/>
    </w:pPr>
    <w:rPr>
      <w:sz w:val="18"/>
      <w:szCs w:val="18"/>
    </w:rPr>
  </w:style>
  <w:style w:type="paragraph" w:customStyle="1" w:styleId="ZZAnxheader">
    <w:name w:val="ZZ_Anx_header"/>
    <w:basedOn w:val="Normal-pool"/>
    <w:link w:val="ZZAnxheaderChar"/>
    <w:rsid w:val="0015442E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rsid w:val="0015442E"/>
    <w:pPr>
      <w:spacing w:before="360" w:after="120"/>
      <w:ind w:left="1247"/>
    </w:pPr>
    <w:rPr>
      <w:b/>
      <w:bCs/>
      <w:sz w:val="28"/>
      <w:szCs w:val="26"/>
    </w:rPr>
  </w:style>
  <w:style w:type="paragraph" w:styleId="BalloonText">
    <w:name w:val="Balloon Text"/>
    <w:basedOn w:val="Normal"/>
    <w:link w:val="BalloonTextChar"/>
    <w:rsid w:val="003E6F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6F41"/>
    <w:rPr>
      <w:rFonts w:ascii="Segoe UI" w:hAnsi="Segoe UI" w:cs="Segoe UI"/>
      <w:sz w:val="18"/>
      <w:szCs w:val="18"/>
      <w:lang w:val="fr-FR" w:eastAsia="en-US"/>
    </w:rPr>
  </w:style>
  <w:style w:type="character" w:styleId="CommentReference">
    <w:name w:val="annotation reference"/>
    <w:basedOn w:val="DefaultParagraphFont"/>
    <w:uiPriority w:val="99"/>
    <w:rsid w:val="003E6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E6F41"/>
    <w:rPr>
      <w:sz w:val="24"/>
      <w:szCs w:val="24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F4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841F5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b/>
      <w:bCs/>
      <w:sz w:val="20"/>
      <w:szCs w:val="20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rsid w:val="007841F5"/>
    <w:rPr>
      <w:b/>
      <w:bCs/>
      <w:sz w:val="24"/>
      <w:szCs w:val="24"/>
      <w:lang w:val="fr-FR" w:eastAsia="en-US"/>
    </w:rPr>
  </w:style>
  <w:style w:type="character" w:customStyle="1" w:styleId="FootnoteTextChar">
    <w:name w:val="Footnote Text Char"/>
    <w:link w:val="FootnoteText"/>
    <w:locked/>
    <w:rsid w:val="0012644F"/>
    <w:rPr>
      <w:rFonts w:eastAsia="SimSun"/>
      <w:sz w:val="18"/>
      <w:lang w:val="fr-CA" w:eastAsia="en-US"/>
    </w:rPr>
  </w:style>
  <w:style w:type="paragraph" w:styleId="ListParagraph">
    <w:name w:val="List Paragraph"/>
    <w:basedOn w:val="Normal"/>
    <w:uiPriority w:val="34"/>
    <w:qFormat/>
    <w:rsid w:val="00D07EDB"/>
    <w:pPr>
      <w:ind w:left="720"/>
      <w:contextualSpacing/>
    </w:pPr>
  </w:style>
  <w:style w:type="character" w:styleId="FootnoteReference">
    <w:name w:val="footnote reference"/>
    <w:rsid w:val="0015442E"/>
    <w:rPr>
      <w:rFonts w:ascii="Times New Roman" w:hAnsi="Times New Roman"/>
      <w:color w:val="auto"/>
      <w:sz w:val="20"/>
      <w:szCs w:val="18"/>
      <w:vertAlign w:val="superscript"/>
    </w:rPr>
  </w:style>
  <w:style w:type="paragraph" w:styleId="NormalWeb">
    <w:name w:val="Normal (Web)"/>
    <w:basedOn w:val="Normal"/>
    <w:uiPriority w:val="99"/>
    <w:unhideWhenUsed/>
    <w:rsid w:val="0015442E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table" w:styleId="TableGrid">
    <w:name w:val="Table Grid"/>
    <w:basedOn w:val="TableNormal"/>
    <w:rsid w:val="0015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-Text">
    <w:name w:val="Footnote-Text"/>
    <w:basedOn w:val="Normal-pool"/>
    <w:rsid w:val="00F402F3"/>
    <w:pPr>
      <w:tabs>
        <w:tab w:val="clear" w:pos="1814"/>
        <w:tab w:val="clear" w:pos="2381"/>
        <w:tab w:val="clear" w:pos="2948"/>
        <w:tab w:val="clear" w:pos="3515"/>
        <w:tab w:val="clear" w:pos="4082"/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before="20" w:after="40"/>
      <w:ind w:left="1247"/>
    </w:pPr>
    <w:rPr>
      <w:rFonts w:eastAsia="Times New Roman"/>
      <w:sz w:val="18"/>
    </w:rPr>
  </w:style>
  <w:style w:type="character" w:customStyle="1" w:styleId="NormalnumberChar">
    <w:name w:val="Normal_number Char"/>
    <w:link w:val="Normalnumber"/>
    <w:rsid w:val="00D922FD"/>
    <w:rPr>
      <w:lang w:val="fr-CA" w:eastAsia="en-US"/>
    </w:rPr>
  </w:style>
  <w:style w:type="character" w:customStyle="1" w:styleId="ZZAnxheaderChar">
    <w:name w:val="ZZ_Anx_header Char"/>
    <w:link w:val="ZZAnxheader"/>
    <w:locked/>
    <w:rsid w:val="000C7A28"/>
    <w:rPr>
      <w:rFonts w:eastAsia="SimSun"/>
      <w:b/>
      <w:bCs/>
      <w:sz w:val="28"/>
      <w:szCs w:val="22"/>
      <w:lang w:val="en-US" w:eastAsia="en-US"/>
    </w:rPr>
  </w:style>
  <w:style w:type="character" w:customStyle="1" w:styleId="ZZAnxtitleChar">
    <w:name w:val="ZZ_Anx_title Char"/>
    <w:link w:val="ZZAnxtitle"/>
    <w:rsid w:val="000C7A28"/>
    <w:rPr>
      <w:rFonts w:eastAsia="SimSun"/>
      <w:b/>
      <w:bCs/>
      <w:sz w:val="28"/>
      <w:szCs w:val="26"/>
      <w:lang w:val="en-US" w:eastAsia="en-US"/>
    </w:rPr>
  </w:style>
  <w:style w:type="paragraph" w:customStyle="1" w:styleId="Default">
    <w:name w:val="Default"/>
    <w:rsid w:val="000C7A28"/>
    <w:pPr>
      <w:autoSpaceDE w:val="0"/>
      <w:autoSpaceDN w:val="0"/>
      <w:adjustRightInd w:val="0"/>
    </w:pPr>
    <w:rPr>
      <w:rFonts w:ascii="Proxima Nova Medium" w:eastAsiaTheme="minorEastAsia" w:hAnsi="Proxima Nova Medium" w:cs="Proxima Nova Medium"/>
      <w:color w:val="000000"/>
      <w:sz w:val="24"/>
      <w:szCs w:val="24"/>
      <w:lang w:val="en-US" w:eastAsia="zh-CN"/>
      <w14:ligatures w14:val="standardContextual"/>
    </w:rPr>
  </w:style>
  <w:style w:type="character" w:customStyle="1" w:styleId="A7">
    <w:name w:val="A7"/>
    <w:uiPriority w:val="99"/>
    <w:rsid w:val="000C7A28"/>
    <w:rPr>
      <w:rFonts w:ascii="Proxima Nova" w:hAnsi="Proxima Nova" w:cs="Proxima Nova"/>
      <w:color w:val="000000"/>
      <w:sz w:val="20"/>
      <w:szCs w:val="20"/>
      <w:u w:val="single"/>
    </w:rPr>
  </w:style>
  <w:style w:type="character" w:customStyle="1" w:styleId="A8">
    <w:name w:val="A8"/>
    <w:uiPriority w:val="99"/>
    <w:rsid w:val="000C7A28"/>
    <w:rPr>
      <w:rFonts w:ascii="Proxima Nova" w:hAnsi="Proxima Nova" w:cs="Proxima Nova"/>
      <w:color w:val="000000"/>
      <w:sz w:val="11"/>
      <w:szCs w:val="11"/>
    </w:rPr>
  </w:style>
  <w:style w:type="paragraph" w:customStyle="1" w:styleId="Pa15">
    <w:name w:val="Pa15"/>
    <w:basedOn w:val="Default"/>
    <w:next w:val="Default"/>
    <w:uiPriority w:val="99"/>
    <w:rsid w:val="000C7A28"/>
    <w:pPr>
      <w:spacing w:line="201" w:lineRule="atLeast"/>
    </w:pPr>
    <w:rPr>
      <w:rFonts w:cstheme="minorBidi"/>
      <w:color w:val="auto"/>
    </w:rPr>
  </w:style>
  <w:style w:type="character" w:styleId="Strong">
    <w:name w:val="Strong"/>
    <w:basedOn w:val="DefaultParagraphFont"/>
    <w:uiPriority w:val="22"/>
    <w:qFormat/>
    <w:rsid w:val="000C7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d.int/nbsap" TargetMode="External"/><Relationship Id="rId18" Type="http://schemas.openxmlformats.org/officeDocument/2006/relationships/hyperlink" Target="https://www.cms.int/sites/default/files/document/doc_27_guidelines_nbsap_e_0.pdf" TargetMode="External"/><Relationship Id="rId26" Type="http://schemas.openxmlformats.org/officeDocument/2006/relationships/hyperlink" Target="https://www.agroecology-pool.org/national-biodiversity-strategies-and-action-plan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emg.org/wp-content/uploads/2022/12/NBSAP-guidance-final.pdf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eservices.nema.go.ug/assets/pdf/GBF%20Road%20Map.pdf" TargetMode="External"/><Relationship Id="rId25" Type="http://schemas.openxmlformats.org/officeDocument/2006/relationships/hyperlink" Target="https://wwfint.awsassets.panda.org/downloads/wwf-nbsaps-we-need-2023_final.pdf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arningfornature.org/wp-content/uploads/2020/07/Technical-guidance-to-support-the-alignment-of-national-biodiversity-targets-with-the-Kunming-Montreal-Global-Biodiversity-Framework-and-relevant-decisions-GM.pdf" TargetMode="External"/><Relationship Id="rId20" Type="http://schemas.openxmlformats.org/officeDocument/2006/relationships/hyperlink" Target="https://www.cms.int/sites/default/files/uploads/NBSAP%20Guidance%20Document%20on%20MEAs%20Focused%20on%20Species%20Targets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criforum.org/wp-content/uploads/2024/03/ICRI_Integration_Coral_Reefs_NBSAPs_Guidance_2024_FINAL_V3.pdf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learningfornature.org/wp-content/uploads/2020/09/EN_Technical-Guidance-on-Biodiversity-Target-Alignment_4-May-2024.pdf" TargetMode="External"/><Relationship Id="rId23" Type="http://schemas.openxmlformats.org/officeDocument/2006/relationships/hyperlink" Target="https://www.nature.org/content/dam/tnc/nature/en/documents/TNC_NBSAP_14April_final.pdf" TargetMode="External"/><Relationship Id="rId28" Type="http://schemas.openxmlformats.org/officeDocument/2006/relationships/hyperlink" Target="https://www.ramsar.org/sites/default/files/2024-08/TR12_NBSAPs_KM_GBF_rev2_e.pdf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bd.int/doc/nbsap/NBSAP-guidelines-CMS.pdf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nbsap/training" TargetMode="External"/><Relationship Id="rId22" Type="http://schemas.openxmlformats.org/officeDocument/2006/relationships/hyperlink" Target="https://www.ohchr.org/sites/default/files/documents/issues/climatechange/information-materials/integrating-hr-in-national-biodiversity-strategies-action-plans.pdf" TargetMode="External"/><Relationship Id="rId27" Type="http://schemas.openxmlformats.org/officeDocument/2006/relationships/hyperlink" Target="https://www.ramsar.org/sites/default/files/2023-11/GBF_NBSAP_e.pdf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AN\United%20Nations\Minamata%20Convention%20-%20General\COP5\Documents\Template\UNEP-MC-COP_EN-COR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SharedWithUsers xmlns="8e99bad0-3155-475a-8063-b4d93685c2ad">
      <UserInfo>
        <DisplayName>Claudia ten Have</DisplayName>
        <AccountId>12</AccountId>
        <AccountType/>
      </UserInfo>
      <UserInfo>
        <DisplayName>My Linh Doan</DisplayName>
        <AccountId>73</AccountId>
        <AccountType/>
      </UserInfo>
    </SharedWithUsers>
    <Hypelink xmlns="822da31b-d518-49e2-88cd-1351ccd720a8">
      <Url xsi:nil="true"/>
      <Description xsi:nil="true"/>
    </Hypelink>
  </documentManagement>
</p:properties>
</file>

<file path=customXml/itemProps1.xml><?xml version="1.0" encoding="utf-8"?>
<ds:datastoreItem xmlns:ds="http://schemas.openxmlformats.org/officeDocument/2006/customXml" ds:itemID="{91DFB87E-D080-4E18-ACBA-AA8FD538A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2393AF-41EF-4723-BCC3-24F2D8B79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DA343-F8C2-4EE4-9F56-9973669BF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91B3D-AA87-49FB-9EF7-FD41B95EDECD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  <ds:schemaRef ds:uri="8e99bad0-3155-475a-8063-b4d93685c2a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UNEP-MC-COP_EN-CORR.dotm</Template>
  <TotalTime>0</TotalTime>
  <Pages>3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2025-03-04T12:15:00Z</dcterms:created>
  <dcterms:modified xsi:type="dcterms:W3CDTF">2025-08-26T14:24:00Z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0x010100D4A186B34AAF4047A570F9DFA6808567</vt:lpwstr>
  </property>
  <property fmtid="{D5CDD505-2E9C-101B-9397-08002B2CF9AE}" pid="3" name="GrammarlyDocumentId">
    <vt:lpwstr>1aa345f5233833bf8aa3408a6e0af90074b5fe99df0c30d1bbd9e61a2eb4330c</vt:lpwstr>
  </property>
  <property fmtid="{D5CDD505-2E9C-101B-9397-08002B2CF9AE}" pid="4" name="MediaServiceImageTags">
    <vt:lpwstr/>
  </property>
</Properties>
</file>