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6A5E4C" w14:paraId="3875A4F0" w14:textId="77777777" w:rsidTr="0D49E846">
        <w:trPr>
          <w:trHeight w:val="57"/>
          <w:jc w:val="right"/>
        </w:trPr>
        <w:tc>
          <w:tcPr>
            <w:tcW w:w="1613" w:type="dxa"/>
          </w:tcPr>
          <w:p w14:paraId="237C9056" w14:textId="77777777" w:rsidR="0015442E" w:rsidRPr="006A5E4C" w:rsidRDefault="0015442E" w:rsidP="00AE6AB6">
            <w:pPr>
              <w:rPr>
                <w:rFonts w:ascii="Arial" w:hAnsi="Arial" w:cs="Arial"/>
                <w:b/>
                <w:bCs/>
                <w:noProof/>
                <w:sz w:val="27"/>
                <w:szCs w:val="27"/>
              </w:rPr>
            </w:pPr>
            <w:r w:rsidRPr="006A5E4C">
              <w:rPr>
                <w:rFonts w:ascii="Arial" w:hAnsi="Arial" w:cs="Arial"/>
                <w:b/>
                <w:bCs/>
                <w:noProof/>
                <w:sz w:val="27"/>
                <w:szCs w:val="27"/>
              </w:rPr>
              <w:t xml:space="preserve">UNITED </w:t>
            </w:r>
            <w:r w:rsidRPr="006A5E4C">
              <w:rPr>
                <w:rFonts w:ascii="Arial" w:hAnsi="Arial" w:cs="Arial"/>
                <w:b/>
                <w:bCs/>
                <w:noProof/>
                <w:sz w:val="27"/>
                <w:szCs w:val="27"/>
              </w:rPr>
              <w:br/>
              <w:t>NATIONS</w:t>
            </w:r>
          </w:p>
        </w:tc>
        <w:tc>
          <w:tcPr>
            <w:tcW w:w="6467" w:type="dxa"/>
            <w:gridSpan w:val="3"/>
          </w:tcPr>
          <w:p w14:paraId="7CB9E85D" w14:textId="77777777" w:rsidR="0015442E" w:rsidRPr="006A5E4C" w:rsidRDefault="0015442E" w:rsidP="00AE6AB6">
            <w:pPr>
              <w:spacing w:before="20"/>
              <w:rPr>
                <w:noProof/>
              </w:rPr>
            </w:pPr>
            <w:r w:rsidRPr="006A5E4C">
              <w:rPr>
                <w:noProof/>
              </w:rPr>
              <w:drawing>
                <wp:inline distT="0" distB="0" distL="0" distR="0" wp14:anchorId="52A71257" wp14:editId="6E7768F2">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3142FAD" w14:textId="77777777" w:rsidR="0015442E" w:rsidRPr="006A5E4C" w:rsidRDefault="00E3329D" w:rsidP="00AE6AB6">
            <w:pPr>
              <w:jc w:val="right"/>
              <w:rPr>
                <w:rFonts w:ascii="Arial" w:hAnsi="Arial" w:cs="Arial"/>
                <w:b/>
                <w:bCs/>
                <w:noProof/>
                <w:sz w:val="64"/>
                <w:szCs w:val="64"/>
              </w:rPr>
            </w:pPr>
            <w:r w:rsidRPr="006A5E4C">
              <w:rPr>
                <w:rFonts w:ascii="Arial" w:hAnsi="Arial" w:cs="Arial"/>
                <w:b/>
                <w:bCs/>
                <w:noProof/>
                <w:sz w:val="64"/>
                <w:szCs w:val="64"/>
              </w:rPr>
              <w:t>M</w:t>
            </w:r>
            <w:r w:rsidR="0015442E" w:rsidRPr="006A5E4C">
              <w:rPr>
                <w:rFonts w:ascii="Arial" w:hAnsi="Arial" w:cs="Arial"/>
                <w:b/>
                <w:bCs/>
                <w:noProof/>
                <w:sz w:val="64"/>
                <w:szCs w:val="64"/>
              </w:rPr>
              <w:t>C</w:t>
            </w:r>
          </w:p>
        </w:tc>
      </w:tr>
      <w:tr w:rsidR="0015442E" w:rsidRPr="006A5E4C" w14:paraId="3541900C" w14:textId="77777777" w:rsidTr="0D49E846">
        <w:trPr>
          <w:trHeight w:val="57"/>
          <w:jc w:val="right"/>
        </w:trPr>
        <w:tc>
          <w:tcPr>
            <w:tcW w:w="1613" w:type="dxa"/>
            <w:tcBorders>
              <w:bottom w:val="single" w:sz="4" w:space="0" w:color="auto"/>
            </w:tcBorders>
          </w:tcPr>
          <w:p w14:paraId="144561A9" w14:textId="77777777" w:rsidR="0015442E" w:rsidRPr="006A5E4C" w:rsidRDefault="0015442E" w:rsidP="00AE6AB6">
            <w:pPr>
              <w:rPr>
                <w:noProof/>
              </w:rPr>
            </w:pPr>
          </w:p>
        </w:tc>
        <w:tc>
          <w:tcPr>
            <w:tcW w:w="4807" w:type="dxa"/>
            <w:gridSpan w:val="2"/>
            <w:tcBorders>
              <w:bottom w:val="single" w:sz="4" w:space="0" w:color="auto"/>
            </w:tcBorders>
          </w:tcPr>
          <w:p w14:paraId="44C04C0A" w14:textId="77777777" w:rsidR="0015442E" w:rsidRPr="006A5E4C" w:rsidRDefault="0015442E" w:rsidP="00AE6AB6">
            <w:pPr>
              <w:rPr>
                <w:noProof/>
              </w:rPr>
            </w:pPr>
          </w:p>
        </w:tc>
        <w:tc>
          <w:tcPr>
            <w:tcW w:w="3076" w:type="dxa"/>
            <w:gridSpan w:val="2"/>
            <w:tcBorders>
              <w:bottom w:val="single" w:sz="4" w:space="0" w:color="auto"/>
            </w:tcBorders>
          </w:tcPr>
          <w:p w14:paraId="2031E597" w14:textId="449FE99A" w:rsidR="0015442E" w:rsidRPr="00191191" w:rsidRDefault="3B8CD8BB" w:rsidP="00AE6AB6">
            <w:pPr>
              <w:rPr>
                <w:noProof/>
                <w:highlight w:val="yellow"/>
              </w:rPr>
            </w:pPr>
            <w:r w:rsidRPr="006970EA">
              <w:rPr>
                <w:b/>
                <w:bCs/>
                <w:noProof/>
                <w:sz w:val="28"/>
                <w:szCs w:val="28"/>
              </w:rPr>
              <w:t>UNEP</w:t>
            </w:r>
            <w:r w:rsidRPr="006970EA">
              <w:rPr>
                <w:noProof/>
              </w:rPr>
              <w:t>/</w:t>
            </w:r>
            <w:r w:rsidR="219597FB" w:rsidRPr="006970EA">
              <w:rPr>
                <w:noProof/>
              </w:rPr>
              <w:t>MC</w:t>
            </w:r>
            <w:r w:rsidR="314909C0" w:rsidRPr="006970EA">
              <w:rPr>
                <w:noProof/>
              </w:rPr>
              <w:t>/</w:t>
            </w:r>
            <w:r w:rsidR="219597FB" w:rsidRPr="006970EA">
              <w:rPr>
                <w:noProof/>
              </w:rPr>
              <w:t>COP.</w:t>
            </w:r>
            <w:r w:rsidR="45D528EB" w:rsidRPr="006970EA">
              <w:rPr>
                <w:noProof/>
              </w:rPr>
              <w:t>6</w:t>
            </w:r>
            <w:r w:rsidR="2C73296A" w:rsidRPr="006970EA">
              <w:rPr>
                <w:noProof/>
              </w:rPr>
              <w:t>/</w:t>
            </w:r>
            <w:r w:rsidR="72826589" w:rsidRPr="006970EA">
              <w:rPr>
                <w:noProof/>
              </w:rPr>
              <w:t>INF/</w:t>
            </w:r>
            <w:r w:rsidR="5B6F4FEF" w:rsidRPr="006970EA">
              <w:rPr>
                <w:noProof/>
              </w:rPr>
              <w:t>40</w:t>
            </w:r>
          </w:p>
        </w:tc>
      </w:tr>
      <w:tr w:rsidR="0015442E" w:rsidRPr="006A5E4C" w14:paraId="6ED43051" w14:textId="77777777" w:rsidTr="0D49E846">
        <w:trPr>
          <w:trHeight w:val="57"/>
          <w:jc w:val="right"/>
        </w:trPr>
        <w:tc>
          <w:tcPr>
            <w:tcW w:w="3686" w:type="dxa"/>
            <w:gridSpan w:val="2"/>
            <w:tcBorders>
              <w:top w:val="single" w:sz="4" w:space="0" w:color="auto"/>
              <w:bottom w:val="single" w:sz="18" w:space="0" w:color="auto"/>
            </w:tcBorders>
          </w:tcPr>
          <w:p w14:paraId="2F3FED0F" w14:textId="77777777" w:rsidR="0015442E" w:rsidRPr="006A5E4C" w:rsidRDefault="009D7B82" w:rsidP="006520E8">
            <w:pPr>
              <w:spacing w:before="120" w:after="240"/>
              <w:ind w:left="-85"/>
              <w:rPr>
                <w:noProof/>
                <w:sz w:val="22"/>
              </w:rPr>
            </w:pPr>
            <w:r w:rsidRPr="006A5E4C">
              <w:rPr>
                <w:noProof/>
                <w:sz w:val="22"/>
              </w:rPr>
              <w:drawing>
                <wp:inline distT="0" distB="0" distL="0" distR="0" wp14:anchorId="760207D8" wp14:editId="46F3D417">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427623FA" w14:textId="77777777" w:rsidR="0015442E" w:rsidRPr="006A5E4C" w:rsidRDefault="0015442E" w:rsidP="00962471">
            <w:pPr>
              <w:spacing w:before="240" w:after="480"/>
              <w:rPr>
                <w:rFonts w:ascii="Arial" w:hAnsi="Arial" w:cs="Arial"/>
                <w:b/>
                <w:bCs/>
                <w:noProof/>
                <w:sz w:val="28"/>
                <w:szCs w:val="28"/>
              </w:rPr>
            </w:pPr>
          </w:p>
        </w:tc>
        <w:tc>
          <w:tcPr>
            <w:tcW w:w="3076" w:type="dxa"/>
            <w:gridSpan w:val="2"/>
            <w:tcBorders>
              <w:top w:val="single" w:sz="4" w:space="0" w:color="auto"/>
              <w:bottom w:val="single" w:sz="18" w:space="0" w:color="auto"/>
            </w:tcBorders>
          </w:tcPr>
          <w:p w14:paraId="494F0B41" w14:textId="7E6B15F3" w:rsidR="0015442E" w:rsidRPr="006A5E4C" w:rsidRDefault="0015442E" w:rsidP="00AE6AB6">
            <w:pPr>
              <w:spacing w:before="120"/>
              <w:rPr>
                <w:iCs/>
                <w:noProof/>
              </w:rPr>
            </w:pPr>
            <w:r w:rsidRPr="006A5E4C">
              <w:rPr>
                <w:noProof/>
              </w:rPr>
              <w:t xml:space="preserve">Distr.: General </w:t>
            </w:r>
            <w:r w:rsidRPr="006A5E4C">
              <w:rPr>
                <w:noProof/>
              </w:rPr>
              <w:br/>
            </w:r>
            <w:r w:rsidR="00ED0F86" w:rsidRPr="00403EAA">
              <w:rPr>
                <w:iCs/>
                <w:noProof/>
              </w:rPr>
              <w:t xml:space="preserve">28 </w:t>
            </w:r>
            <w:r w:rsidR="005F5C4D" w:rsidRPr="00403EAA">
              <w:rPr>
                <w:iCs/>
                <w:noProof/>
              </w:rPr>
              <w:t>August</w:t>
            </w:r>
            <w:r w:rsidRPr="00403EAA">
              <w:rPr>
                <w:iCs/>
                <w:noProof/>
              </w:rPr>
              <w:t xml:space="preserve"> 202</w:t>
            </w:r>
            <w:r w:rsidR="00587F77" w:rsidRPr="00403EAA">
              <w:rPr>
                <w:iCs/>
                <w:noProof/>
              </w:rPr>
              <w:t>5</w:t>
            </w:r>
          </w:p>
          <w:p w14:paraId="786FA9DB" w14:textId="522CF3D3" w:rsidR="0015442E" w:rsidRPr="006A5E4C" w:rsidRDefault="0015442E" w:rsidP="00AE6AB6">
            <w:pPr>
              <w:spacing w:before="120"/>
              <w:rPr>
                <w:noProof/>
                <w:sz w:val="22"/>
              </w:rPr>
            </w:pPr>
            <w:r w:rsidRPr="006A5E4C">
              <w:rPr>
                <w:noProof/>
              </w:rPr>
              <w:t>English</w:t>
            </w:r>
            <w:r w:rsidR="005F5C4D">
              <w:rPr>
                <w:noProof/>
              </w:rPr>
              <w:t xml:space="preserve"> only</w:t>
            </w:r>
          </w:p>
        </w:tc>
      </w:tr>
    </w:tbl>
    <w:p w14:paraId="5D4E73B5" w14:textId="77777777" w:rsidR="00962471" w:rsidRPr="006A5E4C" w:rsidRDefault="00962471" w:rsidP="00962471">
      <w:pPr>
        <w:pStyle w:val="AATitle"/>
        <w:rPr>
          <w:noProof/>
          <w:lang w:val="en-GB"/>
        </w:rPr>
      </w:pPr>
      <w:r w:rsidRPr="006A5E4C">
        <w:rPr>
          <w:noProof/>
          <w:lang w:val="en-GB"/>
        </w:rPr>
        <w:t xml:space="preserve">Conference of the Parties to the </w:t>
      </w:r>
      <w:r w:rsidRPr="006A5E4C">
        <w:rPr>
          <w:noProof/>
          <w:lang w:val="en-GB"/>
        </w:rPr>
        <w:br/>
        <w:t>Minamata Convention on Mercury</w:t>
      </w:r>
    </w:p>
    <w:p w14:paraId="25B9D054" w14:textId="67D89B84" w:rsidR="00962471" w:rsidRPr="006A5E4C" w:rsidRDefault="00587F77" w:rsidP="00962471">
      <w:pPr>
        <w:pStyle w:val="AATitle"/>
        <w:rPr>
          <w:noProof/>
          <w:lang w:val="en-GB"/>
        </w:rPr>
      </w:pPr>
      <w:r w:rsidRPr="006A5E4C">
        <w:rPr>
          <w:noProof/>
          <w:lang w:val="en-GB"/>
        </w:rPr>
        <w:t>Sixth</w:t>
      </w:r>
      <w:r w:rsidR="00962471" w:rsidRPr="006A5E4C">
        <w:rPr>
          <w:noProof/>
          <w:lang w:val="en-GB"/>
        </w:rPr>
        <w:t xml:space="preserve"> meeting</w:t>
      </w:r>
    </w:p>
    <w:p w14:paraId="6479FDBB" w14:textId="26F55457" w:rsidR="005369CB" w:rsidRPr="006A5E4C" w:rsidRDefault="00ED155C" w:rsidP="0015442E">
      <w:pPr>
        <w:pStyle w:val="AATitle"/>
        <w:rPr>
          <w:b w:val="0"/>
          <w:noProof/>
          <w:lang w:val="en-GB"/>
        </w:rPr>
      </w:pPr>
      <w:r w:rsidRPr="006A5E4C">
        <w:rPr>
          <w:b w:val="0"/>
          <w:noProof/>
          <w:lang w:val="en-GB"/>
        </w:rPr>
        <w:t xml:space="preserve">Geneva, </w:t>
      </w:r>
      <w:r w:rsidR="00587F77" w:rsidRPr="006A5E4C">
        <w:rPr>
          <w:b w:val="0"/>
          <w:noProof/>
          <w:lang w:val="en-GB"/>
        </w:rPr>
        <w:t>3</w:t>
      </w:r>
      <w:r w:rsidRPr="006A5E4C">
        <w:rPr>
          <w:b w:val="0"/>
          <w:noProof/>
          <w:lang w:val="en-GB"/>
        </w:rPr>
        <w:t>–</w:t>
      </w:r>
      <w:r w:rsidR="00587F77" w:rsidRPr="006A5E4C">
        <w:rPr>
          <w:b w:val="0"/>
          <w:noProof/>
          <w:lang w:val="en-GB"/>
        </w:rPr>
        <w:t>7</w:t>
      </w:r>
      <w:r w:rsidRPr="006A5E4C">
        <w:rPr>
          <w:b w:val="0"/>
          <w:noProof/>
          <w:lang w:val="en-GB"/>
        </w:rPr>
        <w:t xml:space="preserve"> November 202</w:t>
      </w:r>
      <w:r w:rsidR="00587F77" w:rsidRPr="006A5E4C">
        <w:rPr>
          <w:b w:val="0"/>
          <w:noProof/>
          <w:lang w:val="en-GB"/>
        </w:rPr>
        <w:t>5</w:t>
      </w:r>
    </w:p>
    <w:p w14:paraId="4820070F" w14:textId="77777777" w:rsidR="009A5C74" w:rsidRPr="005837FE" w:rsidRDefault="009A5C74" w:rsidP="009A5C74">
      <w:pPr>
        <w:pStyle w:val="AATitle"/>
        <w:rPr>
          <w:b w:val="0"/>
          <w:noProof/>
          <w:lang w:val="en-GB"/>
        </w:rPr>
      </w:pPr>
      <w:r w:rsidRPr="005837FE">
        <w:rPr>
          <w:b w:val="0"/>
          <w:noProof/>
          <w:lang w:val="en-GB"/>
        </w:rPr>
        <w:t>Item 4 (e) (ii) of the provisional agenda</w:t>
      </w:r>
      <w:r w:rsidRPr="005837FE">
        <w:rPr>
          <w:rStyle w:val="FootnoteReference"/>
          <w:b w:val="0"/>
          <w:noProof/>
          <w:vertAlign w:val="baseline"/>
          <w:lang w:val="en-GB"/>
        </w:rPr>
        <w:footnoteReference w:customMarkFollows="1" w:id="2"/>
        <w:t>*</w:t>
      </w:r>
    </w:p>
    <w:p w14:paraId="0FBBB899" w14:textId="03599C7A" w:rsidR="009A5C74" w:rsidRPr="006A5E4C" w:rsidRDefault="00FE46BC" w:rsidP="009A5C74">
      <w:pPr>
        <w:pStyle w:val="AATitle2"/>
        <w:keepNext w:val="0"/>
        <w:keepLines w:val="0"/>
        <w:tabs>
          <w:tab w:val="clear" w:pos="1814"/>
          <w:tab w:val="clear" w:pos="2381"/>
          <w:tab w:val="clear" w:pos="2948"/>
          <w:tab w:val="clear" w:pos="3515"/>
          <w:tab w:val="left" w:pos="624"/>
          <w:tab w:val="left" w:pos="1871"/>
          <w:tab w:val="left" w:pos="2495"/>
          <w:tab w:val="left" w:pos="3119"/>
          <w:tab w:val="left" w:pos="3742"/>
          <w:tab w:val="left" w:pos="4366"/>
        </w:tabs>
        <w:ind w:right="3231"/>
        <w:rPr>
          <w:rFonts w:eastAsia="Times New Roman"/>
          <w:noProof/>
          <w:lang w:val="en-GB"/>
        </w:rPr>
      </w:pPr>
      <w:r>
        <w:rPr>
          <w:rFonts w:eastAsia="Times New Roman"/>
          <w:noProof/>
          <w:lang w:val="en-GB"/>
        </w:rPr>
        <w:t>Matters for consideration or action by the Conference of the Parties: f</w:t>
      </w:r>
      <w:r w:rsidR="009A5C74" w:rsidRPr="004C16D8">
        <w:rPr>
          <w:rFonts w:eastAsia="Times New Roman"/>
          <w:noProof/>
          <w:lang w:val="en-GB"/>
        </w:rPr>
        <w:t>inancial resources and mechanism</w:t>
      </w:r>
      <w:r w:rsidR="009A5C74">
        <w:rPr>
          <w:rFonts w:eastAsia="Times New Roman"/>
          <w:noProof/>
          <w:lang w:val="en-GB"/>
        </w:rPr>
        <w:t xml:space="preserve">: </w:t>
      </w:r>
      <w:r w:rsidR="009A5C74" w:rsidRPr="00D36EEB">
        <w:rPr>
          <w:rFonts w:eastAsia="Times New Roman"/>
          <w:noProof/>
          <w:lang w:val="en-GB"/>
        </w:rPr>
        <w:t>Specific International Programme to Support Capacity-Building and Technical Assistance</w:t>
      </w:r>
    </w:p>
    <w:p w14:paraId="2FA57982" w14:textId="518D366A" w:rsidR="009A5C74" w:rsidRPr="006A5E4C" w:rsidRDefault="00945171" w:rsidP="009A5C74">
      <w:pPr>
        <w:pStyle w:val="BBTitle"/>
        <w:rPr>
          <w:noProof/>
          <w:lang w:val="en-GB"/>
        </w:rPr>
      </w:pPr>
      <w:r>
        <w:rPr>
          <w:noProof/>
          <w:lang w:val="en-GB"/>
        </w:rPr>
        <w:t>Draft a</w:t>
      </w:r>
      <w:r w:rsidR="009A5C74" w:rsidRPr="009A5C74">
        <w:rPr>
          <w:noProof/>
          <w:lang w:val="en-GB"/>
        </w:rPr>
        <w:t>nalysis of expected funding needs and related staffing needs for the Specific International Programme</w:t>
      </w:r>
      <w:r w:rsidR="00F17E73" w:rsidRPr="00AA285C">
        <w:rPr>
          <w:rStyle w:val="FootnoteReference"/>
          <w:rFonts w:asciiTheme="majorBidi" w:hAnsiTheme="majorBidi" w:cstheme="majorBidi"/>
          <w:sz w:val="28"/>
          <w:szCs w:val="28"/>
          <w:vertAlign w:val="baseline"/>
        </w:rPr>
        <w:footnoteReference w:customMarkFollows="1" w:id="3"/>
        <w:t>**</w:t>
      </w:r>
    </w:p>
    <w:p w14:paraId="673369D6" w14:textId="1BECEF57" w:rsidR="00D64AFD" w:rsidRPr="006A5E4C" w:rsidRDefault="000E3219" w:rsidP="000E3219">
      <w:pPr>
        <w:pStyle w:val="CH2"/>
        <w:tabs>
          <w:tab w:val="clear" w:pos="1814"/>
          <w:tab w:val="clear" w:pos="2381"/>
          <w:tab w:val="clear" w:pos="2948"/>
          <w:tab w:val="clear" w:pos="3515"/>
          <w:tab w:val="clear" w:pos="4082"/>
          <w:tab w:val="left" w:pos="1871"/>
          <w:tab w:val="left" w:pos="2495"/>
          <w:tab w:val="left" w:pos="3119"/>
          <w:tab w:val="left" w:pos="3742"/>
          <w:tab w:val="left" w:pos="4366"/>
        </w:tabs>
        <w:rPr>
          <w:rFonts w:eastAsia="Times New Roman"/>
          <w:noProof/>
          <w:lang w:val="en-GB"/>
        </w:rPr>
      </w:pPr>
      <w:r w:rsidRPr="006A5E4C">
        <w:rPr>
          <w:rFonts w:eastAsia="Times New Roman"/>
          <w:noProof/>
          <w:lang w:val="en-GB"/>
        </w:rPr>
        <w:tab/>
      </w:r>
      <w:r w:rsidRPr="006A5E4C">
        <w:rPr>
          <w:rFonts w:eastAsia="Times New Roman"/>
          <w:noProof/>
          <w:lang w:val="en-GB"/>
        </w:rPr>
        <w:tab/>
      </w:r>
      <w:r w:rsidR="00D64AFD" w:rsidRPr="006A5E4C">
        <w:rPr>
          <w:rFonts w:eastAsia="Times New Roman"/>
          <w:noProof/>
          <w:lang w:val="en-GB"/>
        </w:rPr>
        <w:t>Note by the secretariat</w:t>
      </w:r>
    </w:p>
    <w:p w14:paraId="3780912A" w14:textId="3FFA147F" w:rsidR="003D744C" w:rsidRPr="003D744C" w:rsidRDefault="00EE0073" w:rsidP="00403EAA">
      <w:pPr>
        <w:pStyle w:val="CH1"/>
        <w:tabs>
          <w:tab w:val="clear" w:pos="1814"/>
          <w:tab w:val="clear" w:pos="2381"/>
          <w:tab w:val="clear" w:pos="2948"/>
          <w:tab w:val="clear" w:pos="3515"/>
          <w:tab w:val="clear" w:pos="4082"/>
          <w:tab w:val="left" w:pos="1871"/>
          <w:tab w:val="left" w:pos="2495"/>
          <w:tab w:val="left" w:pos="3119"/>
          <w:tab w:val="left" w:pos="3742"/>
          <w:tab w:val="left" w:pos="4366"/>
        </w:tabs>
      </w:pPr>
      <w:bookmarkStart w:id="0" w:name="_Hlk192252242"/>
      <w:r w:rsidRPr="006A5E4C">
        <w:rPr>
          <w:noProof/>
          <w:lang w:val="en-GB"/>
        </w:rPr>
        <w:tab/>
      </w:r>
      <w:r w:rsidR="009F3016" w:rsidRPr="006A5E4C">
        <w:rPr>
          <w:noProof/>
          <w:lang w:val="en-GB"/>
        </w:rPr>
        <w:t>I.</w:t>
      </w:r>
      <w:r w:rsidR="009F3016" w:rsidRPr="006A5E4C">
        <w:rPr>
          <w:noProof/>
          <w:lang w:val="en-GB"/>
        </w:rPr>
        <w:tab/>
      </w:r>
      <w:r w:rsidRPr="006A5E4C">
        <w:rPr>
          <w:rFonts w:eastAsia="Times New Roman"/>
          <w:noProof/>
          <w:lang w:val="en-GB"/>
        </w:rPr>
        <w:t>Introduction</w:t>
      </w:r>
      <w:bookmarkEnd w:id="0"/>
    </w:p>
    <w:p w14:paraId="25332467" w14:textId="1C34FAA7" w:rsidR="00204724" w:rsidRPr="003D744C" w:rsidRDefault="00337A28" w:rsidP="00403EAA">
      <w:pPr>
        <w:pStyle w:val="Normalnumber"/>
        <w:ind w:left="1247"/>
        <w:rPr>
          <w:noProof/>
          <w:lang w:val="en-US"/>
        </w:rPr>
      </w:pPr>
      <w:r w:rsidRPr="00403EAA">
        <w:rPr>
          <w:lang w:val="en-GB"/>
        </w:rPr>
        <w:t>T</w:t>
      </w:r>
      <w:r w:rsidR="00F53750" w:rsidRPr="00403EAA">
        <w:rPr>
          <w:lang w:val="en-GB"/>
        </w:rPr>
        <w:t>he</w:t>
      </w:r>
      <w:r w:rsidR="00F53750" w:rsidRPr="00403EAA" w:rsidDel="008C1229">
        <w:rPr>
          <w:lang w:val="en-GB"/>
        </w:rPr>
        <w:t xml:space="preserve"> </w:t>
      </w:r>
      <w:r w:rsidR="00F53750" w:rsidRPr="00403EAA">
        <w:rPr>
          <w:lang w:val="en-GB"/>
        </w:rPr>
        <w:t xml:space="preserve">secretariat </w:t>
      </w:r>
      <w:r w:rsidRPr="00403EAA">
        <w:rPr>
          <w:lang w:val="en-GB"/>
        </w:rPr>
        <w:t xml:space="preserve">was requested in decision MC-5/11 to </w:t>
      </w:r>
      <w:r w:rsidR="00F53750" w:rsidRPr="00403EAA">
        <w:rPr>
          <w:lang w:val="en-GB"/>
        </w:rPr>
        <w:t xml:space="preserve">prepare </w:t>
      </w:r>
      <w:r w:rsidR="00B06F6C" w:rsidRPr="00403EAA">
        <w:rPr>
          <w:lang w:val="en-GB"/>
        </w:rPr>
        <w:t>an</w:t>
      </w:r>
      <w:r w:rsidR="00F53750" w:rsidRPr="00403EAA">
        <w:rPr>
          <w:lang w:val="en-GB"/>
        </w:rPr>
        <w:t xml:space="preserve"> analysis of expected funding needs and related staffing needs through</w:t>
      </w:r>
      <w:r w:rsidR="00F53750" w:rsidRPr="003D744C">
        <w:t xml:space="preserve"> the second half of the initial term of the Specific International Programme, taking into consideration the midterm evaluation of the Programme</w:t>
      </w:r>
      <w:r w:rsidR="004C7CE0" w:rsidRPr="003D744C">
        <w:t xml:space="preserve"> set out in document UNEP/MC/COP.5/INF/16</w:t>
      </w:r>
      <w:r w:rsidR="00F53750" w:rsidRPr="003D744C">
        <w:t xml:space="preserve"> and the </w:t>
      </w:r>
      <w:r w:rsidR="00F53750" w:rsidRPr="003D744C">
        <w:rPr>
          <w:noProof/>
          <w:lang w:val="en-US"/>
        </w:rPr>
        <w:t>second review of the financial mechanism</w:t>
      </w:r>
      <w:r w:rsidR="00347C37" w:rsidRPr="003D744C">
        <w:rPr>
          <w:noProof/>
          <w:lang w:val="en-US"/>
        </w:rPr>
        <w:t xml:space="preserve"> outlined in document </w:t>
      </w:r>
      <w:r w:rsidR="00347C37" w:rsidRPr="003D744C">
        <w:t>UNEP/MC/COP.5/INF/17</w:t>
      </w:r>
      <w:r w:rsidR="00E4231E" w:rsidRPr="003D744C">
        <w:rPr>
          <w:noProof/>
          <w:lang w:val="en-US"/>
        </w:rPr>
        <w:t>.</w:t>
      </w:r>
      <w:r w:rsidR="00BE1076" w:rsidRPr="003D744C">
        <w:rPr>
          <w:noProof/>
          <w:lang w:val="en-US"/>
        </w:rPr>
        <w:t xml:space="preserve"> </w:t>
      </w:r>
    </w:p>
    <w:p w14:paraId="35BFAAAA" w14:textId="71509C5D" w:rsidR="00883AAA" w:rsidRPr="008477DC" w:rsidRDefault="008477DC" w:rsidP="00403EAA">
      <w:pPr>
        <w:pStyle w:val="Normalnumber"/>
        <w:ind w:left="1247"/>
        <w:rPr>
          <w:noProof/>
          <w:lang w:val="en-US"/>
        </w:rPr>
      </w:pPr>
      <w:r w:rsidRPr="008477DC">
        <w:rPr>
          <w:lang w:val="en-GB"/>
        </w:rPr>
        <w:t xml:space="preserve">This draft analysis was prepared by the secretariat. </w:t>
      </w:r>
      <w:r w:rsidR="00BE1076" w:rsidRPr="008477DC">
        <w:rPr>
          <w:noProof/>
          <w:lang w:val="en-US"/>
        </w:rPr>
        <w:t xml:space="preserve">The structure of this </w:t>
      </w:r>
      <w:r w:rsidR="00204724" w:rsidRPr="008477DC">
        <w:rPr>
          <w:noProof/>
          <w:lang w:val="en-US"/>
        </w:rPr>
        <w:t xml:space="preserve">draft </w:t>
      </w:r>
      <w:r w:rsidR="00BE1076" w:rsidRPr="008477DC">
        <w:rPr>
          <w:noProof/>
          <w:lang w:val="en-US"/>
        </w:rPr>
        <w:t xml:space="preserve">analysis was presented to </w:t>
      </w:r>
      <w:r w:rsidR="007D65E2" w:rsidRPr="008477DC">
        <w:rPr>
          <w:noProof/>
          <w:lang w:val="en-US"/>
        </w:rPr>
        <w:t xml:space="preserve">and agreed upon by </w:t>
      </w:r>
      <w:r w:rsidR="00BE1076" w:rsidRPr="008477DC">
        <w:rPr>
          <w:noProof/>
          <w:lang w:val="en-US"/>
        </w:rPr>
        <w:t xml:space="preserve">the Governing Board at its </w:t>
      </w:r>
      <w:r w:rsidR="00B40C35" w:rsidRPr="008477DC">
        <w:rPr>
          <w:noProof/>
          <w:lang w:val="en-US"/>
        </w:rPr>
        <w:t>tenth</w:t>
      </w:r>
      <w:r w:rsidR="007D65E2" w:rsidRPr="008477DC">
        <w:rPr>
          <w:noProof/>
          <w:lang w:val="en-US"/>
        </w:rPr>
        <w:t xml:space="preserve"> meeting in January 2025.</w:t>
      </w:r>
    </w:p>
    <w:p w14:paraId="2989D728" w14:textId="3C8B923F" w:rsidR="00F53750" w:rsidRPr="005B6FA5" w:rsidRDefault="005B6FA5" w:rsidP="005B6FA5">
      <w:pPr>
        <w:pStyle w:val="CH1"/>
        <w:tabs>
          <w:tab w:val="clear" w:pos="1814"/>
          <w:tab w:val="clear" w:pos="2381"/>
          <w:tab w:val="clear" w:pos="2948"/>
          <w:tab w:val="clear" w:pos="3515"/>
          <w:tab w:val="clear" w:pos="4082"/>
          <w:tab w:val="left" w:pos="1871"/>
          <w:tab w:val="left" w:pos="2495"/>
          <w:tab w:val="left" w:pos="3119"/>
          <w:tab w:val="left" w:pos="3742"/>
          <w:tab w:val="left" w:pos="4366"/>
        </w:tabs>
        <w:rPr>
          <w:noProof/>
          <w:lang w:val="en-GB"/>
        </w:rPr>
      </w:pPr>
      <w:r>
        <w:rPr>
          <w:noProof/>
          <w:lang w:val="en-GB"/>
        </w:rPr>
        <w:tab/>
        <w:t>II.</w:t>
      </w:r>
      <w:r>
        <w:rPr>
          <w:noProof/>
          <w:lang w:val="en-GB"/>
        </w:rPr>
        <w:tab/>
      </w:r>
      <w:r w:rsidR="00F53750" w:rsidRPr="005B6FA5">
        <w:rPr>
          <w:noProof/>
          <w:lang w:val="en-GB"/>
        </w:rPr>
        <w:t>Overview of the Specific International Programme</w:t>
      </w:r>
    </w:p>
    <w:p w14:paraId="05EACDE2" w14:textId="77777777" w:rsidR="00883AAA" w:rsidRDefault="00883AAA" w:rsidP="00403EAA">
      <w:pPr>
        <w:pStyle w:val="Normalnumber"/>
        <w:ind w:left="1247"/>
        <w:rPr>
          <w:lang w:val="en-GB"/>
        </w:rPr>
      </w:pPr>
      <w:r w:rsidRPr="00204DE4">
        <w:rPr>
          <w:lang w:val="en-GB"/>
        </w:rPr>
        <w:t xml:space="preserve">The Specific International Programme is open to receive voluntary contributions and applications for support for an initial period of ten years from the establishment of its trust fund in January 2018 as set out in decision MC-1/6. The decision further specifies that the Conference of the Parties may decide to extend the Programme beyond 31 December 2027, not exceeding an additional seven years, </w:t>
      </w:r>
      <w:proofErr w:type="gramStart"/>
      <w:r w:rsidRPr="00204DE4">
        <w:rPr>
          <w:lang w:val="en-GB"/>
        </w:rPr>
        <w:t>taking into account</w:t>
      </w:r>
      <w:proofErr w:type="gramEnd"/>
      <w:r w:rsidRPr="00204DE4">
        <w:rPr>
          <w:lang w:val="en-GB"/>
        </w:rPr>
        <w:t xml:space="preserve"> the review process of the financial mechanism in accordance with paragraph 11 of article 13 of the Minamata Convention.</w:t>
      </w:r>
    </w:p>
    <w:p w14:paraId="280FF2D9" w14:textId="6D2DD989" w:rsidR="00F53750" w:rsidRPr="00403EAA" w:rsidRDefault="00157AD5" w:rsidP="00403EAA">
      <w:pPr>
        <w:spacing w:after="120"/>
        <w:rPr>
          <w:b/>
          <w:bCs/>
          <w:sz w:val="22"/>
          <w:szCs w:val="22"/>
        </w:rPr>
      </w:pPr>
      <w:r w:rsidRPr="00403EAA">
        <w:rPr>
          <w:b/>
          <w:bCs/>
          <w:sz w:val="22"/>
          <w:szCs w:val="22"/>
        </w:rPr>
        <w:tab/>
        <w:t>A.</w:t>
      </w:r>
      <w:r w:rsidRPr="00403EAA">
        <w:rPr>
          <w:b/>
          <w:bCs/>
          <w:sz w:val="22"/>
          <w:szCs w:val="22"/>
        </w:rPr>
        <w:tab/>
      </w:r>
      <w:r w:rsidR="00F53750" w:rsidRPr="00403EAA">
        <w:rPr>
          <w:b/>
          <w:bCs/>
          <w:sz w:val="22"/>
          <w:szCs w:val="22"/>
        </w:rPr>
        <w:t>Total contributions to the Specific Trust Fund</w:t>
      </w:r>
    </w:p>
    <w:p w14:paraId="06E43618" w14:textId="7A2550F7" w:rsidR="00F53750" w:rsidRPr="008A572D" w:rsidRDefault="00F53750" w:rsidP="00403EAA">
      <w:pPr>
        <w:pStyle w:val="Normalnumber"/>
        <w:ind w:left="1247"/>
        <w:rPr>
          <w:lang w:val="en-GB"/>
        </w:rPr>
      </w:pPr>
      <w:r w:rsidRPr="008A572D">
        <w:rPr>
          <w:lang w:val="en-GB"/>
        </w:rPr>
        <w:t xml:space="preserve">The total contributions and pledges received for the Specific Trust Fund since its establishment on 1 January 2018, as at 28 May 2025, amount to </w:t>
      </w:r>
      <w:r w:rsidR="003A64E1" w:rsidRPr="003A64E1">
        <w:rPr>
          <w:lang w:val="en-GB"/>
        </w:rPr>
        <w:t>$</w:t>
      </w:r>
      <w:r w:rsidRPr="008A572D">
        <w:rPr>
          <w:lang w:val="en-GB"/>
        </w:rPr>
        <w:t>8,449,992</w:t>
      </w:r>
      <w:r w:rsidRPr="00186E89">
        <w:rPr>
          <w:lang w:val="en-GB"/>
        </w:rPr>
        <w:t xml:space="preserve"> from a total of 10 governments</w:t>
      </w:r>
      <w:r>
        <w:rPr>
          <w:lang w:val="en-GB"/>
        </w:rPr>
        <w:t xml:space="preserve"> as set out in section V of document</w:t>
      </w:r>
      <w:r w:rsidR="00A662C3">
        <w:rPr>
          <w:lang w:val="en-GB"/>
        </w:rPr>
        <w:t xml:space="preserve"> </w:t>
      </w:r>
      <w:r w:rsidR="00A662C3" w:rsidRPr="00A662C3">
        <w:rPr>
          <w:lang w:val="en-GB"/>
        </w:rPr>
        <w:t>UNEP/MC/COP.6/11</w:t>
      </w:r>
      <w:r>
        <w:rPr>
          <w:lang w:val="en-GB"/>
        </w:rPr>
        <w:t xml:space="preserve">. In addition to these contributions and pledges, the </w:t>
      </w:r>
      <w:r w:rsidRPr="00504BBC">
        <w:rPr>
          <w:lang w:val="en-GB"/>
        </w:rPr>
        <w:t xml:space="preserve">Government of Italy </w:t>
      </w:r>
      <w:r>
        <w:rPr>
          <w:lang w:val="en-GB"/>
        </w:rPr>
        <w:t>has fully funded</w:t>
      </w:r>
      <w:r w:rsidRPr="00504BBC">
        <w:rPr>
          <w:lang w:val="en-GB"/>
        </w:rPr>
        <w:t xml:space="preserve"> a Junior Professional Officer post in the secretariat</w:t>
      </w:r>
      <w:r>
        <w:rPr>
          <w:lang w:val="en-GB"/>
        </w:rPr>
        <w:t xml:space="preserve"> for two years and co-funded it for a third year</w:t>
      </w:r>
      <w:r w:rsidR="00CE40FF">
        <w:rPr>
          <w:lang w:val="en-GB"/>
        </w:rPr>
        <w:t>.</w:t>
      </w:r>
    </w:p>
    <w:p w14:paraId="7BFBE03A" w14:textId="0B97F7D7" w:rsidR="00F53750" w:rsidRPr="002206E5" w:rsidRDefault="00017D8D" w:rsidP="00403EAA">
      <w:pPr>
        <w:pStyle w:val="Normalnumber"/>
        <w:ind w:left="1247"/>
        <w:rPr>
          <w:lang w:val="en-GB"/>
        </w:rPr>
      </w:pPr>
      <w:r w:rsidRPr="002206E5">
        <w:rPr>
          <w:lang w:val="en-GB"/>
        </w:rPr>
        <w:t xml:space="preserve">Over the four rounds of funding, </w:t>
      </w:r>
      <w:r w:rsidR="00754BF1">
        <w:rPr>
          <w:lang w:val="en-GB"/>
        </w:rPr>
        <w:t>most</w:t>
      </w:r>
      <w:r w:rsidR="00DE0096" w:rsidRPr="002206E5">
        <w:rPr>
          <w:lang w:val="en-US"/>
        </w:rPr>
        <w:t xml:space="preserve"> of </w:t>
      </w:r>
      <w:r w:rsidR="00353BFB" w:rsidRPr="002206E5">
        <w:rPr>
          <w:lang w:val="en-GB"/>
        </w:rPr>
        <w:t xml:space="preserve">the </w:t>
      </w:r>
      <w:r w:rsidR="009F7762" w:rsidRPr="002206E5">
        <w:rPr>
          <w:lang w:val="en-GB"/>
        </w:rPr>
        <w:t xml:space="preserve">Specific Trust Fund </w:t>
      </w:r>
      <w:r w:rsidR="007623C4" w:rsidRPr="002206E5">
        <w:rPr>
          <w:lang w:val="en-GB"/>
        </w:rPr>
        <w:t xml:space="preserve">resources </w:t>
      </w:r>
      <w:r w:rsidR="00556981" w:rsidRPr="002206E5">
        <w:rPr>
          <w:lang w:val="en-GB"/>
        </w:rPr>
        <w:t xml:space="preserve">have been </w:t>
      </w:r>
      <w:r w:rsidR="007623C4" w:rsidRPr="002206E5">
        <w:rPr>
          <w:lang w:val="en-GB"/>
        </w:rPr>
        <w:t>allocated to</w:t>
      </w:r>
      <w:r w:rsidR="00F53750" w:rsidRPr="002206E5">
        <w:rPr>
          <w:lang w:val="en-GB"/>
        </w:rPr>
        <w:t xml:space="preserve"> approved projects of eligible parties</w:t>
      </w:r>
      <w:r w:rsidR="009F7762" w:rsidRPr="002206E5">
        <w:rPr>
          <w:lang w:val="en-GB"/>
        </w:rPr>
        <w:t xml:space="preserve"> with </w:t>
      </w:r>
      <w:r w:rsidR="00F70C7D" w:rsidRPr="002206E5">
        <w:rPr>
          <w:lang w:val="en-GB"/>
        </w:rPr>
        <w:t xml:space="preserve">a minor </w:t>
      </w:r>
      <w:r w:rsidR="00F7088D" w:rsidRPr="002206E5">
        <w:rPr>
          <w:lang w:val="en-GB"/>
        </w:rPr>
        <w:t xml:space="preserve">portion </w:t>
      </w:r>
      <w:r w:rsidR="00A91DFB" w:rsidRPr="002206E5">
        <w:rPr>
          <w:lang w:val="en-GB"/>
        </w:rPr>
        <w:t xml:space="preserve">set aside </w:t>
      </w:r>
      <w:r w:rsidR="00FE5F50" w:rsidRPr="002206E5">
        <w:rPr>
          <w:lang w:val="en-GB"/>
        </w:rPr>
        <w:t>for in</w:t>
      </w:r>
      <w:r w:rsidR="006E3904" w:rsidRPr="002206E5">
        <w:rPr>
          <w:lang w:val="en-GB"/>
        </w:rPr>
        <w:t>-</w:t>
      </w:r>
      <w:r w:rsidR="00FE5F50" w:rsidRPr="002206E5">
        <w:rPr>
          <w:lang w:val="en-GB"/>
        </w:rPr>
        <w:t xml:space="preserve">person </w:t>
      </w:r>
      <w:r w:rsidR="00F53750" w:rsidRPr="002206E5">
        <w:rPr>
          <w:lang w:val="en-GB"/>
        </w:rPr>
        <w:t xml:space="preserve">meetings of the </w:t>
      </w:r>
      <w:r w:rsidR="00F53750" w:rsidRPr="002206E5">
        <w:rPr>
          <w:lang w:val="en-GB"/>
        </w:rPr>
        <w:lastRenderedPageBreak/>
        <w:t>Governing Board, and</w:t>
      </w:r>
      <w:r w:rsidR="00D32592" w:rsidRPr="002206E5">
        <w:rPr>
          <w:lang w:val="en-GB"/>
        </w:rPr>
        <w:t xml:space="preserve"> </w:t>
      </w:r>
      <w:r w:rsidR="00F53750" w:rsidRPr="002206E5">
        <w:rPr>
          <w:lang w:val="en-GB"/>
        </w:rPr>
        <w:t xml:space="preserve">operations of the </w:t>
      </w:r>
      <w:r w:rsidR="00C22D57" w:rsidRPr="002206E5">
        <w:rPr>
          <w:lang w:val="en-GB"/>
        </w:rPr>
        <w:t>P</w:t>
      </w:r>
      <w:r w:rsidR="00F53750" w:rsidRPr="002206E5">
        <w:rPr>
          <w:lang w:val="en-GB"/>
        </w:rPr>
        <w:t>rogramme. The Specific Trust Fund contributions are subject to 13 per cent programme support costs (PSC).</w:t>
      </w:r>
    </w:p>
    <w:p w14:paraId="08D6030A" w14:textId="68F8AC11" w:rsidR="00F53750" w:rsidRPr="00403EAA" w:rsidRDefault="00157AD5" w:rsidP="00403EAA">
      <w:pPr>
        <w:spacing w:after="120"/>
        <w:rPr>
          <w:b/>
          <w:bCs/>
          <w:sz w:val="22"/>
          <w:szCs w:val="22"/>
        </w:rPr>
      </w:pPr>
      <w:r>
        <w:rPr>
          <w:b/>
          <w:bCs/>
          <w:sz w:val="22"/>
          <w:szCs w:val="22"/>
        </w:rPr>
        <w:tab/>
        <w:t>B.</w:t>
      </w:r>
      <w:r>
        <w:rPr>
          <w:b/>
          <w:bCs/>
          <w:sz w:val="22"/>
          <w:szCs w:val="22"/>
        </w:rPr>
        <w:tab/>
      </w:r>
      <w:r w:rsidR="00F53750" w:rsidRPr="00403EAA">
        <w:rPr>
          <w:b/>
          <w:bCs/>
          <w:sz w:val="22"/>
          <w:szCs w:val="22"/>
        </w:rPr>
        <w:t>Overview of SIP projects and allocated funding</w:t>
      </w:r>
    </w:p>
    <w:p w14:paraId="2A2D9DB6" w14:textId="392116C9" w:rsidR="000A0E82" w:rsidRPr="008B0AF8" w:rsidRDefault="008567D7" w:rsidP="00403EAA">
      <w:pPr>
        <w:pStyle w:val="Normalnumber"/>
        <w:ind w:left="1247"/>
        <w:rPr>
          <w:lang w:val="en-GB"/>
        </w:rPr>
      </w:pPr>
      <w:r>
        <w:rPr>
          <w:lang w:val="en-GB"/>
        </w:rPr>
        <w:t>The m</w:t>
      </w:r>
      <w:r w:rsidR="000A0E82" w:rsidRPr="008B0AF8">
        <w:rPr>
          <w:lang w:val="en-GB"/>
        </w:rPr>
        <w:t xml:space="preserve">idterm evaluation of the Specific International Programme, covering the time span from first through to third round of applications, confirmed the high strategic relevance of the SIP in relation to addressing the needs of the </w:t>
      </w:r>
      <w:r w:rsidR="009507E6">
        <w:rPr>
          <w:lang w:val="en-GB"/>
        </w:rPr>
        <w:t>p</w:t>
      </w:r>
      <w:r w:rsidR="000A0E82" w:rsidRPr="008B0AF8">
        <w:rPr>
          <w:lang w:val="en-GB"/>
        </w:rPr>
        <w:t>arties under the Minamata Convention by providing technical support and capacity needed for them to meet their obligations under the Convention.</w:t>
      </w:r>
      <w:r w:rsidR="00FE1F4B">
        <w:rPr>
          <w:lang w:val="en-GB"/>
        </w:rPr>
        <w:t xml:space="preserve"> Furthermore, </w:t>
      </w:r>
      <w:r w:rsidR="009C1658">
        <w:rPr>
          <w:lang w:val="en-GB"/>
        </w:rPr>
        <w:t xml:space="preserve">report on the </w:t>
      </w:r>
      <w:r w:rsidR="00F2696C">
        <w:rPr>
          <w:lang w:val="en-GB"/>
        </w:rPr>
        <w:t>s</w:t>
      </w:r>
      <w:r w:rsidR="009C1658" w:rsidRPr="009C1658">
        <w:rPr>
          <w:lang w:val="en-GB"/>
        </w:rPr>
        <w:t xml:space="preserve">econd review of the financial mechanism of the Convention </w:t>
      </w:r>
      <w:r w:rsidR="00AC2659">
        <w:rPr>
          <w:lang w:val="en-GB"/>
        </w:rPr>
        <w:t xml:space="preserve">highlighted that </w:t>
      </w:r>
      <w:r w:rsidR="00AC2659" w:rsidRPr="00FE1F4B">
        <w:rPr>
          <w:lang w:val="en-GB"/>
        </w:rPr>
        <w:t xml:space="preserve">recipient countries appreciated </w:t>
      </w:r>
      <w:r w:rsidR="00AC2659">
        <w:rPr>
          <w:lang w:val="en-GB"/>
        </w:rPr>
        <w:t xml:space="preserve">the Programme for </w:t>
      </w:r>
      <w:r w:rsidR="002D69DE">
        <w:rPr>
          <w:lang w:val="en-GB"/>
        </w:rPr>
        <w:t xml:space="preserve">its </w:t>
      </w:r>
      <w:r w:rsidR="00FE1F4B" w:rsidRPr="00FE1F4B">
        <w:rPr>
          <w:lang w:val="en-GB"/>
        </w:rPr>
        <w:t>flexibility and ease of access and implementation</w:t>
      </w:r>
      <w:r w:rsidR="002D69DE">
        <w:rPr>
          <w:lang w:val="en-GB"/>
        </w:rPr>
        <w:t>.</w:t>
      </w:r>
    </w:p>
    <w:p w14:paraId="153F54C0" w14:textId="2A5FD518" w:rsidR="00F53750" w:rsidRPr="008A572D" w:rsidRDefault="00F53750" w:rsidP="00403EAA">
      <w:pPr>
        <w:pStyle w:val="Normalnumber"/>
        <w:ind w:left="1247"/>
        <w:rPr>
          <w:lang w:val="en-GB"/>
        </w:rPr>
      </w:pPr>
      <w:r w:rsidRPr="008A572D">
        <w:rPr>
          <w:lang w:val="en-GB"/>
        </w:rPr>
        <w:t xml:space="preserve">Throughout its four application rounds, the </w:t>
      </w:r>
      <w:r w:rsidR="00CE69B6">
        <w:rPr>
          <w:lang w:val="en-GB"/>
        </w:rPr>
        <w:t>p</w:t>
      </w:r>
      <w:r w:rsidRPr="008A572D">
        <w:rPr>
          <w:lang w:val="en-GB"/>
        </w:rPr>
        <w:t>rogramme</w:t>
      </w:r>
      <w:r w:rsidR="006F2F4E">
        <w:rPr>
          <w:lang w:val="en-GB"/>
        </w:rPr>
        <w:t xml:space="preserve"> funded </w:t>
      </w:r>
      <w:r w:rsidR="00D260A5">
        <w:rPr>
          <w:lang w:val="en-GB"/>
        </w:rPr>
        <w:t>34 projects out of</w:t>
      </w:r>
      <w:r w:rsidRPr="008A572D" w:rsidDel="00D260A5">
        <w:rPr>
          <w:lang w:val="en-GB"/>
        </w:rPr>
        <w:t xml:space="preserve"> </w:t>
      </w:r>
      <w:r w:rsidRPr="008A572D">
        <w:rPr>
          <w:lang w:val="en-GB"/>
        </w:rPr>
        <w:t>99 applications</w:t>
      </w:r>
      <w:r w:rsidR="00D260A5">
        <w:rPr>
          <w:lang w:val="en-GB"/>
        </w:rPr>
        <w:t xml:space="preserve"> received</w:t>
      </w:r>
      <w:r w:rsidR="008A74F9">
        <w:rPr>
          <w:lang w:val="en-GB"/>
        </w:rPr>
        <w:t xml:space="preserve"> from </w:t>
      </w:r>
      <w:r w:rsidR="00E7443F">
        <w:rPr>
          <w:lang w:val="en-GB"/>
        </w:rPr>
        <w:t>p</w:t>
      </w:r>
      <w:r w:rsidR="008A74F9">
        <w:rPr>
          <w:lang w:val="en-GB"/>
        </w:rPr>
        <w:t xml:space="preserve">arties </w:t>
      </w:r>
      <w:r w:rsidR="00C50122">
        <w:rPr>
          <w:lang w:val="en-GB"/>
        </w:rPr>
        <w:t xml:space="preserve">across Africa, Asia-Pacific, </w:t>
      </w:r>
      <w:r w:rsidR="004A1DA4">
        <w:rPr>
          <w:lang w:val="en-GB"/>
        </w:rPr>
        <w:t>Eastern Europe</w:t>
      </w:r>
      <w:r w:rsidR="001F6D5D">
        <w:rPr>
          <w:lang w:val="en-GB"/>
        </w:rPr>
        <w:t>an States</w:t>
      </w:r>
      <w:r w:rsidR="004A1DA4">
        <w:rPr>
          <w:lang w:val="en-GB"/>
        </w:rPr>
        <w:t>, and Latin America and the Caribbean</w:t>
      </w:r>
      <w:r w:rsidRPr="008A572D">
        <w:rPr>
          <w:lang w:val="en-GB"/>
        </w:rPr>
        <w:t xml:space="preserve">. </w:t>
      </w:r>
      <w:r w:rsidR="00594D10">
        <w:rPr>
          <w:lang w:val="en-GB"/>
        </w:rPr>
        <w:t>O</w:t>
      </w:r>
      <w:r w:rsidRPr="008A572D">
        <w:rPr>
          <w:lang w:val="en-GB"/>
        </w:rPr>
        <w:t>verall interest</w:t>
      </w:r>
      <w:r w:rsidR="00594D10">
        <w:rPr>
          <w:lang w:val="en-GB"/>
        </w:rPr>
        <w:t xml:space="preserve"> of </w:t>
      </w:r>
      <w:r w:rsidR="00E7443F">
        <w:rPr>
          <w:lang w:val="en-GB"/>
        </w:rPr>
        <w:t>p</w:t>
      </w:r>
      <w:r w:rsidR="00594D10">
        <w:rPr>
          <w:lang w:val="en-GB"/>
        </w:rPr>
        <w:t>arties</w:t>
      </w:r>
      <w:r w:rsidRPr="008A572D">
        <w:rPr>
          <w:lang w:val="en-GB"/>
        </w:rPr>
        <w:t xml:space="preserve"> in the </w:t>
      </w:r>
      <w:r w:rsidR="00CE69B6">
        <w:rPr>
          <w:lang w:val="en-GB"/>
        </w:rPr>
        <w:t>p</w:t>
      </w:r>
      <w:r w:rsidRPr="008A572D">
        <w:rPr>
          <w:lang w:val="en-GB"/>
        </w:rPr>
        <w:t>rogramme has grown substantially</w:t>
      </w:r>
      <w:r w:rsidR="00594D10">
        <w:rPr>
          <w:lang w:val="en-GB"/>
        </w:rPr>
        <w:t xml:space="preserve"> over time</w:t>
      </w:r>
      <w:r w:rsidRPr="008A572D">
        <w:rPr>
          <w:lang w:val="en-GB"/>
        </w:rPr>
        <w:t>, from 19 project proposals received by the secretariat in the first round to 36 applications in the fourth round.</w:t>
      </w:r>
      <w:r w:rsidRPr="00230610">
        <w:rPr>
          <w:lang w:val="en-GB"/>
        </w:rPr>
        <w:t xml:space="preserve"> </w:t>
      </w:r>
      <w:r w:rsidRPr="008A572D">
        <w:rPr>
          <w:lang w:val="en-GB"/>
        </w:rPr>
        <w:t>The table below provides an overview of the status of all 34 projects funded by the Specific International Programme in 31 developing parties and country parties with economies in transition.</w:t>
      </w:r>
    </w:p>
    <w:p w14:paraId="39A3137B" w14:textId="7ACFD679" w:rsidR="00F53750" w:rsidRPr="008A572D" w:rsidRDefault="00F53750" w:rsidP="00157AD5">
      <w:pPr>
        <w:pStyle w:val="Normalnumber"/>
        <w:numPr>
          <w:ilvl w:val="0"/>
          <w:numId w:val="0"/>
        </w:numPr>
        <w:ind w:left="1247"/>
        <w:rPr>
          <w:b/>
          <w:bCs/>
          <w:lang w:val="en-GB"/>
        </w:rPr>
      </w:pPr>
      <w:r w:rsidRPr="00403EAA">
        <w:rPr>
          <w:lang w:val="en-GB"/>
        </w:rPr>
        <w:t xml:space="preserve">Table </w:t>
      </w:r>
      <w:r w:rsidR="00067A04" w:rsidRPr="00403EAA">
        <w:rPr>
          <w:lang w:val="en-GB"/>
        </w:rPr>
        <w:t>1</w:t>
      </w:r>
      <w:r w:rsidRPr="00403EAA">
        <w:rPr>
          <w:lang w:val="en-GB"/>
        </w:rPr>
        <w:t>:</w:t>
      </w:r>
      <w:r w:rsidRPr="008A572D">
        <w:rPr>
          <w:b/>
          <w:bCs/>
          <w:lang w:val="en-GB"/>
        </w:rPr>
        <w:t xml:space="preserve"> Overview of projects funded by the Programme </w:t>
      </w:r>
    </w:p>
    <w:tbl>
      <w:tblPr>
        <w:tblStyle w:val="TableGrid"/>
        <w:tblW w:w="8286" w:type="dxa"/>
        <w:tblInd w:w="1238" w:type="dxa"/>
        <w:tblLook w:val="04A0" w:firstRow="1" w:lastRow="0" w:firstColumn="1" w:lastColumn="0" w:noHBand="0" w:noVBand="1"/>
      </w:tblPr>
      <w:tblGrid>
        <w:gridCol w:w="1410"/>
        <w:gridCol w:w="1147"/>
        <w:gridCol w:w="3941"/>
        <w:gridCol w:w="1788"/>
      </w:tblGrid>
      <w:tr w:rsidR="00F53750" w14:paraId="41497AC9" w14:textId="77777777">
        <w:trPr>
          <w:trHeight w:val="300"/>
        </w:trPr>
        <w:tc>
          <w:tcPr>
            <w:tcW w:w="1410" w:type="dxa"/>
          </w:tcPr>
          <w:p w14:paraId="402F2555" w14:textId="77777777" w:rsidR="00F53750" w:rsidRPr="008A572D" w:rsidRDefault="00F53750">
            <w:pPr>
              <w:pStyle w:val="Normalnumber"/>
              <w:numPr>
                <w:ilvl w:val="0"/>
                <w:numId w:val="0"/>
              </w:numPr>
              <w:rPr>
                <w:b/>
                <w:bCs/>
                <w:sz w:val="18"/>
                <w:szCs w:val="18"/>
                <w:lang w:val="en-GB"/>
              </w:rPr>
            </w:pPr>
            <w:r w:rsidRPr="008A572D">
              <w:rPr>
                <w:b/>
                <w:bCs/>
                <w:sz w:val="18"/>
                <w:szCs w:val="18"/>
                <w:lang w:val="en-GB"/>
              </w:rPr>
              <w:t>Round of applications</w:t>
            </w:r>
          </w:p>
        </w:tc>
        <w:tc>
          <w:tcPr>
            <w:tcW w:w="1141" w:type="dxa"/>
          </w:tcPr>
          <w:p w14:paraId="6BB80AF0" w14:textId="77777777" w:rsidR="00F53750" w:rsidRPr="008A572D" w:rsidRDefault="00F53750">
            <w:pPr>
              <w:pStyle w:val="Normalnumber"/>
              <w:numPr>
                <w:ilvl w:val="0"/>
                <w:numId w:val="0"/>
              </w:numPr>
              <w:rPr>
                <w:b/>
                <w:bCs/>
                <w:sz w:val="18"/>
                <w:szCs w:val="18"/>
                <w:lang w:val="en-GB"/>
              </w:rPr>
            </w:pPr>
            <w:r w:rsidRPr="008A572D">
              <w:rPr>
                <w:b/>
                <w:bCs/>
                <w:sz w:val="18"/>
                <w:szCs w:val="18"/>
                <w:lang w:val="en-GB"/>
              </w:rPr>
              <w:t>Submitted applications</w:t>
            </w:r>
          </w:p>
        </w:tc>
        <w:tc>
          <w:tcPr>
            <w:tcW w:w="3946" w:type="dxa"/>
          </w:tcPr>
          <w:p w14:paraId="0E8889F5" w14:textId="77777777" w:rsidR="00F53750" w:rsidRPr="008A572D" w:rsidRDefault="00F53750">
            <w:pPr>
              <w:pStyle w:val="Normalnumber"/>
              <w:numPr>
                <w:ilvl w:val="0"/>
                <w:numId w:val="0"/>
              </w:numPr>
              <w:rPr>
                <w:b/>
                <w:bCs/>
                <w:sz w:val="18"/>
                <w:szCs w:val="18"/>
                <w:lang w:val="en-GB"/>
              </w:rPr>
            </w:pPr>
            <w:r w:rsidRPr="008A572D">
              <w:rPr>
                <w:b/>
                <w:bCs/>
                <w:sz w:val="18"/>
                <w:szCs w:val="18"/>
                <w:lang w:val="en-GB"/>
              </w:rPr>
              <w:t>Approved projects</w:t>
            </w:r>
          </w:p>
        </w:tc>
        <w:tc>
          <w:tcPr>
            <w:tcW w:w="1789" w:type="dxa"/>
          </w:tcPr>
          <w:p w14:paraId="27213DB8" w14:textId="77777777" w:rsidR="00F53750" w:rsidRPr="008A572D" w:rsidRDefault="00F53750">
            <w:pPr>
              <w:pStyle w:val="Normalnumber"/>
              <w:numPr>
                <w:ilvl w:val="0"/>
                <w:numId w:val="0"/>
              </w:numPr>
              <w:rPr>
                <w:b/>
                <w:bCs/>
                <w:sz w:val="18"/>
                <w:szCs w:val="18"/>
                <w:lang w:val="en-GB"/>
              </w:rPr>
            </w:pPr>
            <w:r w:rsidRPr="008A572D">
              <w:rPr>
                <w:b/>
                <w:bCs/>
                <w:sz w:val="18"/>
                <w:szCs w:val="18"/>
                <w:lang w:val="en-GB"/>
              </w:rPr>
              <w:t>Status of project implementation</w:t>
            </w:r>
          </w:p>
        </w:tc>
      </w:tr>
      <w:tr w:rsidR="00F53750" w14:paraId="7CF2389A" w14:textId="77777777">
        <w:trPr>
          <w:trHeight w:val="300"/>
        </w:trPr>
        <w:tc>
          <w:tcPr>
            <w:tcW w:w="1410" w:type="dxa"/>
          </w:tcPr>
          <w:p w14:paraId="3AF83AAD" w14:textId="77777777" w:rsidR="00F53750" w:rsidRPr="008A572D" w:rsidRDefault="00F53750">
            <w:pPr>
              <w:pStyle w:val="Normalnumber"/>
              <w:numPr>
                <w:ilvl w:val="0"/>
                <w:numId w:val="0"/>
              </w:numPr>
              <w:rPr>
                <w:sz w:val="18"/>
                <w:szCs w:val="18"/>
                <w:lang w:val="en-GB"/>
              </w:rPr>
            </w:pPr>
            <w:r w:rsidRPr="008A572D">
              <w:rPr>
                <w:sz w:val="18"/>
                <w:szCs w:val="18"/>
                <w:lang w:val="en-GB"/>
              </w:rPr>
              <w:t>First round (2018)</w:t>
            </w:r>
          </w:p>
        </w:tc>
        <w:tc>
          <w:tcPr>
            <w:tcW w:w="1141" w:type="dxa"/>
          </w:tcPr>
          <w:p w14:paraId="5FEFC787" w14:textId="77777777" w:rsidR="00F53750" w:rsidRPr="008A572D" w:rsidRDefault="00F53750">
            <w:pPr>
              <w:pStyle w:val="Normalnumber"/>
              <w:numPr>
                <w:ilvl w:val="0"/>
                <w:numId w:val="0"/>
              </w:numPr>
              <w:rPr>
                <w:sz w:val="18"/>
                <w:szCs w:val="18"/>
                <w:lang w:val="en-GB"/>
              </w:rPr>
            </w:pPr>
            <w:r w:rsidRPr="008A572D">
              <w:rPr>
                <w:sz w:val="18"/>
                <w:szCs w:val="18"/>
                <w:lang w:val="en-GB"/>
              </w:rPr>
              <w:t>19</w:t>
            </w:r>
          </w:p>
        </w:tc>
        <w:tc>
          <w:tcPr>
            <w:tcW w:w="3946" w:type="dxa"/>
          </w:tcPr>
          <w:p w14:paraId="0CC6673A" w14:textId="77777777" w:rsidR="00F53750" w:rsidRPr="008A572D" w:rsidRDefault="00F53750">
            <w:pPr>
              <w:pStyle w:val="Normalnumber"/>
              <w:numPr>
                <w:ilvl w:val="0"/>
                <w:numId w:val="0"/>
              </w:numPr>
              <w:rPr>
                <w:sz w:val="18"/>
                <w:szCs w:val="18"/>
                <w:lang w:val="en-GB"/>
              </w:rPr>
            </w:pPr>
            <w:r w:rsidRPr="008A572D">
              <w:rPr>
                <w:sz w:val="18"/>
                <w:szCs w:val="18"/>
                <w:lang w:val="en-GB"/>
              </w:rPr>
              <w:t>5 (2 developing countries, 1 country with economy in transition, 2 least developed countries)</w:t>
            </w:r>
          </w:p>
        </w:tc>
        <w:tc>
          <w:tcPr>
            <w:tcW w:w="1789" w:type="dxa"/>
          </w:tcPr>
          <w:p w14:paraId="3272E61A" w14:textId="77777777" w:rsidR="00F53750" w:rsidRPr="008A572D" w:rsidRDefault="00F53750">
            <w:pPr>
              <w:pStyle w:val="Normalnumber"/>
              <w:numPr>
                <w:ilvl w:val="0"/>
                <w:numId w:val="0"/>
              </w:numPr>
              <w:rPr>
                <w:sz w:val="18"/>
                <w:szCs w:val="18"/>
                <w:lang w:val="en-GB"/>
              </w:rPr>
            </w:pPr>
            <w:r w:rsidRPr="008A572D">
              <w:rPr>
                <w:sz w:val="18"/>
                <w:szCs w:val="18"/>
                <w:lang w:val="en-GB"/>
              </w:rPr>
              <w:t>All completed</w:t>
            </w:r>
          </w:p>
        </w:tc>
      </w:tr>
      <w:tr w:rsidR="00F53750" w14:paraId="71AC05B4" w14:textId="77777777">
        <w:trPr>
          <w:trHeight w:val="300"/>
        </w:trPr>
        <w:tc>
          <w:tcPr>
            <w:tcW w:w="1410" w:type="dxa"/>
          </w:tcPr>
          <w:p w14:paraId="73725EE2" w14:textId="77777777" w:rsidR="00F53750" w:rsidRPr="008A572D" w:rsidRDefault="00F53750">
            <w:pPr>
              <w:pStyle w:val="Normalnumber"/>
              <w:numPr>
                <w:ilvl w:val="0"/>
                <w:numId w:val="0"/>
              </w:numPr>
              <w:rPr>
                <w:sz w:val="18"/>
                <w:szCs w:val="18"/>
                <w:lang w:val="en-GB"/>
              </w:rPr>
            </w:pPr>
            <w:r w:rsidRPr="008A572D">
              <w:rPr>
                <w:sz w:val="18"/>
                <w:szCs w:val="18"/>
                <w:lang w:val="en-GB"/>
              </w:rPr>
              <w:t>Second round (2019)</w:t>
            </w:r>
          </w:p>
        </w:tc>
        <w:tc>
          <w:tcPr>
            <w:tcW w:w="1141" w:type="dxa"/>
          </w:tcPr>
          <w:p w14:paraId="05AEF685" w14:textId="77777777" w:rsidR="00F53750" w:rsidRPr="008A572D" w:rsidRDefault="00F53750">
            <w:pPr>
              <w:pStyle w:val="Normalnumber"/>
              <w:numPr>
                <w:ilvl w:val="0"/>
                <w:numId w:val="0"/>
              </w:numPr>
              <w:rPr>
                <w:sz w:val="18"/>
                <w:szCs w:val="18"/>
                <w:lang w:val="en-GB"/>
              </w:rPr>
            </w:pPr>
            <w:r w:rsidRPr="008A572D">
              <w:rPr>
                <w:sz w:val="18"/>
                <w:szCs w:val="18"/>
                <w:lang w:val="en-GB"/>
              </w:rPr>
              <w:t>20</w:t>
            </w:r>
          </w:p>
        </w:tc>
        <w:tc>
          <w:tcPr>
            <w:tcW w:w="3946" w:type="dxa"/>
          </w:tcPr>
          <w:p w14:paraId="24340DE1" w14:textId="77777777" w:rsidR="00F53750" w:rsidRPr="008A572D" w:rsidRDefault="00F53750">
            <w:pPr>
              <w:pStyle w:val="Normalnumber"/>
              <w:numPr>
                <w:ilvl w:val="0"/>
                <w:numId w:val="0"/>
              </w:numPr>
              <w:rPr>
                <w:sz w:val="18"/>
                <w:szCs w:val="18"/>
                <w:lang w:val="en-GB"/>
              </w:rPr>
            </w:pPr>
            <w:r w:rsidRPr="008A572D">
              <w:rPr>
                <w:sz w:val="18"/>
                <w:szCs w:val="18"/>
                <w:lang w:val="en-GB"/>
              </w:rPr>
              <w:t>10 (7 developing countries, 1 country with economy in transition, 1 least developed country, 1 small island developing state)</w:t>
            </w:r>
          </w:p>
        </w:tc>
        <w:tc>
          <w:tcPr>
            <w:tcW w:w="1789" w:type="dxa"/>
          </w:tcPr>
          <w:p w14:paraId="7C05481A" w14:textId="77777777" w:rsidR="00F53750" w:rsidRPr="008A572D" w:rsidRDefault="00F53750">
            <w:pPr>
              <w:pStyle w:val="Normalnumber"/>
              <w:numPr>
                <w:ilvl w:val="0"/>
                <w:numId w:val="0"/>
              </w:numPr>
              <w:rPr>
                <w:sz w:val="18"/>
                <w:szCs w:val="18"/>
                <w:lang w:val="en-GB"/>
              </w:rPr>
            </w:pPr>
            <w:r w:rsidRPr="008A572D">
              <w:rPr>
                <w:sz w:val="18"/>
                <w:szCs w:val="18"/>
                <w:lang w:val="en-GB"/>
              </w:rPr>
              <w:t>All completed</w:t>
            </w:r>
          </w:p>
        </w:tc>
      </w:tr>
      <w:tr w:rsidR="00F53750" w14:paraId="5E5A5D10" w14:textId="77777777">
        <w:trPr>
          <w:trHeight w:val="300"/>
        </w:trPr>
        <w:tc>
          <w:tcPr>
            <w:tcW w:w="1410" w:type="dxa"/>
          </w:tcPr>
          <w:p w14:paraId="6F63B8C2" w14:textId="77777777" w:rsidR="00F53750" w:rsidRPr="008A572D" w:rsidRDefault="00F53750">
            <w:pPr>
              <w:pStyle w:val="Normalnumber"/>
              <w:numPr>
                <w:ilvl w:val="0"/>
                <w:numId w:val="0"/>
              </w:numPr>
              <w:rPr>
                <w:sz w:val="18"/>
                <w:szCs w:val="18"/>
                <w:lang w:val="en-GB"/>
              </w:rPr>
            </w:pPr>
            <w:r w:rsidRPr="008A572D">
              <w:rPr>
                <w:sz w:val="18"/>
                <w:szCs w:val="18"/>
                <w:lang w:val="en-GB"/>
              </w:rPr>
              <w:t>Third round (2020-2021)</w:t>
            </w:r>
          </w:p>
        </w:tc>
        <w:tc>
          <w:tcPr>
            <w:tcW w:w="1141" w:type="dxa"/>
          </w:tcPr>
          <w:p w14:paraId="5FB3D9BE" w14:textId="77777777" w:rsidR="00F53750" w:rsidRPr="008A572D" w:rsidRDefault="00F53750">
            <w:pPr>
              <w:pStyle w:val="Normalnumber"/>
              <w:numPr>
                <w:ilvl w:val="0"/>
                <w:numId w:val="0"/>
              </w:numPr>
              <w:rPr>
                <w:sz w:val="18"/>
                <w:szCs w:val="18"/>
                <w:lang w:val="en-GB"/>
              </w:rPr>
            </w:pPr>
            <w:r w:rsidRPr="008A572D">
              <w:rPr>
                <w:sz w:val="18"/>
                <w:szCs w:val="18"/>
                <w:lang w:val="en-GB"/>
              </w:rPr>
              <w:t>24</w:t>
            </w:r>
          </w:p>
        </w:tc>
        <w:tc>
          <w:tcPr>
            <w:tcW w:w="3946" w:type="dxa"/>
          </w:tcPr>
          <w:p w14:paraId="11B54430" w14:textId="77777777" w:rsidR="00F53750" w:rsidRPr="008A572D" w:rsidRDefault="00F53750">
            <w:pPr>
              <w:pStyle w:val="Normalnumber"/>
              <w:numPr>
                <w:ilvl w:val="0"/>
                <w:numId w:val="0"/>
              </w:numPr>
              <w:rPr>
                <w:sz w:val="18"/>
                <w:szCs w:val="18"/>
                <w:lang w:val="en-GB"/>
              </w:rPr>
            </w:pPr>
            <w:r w:rsidRPr="008A572D">
              <w:rPr>
                <w:sz w:val="18"/>
                <w:szCs w:val="18"/>
                <w:lang w:val="en-GB"/>
              </w:rPr>
              <w:t>9 (4 developing countries, 1 country with economy in transition, 3 least developed countries, 1 small island developing state)</w:t>
            </w:r>
          </w:p>
        </w:tc>
        <w:tc>
          <w:tcPr>
            <w:tcW w:w="1789" w:type="dxa"/>
          </w:tcPr>
          <w:p w14:paraId="7205AA12" w14:textId="3CCE3ED4" w:rsidR="00F53750" w:rsidRPr="008A572D" w:rsidRDefault="00F53750">
            <w:pPr>
              <w:pStyle w:val="Normalnumber"/>
              <w:numPr>
                <w:ilvl w:val="0"/>
                <w:numId w:val="0"/>
              </w:numPr>
              <w:rPr>
                <w:sz w:val="18"/>
                <w:szCs w:val="18"/>
                <w:lang w:val="en-GB"/>
              </w:rPr>
            </w:pPr>
            <w:r w:rsidRPr="008A572D">
              <w:rPr>
                <w:sz w:val="18"/>
                <w:szCs w:val="18"/>
                <w:lang w:val="en-GB"/>
              </w:rPr>
              <w:t>All ongoing (6 to be completed in 2025, 2 in 2026, 1 in 2027)</w:t>
            </w:r>
          </w:p>
        </w:tc>
      </w:tr>
      <w:tr w:rsidR="00F53750" w14:paraId="645FD1D6" w14:textId="77777777">
        <w:trPr>
          <w:trHeight w:val="300"/>
        </w:trPr>
        <w:tc>
          <w:tcPr>
            <w:tcW w:w="1410" w:type="dxa"/>
          </w:tcPr>
          <w:p w14:paraId="4BB117A3" w14:textId="77777777" w:rsidR="00F53750" w:rsidRPr="008A572D" w:rsidRDefault="00F53750">
            <w:pPr>
              <w:pStyle w:val="Normalnumber"/>
              <w:numPr>
                <w:ilvl w:val="0"/>
                <w:numId w:val="0"/>
              </w:numPr>
              <w:rPr>
                <w:sz w:val="18"/>
                <w:szCs w:val="18"/>
                <w:lang w:val="en-GB"/>
              </w:rPr>
            </w:pPr>
            <w:r w:rsidRPr="008A572D">
              <w:rPr>
                <w:sz w:val="18"/>
                <w:szCs w:val="18"/>
                <w:lang w:val="en-GB"/>
              </w:rPr>
              <w:t>Fourth round (2024-2025)</w:t>
            </w:r>
          </w:p>
        </w:tc>
        <w:tc>
          <w:tcPr>
            <w:tcW w:w="1141" w:type="dxa"/>
          </w:tcPr>
          <w:p w14:paraId="63E4A679" w14:textId="77777777" w:rsidR="00F53750" w:rsidRPr="008A572D" w:rsidRDefault="00F53750">
            <w:pPr>
              <w:pStyle w:val="Normalnumber"/>
              <w:numPr>
                <w:ilvl w:val="0"/>
                <w:numId w:val="0"/>
              </w:numPr>
              <w:rPr>
                <w:sz w:val="18"/>
                <w:szCs w:val="18"/>
                <w:lang w:val="en-GB"/>
              </w:rPr>
            </w:pPr>
            <w:r w:rsidRPr="008A572D">
              <w:rPr>
                <w:sz w:val="18"/>
                <w:szCs w:val="18"/>
                <w:lang w:val="en-GB"/>
              </w:rPr>
              <w:t xml:space="preserve">36 </w:t>
            </w:r>
          </w:p>
        </w:tc>
        <w:tc>
          <w:tcPr>
            <w:tcW w:w="3946" w:type="dxa"/>
          </w:tcPr>
          <w:p w14:paraId="55D35D20" w14:textId="77777777" w:rsidR="00F53750" w:rsidRPr="008A572D" w:rsidRDefault="00F53750">
            <w:pPr>
              <w:pStyle w:val="Normalnumber"/>
              <w:numPr>
                <w:ilvl w:val="0"/>
                <w:numId w:val="0"/>
              </w:numPr>
              <w:rPr>
                <w:sz w:val="18"/>
                <w:szCs w:val="18"/>
                <w:lang w:val="en-GB"/>
              </w:rPr>
            </w:pPr>
            <w:r w:rsidRPr="008A572D">
              <w:rPr>
                <w:sz w:val="18"/>
                <w:szCs w:val="18"/>
                <w:lang w:val="en-GB"/>
              </w:rPr>
              <w:t>10 (3 developing countries, 2 countries with economy in transition, 5 least developed countries)</w:t>
            </w:r>
          </w:p>
        </w:tc>
        <w:tc>
          <w:tcPr>
            <w:tcW w:w="1789" w:type="dxa"/>
          </w:tcPr>
          <w:p w14:paraId="28A8876B" w14:textId="77777777" w:rsidR="00F53750" w:rsidRPr="008A572D" w:rsidRDefault="00F53750">
            <w:pPr>
              <w:pStyle w:val="Normalnumber"/>
              <w:numPr>
                <w:ilvl w:val="0"/>
                <w:numId w:val="0"/>
              </w:numPr>
              <w:rPr>
                <w:sz w:val="18"/>
                <w:szCs w:val="18"/>
                <w:lang w:val="en-GB"/>
              </w:rPr>
            </w:pPr>
            <w:r w:rsidRPr="008A572D">
              <w:rPr>
                <w:sz w:val="18"/>
                <w:szCs w:val="18"/>
                <w:lang w:val="en-GB"/>
              </w:rPr>
              <w:t>Approved (legal agreements are being drafted)</w:t>
            </w:r>
          </w:p>
        </w:tc>
      </w:tr>
    </w:tbl>
    <w:p w14:paraId="221DAF73" w14:textId="18988500" w:rsidR="00F53750" w:rsidRPr="008A572D" w:rsidRDefault="00F53750" w:rsidP="00403EAA">
      <w:pPr>
        <w:pStyle w:val="Normalnumber"/>
        <w:spacing w:before="120"/>
        <w:ind w:left="1247"/>
        <w:rPr>
          <w:lang w:val="en-GB"/>
        </w:rPr>
      </w:pPr>
      <w:r w:rsidRPr="008A572D">
        <w:rPr>
          <w:lang w:val="en-GB"/>
        </w:rPr>
        <w:t xml:space="preserve">The total Specific International Programme funding allocated to the 34 projects approved in the four rounds of applications amounts to </w:t>
      </w:r>
      <w:r w:rsidR="00B83AB8" w:rsidRPr="003A64E1">
        <w:rPr>
          <w:lang w:val="en-GB"/>
        </w:rPr>
        <w:t>$</w:t>
      </w:r>
      <w:r w:rsidRPr="008A572D">
        <w:rPr>
          <w:lang w:val="en-GB"/>
        </w:rPr>
        <w:t>7,237,699 (</w:t>
      </w:r>
      <w:r w:rsidR="00B83AB8" w:rsidRPr="003A64E1">
        <w:rPr>
          <w:lang w:val="en-GB"/>
        </w:rPr>
        <w:t>$</w:t>
      </w:r>
      <w:r w:rsidRPr="008A572D">
        <w:rPr>
          <w:lang w:val="en-GB"/>
        </w:rPr>
        <w:t>8,178,598 inclusive of PSC).</w:t>
      </w:r>
    </w:p>
    <w:p w14:paraId="67E084B9" w14:textId="2C62715E" w:rsidR="00F53750" w:rsidRPr="00403EAA" w:rsidRDefault="00157AD5" w:rsidP="00403EAA">
      <w:pPr>
        <w:spacing w:after="120"/>
        <w:rPr>
          <w:b/>
          <w:bCs/>
          <w:sz w:val="22"/>
          <w:szCs w:val="22"/>
        </w:rPr>
      </w:pPr>
      <w:r>
        <w:rPr>
          <w:b/>
          <w:bCs/>
          <w:sz w:val="22"/>
          <w:szCs w:val="22"/>
        </w:rPr>
        <w:tab/>
        <w:t>C.</w:t>
      </w:r>
      <w:r>
        <w:rPr>
          <w:b/>
          <w:bCs/>
          <w:sz w:val="22"/>
          <w:szCs w:val="22"/>
        </w:rPr>
        <w:tab/>
      </w:r>
      <w:r w:rsidR="00F53750" w:rsidRPr="00403EAA">
        <w:rPr>
          <w:b/>
          <w:bCs/>
          <w:sz w:val="22"/>
          <w:szCs w:val="22"/>
        </w:rPr>
        <w:t xml:space="preserve">Overview of SIP results of completed </w:t>
      </w:r>
      <w:r w:rsidR="00A13B63" w:rsidRPr="00403EAA">
        <w:rPr>
          <w:b/>
          <w:bCs/>
          <w:sz w:val="22"/>
          <w:szCs w:val="22"/>
        </w:rPr>
        <w:t xml:space="preserve">and ongoing </w:t>
      </w:r>
      <w:r w:rsidR="00F53750" w:rsidRPr="00403EAA">
        <w:rPr>
          <w:b/>
          <w:bCs/>
          <w:sz w:val="22"/>
          <w:szCs w:val="22"/>
        </w:rPr>
        <w:t>projects </w:t>
      </w:r>
    </w:p>
    <w:p w14:paraId="4681E9A5" w14:textId="50EA187F" w:rsidR="008B2C5E" w:rsidRPr="00185546" w:rsidRDefault="1E3BF71A" w:rsidP="00403EAA">
      <w:pPr>
        <w:pStyle w:val="Normalnumber"/>
        <w:ind w:left="1247"/>
        <w:rPr>
          <w:lang w:val="en-GB"/>
        </w:rPr>
      </w:pPr>
      <w:r w:rsidRPr="7B15E48A">
        <w:rPr>
          <w:lang w:val="en-GB"/>
        </w:rPr>
        <w:t xml:space="preserve">The </w:t>
      </w:r>
      <w:r w:rsidR="1453186A" w:rsidRPr="7B15E48A">
        <w:rPr>
          <w:lang w:val="en-GB"/>
        </w:rPr>
        <w:t>figure</w:t>
      </w:r>
      <w:r w:rsidR="66804935" w:rsidRPr="7B15E48A">
        <w:rPr>
          <w:lang w:val="en-GB"/>
        </w:rPr>
        <w:t xml:space="preserve"> below</w:t>
      </w:r>
      <w:r w:rsidR="1453186A" w:rsidRPr="7B15E48A">
        <w:rPr>
          <w:lang w:val="en-GB"/>
        </w:rPr>
        <w:t xml:space="preserve">, </w:t>
      </w:r>
      <w:r w:rsidR="2B5CF977" w:rsidRPr="7B15E48A">
        <w:rPr>
          <w:lang w:val="en-GB"/>
        </w:rPr>
        <w:t>extracted from the dashboard</w:t>
      </w:r>
      <w:r w:rsidRPr="7B15E48A">
        <w:rPr>
          <w:lang w:val="en-GB"/>
        </w:rPr>
        <w:t xml:space="preserve"> of </w:t>
      </w:r>
      <w:r w:rsidR="2B5CF977" w:rsidRPr="7B15E48A">
        <w:rPr>
          <w:lang w:val="en-GB"/>
        </w:rPr>
        <w:t>the Specific International Programme,</w:t>
      </w:r>
      <w:r w:rsidR="66804935" w:rsidRPr="7B15E48A">
        <w:rPr>
          <w:lang w:val="en-GB"/>
        </w:rPr>
        <w:t xml:space="preserve"> provide an overview of the </w:t>
      </w:r>
      <w:r w:rsidR="0B2FF3EF" w:rsidRPr="7B15E48A">
        <w:rPr>
          <w:lang w:val="en-GB"/>
        </w:rPr>
        <w:t xml:space="preserve">project </w:t>
      </w:r>
      <w:r w:rsidR="5226CEF7" w:rsidRPr="7B15E48A">
        <w:rPr>
          <w:lang w:val="en-GB"/>
        </w:rPr>
        <w:t xml:space="preserve">topics </w:t>
      </w:r>
      <w:r w:rsidR="0B2FF3EF" w:rsidRPr="7B15E48A">
        <w:rPr>
          <w:lang w:val="en-GB"/>
        </w:rPr>
        <w:t>and relevant</w:t>
      </w:r>
      <w:r w:rsidR="5226CEF7" w:rsidRPr="7B15E48A">
        <w:rPr>
          <w:lang w:val="en-GB"/>
        </w:rPr>
        <w:t xml:space="preserve"> </w:t>
      </w:r>
      <w:r w:rsidR="375991ED" w:rsidRPr="7B15E48A">
        <w:rPr>
          <w:lang w:val="en-GB"/>
        </w:rPr>
        <w:t>Convention articles t</w:t>
      </w:r>
      <w:r w:rsidR="642BAA56" w:rsidRPr="7B15E48A">
        <w:rPr>
          <w:lang w:val="en-GB"/>
        </w:rPr>
        <w:t xml:space="preserve">o which </w:t>
      </w:r>
      <w:r w:rsidR="375991ED" w:rsidRPr="7B15E48A">
        <w:rPr>
          <w:lang w:val="en-GB"/>
        </w:rPr>
        <w:t>the</w:t>
      </w:r>
      <w:r w:rsidR="59041D10" w:rsidRPr="7B15E48A">
        <w:rPr>
          <w:lang w:val="en-GB"/>
        </w:rPr>
        <w:t xml:space="preserve"> 34 projects funded by the Specific International Programme </w:t>
      </w:r>
      <w:r w:rsidR="642BAA56" w:rsidRPr="7B15E48A">
        <w:rPr>
          <w:lang w:val="en-GB"/>
        </w:rPr>
        <w:t>have</w:t>
      </w:r>
      <w:r w:rsidR="59041D10" w:rsidRPr="7B15E48A">
        <w:rPr>
          <w:lang w:val="en-GB"/>
        </w:rPr>
        <w:t xml:space="preserve"> </w:t>
      </w:r>
      <w:r w:rsidR="375991ED" w:rsidRPr="7B15E48A">
        <w:rPr>
          <w:lang w:val="en-GB"/>
        </w:rPr>
        <w:t>contributed</w:t>
      </w:r>
      <w:r w:rsidR="59041D10" w:rsidRPr="7B15E48A">
        <w:rPr>
          <w:lang w:val="en-GB"/>
        </w:rPr>
        <w:t>.</w:t>
      </w:r>
    </w:p>
    <w:p w14:paraId="49B96C6B" w14:textId="667B830F" w:rsidR="003F5DEC" w:rsidRDefault="14E50B62" w:rsidP="004A5EDF">
      <w:pPr>
        <w:pStyle w:val="Normalnumber"/>
        <w:keepNext/>
        <w:numPr>
          <w:ilvl w:val="0"/>
          <w:numId w:val="0"/>
        </w:numPr>
        <w:ind w:left="1247"/>
        <w:jc w:val="both"/>
        <w:rPr>
          <w:b/>
          <w:bCs/>
          <w:lang w:val="en-GB"/>
        </w:rPr>
      </w:pPr>
      <w:r w:rsidRPr="00403EAA">
        <w:rPr>
          <w:lang w:val="en-GB"/>
        </w:rPr>
        <w:lastRenderedPageBreak/>
        <w:t xml:space="preserve">Figure </w:t>
      </w:r>
      <w:r w:rsidR="62D04F42" w:rsidRPr="00403EAA">
        <w:rPr>
          <w:lang w:val="en-GB"/>
        </w:rPr>
        <w:t>1</w:t>
      </w:r>
      <w:r w:rsidRPr="00403EAA">
        <w:rPr>
          <w:lang w:val="en-GB"/>
        </w:rPr>
        <w:t>:</w:t>
      </w:r>
      <w:r w:rsidRPr="7B15E48A">
        <w:rPr>
          <w:b/>
          <w:bCs/>
          <w:lang w:val="en-GB"/>
        </w:rPr>
        <w:t xml:space="preserve"> Breakdown of projects based on the Convention articles </w:t>
      </w:r>
      <w:r w:rsidR="50D4E0B6" w:rsidRPr="7B15E48A">
        <w:rPr>
          <w:b/>
          <w:bCs/>
          <w:lang w:val="en-GB"/>
        </w:rPr>
        <w:t>t</w:t>
      </w:r>
      <w:r w:rsidRPr="7B15E48A">
        <w:rPr>
          <w:b/>
          <w:bCs/>
          <w:lang w:val="en-GB"/>
        </w:rPr>
        <w:t>o</w:t>
      </w:r>
      <w:r w:rsidR="50D4E0B6" w:rsidRPr="7B15E48A">
        <w:rPr>
          <w:b/>
          <w:bCs/>
          <w:lang w:val="en-GB"/>
        </w:rPr>
        <w:t xml:space="preserve"> which </w:t>
      </w:r>
      <w:r w:rsidRPr="7B15E48A">
        <w:rPr>
          <w:b/>
          <w:bCs/>
          <w:lang w:val="en-GB"/>
        </w:rPr>
        <w:t>they contributed</w:t>
      </w:r>
    </w:p>
    <w:p w14:paraId="58206811" w14:textId="167DBCCD" w:rsidR="00815C88" w:rsidRPr="00945640" w:rsidRDefault="1F73E766" w:rsidP="00403EAA">
      <w:pPr>
        <w:pStyle w:val="Normalnumber"/>
        <w:keepNext/>
        <w:numPr>
          <w:ilvl w:val="0"/>
          <w:numId w:val="0"/>
        </w:numPr>
        <w:ind w:left="1191"/>
        <w:jc w:val="both"/>
        <w:rPr>
          <w:b/>
          <w:bCs/>
          <w:lang w:val="en-GB"/>
        </w:rPr>
      </w:pPr>
      <w:r>
        <w:rPr>
          <w:noProof/>
        </w:rPr>
        <w:drawing>
          <wp:inline distT="0" distB="0" distL="0" distR="0" wp14:anchorId="3D818C2E" wp14:editId="61AEE72C">
            <wp:extent cx="5278837" cy="2683540"/>
            <wp:effectExtent l="0" t="0" r="0" b="2540"/>
            <wp:docPr id="630642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23937" cy="2706467"/>
                    </a:xfrm>
                    <a:prstGeom prst="rect">
                      <a:avLst/>
                    </a:prstGeom>
                    <a:noFill/>
                  </pic:spPr>
                </pic:pic>
              </a:graphicData>
            </a:graphic>
          </wp:inline>
        </w:drawing>
      </w:r>
    </w:p>
    <w:p w14:paraId="2B50A505" w14:textId="3524398E" w:rsidR="00F53750" w:rsidRPr="004841E2" w:rsidRDefault="46378E7B" w:rsidP="00403EAA">
      <w:pPr>
        <w:pStyle w:val="Normalnumber"/>
        <w:spacing w:before="120"/>
        <w:ind w:left="1247"/>
        <w:rPr>
          <w:lang w:val="en-GB"/>
        </w:rPr>
      </w:pPr>
      <w:r w:rsidRPr="7B15E48A">
        <w:rPr>
          <w:lang w:val="en-GB"/>
        </w:rPr>
        <w:t xml:space="preserve">Each project </w:t>
      </w:r>
      <w:r w:rsidR="41EE108A" w:rsidRPr="7B15E48A">
        <w:rPr>
          <w:lang w:val="en-GB"/>
        </w:rPr>
        <w:t>of the Specific International Programme</w:t>
      </w:r>
      <w:r w:rsidRPr="7B15E48A">
        <w:rPr>
          <w:lang w:val="en-GB"/>
        </w:rPr>
        <w:t xml:space="preserve"> </w:t>
      </w:r>
      <w:r w:rsidR="45368AF3" w:rsidRPr="7B15E48A">
        <w:rPr>
          <w:lang w:val="en-GB"/>
        </w:rPr>
        <w:t xml:space="preserve">is designed to </w:t>
      </w:r>
      <w:r w:rsidR="2E4DB45F" w:rsidRPr="7B15E48A">
        <w:rPr>
          <w:lang w:val="en-GB"/>
        </w:rPr>
        <w:t xml:space="preserve">fulfil the obligations </w:t>
      </w:r>
      <w:r w:rsidR="45368AF3" w:rsidRPr="7B15E48A">
        <w:rPr>
          <w:lang w:val="en-GB"/>
        </w:rPr>
        <w:t xml:space="preserve">of </w:t>
      </w:r>
      <w:r w:rsidRPr="7B15E48A">
        <w:rPr>
          <w:lang w:val="en-GB"/>
        </w:rPr>
        <w:t xml:space="preserve">one or more control articles of the </w:t>
      </w:r>
      <w:r w:rsidR="45368AF3" w:rsidRPr="7B15E48A">
        <w:rPr>
          <w:lang w:val="en-GB"/>
        </w:rPr>
        <w:t xml:space="preserve">Minamata </w:t>
      </w:r>
      <w:r w:rsidRPr="7B15E48A">
        <w:rPr>
          <w:lang w:val="en-GB"/>
        </w:rPr>
        <w:t>Convention</w:t>
      </w:r>
      <w:r w:rsidR="6327CF6F" w:rsidRPr="7B15E48A">
        <w:rPr>
          <w:lang w:val="en-GB"/>
        </w:rPr>
        <w:t>,</w:t>
      </w:r>
      <w:r w:rsidR="4DBA56CB" w:rsidRPr="7B15E48A">
        <w:rPr>
          <w:lang w:val="en-GB"/>
        </w:rPr>
        <w:t xml:space="preserve"> </w:t>
      </w:r>
      <w:r w:rsidR="6327CF6F" w:rsidRPr="7B15E48A">
        <w:rPr>
          <w:lang w:val="en-GB"/>
        </w:rPr>
        <w:t>and i</w:t>
      </w:r>
      <w:r w:rsidR="1258BF38" w:rsidRPr="7B15E48A">
        <w:rPr>
          <w:lang w:val="en-GB"/>
        </w:rPr>
        <w:t>n doing so</w:t>
      </w:r>
      <w:r w:rsidRPr="7B15E48A">
        <w:rPr>
          <w:lang w:val="en-GB"/>
        </w:rPr>
        <w:t xml:space="preserve">, the project also </w:t>
      </w:r>
      <w:r w:rsidR="1258BF38" w:rsidRPr="7B15E48A">
        <w:rPr>
          <w:lang w:val="en-GB"/>
        </w:rPr>
        <w:t>contributes to</w:t>
      </w:r>
      <w:r w:rsidRPr="7B15E48A">
        <w:rPr>
          <w:lang w:val="en-GB"/>
        </w:rPr>
        <w:t xml:space="preserve"> the </w:t>
      </w:r>
      <w:r w:rsidR="1258BF38" w:rsidRPr="7B15E48A">
        <w:rPr>
          <w:lang w:val="en-GB"/>
        </w:rPr>
        <w:t xml:space="preserve">Party’s efforts to </w:t>
      </w:r>
      <w:r w:rsidR="2E4DB45F" w:rsidRPr="7B15E48A">
        <w:rPr>
          <w:lang w:val="en-GB"/>
        </w:rPr>
        <w:t>implement</w:t>
      </w:r>
      <w:r w:rsidRPr="7B15E48A">
        <w:rPr>
          <w:lang w:val="en-GB"/>
        </w:rPr>
        <w:t xml:space="preserve"> other </w:t>
      </w:r>
      <w:r w:rsidR="1258BF38" w:rsidRPr="7B15E48A">
        <w:rPr>
          <w:lang w:val="en-GB"/>
        </w:rPr>
        <w:t xml:space="preserve">relevant </w:t>
      </w:r>
      <w:r w:rsidRPr="7B15E48A">
        <w:rPr>
          <w:lang w:val="en-GB"/>
        </w:rPr>
        <w:t>articles.</w:t>
      </w:r>
      <w:r w:rsidR="4AFF3748" w:rsidRPr="7B15E48A">
        <w:rPr>
          <w:lang w:val="en-GB"/>
        </w:rPr>
        <w:t xml:space="preserve"> </w:t>
      </w:r>
      <w:r w:rsidR="10BAC6EE" w:rsidRPr="7B15E48A">
        <w:rPr>
          <w:lang w:val="en-GB"/>
        </w:rPr>
        <w:t xml:space="preserve">A </w:t>
      </w:r>
      <w:r w:rsidR="50633383" w:rsidRPr="7B15E48A">
        <w:rPr>
          <w:lang w:val="en-GB"/>
        </w:rPr>
        <w:t xml:space="preserve">high </w:t>
      </w:r>
      <w:r w:rsidR="10BAC6EE" w:rsidRPr="7B15E48A">
        <w:rPr>
          <w:lang w:val="en-GB"/>
        </w:rPr>
        <w:t xml:space="preserve">number </w:t>
      </w:r>
      <w:r w:rsidR="1E3BF71A" w:rsidRPr="7B15E48A">
        <w:rPr>
          <w:lang w:val="en-GB"/>
        </w:rPr>
        <w:t>of approved</w:t>
      </w:r>
      <w:r w:rsidR="6114ACEA" w:rsidRPr="7B15E48A">
        <w:rPr>
          <w:lang w:val="en-GB"/>
        </w:rPr>
        <w:t xml:space="preserve"> projects</w:t>
      </w:r>
      <w:r w:rsidR="1F8A0FCD" w:rsidRPr="7B15E48A">
        <w:rPr>
          <w:lang w:val="en-GB"/>
        </w:rPr>
        <w:t xml:space="preserve"> to date</w:t>
      </w:r>
      <w:r w:rsidR="6114ACEA" w:rsidRPr="7B15E48A">
        <w:rPr>
          <w:lang w:val="en-GB"/>
        </w:rPr>
        <w:t xml:space="preserve"> </w:t>
      </w:r>
      <w:r w:rsidR="5BEBB00B" w:rsidRPr="7B15E48A">
        <w:rPr>
          <w:lang w:val="en-GB"/>
        </w:rPr>
        <w:t xml:space="preserve">have </w:t>
      </w:r>
      <w:r w:rsidR="1F8A0FCD" w:rsidRPr="7B15E48A">
        <w:rPr>
          <w:lang w:val="en-GB"/>
        </w:rPr>
        <w:t xml:space="preserve">worked towards phasing down mercury-added products and </w:t>
      </w:r>
      <w:r w:rsidR="3B015438" w:rsidRPr="7B15E48A">
        <w:rPr>
          <w:lang w:val="en-GB"/>
        </w:rPr>
        <w:t xml:space="preserve">ensuring the environmentally sound management of associated waste, thereby advancing the implementation of </w:t>
      </w:r>
      <w:r w:rsidR="5CB6D442" w:rsidRPr="7B15E48A">
        <w:rPr>
          <w:lang w:val="en-GB"/>
        </w:rPr>
        <w:t>a</w:t>
      </w:r>
      <w:r w:rsidR="3B015438" w:rsidRPr="7B15E48A">
        <w:rPr>
          <w:lang w:val="en-GB"/>
        </w:rPr>
        <w:t>rticle</w:t>
      </w:r>
      <w:r w:rsidR="4E25D1C2" w:rsidRPr="7B15E48A">
        <w:rPr>
          <w:lang w:val="en-GB"/>
        </w:rPr>
        <w:t>s</w:t>
      </w:r>
      <w:r w:rsidR="3B015438" w:rsidRPr="7B15E48A">
        <w:rPr>
          <w:lang w:val="en-GB"/>
        </w:rPr>
        <w:t xml:space="preserve"> 4 </w:t>
      </w:r>
      <w:r w:rsidR="5CB6D442" w:rsidRPr="7B15E48A">
        <w:rPr>
          <w:lang w:val="en-GB"/>
        </w:rPr>
        <w:t xml:space="preserve">and 11 </w:t>
      </w:r>
      <w:r w:rsidR="3B015438" w:rsidRPr="7B15E48A">
        <w:rPr>
          <w:lang w:val="en-GB"/>
        </w:rPr>
        <w:t>of the Convention.</w:t>
      </w:r>
      <w:r w:rsidR="7C8DD23B" w:rsidRPr="7B15E48A">
        <w:rPr>
          <w:lang w:val="en-GB"/>
        </w:rPr>
        <w:t xml:space="preserve"> </w:t>
      </w:r>
      <w:r w:rsidR="5BEBB00B" w:rsidRPr="7B15E48A">
        <w:rPr>
          <w:lang w:val="en-GB"/>
        </w:rPr>
        <w:t>These projects</w:t>
      </w:r>
      <w:r w:rsidR="71675915" w:rsidRPr="7B15E48A">
        <w:rPr>
          <w:lang w:val="en-GB"/>
        </w:rPr>
        <w:t xml:space="preserve"> </w:t>
      </w:r>
      <w:r w:rsidR="2E4C49F6" w:rsidRPr="7B15E48A">
        <w:rPr>
          <w:lang w:val="en-GB"/>
        </w:rPr>
        <w:t xml:space="preserve">have implemented activities aimed at </w:t>
      </w:r>
      <w:r w:rsidR="5BEBB00B" w:rsidRPr="7B15E48A">
        <w:rPr>
          <w:lang w:val="en-GB"/>
        </w:rPr>
        <w:t>assess</w:t>
      </w:r>
      <w:r w:rsidR="2E4C49F6" w:rsidRPr="7B15E48A">
        <w:rPr>
          <w:lang w:val="en-GB"/>
        </w:rPr>
        <w:t>ing</w:t>
      </w:r>
      <w:r w:rsidR="5BEBB00B" w:rsidRPr="7B15E48A">
        <w:rPr>
          <w:lang w:val="en-GB"/>
        </w:rPr>
        <w:t xml:space="preserve"> the </w:t>
      </w:r>
      <w:r w:rsidR="6114ACEA" w:rsidRPr="7B15E48A">
        <w:rPr>
          <w:lang w:val="en-GB"/>
        </w:rPr>
        <w:t>flows</w:t>
      </w:r>
      <w:r w:rsidR="5BEBB00B" w:rsidRPr="7B15E48A">
        <w:rPr>
          <w:lang w:val="en-GB"/>
        </w:rPr>
        <w:t xml:space="preserve"> of mercury-added products</w:t>
      </w:r>
      <w:r w:rsidR="6114ACEA" w:rsidRPr="7B15E48A">
        <w:rPr>
          <w:lang w:val="en-GB"/>
        </w:rPr>
        <w:t>, promoting their phase out, updating the</w:t>
      </w:r>
      <w:r w:rsidR="5BEBB00B" w:rsidRPr="7B15E48A">
        <w:rPr>
          <w:lang w:val="en-GB"/>
        </w:rPr>
        <w:t xml:space="preserve"> countries’</w:t>
      </w:r>
      <w:r w:rsidR="6114ACEA" w:rsidRPr="7B15E48A">
        <w:rPr>
          <w:lang w:val="en-GB"/>
        </w:rPr>
        <w:t xml:space="preserve"> regulatory framework</w:t>
      </w:r>
      <w:r w:rsidR="5BEBB00B" w:rsidRPr="7B15E48A">
        <w:rPr>
          <w:lang w:val="en-GB"/>
        </w:rPr>
        <w:t>s</w:t>
      </w:r>
      <w:r w:rsidR="6114ACEA" w:rsidRPr="7B15E48A">
        <w:rPr>
          <w:lang w:val="en-GB"/>
        </w:rPr>
        <w:t>, strengthening national capacities and raising public awareness.</w:t>
      </w:r>
    </w:p>
    <w:p w14:paraId="4FD7754D" w14:textId="596012D1" w:rsidR="00F53750" w:rsidRPr="00731EB0" w:rsidRDefault="00EA13E8" w:rsidP="00403EAA">
      <w:pPr>
        <w:pStyle w:val="Normalnumber"/>
        <w:ind w:left="1247"/>
        <w:rPr>
          <w:lang w:val="en-GB"/>
        </w:rPr>
      </w:pPr>
      <w:r>
        <w:rPr>
          <w:lang w:val="en-GB"/>
        </w:rPr>
        <w:t xml:space="preserve">Several projects </w:t>
      </w:r>
      <w:r w:rsidR="00EA00F0">
        <w:rPr>
          <w:lang w:val="en-GB"/>
        </w:rPr>
        <w:t>have resulted in</w:t>
      </w:r>
      <w:r>
        <w:rPr>
          <w:lang w:val="en-GB"/>
        </w:rPr>
        <w:t xml:space="preserve"> the a</w:t>
      </w:r>
      <w:r w:rsidR="00255654">
        <w:rPr>
          <w:lang w:val="en-GB"/>
        </w:rPr>
        <w:t xml:space="preserve">doption or </w:t>
      </w:r>
      <w:r w:rsidR="00EA00F0">
        <w:rPr>
          <w:lang w:val="en-GB"/>
        </w:rPr>
        <w:t>revision</w:t>
      </w:r>
      <w:r w:rsidR="00255654">
        <w:rPr>
          <w:lang w:val="en-GB"/>
        </w:rPr>
        <w:t xml:space="preserve"> of mercury-related legislation</w:t>
      </w:r>
      <w:r w:rsidR="00EA00F0">
        <w:rPr>
          <w:lang w:val="en-GB"/>
        </w:rPr>
        <w:t xml:space="preserve">, and the development of </w:t>
      </w:r>
      <w:r w:rsidR="0020008B">
        <w:rPr>
          <w:lang w:val="en-GB"/>
        </w:rPr>
        <w:t>national strategies</w:t>
      </w:r>
      <w:r w:rsidR="00255654">
        <w:rPr>
          <w:lang w:val="en-GB"/>
        </w:rPr>
        <w:t>.</w:t>
      </w:r>
      <w:r w:rsidR="0020008B" w:rsidRPr="00731EB0">
        <w:rPr>
          <w:lang w:val="en-GB"/>
        </w:rPr>
        <w:t xml:space="preserve"> </w:t>
      </w:r>
      <w:r w:rsidR="00370A71">
        <w:rPr>
          <w:lang w:val="en-GB"/>
        </w:rPr>
        <w:t xml:space="preserve">In addition, </w:t>
      </w:r>
      <w:r w:rsidR="00960952">
        <w:rPr>
          <w:lang w:val="en-GB"/>
        </w:rPr>
        <w:t>most</w:t>
      </w:r>
      <w:r w:rsidR="00331194">
        <w:rPr>
          <w:lang w:val="en-GB"/>
        </w:rPr>
        <w:t xml:space="preserve"> approved projects </w:t>
      </w:r>
      <w:r w:rsidR="00C02FFD">
        <w:rPr>
          <w:lang w:val="en-GB"/>
        </w:rPr>
        <w:t xml:space="preserve">have </w:t>
      </w:r>
      <w:r w:rsidR="00331194">
        <w:rPr>
          <w:lang w:val="en-GB"/>
        </w:rPr>
        <w:t xml:space="preserve">implemented activities aimed at training </w:t>
      </w:r>
      <w:r w:rsidR="00386012">
        <w:rPr>
          <w:lang w:val="en-GB"/>
        </w:rPr>
        <w:t xml:space="preserve">various institutions and stakeholders </w:t>
      </w:r>
      <w:r w:rsidR="00C02FFD">
        <w:rPr>
          <w:lang w:val="en-GB"/>
        </w:rPr>
        <w:t>for improved</w:t>
      </w:r>
      <w:r w:rsidR="000A569E">
        <w:rPr>
          <w:lang w:val="en-GB"/>
        </w:rPr>
        <w:t xml:space="preserve"> mercury management</w:t>
      </w:r>
      <w:r w:rsidR="00056C1D">
        <w:rPr>
          <w:lang w:val="en-GB"/>
        </w:rPr>
        <w:t xml:space="preserve">, as well as </w:t>
      </w:r>
      <w:r w:rsidR="000A569E">
        <w:rPr>
          <w:lang w:val="en-GB"/>
        </w:rPr>
        <w:t xml:space="preserve">raising public awareness </w:t>
      </w:r>
      <w:r w:rsidR="00056C1D">
        <w:rPr>
          <w:lang w:val="en-GB"/>
        </w:rPr>
        <w:t xml:space="preserve">of </w:t>
      </w:r>
      <w:r w:rsidR="000A569E">
        <w:rPr>
          <w:lang w:val="en-GB"/>
        </w:rPr>
        <w:t>mercury</w:t>
      </w:r>
      <w:r w:rsidR="00056C1D">
        <w:rPr>
          <w:lang w:val="en-GB"/>
        </w:rPr>
        <w:t>’s harmful effects</w:t>
      </w:r>
      <w:r w:rsidR="00C70A93">
        <w:rPr>
          <w:lang w:val="en-GB"/>
        </w:rPr>
        <w:t>.</w:t>
      </w:r>
      <w:r w:rsidR="000D25A7" w:rsidRPr="00731EB0">
        <w:rPr>
          <w:lang w:val="en-GB"/>
        </w:rPr>
        <w:t xml:space="preserve"> </w:t>
      </w:r>
    </w:p>
    <w:p w14:paraId="11D5F209" w14:textId="69597FA4" w:rsidR="001931CE" w:rsidRPr="008A572D" w:rsidRDefault="00EA4F53" w:rsidP="00403EAA">
      <w:pPr>
        <w:pStyle w:val="Normalnumber"/>
        <w:ind w:left="1247"/>
        <w:rPr>
          <w:lang w:val="en-GB"/>
        </w:rPr>
      </w:pPr>
      <w:r w:rsidRPr="00EA4F53">
        <w:rPr>
          <w:lang w:val="en-GB"/>
        </w:rPr>
        <w:t xml:space="preserve">Three projects </w:t>
      </w:r>
      <w:r>
        <w:rPr>
          <w:lang w:val="en-GB"/>
        </w:rPr>
        <w:t xml:space="preserve">have been </w:t>
      </w:r>
      <w:r w:rsidRPr="00EA4F53">
        <w:rPr>
          <w:lang w:val="en-GB"/>
        </w:rPr>
        <w:t xml:space="preserve">implemented at the regional level. One </w:t>
      </w:r>
      <w:r w:rsidR="00BF5450">
        <w:rPr>
          <w:lang w:val="en-GB"/>
        </w:rPr>
        <w:t xml:space="preserve">of these </w:t>
      </w:r>
      <w:r>
        <w:rPr>
          <w:lang w:val="en-GB"/>
        </w:rPr>
        <w:t xml:space="preserve">has </w:t>
      </w:r>
      <w:r w:rsidRPr="00EA4F53">
        <w:rPr>
          <w:lang w:val="en-GB"/>
        </w:rPr>
        <w:t xml:space="preserve">established a regional laboratory hub in the Caribbean </w:t>
      </w:r>
      <w:r w:rsidR="00725B55">
        <w:rPr>
          <w:lang w:val="en-GB"/>
        </w:rPr>
        <w:t xml:space="preserve">region </w:t>
      </w:r>
      <w:r w:rsidRPr="00EA4F53">
        <w:rPr>
          <w:lang w:val="en-GB"/>
        </w:rPr>
        <w:t xml:space="preserve">to support the assessment of mercury in the environment and in food. Another </w:t>
      </w:r>
      <w:r w:rsidR="00725B55">
        <w:rPr>
          <w:lang w:val="en-GB"/>
        </w:rPr>
        <w:t xml:space="preserve">has </w:t>
      </w:r>
      <w:r w:rsidRPr="00EA4F53">
        <w:rPr>
          <w:lang w:val="en-GB"/>
        </w:rPr>
        <w:t xml:space="preserve">launched a regional mercury monitoring hub in Central Africa through the creation of a central laboratory dedicated to mercury analysis and broader environmental assessments. The third project </w:t>
      </w:r>
      <w:r w:rsidR="00C24EF6">
        <w:rPr>
          <w:lang w:val="en-GB"/>
        </w:rPr>
        <w:t xml:space="preserve">has </w:t>
      </w:r>
      <w:r w:rsidRPr="00EA4F53">
        <w:rPr>
          <w:lang w:val="en-GB"/>
        </w:rPr>
        <w:t xml:space="preserve">focused on strengthening legal frameworks and institutional capacities in three West African countries for the management of trade in elemental mercury and mercury-added products, thereby contributing to the implementation of </w:t>
      </w:r>
      <w:r w:rsidR="00C24EF6">
        <w:rPr>
          <w:lang w:val="en-GB"/>
        </w:rPr>
        <w:t>a</w:t>
      </w:r>
      <w:r w:rsidRPr="00EA4F53">
        <w:rPr>
          <w:lang w:val="en-GB"/>
        </w:rPr>
        <w:t>rticles 3 and 4 of the Convention</w:t>
      </w:r>
      <w:r w:rsidR="00C24EF6">
        <w:rPr>
          <w:lang w:val="en-GB"/>
        </w:rPr>
        <w:t>.</w:t>
      </w:r>
    </w:p>
    <w:p w14:paraId="1E628FF2" w14:textId="0E3506CF" w:rsidR="00F53750" w:rsidRPr="005B6FA5" w:rsidRDefault="005B6FA5" w:rsidP="005B6FA5">
      <w:pPr>
        <w:pStyle w:val="CH1"/>
        <w:tabs>
          <w:tab w:val="clear" w:pos="1814"/>
          <w:tab w:val="clear" w:pos="2381"/>
          <w:tab w:val="clear" w:pos="2948"/>
          <w:tab w:val="clear" w:pos="3515"/>
          <w:tab w:val="clear" w:pos="4082"/>
          <w:tab w:val="left" w:pos="1871"/>
          <w:tab w:val="left" w:pos="2495"/>
          <w:tab w:val="left" w:pos="3119"/>
          <w:tab w:val="left" w:pos="3742"/>
          <w:tab w:val="left" w:pos="4366"/>
        </w:tabs>
        <w:rPr>
          <w:noProof/>
          <w:lang w:val="en-GB"/>
        </w:rPr>
      </w:pPr>
      <w:r>
        <w:rPr>
          <w:noProof/>
          <w:lang w:val="en-GB"/>
        </w:rPr>
        <w:tab/>
        <w:t>III.</w:t>
      </w:r>
      <w:r>
        <w:rPr>
          <w:noProof/>
          <w:lang w:val="en-GB"/>
        </w:rPr>
        <w:tab/>
      </w:r>
      <w:r w:rsidR="00F53750" w:rsidRPr="005B6FA5">
        <w:rPr>
          <w:noProof/>
          <w:lang w:val="en-GB"/>
        </w:rPr>
        <w:t>Project</w:t>
      </w:r>
      <w:r>
        <w:rPr>
          <w:noProof/>
          <w:lang w:val="en-GB"/>
        </w:rPr>
        <w:t>ed</w:t>
      </w:r>
      <w:r w:rsidR="00F53750" w:rsidRPr="005B6FA5">
        <w:rPr>
          <w:noProof/>
          <w:lang w:val="en-GB"/>
        </w:rPr>
        <w:t xml:space="preserve"> ongoing and future funding needs and timelines </w:t>
      </w:r>
    </w:p>
    <w:p w14:paraId="4638E718" w14:textId="120F600B" w:rsidR="00F53750" w:rsidRPr="00403EAA" w:rsidRDefault="00157AD5" w:rsidP="00403EAA">
      <w:pPr>
        <w:spacing w:after="120"/>
        <w:rPr>
          <w:b/>
          <w:bCs/>
          <w:sz w:val="22"/>
          <w:szCs w:val="22"/>
        </w:rPr>
      </w:pPr>
      <w:r>
        <w:rPr>
          <w:b/>
          <w:bCs/>
          <w:sz w:val="22"/>
          <w:szCs w:val="22"/>
        </w:rPr>
        <w:tab/>
        <w:t>A.</w:t>
      </w:r>
      <w:r>
        <w:rPr>
          <w:b/>
          <w:bCs/>
          <w:sz w:val="22"/>
          <w:szCs w:val="22"/>
        </w:rPr>
        <w:tab/>
      </w:r>
      <w:r w:rsidR="00F53750" w:rsidRPr="00403EAA">
        <w:rPr>
          <w:b/>
          <w:bCs/>
          <w:sz w:val="22"/>
          <w:szCs w:val="22"/>
        </w:rPr>
        <w:t>Overview of the ongoing funding</w:t>
      </w:r>
    </w:p>
    <w:p w14:paraId="100655B2" w14:textId="4A835FBB" w:rsidR="00F53750" w:rsidRPr="008A572D" w:rsidRDefault="00F53750" w:rsidP="00403EAA">
      <w:pPr>
        <w:pStyle w:val="Normalnumber"/>
        <w:ind w:left="1247"/>
        <w:rPr>
          <w:lang w:val="en-GB"/>
        </w:rPr>
      </w:pPr>
      <w:r w:rsidRPr="008A572D">
        <w:rPr>
          <w:lang w:val="en-GB"/>
        </w:rPr>
        <w:t xml:space="preserve">The table below provides a summary, as </w:t>
      </w:r>
      <w:r w:rsidR="00152DF1">
        <w:rPr>
          <w:lang w:val="en-GB"/>
        </w:rPr>
        <w:t>of</w:t>
      </w:r>
      <w:r w:rsidRPr="008A572D">
        <w:rPr>
          <w:lang w:val="en-GB"/>
        </w:rPr>
        <w:t xml:space="preserve"> 28 May 2025, of the number of eligible parties that have and have not benefitted from the Specific International Programme</w:t>
      </w:r>
      <w:r w:rsidR="00505785">
        <w:rPr>
          <w:lang w:val="en-GB"/>
        </w:rPr>
        <w:t xml:space="preserve"> and disaggregates the total number by country classification. To supplement this information, the table also</w:t>
      </w:r>
      <w:r w:rsidR="00C4646D">
        <w:rPr>
          <w:lang w:val="en-GB"/>
        </w:rPr>
        <w:t xml:space="preserve"> provides the number of non-parties</w:t>
      </w:r>
      <w:r w:rsidR="00D5677E">
        <w:rPr>
          <w:lang w:val="en-GB"/>
        </w:rPr>
        <w:t xml:space="preserve"> who may </w:t>
      </w:r>
      <w:r w:rsidRPr="008A572D">
        <w:rPr>
          <w:lang w:val="en-GB"/>
        </w:rPr>
        <w:t xml:space="preserve">become eligible for </w:t>
      </w:r>
      <w:r w:rsidR="005C4F8A">
        <w:rPr>
          <w:lang w:val="en-GB"/>
        </w:rPr>
        <w:t>p</w:t>
      </w:r>
      <w:r w:rsidRPr="008A572D">
        <w:rPr>
          <w:lang w:val="en-GB"/>
        </w:rPr>
        <w:t>rogramme support</w:t>
      </w:r>
      <w:r w:rsidR="008676FB">
        <w:rPr>
          <w:lang w:val="en-GB"/>
        </w:rPr>
        <w:t xml:space="preserve"> in the future</w:t>
      </w:r>
      <w:r w:rsidR="00F21B20">
        <w:rPr>
          <w:lang w:val="en-GB"/>
        </w:rPr>
        <w:t xml:space="preserve"> if they are to become </w:t>
      </w:r>
      <w:r w:rsidR="00BC46E4">
        <w:rPr>
          <w:lang w:val="en-GB"/>
        </w:rPr>
        <w:t xml:space="preserve">a </w:t>
      </w:r>
      <w:r w:rsidR="00F21B20">
        <w:rPr>
          <w:lang w:val="en-GB"/>
        </w:rPr>
        <w:t>part</w:t>
      </w:r>
      <w:r w:rsidR="00BC46E4">
        <w:rPr>
          <w:lang w:val="en-GB"/>
        </w:rPr>
        <w:t>y to the Convention</w:t>
      </w:r>
      <w:r w:rsidRPr="008A572D">
        <w:rPr>
          <w:lang w:val="en-GB"/>
        </w:rPr>
        <w:t>.</w:t>
      </w:r>
    </w:p>
    <w:p w14:paraId="5E123633" w14:textId="1CD23C94" w:rsidR="00F53750" w:rsidRPr="008A572D" w:rsidRDefault="00F53750" w:rsidP="00F53750">
      <w:pPr>
        <w:pStyle w:val="Normalnumber"/>
        <w:numPr>
          <w:ilvl w:val="0"/>
          <w:numId w:val="0"/>
        </w:numPr>
        <w:ind w:left="1247"/>
        <w:rPr>
          <w:b/>
          <w:bCs/>
          <w:lang w:val="en-GB"/>
        </w:rPr>
      </w:pPr>
      <w:r w:rsidRPr="00403EAA">
        <w:rPr>
          <w:lang w:val="en-GB"/>
        </w:rPr>
        <w:t xml:space="preserve">Table </w:t>
      </w:r>
      <w:r w:rsidR="00067A04" w:rsidRPr="00403EAA">
        <w:rPr>
          <w:lang w:val="en-GB"/>
        </w:rPr>
        <w:t>2</w:t>
      </w:r>
      <w:r w:rsidRPr="00403EAA">
        <w:rPr>
          <w:lang w:val="en-GB"/>
        </w:rPr>
        <w:t>:</w:t>
      </w:r>
      <w:r w:rsidRPr="008A572D">
        <w:rPr>
          <w:b/>
          <w:bCs/>
          <w:lang w:val="en-GB"/>
        </w:rPr>
        <w:t xml:space="preserve"> Summary of parties </w:t>
      </w:r>
      <w:r w:rsidR="0003516C">
        <w:rPr>
          <w:b/>
          <w:bCs/>
          <w:lang w:val="en-GB"/>
        </w:rPr>
        <w:t>and non-</w:t>
      </w:r>
      <w:r w:rsidRPr="008A572D" w:rsidDel="008676FB">
        <w:rPr>
          <w:b/>
          <w:bCs/>
          <w:lang w:val="en-GB"/>
        </w:rPr>
        <w:t xml:space="preserve">parties </w:t>
      </w:r>
    </w:p>
    <w:tbl>
      <w:tblPr>
        <w:tblStyle w:val="TableGrid"/>
        <w:tblW w:w="0" w:type="auto"/>
        <w:tblInd w:w="1255" w:type="dxa"/>
        <w:tblLook w:val="04A0" w:firstRow="1" w:lastRow="0" w:firstColumn="1" w:lastColumn="0" w:noHBand="0" w:noVBand="1"/>
      </w:tblPr>
      <w:tblGrid>
        <w:gridCol w:w="2851"/>
        <w:gridCol w:w="1418"/>
        <w:gridCol w:w="3962"/>
      </w:tblGrid>
      <w:tr w:rsidR="00F53750" w14:paraId="14390517" w14:textId="77777777">
        <w:tc>
          <w:tcPr>
            <w:tcW w:w="2851" w:type="dxa"/>
          </w:tcPr>
          <w:p w14:paraId="7BB626A1" w14:textId="77777777" w:rsidR="00F53750" w:rsidRPr="008A572D" w:rsidRDefault="00F53750">
            <w:pPr>
              <w:tabs>
                <w:tab w:val="left" w:pos="1247"/>
                <w:tab w:val="num" w:pos="1598"/>
                <w:tab w:val="left" w:pos="1814"/>
                <w:tab w:val="left" w:pos="2381"/>
                <w:tab w:val="left" w:pos="2948"/>
                <w:tab w:val="left" w:pos="3515"/>
                <w:tab w:val="left" w:pos="4082"/>
              </w:tabs>
              <w:spacing w:after="120"/>
              <w:rPr>
                <w:b/>
                <w:bCs/>
                <w:sz w:val="18"/>
                <w:szCs w:val="18"/>
                <w:lang w:eastAsia="en-US"/>
              </w:rPr>
            </w:pPr>
          </w:p>
        </w:tc>
        <w:tc>
          <w:tcPr>
            <w:tcW w:w="1418" w:type="dxa"/>
          </w:tcPr>
          <w:p w14:paraId="15F4E21B" w14:textId="77777777" w:rsidR="00F53750" w:rsidRPr="008A572D" w:rsidRDefault="00F53750">
            <w:pPr>
              <w:tabs>
                <w:tab w:val="left" w:pos="1247"/>
                <w:tab w:val="num" w:pos="1598"/>
                <w:tab w:val="left" w:pos="1814"/>
                <w:tab w:val="left" w:pos="2381"/>
                <w:tab w:val="left" w:pos="2948"/>
                <w:tab w:val="left" w:pos="3515"/>
                <w:tab w:val="left" w:pos="4082"/>
              </w:tabs>
              <w:spacing w:after="120"/>
              <w:rPr>
                <w:b/>
                <w:bCs/>
                <w:sz w:val="18"/>
                <w:szCs w:val="18"/>
                <w:lang w:eastAsia="en-US"/>
              </w:rPr>
            </w:pPr>
            <w:r w:rsidRPr="008A572D">
              <w:rPr>
                <w:b/>
                <w:bCs/>
                <w:sz w:val="18"/>
                <w:szCs w:val="18"/>
                <w:lang w:eastAsia="en-US"/>
              </w:rPr>
              <w:t>Total number</w:t>
            </w:r>
          </w:p>
        </w:tc>
        <w:tc>
          <w:tcPr>
            <w:tcW w:w="3962" w:type="dxa"/>
          </w:tcPr>
          <w:p w14:paraId="6E92E3C6" w14:textId="77777777" w:rsidR="00F53750" w:rsidRPr="008A572D" w:rsidRDefault="00F53750">
            <w:pPr>
              <w:tabs>
                <w:tab w:val="left" w:pos="1247"/>
                <w:tab w:val="num" w:pos="1598"/>
                <w:tab w:val="left" w:pos="1814"/>
                <w:tab w:val="left" w:pos="2381"/>
                <w:tab w:val="left" w:pos="2948"/>
                <w:tab w:val="left" w:pos="3515"/>
                <w:tab w:val="left" w:pos="4082"/>
              </w:tabs>
              <w:spacing w:after="120"/>
              <w:rPr>
                <w:b/>
                <w:bCs/>
                <w:sz w:val="18"/>
                <w:szCs w:val="18"/>
                <w:lang w:eastAsia="en-US"/>
              </w:rPr>
            </w:pPr>
            <w:r w:rsidRPr="008A572D">
              <w:rPr>
                <w:b/>
                <w:bCs/>
                <w:sz w:val="18"/>
                <w:szCs w:val="18"/>
                <w:lang w:eastAsia="en-US"/>
              </w:rPr>
              <w:t>Disaggregated by country classification</w:t>
            </w:r>
          </w:p>
        </w:tc>
      </w:tr>
      <w:tr w:rsidR="00F53750" w14:paraId="0A132F58" w14:textId="77777777">
        <w:tc>
          <w:tcPr>
            <w:tcW w:w="2851" w:type="dxa"/>
          </w:tcPr>
          <w:p w14:paraId="6A84F508" w14:textId="77777777" w:rsidR="00F53750" w:rsidRPr="008A572D" w:rsidRDefault="00F53750">
            <w:pPr>
              <w:tabs>
                <w:tab w:val="left" w:pos="1247"/>
                <w:tab w:val="num" w:pos="1598"/>
                <w:tab w:val="left" w:pos="1814"/>
                <w:tab w:val="left" w:pos="2381"/>
                <w:tab w:val="left" w:pos="2948"/>
                <w:tab w:val="left" w:pos="3515"/>
                <w:tab w:val="left" w:pos="4082"/>
              </w:tabs>
              <w:spacing w:after="120"/>
              <w:rPr>
                <w:b/>
                <w:bCs/>
                <w:sz w:val="18"/>
                <w:szCs w:val="18"/>
                <w:lang w:eastAsia="en-US"/>
              </w:rPr>
            </w:pPr>
            <w:r w:rsidRPr="008A572D">
              <w:rPr>
                <w:b/>
                <w:bCs/>
                <w:sz w:val="18"/>
                <w:szCs w:val="18"/>
                <w:lang w:eastAsia="en-US"/>
              </w:rPr>
              <w:t>Number of eligible parties to the Minamata Convention that have benefited from the Specific International Programme</w:t>
            </w:r>
          </w:p>
        </w:tc>
        <w:tc>
          <w:tcPr>
            <w:tcW w:w="1418" w:type="dxa"/>
          </w:tcPr>
          <w:p w14:paraId="09B91E29" w14:textId="77777777" w:rsidR="00F53750" w:rsidRPr="008A572D" w:rsidRDefault="00F53750">
            <w:pPr>
              <w:tabs>
                <w:tab w:val="left" w:pos="1247"/>
                <w:tab w:val="num" w:pos="1598"/>
                <w:tab w:val="left" w:pos="1814"/>
                <w:tab w:val="left" w:pos="2381"/>
                <w:tab w:val="left" w:pos="2948"/>
                <w:tab w:val="left" w:pos="3515"/>
                <w:tab w:val="left" w:pos="4082"/>
              </w:tabs>
              <w:spacing w:after="120"/>
              <w:rPr>
                <w:sz w:val="18"/>
                <w:szCs w:val="18"/>
                <w:lang w:eastAsia="en-US"/>
              </w:rPr>
            </w:pPr>
            <w:r w:rsidRPr="008A572D">
              <w:rPr>
                <w:sz w:val="18"/>
                <w:szCs w:val="18"/>
                <w:lang w:eastAsia="en-US"/>
              </w:rPr>
              <w:t>31</w:t>
            </w:r>
          </w:p>
        </w:tc>
        <w:tc>
          <w:tcPr>
            <w:tcW w:w="3962" w:type="dxa"/>
          </w:tcPr>
          <w:p w14:paraId="1DC6ADBD" w14:textId="77777777" w:rsidR="00F53750" w:rsidRPr="00B45979" w:rsidRDefault="00F53750" w:rsidP="00F53750">
            <w:pPr>
              <w:pStyle w:val="ListParagraph"/>
              <w:numPr>
                <w:ilvl w:val="0"/>
                <w:numId w:val="13"/>
              </w:numPr>
              <w:tabs>
                <w:tab w:val="left" w:pos="1247"/>
                <w:tab w:val="left" w:pos="1814"/>
                <w:tab w:val="left" w:pos="2381"/>
                <w:tab w:val="left" w:pos="2948"/>
                <w:tab w:val="left" w:pos="3515"/>
                <w:tab w:val="left" w:pos="4082"/>
              </w:tabs>
              <w:spacing w:after="120"/>
              <w:rPr>
                <w:rFonts w:eastAsia="Times New Roman"/>
                <w:sz w:val="18"/>
                <w:szCs w:val="18"/>
                <w:lang w:eastAsia="en-US"/>
              </w:rPr>
            </w:pPr>
            <w:r w:rsidRPr="00B45979">
              <w:rPr>
                <w:rFonts w:eastAsia="Times New Roman"/>
                <w:sz w:val="18"/>
                <w:szCs w:val="18"/>
                <w:lang w:eastAsia="en-US"/>
              </w:rPr>
              <w:t>13 developing countries</w:t>
            </w:r>
          </w:p>
          <w:p w14:paraId="6A03F0E4" w14:textId="77777777" w:rsidR="00F53750" w:rsidRPr="00B45979" w:rsidRDefault="00F53750" w:rsidP="00F53750">
            <w:pPr>
              <w:pStyle w:val="ListParagraph"/>
              <w:numPr>
                <w:ilvl w:val="0"/>
                <w:numId w:val="13"/>
              </w:numPr>
              <w:tabs>
                <w:tab w:val="left" w:pos="1247"/>
                <w:tab w:val="left" w:pos="1814"/>
                <w:tab w:val="left" w:pos="2381"/>
                <w:tab w:val="left" w:pos="2948"/>
                <w:tab w:val="left" w:pos="3515"/>
                <w:tab w:val="left" w:pos="4082"/>
              </w:tabs>
              <w:spacing w:after="120"/>
              <w:rPr>
                <w:rFonts w:eastAsia="Times New Roman"/>
                <w:sz w:val="18"/>
                <w:szCs w:val="18"/>
                <w:lang w:eastAsia="en-US"/>
              </w:rPr>
            </w:pPr>
            <w:r w:rsidRPr="00B45979">
              <w:rPr>
                <w:rFonts w:eastAsia="Times New Roman"/>
                <w:sz w:val="18"/>
                <w:szCs w:val="18"/>
                <w:lang w:eastAsia="en-US"/>
              </w:rPr>
              <w:t>5 countries with economies in transition</w:t>
            </w:r>
          </w:p>
          <w:p w14:paraId="343D54BD" w14:textId="77777777" w:rsidR="00F53750" w:rsidRPr="00B45979" w:rsidRDefault="00F53750" w:rsidP="00F53750">
            <w:pPr>
              <w:pStyle w:val="ListParagraph"/>
              <w:numPr>
                <w:ilvl w:val="0"/>
                <w:numId w:val="13"/>
              </w:numPr>
              <w:tabs>
                <w:tab w:val="left" w:pos="1247"/>
                <w:tab w:val="left" w:pos="1814"/>
                <w:tab w:val="left" w:pos="2381"/>
                <w:tab w:val="left" w:pos="2948"/>
                <w:tab w:val="left" w:pos="3515"/>
                <w:tab w:val="left" w:pos="4082"/>
              </w:tabs>
              <w:spacing w:after="120"/>
              <w:rPr>
                <w:rFonts w:eastAsia="Times New Roman"/>
                <w:sz w:val="18"/>
                <w:szCs w:val="18"/>
                <w:lang w:eastAsia="en-US"/>
              </w:rPr>
            </w:pPr>
            <w:r w:rsidRPr="00B45979">
              <w:rPr>
                <w:rFonts w:eastAsia="Times New Roman"/>
                <w:sz w:val="18"/>
                <w:szCs w:val="18"/>
                <w:lang w:eastAsia="en-US"/>
              </w:rPr>
              <w:t xml:space="preserve">11 least developed countries </w:t>
            </w:r>
          </w:p>
          <w:p w14:paraId="2FE89E71" w14:textId="77777777" w:rsidR="00F53750" w:rsidRPr="00B45979" w:rsidRDefault="00F53750" w:rsidP="00F53750">
            <w:pPr>
              <w:pStyle w:val="ListParagraph"/>
              <w:numPr>
                <w:ilvl w:val="0"/>
                <w:numId w:val="13"/>
              </w:numPr>
              <w:tabs>
                <w:tab w:val="left" w:pos="1247"/>
                <w:tab w:val="left" w:pos="1814"/>
                <w:tab w:val="left" w:pos="2381"/>
                <w:tab w:val="left" w:pos="2948"/>
                <w:tab w:val="left" w:pos="3515"/>
                <w:tab w:val="left" w:pos="4082"/>
              </w:tabs>
              <w:spacing w:after="120"/>
              <w:rPr>
                <w:b/>
                <w:bCs/>
                <w:sz w:val="18"/>
                <w:szCs w:val="18"/>
                <w:lang w:eastAsia="en-US"/>
              </w:rPr>
            </w:pPr>
            <w:r w:rsidRPr="00B45979">
              <w:rPr>
                <w:rFonts w:eastAsia="Times New Roman"/>
                <w:sz w:val="18"/>
                <w:szCs w:val="18"/>
                <w:lang w:eastAsia="en-US"/>
              </w:rPr>
              <w:t>2 small island developing states</w:t>
            </w:r>
          </w:p>
        </w:tc>
      </w:tr>
      <w:tr w:rsidR="00F53750" w14:paraId="463879F2" w14:textId="77777777">
        <w:tc>
          <w:tcPr>
            <w:tcW w:w="2851" w:type="dxa"/>
          </w:tcPr>
          <w:p w14:paraId="1D0BF1BA" w14:textId="77777777" w:rsidR="00F53750" w:rsidRPr="008A572D" w:rsidRDefault="00F53750">
            <w:pPr>
              <w:tabs>
                <w:tab w:val="left" w:pos="1247"/>
                <w:tab w:val="num" w:pos="1598"/>
                <w:tab w:val="left" w:pos="1814"/>
                <w:tab w:val="left" w:pos="2381"/>
                <w:tab w:val="left" w:pos="2948"/>
                <w:tab w:val="left" w:pos="3515"/>
                <w:tab w:val="left" w:pos="4082"/>
              </w:tabs>
              <w:spacing w:after="120"/>
              <w:rPr>
                <w:b/>
                <w:bCs/>
                <w:sz w:val="18"/>
                <w:szCs w:val="18"/>
                <w:lang w:eastAsia="en-US"/>
              </w:rPr>
            </w:pPr>
            <w:r w:rsidRPr="008A572D">
              <w:rPr>
                <w:b/>
                <w:bCs/>
                <w:sz w:val="18"/>
                <w:szCs w:val="18"/>
                <w:lang w:eastAsia="en-US"/>
              </w:rPr>
              <w:t>Number of eligible parties to the Minamata Convention not yet supported by the Specific International Programme</w:t>
            </w:r>
          </w:p>
        </w:tc>
        <w:tc>
          <w:tcPr>
            <w:tcW w:w="1418" w:type="dxa"/>
          </w:tcPr>
          <w:p w14:paraId="6E452D3B" w14:textId="77777777" w:rsidR="00F53750" w:rsidRPr="008A572D" w:rsidRDefault="00F53750">
            <w:pPr>
              <w:tabs>
                <w:tab w:val="left" w:pos="1247"/>
                <w:tab w:val="num" w:pos="1598"/>
                <w:tab w:val="left" w:pos="1814"/>
                <w:tab w:val="left" w:pos="2381"/>
                <w:tab w:val="left" w:pos="2948"/>
                <w:tab w:val="left" w:pos="3515"/>
                <w:tab w:val="left" w:pos="4082"/>
              </w:tabs>
              <w:spacing w:after="120"/>
              <w:rPr>
                <w:sz w:val="18"/>
                <w:szCs w:val="18"/>
                <w:lang w:eastAsia="en-US"/>
              </w:rPr>
            </w:pPr>
            <w:r w:rsidRPr="008A572D">
              <w:rPr>
                <w:sz w:val="18"/>
                <w:szCs w:val="18"/>
                <w:lang w:eastAsia="en-US"/>
              </w:rPr>
              <w:t>82</w:t>
            </w:r>
          </w:p>
        </w:tc>
        <w:tc>
          <w:tcPr>
            <w:tcW w:w="3962" w:type="dxa"/>
          </w:tcPr>
          <w:p w14:paraId="6EE52744" w14:textId="77777777" w:rsidR="00F53750" w:rsidRPr="00B45979" w:rsidRDefault="00F53750" w:rsidP="00F53750">
            <w:pPr>
              <w:pStyle w:val="ListParagraph"/>
              <w:numPr>
                <w:ilvl w:val="0"/>
                <w:numId w:val="13"/>
              </w:numPr>
              <w:tabs>
                <w:tab w:val="left" w:pos="1247"/>
                <w:tab w:val="left" w:pos="1814"/>
                <w:tab w:val="left" w:pos="2381"/>
                <w:tab w:val="left" w:pos="2948"/>
                <w:tab w:val="left" w:pos="3515"/>
                <w:tab w:val="left" w:pos="4082"/>
              </w:tabs>
              <w:spacing w:after="120"/>
              <w:rPr>
                <w:rFonts w:eastAsia="Times New Roman"/>
                <w:sz w:val="18"/>
                <w:szCs w:val="18"/>
                <w:lang w:eastAsia="en-US"/>
              </w:rPr>
            </w:pPr>
            <w:r w:rsidRPr="00B45979">
              <w:rPr>
                <w:rFonts w:eastAsia="Times New Roman"/>
                <w:sz w:val="18"/>
                <w:szCs w:val="18"/>
                <w:lang w:eastAsia="en-US"/>
              </w:rPr>
              <w:t>48 developing countries (of which 1 is also a small island developing state)</w:t>
            </w:r>
          </w:p>
          <w:p w14:paraId="68205F33" w14:textId="77777777" w:rsidR="00F53750" w:rsidRPr="00B45979" w:rsidRDefault="00F53750" w:rsidP="00F53750">
            <w:pPr>
              <w:pStyle w:val="ListParagraph"/>
              <w:numPr>
                <w:ilvl w:val="0"/>
                <w:numId w:val="13"/>
              </w:numPr>
              <w:tabs>
                <w:tab w:val="left" w:pos="1247"/>
                <w:tab w:val="left" w:pos="1814"/>
                <w:tab w:val="left" w:pos="2381"/>
                <w:tab w:val="left" w:pos="2948"/>
                <w:tab w:val="left" w:pos="3515"/>
                <w:tab w:val="left" w:pos="4082"/>
              </w:tabs>
              <w:spacing w:after="120"/>
              <w:rPr>
                <w:rFonts w:eastAsia="Times New Roman"/>
                <w:sz w:val="18"/>
                <w:szCs w:val="18"/>
                <w:lang w:eastAsia="en-US"/>
              </w:rPr>
            </w:pPr>
            <w:r w:rsidRPr="00B45979">
              <w:rPr>
                <w:rFonts w:eastAsia="Times New Roman"/>
                <w:sz w:val="18"/>
                <w:szCs w:val="18"/>
                <w:lang w:eastAsia="en-US"/>
              </w:rPr>
              <w:t>3 countries with economies in transition</w:t>
            </w:r>
          </w:p>
          <w:p w14:paraId="3CF11F57" w14:textId="77777777" w:rsidR="00F53750" w:rsidRPr="00B45979" w:rsidRDefault="00F53750" w:rsidP="00F53750">
            <w:pPr>
              <w:pStyle w:val="ListParagraph"/>
              <w:numPr>
                <w:ilvl w:val="0"/>
                <w:numId w:val="13"/>
              </w:numPr>
              <w:tabs>
                <w:tab w:val="left" w:pos="1247"/>
                <w:tab w:val="left" w:pos="1814"/>
                <w:tab w:val="left" w:pos="2381"/>
                <w:tab w:val="left" w:pos="2948"/>
                <w:tab w:val="left" w:pos="3515"/>
                <w:tab w:val="left" w:pos="4082"/>
              </w:tabs>
              <w:spacing w:after="120"/>
              <w:rPr>
                <w:rFonts w:eastAsia="Times New Roman"/>
                <w:sz w:val="18"/>
                <w:szCs w:val="18"/>
                <w:lang w:eastAsia="en-US"/>
              </w:rPr>
            </w:pPr>
            <w:r w:rsidRPr="00B45979">
              <w:rPr>
                <w:sz w:val="18"/>
                <w:szCs w:val="18"/>
                <w:lang w:eastAsia="en-US"/>
              </w:rPr>
              <w:lastRenderedPageBreak/>
              <w:t xml:space="preserve">22 </w:t>
            </w:r>
            <w:r w:rsidRPr="00B45979">
              <w:rPr>
                <w:rFonts w:eastAsia="Times New Roman"/>
                <w:sz w:val="18"/>
                <w:szCs w:val="18"/>
                <w:lang w:eastAsia="en-US"/>
              </w:rPr>
              <w:t>least developed countries (of which 1 is also a small island developing state)</w:t>
            </w:r>
          </w:p>
          <w:p w14:paraId="094C1118" w14:textId="77777777" w:rsidR="00F53750" w:rsidRPr="00B45979" w:rsidRDefault="00F53750" w:rsidP="00F53750">
            <w:pPr>
              <w:pStyle w:val="ListParagraph"/>
              <w:numPr>
                <w:ilvl w:val="0"/>
                <w:numId w:val="13"/>
              </w:numPr>
              <w:tabs>
                <w:tab w:val="left" w:pos="1247"/>
                <w:tab w:val="left" w:pos="1814"/>
                <w:tab w:val="left" w:pos="2381"/>
                <w:tab w:val="left" w:pos="2948"/>
                <w:tab w:val="left" w:pos="3515"/>
                <w:tab w:val="left" w:pos="4082"/>
              </w:tabs>
              <w:spacing w:after="120"/>
              <w:rPr>
                <w:b/>
                <w:bCs/>
                <w:sz w:val="18"/>
                <w:szCs w:val="18"/>
                <w:lang w:eastAsia="en-US"/>
              </w:rPr>
            </w:pPr>
            <w:r w:rsidRPr="00B45979">
              <w:rPr>
                <w:rFonts w:eastAsia="Times New Roman"/>
                <w:sz w:val="18"/>
                <w:szCs w:val="18"/>
                <w:lang w:eastAsia="en-US"/>
              </w:rPr>
              <w:t>11 small island developing states</w:t>
            </w:r>
          </w:p>
        </w:tc>
      </w:tr>
      <w:tr w:rsidR="00F53750" w14:paraId="1A36251C" w14:textId="77777777">
        <w:tc>
          <w:tcPr>
            <w:tcW w:w="2851" w:type="dxa"/>
          </w:tcPr>
          <w:p w14:paraId="7FAB038A" w14:textId="5B529E79" w:rsidR="00F53750" w:rsidRPr="008A572D" w:rsidRDefault="00F53750">
            <w:pPr>
              <w:tabs>
                <w:tab w:val="left" w:pos="1247"/>
                <w:tab w:val="num" w:pos="1598"/>
                <w:tab w:val="left" w:pos="1814"/>
                <w:tab w:val="left" w:pos="2381"/>
                <w:tab w:val="left" w:pos="2948"/>
                <w:tab w:val="left" w:pos="3515"/>
                <w:tab w:val="left" w:pos="4082"/>
              </w:tabs>
              <w:spacing w:after="120"/>
              <w:rPr>
                <w:b/>
                <w:bCs/>
                <w:sz w:val="18"/>
                <w:szCs w:val="18"/>
                <w:lang w:eastAsia="en-US"/>
              </w:rPr>
            </w:pPr>
            <w:r w:rsidRPr="008A572D">
              <w:rPr>
                <w:b/>
                <w:bCs/>
                <w:sz w:val="18"/>
                <w:szCs w:val="18"/>
                <w:lang w:eastAsia="en-US"/>
              </w:rPr>
              <w:lastRenderedPageBreak/>
              <w:t>Number of non-parties who may become eligible for support from the Specific International Programme</w:t>
            </w:r>
            <w:r w:rsidR="00423064">
              <w:rPr>
                <w:b/>
                <w:bCs/>
                <w:sz w:val="18"/>
                <w:szCs w:val="18"/>
                <w:lang w:eastAsia="en-US"/>
              </w:rPr>
              <w:t xml:space="preserve"> (</w:t>
            </w:r>
            <w:r w:rsidR="007C1272">
              <w:rPr>
                <w:b/>
                <w:bCs/>
                <w:sz w:val="18"/>
                <w:szCs w:val="18"/>
                <w:lang w:eastAsia="en-US"/>
              </w:rPr>
              <w:t>possible future parties)</w:t>
            </w:r>
          </w:p>
        </w:tc>
        <w:tc>
          <w:tcPr>
            <w:tcW w:w="1418" w:type="dxa"/>
          </w:tcPr>
          <w:p w14:paraId="5EB3C209" w14:textId="77777777" w:rsidR="00F53750" w:rsidRPr="008A572D" w:rsidRDefault="00F53750">
            <w:pPr>
              <w:tabs>
                <w:tab w:val="left" w:pos="1247"/>
                <w:tab w:val="num" w:pos="1598"/>
                <w:tab w:val="left" w:pos="1814"/>
                <w:tab w:val="left" w:pos="2381"/>
                <w:tab w:val="left" w:pos="2948"/>
                <w:tab w:val="left" w:pos="3515"/>
                <w:tab w:val="left" w:pos="4082"/>
              </w:tabs>
              <w:spacing w:after="120"/>
              <w:rPr>
                <w:sz w:val="18"/>
                <w:szCs w:val="18"/>
                <w:lang w:eastAsia="en-US"/>
              </w:rPr>
            </w:pPr>
            <w:r w:rsidRPr="008A572D">
              <w:rPr>
                <w:sz w:val="18"/>
                <w:szCs w:val="18"/>
                <w:lang w:eastAsia="en-US"/>
              </w:rPr>
              <w:t>42</w:t>
            </w:r>
          </w:p>
        </w:tc>
        <w:tc>
          <w:tcPr>
            <w:tcW w:w="3962" w:type="dxa"/>
          </w:tcPr>
          <w:p w14:paraId="3127CBAE" w14:textId="77777777" w:rsidR="00F53750" w:rsidRPr="00B45979" w:rsidRDefault="00F53750" w:rsidP="00F53750">
            <w:pPr>
              <w:pStyle w:val="ListParagraph"/>
              <w:numPr>
                <w:ilvl w:val="0"/>
                <w:numId w:val="13"/>
              </w:numPr>
              <w:tabs>
                <w:tab w:val="left" w:pos="1247"/>
                <w:tab w:val="left" w:pos="1814"/>
                <w:tab w:val="left" w:pos="2381"/>
                <w:tab w:val="left" w:pos="2948"/>
                <w:tab w:val="left" w:pos="3515"/>
                <w:tab w:val="left" w:pos="4082"/>
              </w:tabs>
              <w:spacing w:after="120"/>
              <w:rPr>
                <w:rFonts w:eastAsia="Times New Roman"/>
                <w:sz w:val="18"/>
                <w:szCs w:val="18"/>
                <w:lang w:eastAsia="en-US"/>
              </w:rPr>
            </w:pPr>
            <w:r w:rsidRPr="00B45979">
              <w:rPr>
                <w:rFonts w:eastAsia="Times New Roman"/>
                <w:sz w:val="18"/>
                <w:szCs w:val="18"/>
                <w:lang w:eastAsia="en-US"/>
              </w:rPr>
              <w:t>20 developing countries (of which 3 are also small island developing states and 1 is also a least developed country)</w:t>
            </w:r>
          </w:p>
          <w:p w14:paraId="5EBDA814" w14:textId="77777777" w:rsidR="00F53750" w:rsidRPr="00B45979" w:rsidRDefault="00F53750" w:rsidP="00F53750">
            <w:pPr>
              <w:pStyle w:val="ListParagraph"/>
              <w:numPr>
                <w:ilvl w:val="0"/>
                <w:numId w:val="13"/>
              </w:numPr>
              <w:tabs>
                <w:tab w:val="left" w:pos="1247"/>
                <w:tab w:val="left" w:pos="1814"/>
                <w:tab w:val="left" w:pos="2381"/>
                <w:tab w:val="left" w:pos="2948"/>
                <w:tab w:val="left" w:pos="3515"/>
                <w:tab w:val="left" w:pos="4082"/>
              </w:tabs>
              <w:spacing w:after="120"/>
              <w:rPr>
                <w:rFonts w:eastAsia="Times New Roman"/>
                <w:sz w:val="18"/>
                <w:szCs w:val="18"/>
                <w:lang w:eastAsia="en-US"/>
              </w:rPr>
            </w:pPr>
            <w:r w:rsidRPr="00B45979">
              <w:rPr>
                <w:rFonts w:eastAsia="Times New Roman"/>
                <w:sz w:val="18"/>
                <w:szCs w:val="18"/>
                <w:lang w:eastAsia="en-US"/>
              </w:rPr>
              <w:t>9 countries with economies in transition</w:t>
            </w:r>
          </w:p>
          <w:p w14:paraId="2CE5E740" w14:textId="77777777" w:rsidR="00F53750" w:rsidRPr="00B45979" w:rsidRDefault="00F53750" w:rsidP="00F53750">
            <w:pPr>
              <w:pStyle w:val="ListParagraph"/>
              <w:numPr>
                <w:ilvl w:val="0"/>
                <w:numId w:val="13"/>
              </w:numPr>
              <w:tabs>
                <w:tab w:val="left" w:pos="1247"/>
                <w:tab w:val="left" w:pos="1814"/>
                <w:tab w:val="left" w:pos="2381"/>
                <w:tab w:val="left" w:pos="2948"/>
                <w:tab w:val="left" w:pos="3515"/>
                <w:tab w:val="left" w:pos="4082"/>
              </w:tabs>
              <w:spacing w:after="120"/>
              <w:rPr>
                <w:rFonts w:eastAsia="Times New Roman"/>
                <w:sz w:val="18"/>
                <w:szCs w:val="18"/>
                <w:lang w:eastAsia="en-US"/>
              </w:rPr>
            </w:pPr>
            <w:r w:rsidRPr="00B45979">
              <w:rPr>
                <w:sz w:val="18"/>
                <w:szCs w:val="18"/>
                <w:lang w:eastAsia="en-US"/>
              </w:rPr>
              <w:t xml:space="preserve">7 </w:t>
            </w:r>
            <w:r w:rsidRPr="00B45979">
              <w:rPr>
                <w:rFonts w:eastAsia="Times New Roman"/>
                <w:sz w:val="18"/>
                <w:szCs w:val="18"/>
                <w:lang w:eastAsia="en-US"/>
              </w:rPr>
              <w:t>least developed countries</w:t>
            </w:r>
          </w:p>
          <w:p w14:paraId="0AE54FE1" w14:textId="77777777" w:rsidR="00F53750" w:rsidRPr="00B45979" w:rsidRDefault="00F53750" w:rsidP="00F53750">
            <w:pPr>
              <w:pStyle w:val="ListParagraph"/>
              <w:numPr>
                <w:ilvl w:val="0"/>
                <w:numId w:val="13"/>
              </w:numPr>
              <w:tabs>
                <w:tab w:val="left" w:pos="1247"/>
                <w:tab w:val="left" w:pos="1814"/>
                <w:tab w:val="left" w:pos="2381"/>
                <w:tab w:val="left" w:pos="2948"/>
                <w:tab w:val="left" w:pos="3515"/>
                <w:tab w:val="left" w:pos="4082"/>
              </w:tabs>
              <w:spacing w:after="120"/>
              <w:rPr>
                <w:b/>
                <w:bCs/>
                <w:sz w:val="18"/>
                <w:szCs w:val="18"/>
                <w:lang w:eastAsia="en-US"/>
              </w:rPr>
            </w:pPr>
            <w:r w:rsidRPr="00B45979">
              <w:rPr>
                <w:rFonts w:eastAsia="Times New Roman"/>
                <w:sz w:val="18"/>
                <w:szCs w:val="18"/>
                <w:lang w:eastAsia="en-US"/>
              </w:rPr>
              <w:t>10 small island developing states</w:t>
            </w:r>
          </w:p>
        </w:tc>
      </w:tr>
    </w:tbl>
    <w:p w14:paraId="2A3A69C2" w14:textId="3536BAB0" w:rsidR="00F53750" w:rsidRPr="008A572D" w:rsidRDefault="00F53750" w:rsidP="00403EAA">
      <w:pPr>
        <w:pStyle w:val="Normalnumber"/>
        <w:spacing w:before="120"/>
        <w:ind w:left="1247"/>
        <w:rPr>
          <w:lang w:val="en-GB"/>
        </w:rPr>
      </w:pPr>
      <w:r w:rsidRPr="008A572D">
        <w:rPr>
          <w:lang w:val="en-GB"/>
        </w:rPr>
        <w:t xml:space="preserve">Seven parties with projects approved for funding under the Specific International Programme, (of which 4 developing countries, 1 country with economy in transition, and 2 </w:t>
      </w:r>
      <w:proofErr w:type="gramStart"/>
      <w:r w:rsidRPr="008A572D">
        <w:rPr>
          <w:lang w:val="en-GB"/>
        </w:rPr>
        <w:t>small</w:t>
      </w:r>
      <w:r w:rsidR="5F02E712" w:rsidRPr="0CBC1C3E">
        <w:rPr>
          <w:lang w:val="en-GB"/>
        </w:rPr>
        <w:t>-</w:t>
      </w:r>
      <w:r w:rsidRPr="008A572D">
        <w:rPr>
          <w:lang w:val="en-GB"/>
        </w:rPr>
        <w:t>island</w:t>
      </w:r>
      <w:proofErr w:type="gramEnd"/>
      <w:r w:rsidRPr="008A572D">
        <w:rPr>
          <w:lang w:val="en-GB"/>
        </w:rPr>
        <w:t xml:space="preserve"> developing states) submitted project proposals in subsequent application rounds. Two of these parties received funding from the </w:t>
      </w:r>
      <w:r w:rsidR="00D92228">
        <w:rPr>
          <w:lang w:val="en-GB"/>
        </w:rPr>
        <w:t>p</w:t>
      </w:r>
      <w:r w:rsidRPr="008A572D">
        <w:rPr>
          <w:lang w:val="en-GB"/>
        </w:rPr>
        <w:t xml:space="preserve">rogramme for additional projects. </w:t>
      </w:r>
    </w:p>
    <w:p w14:paraId="1DF7EF00" w14:textId="44BEE8FB" w:rsidR="00F53750" w:rsidRPr="008A572D" w:rsidRDefault="00F53750" w:rsidP="00403EAA">
      <w:pPr>
        <w:pStyle w:val="Normalnumber"/>
        <w:ind w:left="1247"/>
        <w:rPr>
          <w:lang w:val="en-GB"/>
        </w:rPr>
      </w:pPr>
      <w:r w:rsidRPr="008A572D">
        <w:rPr>
          <w:lang w:val="en-GB"/>
        </w:rPr>
        <w:t xml:space="preserve">Overall, the project proposals submitted in subsequent application rounds focused on advancing implementation of different control obligations under the Convention, including on trade, management of mercury-added products and their waste, and ASGM, demonstrating that parties already supported by the </w:t>
      </w:r>
      <w:r w:rsidR="00D92228">
        <w:rPr>
          <w:lang w:val="en-GB"/>
        </w:rPr>
        <w:t>p</w:t>
      </w:r>
      <w:r w:rsidRPr="008A572D">
        <w:rPr>
          <w:lang w:val="en-GB"/>
        </w:rPr>
        <w:t>rogramme have further needs related to the implementation of other Convention articles.</w:t>
      </w:r>
    </w:p>
    <w:p w14:paraId="4B989D54" w14:textId="1E1FC128" w:rsidR="00F53750" w:rsidRPr="008A572D" w:rsidRDefault="00F53750" w:rsidP="00403EAA">
      <w:pPr>
        <w:pStyle w:val="Normalnumber"/>
        <w:ind w:left="1247"/>
        <w:rPr>
          <w:lang w:val="en-GB"/>
        </w:rPr>
      </w:pPr>
      <w:r w:rsidRPr="008A572D">
        <w:rPr>
          <w:lang w:val="en-GB"/>
        </w:rPr>
        <w:t xml:space="preserve">In terms of the average project funding, the Specific International Programme can provide support from </w:t>
      </w:r>
      <w:r w:rsidR="0056109D" w:rsidRPr="003A64E1">
        <w:rPr>
          <w:lang w:val="en-GB"/>
        </w:rPr>
        <w:t>$</w:t>
      </w:r>
      <w:r w:rsidRPr="008A572D">
        <w:rPr>
          <w:lang w:val="en-GB"/>
        </w:rPr>
        <w:t xml:space="preserve">50,000 to </w:t>
      </w:r>
      <w:r w:rsidR="0056109D" w:rsidRPr="003A64E1">
        <w:rPr>
          <w:lang w:val="en-GB"/>
        </w:rPr>
        <w:t>$</w:t>
      </w:r>
      <w:r w:rsidRPr="008A572D">
        <w:rPr>
          <w:lang w:val="en-GB"/>
        </w:rPr>
        <w:t xml:space="preserve">250,000 per project. Throughout the four rounds, the number of approved projects requesting the maximum budget allowed by the </w:t>
      </w:r>
      <w:r w:rsidR="0056109D">
        <w:rPr>
          <w:lang w:val="en-GB"/>
        </w:rPr>
        <w:t>p</w:t>
      </w:r>
      <w:r w:rsidRPr="008A572D">
        <w:rPr>
          <w:lang w:val="en-GB"/>
        </w:rPr>
        <w:t>rogramme has increased. Such projects amounted to two in the first round, three in the second round, six in the third round, and five in the fourth round.</w:t>
      </w:r>
    </w:p>
    <w:p w14:paraId="38D8808C" w14:textId="272D4E55" w:rsidR="00F53750" w:rsidRDefault="00F53750" w:rsidP="00403EAA">
      <w:pPr>
        <w:pStyle w:val="Normalnumber"/>
        <w:ind w:left="1247"/>
        <w:rPr>
          <w:noProof/>
          <w:lang w:val="en-GB"/>
        </w:rPr>
      </w:pPr>
      <w:r w:rsidRPr="2B5C85AE">
        <w:rPr>
          <w:lang w:val="en-GB"/>
        </w:rPr>
        <w:t>The</w:t>
      </w:r>
      <w:r w:rsidRPr="2B5C85AE">
        <w:rPr>
          <w:noProof/>
          <w:lang w:val="en-GB"/>
        </w:rPr>
        <w:t xml:space="preserve"> overall and average project budget per round, including </w:t>
      </w:r>
      <w:r w:rsidRPr="2B5C85AE">
        <w:rPr>
          <w:lang w:val="en-GB"/>
        </w:rPr>
        <w:t xml:space="preserve">13 per cent </w:t>
      </w:r>
      <w:r w:rsidR="0056109D">
        <w:rPr>
          <w:lang w:val="en-GB"/>
        </w:rPr>
        <w:t>PSC</w:t>
      </w:r>
      <w:r>
        <w:rPr>
          <w:lang w:val="en-GB"/>
        </w:rPr>
        <w:t xml:space="preserve"> are set out in the following table.  </w:t>
      </w:r>
    </w:p>
    <w:p w14:paraId="64C85D50" w14:textId="17CF3976" w:rsidR="00F53750" w:rsidRPr="008A572D" w:rsidRDefault="00F53750" w:rsidP="00F53750">
      <w:pPr>
        <w:pStyle w:val="Normalnumber"/>
        <w:numPr>
          <w:ilvl w:val="0"/>
          <w:numId w:val="0"/>
        </w:numPr>
        <w:ind w:left="1247"/>
        <w:rPr>
          <w:b/>
          <w:bCs/>
          <w:lang w:val="en-GB"/>
        </w:rPr>
      </w:pPr>
      <w:r w:rsidRPr="00403EAA">
        <w:rPr>
          <w:lang w:val="en-GB"/>
        </w:rPr>
        <w:t xml:space="preserve">Table </w:t>
      </w:r>
      <w:r w:rsidR="00067A04" w:rsidRPr="00403EAA">
        <w:rPr>
          <w:lang w:val="en-GB"/>
        </w:rPr>
        <w:t>3</w:t>
      </w:r>
      <w:r w:rsidRPr="00403EAA">
        <w:rPr>
          <w:lang w:val="en-GB"/>
        </w:rPr>
        <w:t>:</w:t>
      </w:r>
      <w:r w:rsidRPr="008A572D">
        <w:rPr>
          <w:b/>
          <w:bCs/>
          <w:lang w:val="en-GB"/>
        </w:rPr>
        <w:t xml:space="preserve"> Overall and average project budget per round</w:t>
      </w:r>
    </w:p>
    <w:tbl>
      <w:tblPr>
        <w:tblStyle w:val="TableGrid"/>
        <w:tblW w:w="0" w:type="auto"/>
        <w:tblInd w:w="1271" w:type="dxa"/>
        <w:tblLayout w:type="fixed"/>
        <w:tblLook w:val="04A0" w:firstRow="1" w:lastRow="0" w:firstColumn="1" w:lastColumn="0" w:noHBand="0" w:noVBand="1"/>
      </w:tblPr>
      <w:tblGrid>
        <w:gridCol w:w="2552"/>
        <w:gridCol w:w="1415"/>
        <w:gridCol w:w="1416"/>
        <w:gridCol w:w="1416"/>
        <w:gridCol w:w="1416"/>
      </w:tblGrid>
      <w:tr w:rsidR="00F53750" w14:paraId="378BCF3B" w14:textId="77777777">
        <w:tc>
          <w:tcPr>
            <w:tcW w:w="2552" w:type="dxa"/>
          </w:tcPr>
          <w:p w14:paraId="75B0B9D3" w14:textId="77777777" w:rsidR="00F53750" w:rsidRPr="008A572D" w:rsidRDefault="00F53750">
            <w:pPr>
              <w:pStyle w:val="Normalnumber"/>
              <w:numPr>
                <w:ilvl w:val="0"/>
                <w:numId w:val="0"/>
              </w:numPr>
              <w:rPr>
                <w:b/>
                <w:bCs/>
                <w:sz w:val="18"/>
                <w:szCs w:val="18"/>
                <w:lang w:val="en-GB"/>
              </w:rPr>
            </w:pPr>
            <w:r w:rsidRPr="008A572D">
              <w:rPr>
                <w:b/>
                <w:bCs/>
                <w:sz w:val="18"/>
                <w:szCs w:val="18"/>
                <w:lang w:val="en-GB"/>
              </w:rPr>
              <w:t>Round of applications</w:t>
            </w:r>
          </w:p>
        </w:tc>
        <w:tc>
          <w:tcPr>
            <w:tcW w:w="1415" w:type="dxa"/>
          </w:tcPr>
          <w:p w14:paraId="17D5C5D9" w14:textId="77777777" w:rsidR="00F53750" w:rsidRPr="008A572D" w:rsidRDefault="00F53750">
            <w:pPr>
              <w:pStyle w:val="Normalnumber"/>
              <w:numPr>
                <w:ilvl w:val="0"/>
                <w:numId w:val="0"/>
              </w:numPr>
              <w:jc w:val="center"/>
              <w:rPr>
                <w:b/>
                <w:bCs/>
                <w:sz w:val="18"/>
                <w:szCs w:val="18"/>
                <w:lang w:val="en-GB"/>
              </w:rPr>
            </w:pPr>
            <w:r w:rsidRPr="008A572D">
              <w:rPr>
                <w:b/>
                <w:bCs/>
                <w:sz w:val="18"/>
                <w:szCs w:val="18"/>
                <w:lang w:val="en-GB"/>
              </w:rPr>
              <w:t>First round</w:t>
            </w:r>
          </w:p>
        </w:tc>
        <w:tc>
          <w:tcPr>
            <w:tcW w:w="1416" w:type="dxa"/>
          </w:tcPr>
          <w:p w14:paraId="7F13C269" w14:textId="77777777" w:rsidR="00F53750" w:rsidRPr="008A572D" w:rsidRDefault="00F53750">
            <w:pPr>
              <w:pStyle w:val="Normalnumber"/>
              <w:numPr>
                <w:ilvl w:val="0"/>
                <w:numId w:val="0"/>
              </w:numPr>
              <w:jc w:val="center"/>
              <w:rPr>
                <w:b/>
                <w:bCs/>
                <w:sz w:val="18"/>
                <w:szCs w:val="18"/>
                <w:lang w:val="en-GB"/>
              </w:rPr>
            </w:pPr>
            <w:r w:rsidRPr="008A572D">
              <w:rPr>
                <w:b/>
                <w:bCs/>
                <w:sz w:val="18"/>
                <w:szCs w:val="18"/>
                <w:lang w:val="en-GB"/>
              </w:rPr>
              <w:t>Second round</w:t>
            </w:r>
          </w:p>
        </w:tc>
        <w:tc>
          <w:tcPr>
            <w:tcW w:w="1416" w:type="dxa"/>
          </w:tcPr>
          <w:p w14:paraId="34163945" w14:textId="77777777" w:rsidR="00F53750" w:rsidRPr="008A572D" w:rsidRDefault="00F53750">
            <w:pPr>
              <w:pStyle w:val="Normalnumber"/>
              <w:numPr>
                <w:ilvl w:val="0"/>
                <w:numId w:val="0"/>
              </w:numPr>
              <w:jc w:val="center"/>
              <w:rPr>
                <w:b/>
                <w:bCs/>
                <w:sz w:val="18"/>
                <w:szCs w:val="18"/>
                <w:lang w:val="en-GB"/>
              </w:rPr>
            </w:pPr>
            <w:r w:rsidRPr="008A572D">
              <w:rPr>
                <w:b/>
                <w:bCs/>
                <w:sz w:val="18"/>
                <w:szCs w:val="18"/>
                <w:lang w:val="en-GB"/>
              </w:rPr>
              <w:t>Third round</w:t>
            </w:r>
          </w:p>
        </w:tc>
        <w:tc>
          <w:tcPr>
            <w:tcW w:w="1416" w:type="dxa"/>
          </w:tcPr>
          <w:p w14:paraId="539FE11C" w14:textId="77777777" w:rsidR="00F53750" w:rsidRPr="008A572D" w:rsidRDefault="00F53750">
            <w:pPr>
              <w:pStyle w:val="Normalnumber"/>
              <w:numPr>
                <w:ilvl w:val="0"/>
                <w:numId w:val="0"/>
              </w:numPr>
              <w:jc w:val="center"/>
              <w:rPr>
                <w:b/>
                <w:bCs/>
                <w:sz w:val="18"/>
                <w:szCs w:val="18"/>
                <w:lang w:val="en-GB"/>
              </w:rPr>
            </w:pPr>
            <w:r w:rsidRPr="008A572D">
              <w:rPr>
                <w:b/>
                <w:bCs/>
                <w:sz w:val="18"/>
                <w:szCs w:val="18"/>
                <w:lang w:val="en-GB"/>
              </w:rPr>
              <w:t>Fourth round</w:t>
            </w:r>
          </w:p>
        </w:tc>
      </w:tr>
      <w:tr w:rsidR="00F53750" w14:paraId="545BD040" w14:textId="77777777">
        <w:tc>
          <w:tcPr>
            <w:tcW w:w="2552" w:type="dxa"/>
          </w:tcPr>
          <w:p w14:paraId="0999DF08" w14:textId="77777777" w:rsidR="00F53750" w:rsidRPr="008A572D" w:rsidRDefault="00F53750">
            <w:pPr>
              <w:pStyle w:val="Normalnumber"/>
              <w:numPr>
                <w:ilvl w:val="0"/>
                <w:numId w:val="0"/>
              </w:numPr>
              <w:rPr>
                <w:b/>
                <w:bCs/>
                <w:sz w:val="18"/>
                <w:szCs w:val="18"/>
                <w:lang w:val="en-GB"/>
              </w:rPr>
            </w:pPr>
            <w:r w:rsidRPr="008A572D">
              <w:rPr>
                <w:b/>
                <w:bCs/>
                <w:sz w:val="18"/>
                <w:szCs w:val="18"/>
                <w:lang w:val="en-GB"/>
              </w:rPr>
              <w:t xml:space="preserve">Number of projects approved </w:t>
            </w:r>
          </w:p>
        </w:tc>
        <w:tc>
          <w:tcPr>
            <w:tcW w:w="1415" w:type="dxa"/>
          </w:tcPr>
          <w:p w14:paraId="6F0DEC27" w14:textId="77777777" w:rsidR="00F53750" w:rsidRPr="008A572D" w:rsidRDefault="00F53750">
            <w:pPr>
              <w:pStyle w:val="Normalnumber"/>
              <w:numPr>
                <w:ilvl w:val="0"/>
                <w:numId w:val="0"/>
              </w:numPr>
              <w:jc w:val="center"/>
              <w:rPr>
                <w:sz w:val="18"/>
                <w:szCs w:val="18"/>
                <w:lang w:val="en-GB"/>
              </w:rPr>
            </w:pPr>
            <w:r w:rsidRPr="008A572D">
              <w:rPr>
                <w:sz w:val="18"/>
                <w:szCs w:val="18"/>
                <w:lang w:val="en-GB"/>
              </w:rPr>
              <w:t>5</w:t>
            </w:r>
          </w:p>
        </w:tc>
        <w:tc>
          <w:tcPr>
            <w:tcW w:w="1416" w:type="dxa"/>
          </w:tcPr>
          <w:p w14:paraId="0429817E" w14:textId="77777777" w:rsidR="00F53750" w:rsidRPr="008A572D" w:rsidRDefault="00F53750">
            <w:pPr>
              <w:pStyle w:val="Normalnumber"/>
              <w:numPr>
                <w:ilvl w:val="0"/>
                <w:numId w:val="0"/>
              </w:numPr>
              <w:jc w:val="center"/>
              <w:rPr>
                <w:sz w:val="18"/>
                <w:szCs w:val="18"/>
                <w:lang w:val="en-GB"/>
              </w:rPr>
            </w:pPr>
            <w:r w:rsidRPr="008A572D">
              <w:rPr>
                <w:sz w:val="18"/>
                <w:szCs w:val="18"/>
                <w:lang w:val="en-GB"/>
              </w:rPr>
              <w:t>10</w:t>
            </w:r>
          </w:p>
        </w:tc>
        <w:tc>
          <w:tcPr>
            <w:tcW w:w="1416" w:type="dxa"/>
          </w:tcPr>
          <w:p w14:paraId="475972D9" w14:textId="77777777" w:rsidR="00F53750" w:rsidRPr="008A572D" w:rsidRDefault="00F53750">
            <w:pPr>
              <w:pStyle w:val="Normalnumber"/>
              <w:numPr>
                <w:ilvl w:val="0"/>
                <w:numId w:val="0"/>
              </w:numPr>
              <w:jc w:val="center"/>
              <w:rPr>
                <w:sz w:val="18"/>
                <w:szCs w:val="18"/>
                <w:lang w:val="en-GB"/>
              </w:rPr>
            </w:pPr>
            <w:r w:rsidRPr="008A572D">
              <w:rPr>
                <w:sz w:val="18"/>
                <w:szCs w:val="18"/>
                <w:lang w:val="en-GB"/>
              </w:rPr>
              <w:t>9</w:t>
            </w:r>
          </w:p>
        </w:tc>
        <w:tc>
          <w:tcPr>
            <w:tcW w:w="1416" w:type="dxa"/>
          </w:tcPr>
          <w:p w14:paraId="4D97D1E3" w14:textId="77777777" w:rsidR="00F53750" w:rsidRPr="008A572D" w:rsidRDefault="00F53750">
            <w:pPr>
              <w:pStyle w:val="Normalnumber"/>
              <w:numPr>
                <w:ilvl w:val="0"/>
                <w:numId w:val="0"/>
              </w:numPr>
              <w:jc w:val="center"/>
              <w:rPr>
                <w:sz w:val="18"/>
                <w:szCs w:val="18"/>
                <w:lang w:val="en-GB"/>
              </w:rPr>
            </w:pPr>
            <w:r w:rsidRPr="008A572D">
              <w:rPr>
                <w:sz w:val="18"/>
                <w:szCs w:val="18"/>
                <w:lang w:val="en-GB"/>
              </w:rPr>
              <w:t>10</w:t>
            </w:r>
          </w:p>
        </w:tc>
      </w:tr>
      <w:tr w:rsidR="00F53750" w14:paraId="5D65A0D6" w14:textId="77777777">
        <w:tc>
          <w:tcPr>
            <w:tcW w:w="2552" w:type="dxa"/>
          </w:tcPr>
          <w:p w14:paraId="6150F878" w14:textId="77777777" w:rsidR="00F53750" w:rsidRPr="008A572D" w:rsidRDefault="00F53750">
            <w:pPr>
              <w:pStyle w:val="Normalnumber"/>
              <w:numPr>
                <w:ilvl w:val="0"/>
                <w:numId w:val="0"/>
              </w:numPr>
              <w:rPr>
                <w:b/>
                <w:bCs/>
                <w:sz w:val="18"/>
                <w:szCs w:val="18"/>
                <w:lang w:val="en-GB"/>
              </w:rPr>
            </w:pPr>
            <w:r w:rsidRPr="008A572D">
              <w:rPr>
                <w:b/>
                <w:bCs/>
                <w:sz w:val="18"/>
                <w:szCs w:val="18"/>
                <w:lang w:val="en-GB"/>
              </w:rPr>
              <w:t>Total budget</w:t>
            </w:r>
            <w:r>
              <w:rPr>
                <w:b/>
                <w:bCs/>
                <w:sz w:val="18"/>
                <w:szCs w:val="18"/>
                <w:lang w:val="en-GB"/>
              </w:rPr>
              <w:t xml:space="preserve"> for projects</w:t>
            </w:r>
          </w:p>
        </w:tc>
        <w:tc>
          <w:tcPr>
            <w:tcW w:w="1415" w:type="dxa"/>
          </w:tcPr>
          <w:p w14:paraId="7A590FE6" w14:textId="77777777" w:rsidR="00F53750" w:rsidRPr="008A572D" w:rsidRDefault="00F53750">
            <w:pPr>
              <w:pStyle w:val="Normalnumber"/>
              <w:numPr>
                <w:ilvl w:val="0"/>
                <w:numId w:val="0"/>
              </w:numPr>
              <w:jc w:val="center"/>
              <w:rPr>
                <w:sz w:val="18"/>
                <w:szCs w:val="18"/>
                <w:lang w:val="en-GB"/>
              </w:rPr>
            </w:pPr>
            <w:r w:rsidRPr="008A572D">
              <w:rPr>
                <w:sz w:val="18"/>
                <w:szCs w:val="18"/>
                <w:lang w:val="en-GB"/>
              </w:rPr>
              <w:t>$1,086,679</w:t>
            </w:r>
          </w:p>
        </w:tc>
        <w:tc>
          <w:tcPr>
            <w:tcW w:w="1416" w:type="dxa"/>
          </w:tcPr>
          <w:p w14:paraId="45C3D182" w14:textId="77777777" w:rsidR="00F53750" w:rsidRPr="008A572D" w:rsidRDefault="00F53750">
            <w:pPr>
              <w:pStyle w:val="Normalnumber"/>
              <w:numPr>
                <w:ilvl w:val="0"/>
                <w:numId w:val="0"/>
              </w:numPr>
              <w:jc w:val="center"/>
              <w:rPr>
                <w:sz w:val="18"/>
                <w:szCs w:val="18"/>
                <w:lang w:val="en-GB"/>
              </w:rPr>
            </w:pPr>
            <w:r w:rsidRPr="008A572D">
              <w:rPr>
                <w:sz w:val="18"/>
                <w:szCs w:val="18"/>
                <w:lang w:val="en-GB"/>
              </w:rPr>
              <w:t>$2,234,647</w:t>
            </w:r>
          </w:p>
        </w:tc>
        <w:tc>
          <w:tcPr>
            <w:tcW w:w="1416" w:type="dxa"/>
          </w:tcPr>
          <w:p w14:paraId="044931E3" w14:textId="77777777" w:rsidR="00F53750" w:rsidRPr="008A572D" w:rsidRDefault="00F53750">
            <w:pPr>
              <w:pStyle w:val="Normalnumber"/>
              <w:numPr>
                <w:ilvl w:val="0"/>
                <w:numId w:val="0"/>
              </w:numPr>
              <w:jc w:val="center"/>
              <w:rPr>
                <w:sz w:val="18"/>
                <w:szCs w:val="18"/>
                <w:lang w:val="en-GB"/>
              </w:rPr>
            </w:pPr>
            <w:r w:rsidRPr="008A572D">
              <w:rPr>
                <w:sz w:val="18"/>
                <w:szCs w:val="18"/>
                <w:lang w:val="en-GB"/>
              </w:rPr>
              <w:t>$2,479,041</w:t>
            </w:r>
          </w:p>
        </w:tc>
        <w:tc>
          <w:tcPr>
            <w:tcW w:w="1416" w:type="dxa"/>
          </w:tcPr>
          <w:p w14:paraId="070B73C9" w14:textId="77777777" w:rsidR="00F53750" w:rsidRPr="008A572D" w:rsidRDefault="00F53750">
            <w:pPr>
              <w:pStyle w:val="Normalnumber"/>
              <w:numPr>
                <w:ilvl w:val="0"/>
                <w:numId w:val="0"/>
              </w:numPr>
              <w:jc w:val="center"/>
              <w:rPr>
                <w:sz w:val="18"/>
                <w:szCs w:val="18"/>
                <w:lang w:val="en-GB"/>
              </w:rPr>
            </w:pPr>
            <w:r w:rsidRPr="008A572D">
              <w:rPr>
                <w:sz w:val="18"/>
                <w:szCs w:val="18"/>
                <w:lang w:val="en-GB"/>
              </w:rPr>
              <w:t>$2,378,231</w:t>
            </w:r>
          </w:p>
        </w:tc>
      </w:tr>
      <w:tr w:rsidR="00F53750" w14:paraId="6862C4C8" w14:textId="77777777">
        <w:tc>
          <w:tcPr>
            <w:tcW w:w="2552" w:type="dxa"/>
          </w:tcPr>
          <w:p w14:paraId="1ED82223" w14:textId="07A79F00" w:rsidR="00F53750" w:rsidRPr="008A572D" w:rsidRDefault="00F53750">
            <w:pPr>
              <w:pStyle w:val="Normalnumber"/>
              <w:numPr>
                <w:ilvl w:val="0"/>
                <w:numId w:val="0"/>
              </w:numPr>
              <w:rPr>
                <w:b/>
                <w:bCs/>
                <w:sz w:val="18"/>
                <w:szCs w:val="18"/>
                <w:lang w:val="en-GB"/>
              </w:rPr>
            </w:pPr>
            <w:r w:rsidRPr="008A572D">
              <w:rPr>
                <w:b/>
                <w:bCs/>
                <w:sz w:val="18"/>
                <w:szCs w:val="18"/>
                <w:lang w:val="en-GB"/>
              </w:rPr>
              <w:t>Average project funding</w:t>
            </w:r>
            <w:r w:rsidR="004B0850">
              <w:rPr>
                <w:rStyle w:val="FootnoteReference"/>
                <w:b/>
                <w:bCs/>
                <w:lang w:val="en-GB"/>
              </w:rPr>
              <w:footnoteReference w:id="4"/>
            </w:r>
          </w:p>
        </w:tc>
        <w:tc>
          <w:tcPr>
            <w:tcW w:w="1415" w:type="dxa"/>
          </w:tcPr>
          <w:p w14:paraId="64A25DDF" w14:textId="77777777" w:rsidR="00F53750" w:rsidRPr="008A572D" w:rsidRDefault="00F53750">
            <w:pPr>
              <w:pStyle w:val="Normalnumber"/>
              <w:numPr>
                <w:ilvl w:val="0"/>
                <w:numId w:val="0"/>
              </w:numPr>
              <w:jc w:val="center"/>
              <w:rPr>
                <w:sz w:val="18"/>
                <w:szCs w:val="18"/>
                <w:lang w:val="en-GB"/>
              </w:rPr>
            </w:pPr>
            <w:r w:rsidRPr="008A572D">
              <w:rPr>
                <w:sz w:val="18"/>
                <w:szCs w:val="18"/>
                <w:lang w:val="en-GB"/>
              </w:rPr>
              <w:t>$217,336</w:t>
            </w:r>
          </w:p>
        </w:tc>
        <w:tc>
          <w:tcPr>
            <w:tcW w:w="1416" w:type="dxa"/>
          </w:tcPr>
          <w:p w14:paraId="43F826F4" w14:textId="77777777" w:rsidR="00F53750" w:rsidRPr="008A572D" w:rsidRDefault="00F53750">
            <w:pPr>
              <w:pStyle w:val="Normalnumber"/>
              <w:numPr>
                <w:ilvl w:val="0"/>
                <w:numId w:val="0"/>
              </w:numPr>
              <w:jc w:val="center"/>
              <w:rPr>
                <w:sz w:val="18"/>
                <w:szCs w:val="18"/>
                <w:lang w:val="en-GB"/>
              </w:rPr>
            </w:pPr>
            <w:r w:rsidRPr="008A572D">
              <w:rPr>
                <w:sz w:val="18"/>
                <w:szCs w:val="18"/>
                <w:lang w:val="en-GB"/>
              </w:rPr>
              <w:t>$223,465</w:t>
            </w:r>
          </w:p>
        </w:tc>
        <w:tc>
          <w:tcPr>
            <w:tcW w:w="1416" w:type="dxa"/>
          </w:tcPr>
          <w:p w14:paraId="21FB2A8C" w14:textId="0CF8D9E0" w:rsidR="00F53750" w:rsidRPr="008A572D" w:rsidRDefault="00F53750">
            <w:pPr>
              <w:pStyle w:val="Normalnumber"/>
              <w:numPr>
                <w:ilvl w:val="0"/>
                <w:numId w:val="0"/>
              </w:numPr>
              <w:jc w:val="center"/>
              <w:rPr>
                <w:sz w:val="18"/>
                <w:szCs w:val="18"/>
                <w:lang w:val="en-GB"/>
              </w:rPr>
            </w:pPr>
            <w:r w:rsidRPr="008A572D">
              <w:rPr>
                <w:sz w:val="18"/>
                <w:szCs w:val="18"/>
                <w:lang w:val="en-GB"/>
              </w:rPr>
              <w:t>$275,449</w:t>
            </w:r>
          </w:p>
        </w:tc>
        <w:tc>
          <w:tcPr>
            <w:tcW w:w="1416" w:type="dxa"/>
          </w:tcPr>
          <w:p w14:paraId="3B9BF069" w14:textId="77777777" w:rsidR="00F53750" w:rsidRPr="008A572D" w:rsidRDefault="00F53750">
            <w:pPr>
              <w:pStyle w:val="Normalnumber"/>
              <w:numPr>
                <w:ilvl w:val="0"/>
                <w:numId w:val="0"/>
              </w:numPr>
              <w:jc w:val="center"/>
              <w:rPr>
                <w:sz w:val="18"/>
                <w:szCs w:val="18"/>
                <w:lang w:val="en-GB"/>
              </w:rPr>
            </w:pPr>
            <w:r w:rsidRPr="008A572D">
              <w:rPr>
                <w:sz w:val="18"/>
                <w:szCs w:val="18"/>
                <w:lang w:val="en-GB"/>
              </w:rPr>
              <w:t>$237,823</w:t>
            </w:r>
          </w:p>
        </w:tc>
      </w:tr>
    </w:tbl>
    <w:p w14:paraId="762A6D7B" w14:textId="5FBA1AD7" w:rsidR="00F53750" w:rsidRPr="00403EAA" w:rsidRDefault="00157AD5" w:rsidP="00403EAA">
      <w:pPr>
        <w:spacing w:before="240" w:after="120"/>
        <w:rPr>
          <w:b/>
          <w:bCs/>
          <w:sz w:val="22"/>
          <w:szCs w:val="22"/>
        </w:rPr>
      </w:pPr>
      <w:r>
        <w:rPr>
          <w:b/>
          <w:bCs/>
          <w:sz w:val="22"/>
          <w:szCs w:val="22"/>
        </w:rPr>
        <w:tab/>
        <w:t>B.</w:t>
      </w:r>
      <w:r>
        <w:rPr>
          <w:b/>
          <w:bCs/>
          <w:sz w:val="22"/>
          <w:szCs w:val="22"/>
        </w:rPr>
        <w:tab/>
      </w:r>
      <w:r w:rsidR="00E448F8" w:rsidRPr="00403EAA">
        <w:rPr>
          <w:b/>
          <w:bCs/>
          <w:sz w:val="22"/>
          <w:szCs w:val="22"/>
        </w:rPr>
        <w:t>S</w:t>
      </w:r>
      <w:r w:rsidR="00F53750" w:rsidRPr="00403EAA">
        <w:rPr>
          <w:b/>
          <w:bCs/>
          <w:sz w:val="22"/>
          <w:szCs w:val="22"/>
        </w:rPr>
        <w:t>cenarios for future funding needs </w:t>
      </w:r>
    </w:p>
    <w:p w14:paraId="0031ADCF" w14:textId="18D2C882" w:rsidR="00E33196" w:rsidRDefault="00497DA6" w:rsidP="00403EAA">
      <w:pPr>
        <w:pStyle w:val="Normalnumber"/>
        <w:ind w:left="1247"/>
        <w:rPr>
          <w:lang w:val="en-GB"/>
        </w:rPr>
      </w:pPr>
      <w:r>
        <w:rPr>
          <w:lang w:val="en-GB"/>
        </w:rPr>
        <w:t xml:space="preserve">As highlighted in the report on the second review of the financial mechanism the </w:t>
      </w:r>
      <w:r w:rsidRPr="00132039">
        <w:rPr>
          <w:lang w:val="en-GB"/>
        </w:rPr>
        <w:t xml:space="preserve">SIP should continue to play an important role in funding </w:t>
      </w:r>
      <w:r>
        <w:rPr>
          <w:lang w:val="en-GB"/>
        </w:rPr>
        <w:t xml:space="preserve">capacity building </w:t>
      </w:r>
      <w:r w:rsidRPr="00132039">
        <w:rPr>
          <w:lang w:val="en-GB"/>
        </w:rPr>
        <w:t xml:space="preserve">activities </w:t>
      </w:r>
      <w:r>
        <w:rPr>
          <w:lang w:val="en-GB"/>
        </w:rPr>
        <w:t xml:space="preserve">required </w:t>
      </w:r>
      <w:r w:rsidRPr="00132039">
        <w:rPr>
          <w:lang w:val="en-GB"/>
        </w:rPr>
        <w:t xml:space="preserve">by Parties </w:t>
      </w:r>
      <w:r>
        <w:rPr>
          <w:lang w:val="en-GB"/>
        </w:rPr>
        <w:t xml:space="preserve">to implement the Convention. </w:t>
      </w:r>
      <w:r w:rsidR="001343AA">
        <w:rPr>
          <w:lang w:val="en-GB"/>
        </w:rPr>
        <w:t>To do so, t</w:t>
      </w:r>
      <w:r w:rsidR="00E6746B">
        <w:rPr>
          <w:lang w:val="en-GB"/>
        </w:rPr>
        <w:t xml:space="preserve">he secretariat should take steps to </w:t>
      </w:r>
      <w:r w:rsidR="00860F36">
        <w:rPr>
          <w:lang w:val="en-GB"/>
        </w:rPr>
        <w:t>mobilize resources</w:t>
      </w:r>
      <w:r w:rsidR="001343AA">
        <w:rPr>
          <w:lang w:val="en-GB"/>
        </w:rPr>
        <w:t xml:space="preserve"> and </w:t>
      </w:r>
      <w:r w:rsidR="00E6746B">
        <w:rPr>
          <w:lang w:val="en-GB"/>
        </w:rPr>
        <w:t xml:space="preserve">broaden </w:t>
      </w:r>
      <w:r w:rsidR="00C52CB0">
        <w:rPr>
          <w:lang w:val="en-GB"/>
        </w:rPr>
        <w:t>the d</w:t>
      </w:r>
      <w:r w:rsidR="00E33196">
        <w:rPr>
          <w:lang w:val="en-GB"/>
        </w:rPr>
        <w:t xml:space="preserve">onors base </w:t>
      </w:r>
      <w:r w:rsidR="00C52CB0">
        <w:rPr>
          <w:lang w:val="en-GB"/>
        </w:rPr>
        <w:t xml:space="preserve">that </w:t>
      </w:r>
      <w:r w:rsidR="00E33196">
        <w:rPr>
          <w:lang w:val="en-GB"/>
        </w:rPr>
        <w:t xml:space="preserve">is </w:t>
      </w:r>
      <w:r w:rsidR="00C52CB0">
        <w:rPr>
          <w:lang w:val="en-GB"/>
        </w:rPr>
        <w:t xml:space="preserve">currently </w:t>
      </w:r>
      <w:r w:rsidR="00E33196">
        <w:rPr>
          <w:lang w:val="en-GB"/>
        </w:rPr>
        <w:t xml:space="preserve">limited to 10 countries as outlined in document </w:t>
      </w:r>
      <w:r w:rsidR="00E33196" w:rsidRPr="00A662C3">
        <w:rPr>
          <w:lang w:val="en-GB"/>
        </w:rPr>
        <w:t>UNEP/MC/COP.6/11</w:t>
      </w:r>
      <w:r w:rsidR="00C52CB0">
        <w:rPr>
          <w:lang w:val="en-GB"/>
        </w:rPr>
        <w:t>.</w:t>
      </w:r>
      <w:r w:rsidR="000E46FD">
        <w:rPr>
          <w:lang w:val="en-GB"/>
        </w:rPr>
        <w:t xml:space="preserve"> Furthermore, the </w:t>
      </w:r>
      <w:r w:rsidR="003F3900" w:rsidRPr="00C93A7C">
        <w:rPr>
          <w:lang w:val="en-GB"/>
        </w:rPr>
        <w:t xml:space="preserve">midterm evaluation </w:t>
      </w:r>
      <w:r w:rsidR="000E46FD">
        <w:rPr>
          <w:lang w:val="en-GB"/>
        </w:rPr>
        <w:t xml:space="preserve">recommended that </w:t>
      </w:r>
      <w:r w:rsidR="000E46FD" w:rsidRPr="00AA08E8">
        <w:rPr>
          <w:lang w:val="en-GB"/>
        </w:rPr>
        <w:t>for planning purposes</w:t>
      </w:r>
      <w:r w:rsidR="000E46FD">
        <w:rPr>
          <w:lang w:val="en-GB"/>
        </w:rPr>
        <w:t xml:space="preserve"> the secretariat provided potential donors with information on the estimated resource </w:t>
      </w:r>
      <w:r w:rsidR="00EB629E">
        <w:rPr>
          <w:lang w:val="en-GB"/>
        </w:rPr>
        <w:t xml:space="preserve">and related staffing </w:t>
      </w:r>
      <w:r w:rsidR="000E46FD">
        <w:rPr>
          <w:lang w:val="en-GB"/>
        </w:rPr>
        <w:t>needs over a multi-year period covering the initial term and potential extended term of the</w:t>
      </w:r>
      <w:r w:rsidR="00EB629E">
        <w:rPr>
          <w:lang w:val="en-GB"/>
        </w:rPr>
        <w:t xml:space="preserve"> Programme.</w:t>
      </w:r>
    </w:p>
    <w:p w14:paraId="54B6F647" w14:textId="05A09D2A" w:rsidR="00F53750" w:rsidRPr="008A572D" w:rsidRDefault="00EF3848" w:rsidP="00403EAA">
      <w:pPr>
        <w:pStyle w:val="Normalnumber"/>
        <w:ind w:left="1247"/>
        <w:rPr>
          <w:lang w:val="en-GB"/>
        </w:rPr>
      </w:pPr>
      <w:r>
        <w:rPr>
          <w:lang w:val="en-GB"/>
        </w:rPr>
        <w:t>Following the recommendations, the secretariat ha</w:t>
      </w:r>
      <w:r w:rsidR="00DC10DA">
        <w:rPr>
          <w:lang w:val="en-GB"/>
        </w:rPr>
        <w:t>s</w:t>
      </w:r>
      <w:r>
        <w:rPr>
          <w:lang w:val="en-GB"/>
        </w:rPr>
        <w:t xml:space="preserve"> developed </w:t>
      </w:r>
      <w:r w:rsidR="00DC10DA">
        <w:rPr>
          <w:lang w:val="en-GB"/>
        </w:rPr>
        <w:t>t</w:t>
      </w:r>
      <w:r w:rsidR="00DC10DA" w:rsidRPr="008A572D">
        <w:rPr>
          <w:lang w:val="en-GB"/>
        </w:rPr>
        <w:t>wo</w:t>
      </w:r>
      <w:r w:rsidR="00DC10DA" w:rsidDel="00D230CC">
        <w:rPr>
          <w:lang w:val="en-GB"/>
        </w:rPr>
        <w:t xml:space="preserve"> </w:t>
      </w:r>
      <w:r w:rsidR="00F53750" w:rsidRPr="008A572D">
        <w:rPr>
          <w:lang w:val="en-GB"/>
        </w:rPr>
        <w:t xml:space="preserve">scenarios </w:t>
      </w:r>
      <w:r w:rsidR="005505CA">
        <w:rPr>
          <w:lang w:val="en-GB"/>
        </w:rPr>
        <w:t xml:space="preserve">that </w:t>
      </w:r>
      <w:r w:rsidR="00F53750" w:rsidRPr="008A572D">
        <w:rPr>
          <w:lang w:val="en-GB"/>
        </w:rPr>
        <w:t xml:space="preserve">are set out in the following table. </w:t>
      </w:r>
      <w:r w:rsidR="00F53750">
        <w:rPr>
          <w:lang w:val="en-GB"/>
        </w:rPr>
        <w:t xml:space="preserve">The first scenario is set </w:t>
      </w:r>
      <w:r w:rsidR="00F53750" w:rsidRPr="00B33C4D">
        <w:rPr>
          <w:lang w:val="en-GB"/>
        </w:rPr>
        <w:t xml:space="preserve">until the end of the </w:t>
      </w:r>
      <w:r w:rsidR="001A0E38" w:rsidRPr="008A572D">
        <w:rPr>
          <w:lang w:val="en-GB"/>
        </w:rPr>
        <w:t>Specific International Programme</w:t>
      </w:r>
      <w:r w:rsidR="001A0E38">
        <w:rPr>
          <w:lang w:val="en-GB"/>
        </w:rPr>
        <w:t xml:space="preserve">’s </w:t>
      </w:r>
      <w:r w:rsidR="00F53750" w:rsidRPr="00B33C4D">
        <w:rPr>
          <w:lang w:val="en-GB"/>
        </w:rPr>
        <w:t>initial term</w:t>
      </w:r>
      <w:r w:rsidR="00F53750">
        <w:rPr>
          <w:lang w:val="en-GB"/>
        </w:rPr>
        <w:t xml:space="preserve"> in 2027</w:t>
      </w:r>
      <w:r w:rsidR="008610C1">
        <w:rPr>
          <w:lang w:val="en-GB"/>
        </w:rPr>
        <w:t>,</w:t>
      </w:r>
      <w:r w:rsidR="00F53750">
        <w:rPr>
          <w:lang w:val="en-GB"/>
        </w:rPr>
        <w:t xml:space="preserve"> and the second scenario is </w:t>
      </w:r>
      <w:r w:rsidR="00F53750" w:rsidRPr="00B33C4D">
        <w:rPr>
          <w:lang w:val="en-GB"/>
        </w:rPr>
        <w:t xml:space="preserve">until the end of the </w:t>
      </w:r>
      <w:r w:rsidR="001A0E38" w:rsidRPr="008A572D">
        <w:rPr>
          <w:lang w:val="en-GB"/>
        </w:rPr>
        <w:t>Specific International Programme</w:t>
      </w:r>
      <w:r w:rsidR="001A0E38">
        <w:rPr>
          <w:lang w:val="en-GB"/>
        </w:rPr>
        <w:t>’s</w:t>
      </w:r>
      <w:r w:rsidR="00F53750" w:rsidRPr="00B33C4D">
        <w:rPr>
          <w:lang w:val="en-GB"/>
        </w:rPr>
        <w:t xml:space="preserve"> extended term</w:t>
      </w:r>
      <w:r w:rsidR="00FE4AE3">
        <w:rPr>
          <w:lang w:val="en-GB"/>
        </w:rPr>
        <w:t xml:space="preserve">, </w:t>
      </w:r>
      <w:r w:rsidR="00F53750" w:rsidRPr="00B33C4D">
        <w:rPr>
          <w:lang w:val="en-GB"/>
        </w:rPr>
        <w:t xml:space="preserve">if the </w:t>
      </w:r>
      <w:r w:rsidR="001A0E38">
        <w:rPr>
          <w:lang w:val="en-GB"/>
        </w:rPr>
        <w:t>p</w:t>
      </w:r>
      <w:r w:rsidR="00F53750" w:rsidRPr="00B33C4D">
        <w:rPr>
          <w:lang w:val="en-GB"/>
        </w:rPr>
        <w:t>rogramme is extended for an additional period of seven years</w:t>
      </w:r>
      <w:r w:rsidR="00534077">
        <w:rPr>
          <w:lang w:val="en-GB"/>
        </w:rPr>
        <w:t xml:space="preserve"> by decision of COP</w:t>
      </w:r>
      <w:r w:rsidR="00F53750">
        <w:rPr>
          <w:lang w:val="en-GB"/>
        </w:rPr>
        <w:t>.</w:t>
      </w:r>
      <w:r w:rsidR="00FD04D1">
        <w:rPr>
          <w:lang w:val="en-GB"/>
        </w:rPr>
        <w:t xml:space="preserve"> The scenarios </w:t>
      </w:r>
      <w:r w:rsidR="00917A5F">
        <w:rPr>
          <w:lang w:val="en-GB"/>
        </w:rPr>
        <w:t>project a stable number of projects in moving forward</w:t>
      </w:r>
      <w:r w:rsidR="008522F5">
        <w:rPr>
          <w:lang w:val="en-GB"/>
        </w:rPr>
        <w:t xml:space="preserve">, including </w:t>
      </w:r>
      <w:r w:rsidR="00C025A8">
        <w:rPr>
          <w:lang w:val="en-GB"/>
        </w:rPr>
        <w:t>10 projects in a fifth round and the possibility to increase up to 15 in the sixth and seventh rounds</w:t>
      </w:r>
      <w:r w:rsidR="008522F5">
        <w:rPr>
          <w:lang w:val="en-GB"/>
        </w:rPr>
        <w:t xml:space="preserve"> with a</w:t>
      </w:r>
      <w:r w:rsidR="009D59DD">
        <w:rPr>
          <w:lang w:val="en-GB"/>
        </w:rPr>
        <w:t xml:space="preserve"> related requirement for increased resource needs.</w:t>
      </w:r>
    </w:p>
    <w:p w14:paraId="0A12DF88" w14:textId="192E0911" w:rsidR="00F53750" w:rsidRPr="008A572D" w:rsidRDefault="00F53750" w:rsidP="00EE1E3A">
      <w:pPr>
        <w:pStyle w:val="Normalnumber"/>
        <w:keepNext/>
        <w:numPr>
          <w:ilvl w:val="0"/>
          <w:numId w:val="0"/>
        </w:numPr>
        <w:ind w:left="1247"/>
        <w:rPr>
          <w:b/>
          <w:bCs/>
          <w:lang w:val="en-GB"/>
        </w:rPr>
      </w:pPr>
      <w:r w:rsidRPr="00403EAA">
        <w:rPr>
          <w:lang w:val="en-GB"/>
        </w:rPr>
        <w:lastRenderedPageBreak/>
        <w:t xml:space="preserve">Table </w:t>
      </w:r>
      <w:r w:rsidR="00067A04" w:rsidRPr="00403EAA">
        <w:rPr>
          <w:lang w:val="en-GB"/>
        </w:rPr>
        <w:t>4</w:t>
      </w:r>
      <w:r w:rsidRPr="00403EAA">
        <w:rPr>
          <w:lang w:val="en-GB"/>
        </w:rPr>
        <w:t>:</w:t>
      </w:r>
      <w:r w:rsidRPr="008A572D">
        <w:rPr>
          <w:b/>
          <w:bCs/>
          <w:lang w:val="en-GB"/>
        </w:rPr>
        <w:t xml:space="preserve"> </w:t>
      </w:r>
      <w:r w:rsidR="00534077">
        <w:rPr>
          <w:b/>
          <w:bCs/>
          <w:lang w:val="en-GB"/>
        </w:rPr>
        <w:t>S</w:t>
      </w:r>
      <w:r w:rsidRPr="008A572D">
        <w:rPr>
          <w:b/>
          <w:bCs/>
          <w:lang w:val="en-GB"/>
        </w:rPr>
        <w:t>cenarios for future funding needs</w:t>
      </w:r>
    </w:p>
    <w:tbl>
      <w:tblPr>
        <w:tblStyle w:val="TableGrid"/>
        <w:tblW w:w="8222" w:type="dxa"/>
        <w:tblInd w:w="1271" w:type="dxa"/>
        <w:tblLook w:val="04A0" w:firstRow="1" w:lastRow="0" w:firstColumn="1" w:lastColumn="0" w:noHBand="0" w:noVBand="1"/>
      </w:tblPr>
      <w:tblGrid>
        <w:gridCol w:w="1646"/>
        <w:gridCol w:w="2839"/>
        <w:gridCol w:w="3737"/>
      </w:tblGrid>
      <w:tr w:rsidR="00F53750" w14:paraId="3E038B25" w14:textId="77777777" w:rsidTr="00403EAA">
        <w:tc>
          <w:tcPr>
            <w:tcW w:w="1646" w:type="dxa"/>
          </w:tcPr>
          <w:p w14:paraId="111620CD" w14:textId="77777777" w:rsidR="00F53750" w:rsidRPr="008A572D" w:rsidRDefault="00F53750" w:rsidP="00EE1E3A">
            <w:pPr>
              <w:pStyle w:val="Normalnumber"/>
              <w:keepNext/>
              <w:numPr>
                <w:ilvl w:val="0"/>
                <w:numId w:val="0"/>
              </w:numPr>
              <w:rPr>
                <w:b/>
                <w:bCs/>
                <w:sz w:val="18"/>
                <w:szCs w:val="18"/>
                <w:lang w:val="en-GB"/>
              </w:rPr>
            </w:pPr>
            <w:r w:rsidRPr="008A572D">
              <w:rPr>
                <w:b/>
                <w:bCs/>
                <w:sz w:val="18"/>
                <w:szCs w:val="18"/>
                <w:lang w:val="en-GB"/>
              </w:rPr>
              <w:t>Item</w:t>
            </w:r>
          </w:p>
        </w:tc>
        <w:tc>
          <w:tcPr>
            <w:tcW w:w="2839" w:type="dxa"/>
          </w:tcPr>
          <w:p w14:paraId="18F51B63" w14:textId="57DAACE0" w:rsidR="00F53750" w:rsidRPr="008A572D" w:rsidRDefault="00F53750" w:rsidP="00EE1E3A">
            <w:pPr>
              <w:pStyle w:val="Normalnumber"/>
              <w:keepNext/>
              <w:numPr>
                <w:ilvl w:val="0"/>
                <w:numId w:val="0"/>
              </w:numPr>
              <w:rPr>
                <w:b/>
                <w:bCs/>
                <w:sz w:val="18"/>
                <w:szCs w:val="18"/>
                <w:lang w:val="en-GB"/>
              </w:rPr>
            </w:pPr>
            <w:r w:rsidRPr="008A572D">
              <w:rPr>
                <w:b/>
                <w:bCs/>
                <w:sz w:val="18"/>
                <w:szCs w:val="18"/>
                <w:lang w:val="en-GB"/>
              </w:rPr>
              <w:t>Scenario 1 (until the end of the</w:t>
            </w:r>
            <w:r w:rsidR="00817402">
              <w:rPr>
                <w:b/>
                <w:bCs/>
                <w:sz w:val="18"/>
                <w:szCs w:val="18"/>
                <w:lang w:val="en-GB"/>
              </w:rPr>
              <w:t xml:space="preserve"> </w:t>
            </w:r>
            <w:r w:rsidRPr="008A572D">
              <w:rPr>
                <w:b/>
                <w:bCs/>
                <w:sz w:val="18"/>
                <w:szCs w:val="18"/>
                <w:lang w:val="en-GB"/>
              </w:rPr>
              <w:t>initial term</w:t>
            </w:r>
            <w:r w:rsidR="00817402">
              <w:rPr>
                <w:b/>
                <w:bCs/>
                <w:sz w:val="18"/>
                <w:szCs w:val="18"/>
                <w:lang w:val="en-GB"/>
              </w:rPr>
              <w:t xml:space="preserve"> of the </w:t>
            </w:r>
            <w:r w:rsidR="00817402" w:rsidRPr="00817402">
              <w:rPr>
                <w:b/>
                <w:bCs/>
                <w:sz w:val="18"/>
                <w:szCs w:val="18"/>
                <w:lang w:val="en-GB"/>
              </w:rPr>
              <w:t>Specific International Programme</w:t>
            </w:r>
            <w:r w:rsidRPr="008A572D">
              <w:rPr>
                <w:b/>
                <w:bCs/>
                <w:sz w:val="18"/>
                <w:szCs w:val="18"/>
                <w:lang w:val="en-GB"/>
              </w:rPr>
              <w:t xml:space="preserve"> - 2027) – one additional round of applications</w:t>
            </w:r>
          </w:p>
        </w:tc>
        <w:tc>
          <w:tcPr>
            <w:tcW w:w="3737" w:type="dxa"/>
          </w:tcPr>
          <w:p w14:paraId="0E286050" w14:textId="62D3DB8F" w:rsidR="00F53750" w:rsidRPr="008A572D" w:rsidRDefault="00F53750" w:rsidP="00EE1E3A">
            <w:pPr>
              <w:pStyle w:val="Normalnumber"/>
              <w:keepNext/>
              <w:numPr>
                <w:ilvl w:val="0"/>
                <w:numId w:val="0"/>
              </w:numPr>
              <w:rPr>
                <w:b/>
                <w:bCs/>
                <w:sz w:val="18"/>
                <w:szCs w:val="18"/>
                <w:lang w:val="en-GB"/>
              </w:rPr>
            </w:pPr>
            <w:r w:rsidRPr="008A572D">
              <w:rPr>
                <w:b/>
                <w:bCs/>
                <w:sz w:val="18"/>
                <w:szCs w:val="18"/>
                <w:lang w:val="en-GB"/>
              </w:rPr>
              <w:t>Scenario 2 (until the end of the extended term</w:t>
            </w:r>
            <w:r w:rsidR="00817402">
              <w:rPr>
                <w:b/>
                <w:bCs/>
                <w:sz w:val="18"/>
                <w:szCs w:val="18"/>
                <w:lang w:val="en-GB"/>
              </w:rPr>
              <w:t xml:space="preserve"> of the </w:t>
            </w:r>
            <w:r w:rsidR="00817402" w:rsidRPr="00817402">
              <w:rPr>
                <w:b/>
                <w:bCs/>
                <w:sz w:val="18"/>
                <w:szCs w:val="18"/>
                <w:lang w:val="en-GB"/>
              </w:rPr>
              <w:t>Specific International Programme</w:t>
            </w:r>
            <w:r w:rsidRPr="008A572D">
              <w:rPr>
                <w:b/>
                <w:bCs/>
                <w:sz w:val="18"/>
                <w:szCs w:val="18"/>
                <w:lang w:val="en-GB"/>
              </w:rPr>
              <w:t xml:space="preserve"> - 2034) – three additional rounds of applications</w:t>
            </w:r>
          </w:p>
        </w:tc>
      </w:tr>
      <w:tr w:rsidR="00F53750" w14:paraId="2B5067EC" w14:textId="77777777" w:rsidTr="00403EAA">
        <w:tc>
          <w:tcPr>
            <w:tcW w:w="1646" w:type="dxa"/>
          </w:tcPr>
          <w:p w14:paraId="28FDD91E" w14:textId="77777777" w:rsidR="00F53750" w:rsidRPr="008A572D" w:rsidRDefault="00F53750">
            <w:pPr>
              <w:pStyle w:val="Normalnumber"/>
              <w:numPr>
                <w:ilvl w:val="0"/>
                <w:numId w:val="0"/>
              </w:numPr>
              <w:spacing w:after="0"/>
              <w:rPr>
                <w:sz w:val="18"/>
                <w:szCs w:val="18"/>
                <w:lang w:val="en-GB"/>
              </w:rPr>
            </w:pPr>
            <w:r w:rsidRPr="008A572D">
              <w:rPr>
                <w:sz w:val="18"/>
                <w:szCs w:val="18"/>
                <w:lang w:val="en-GB"/>
              </w:rPr>
              <w:t>Tentative timeframe</w:t>
            </w:r>
          </w:p>
        </w:tc>
        <w:tc>
          <w:tcPr>
            <w:tcW w:w="2839" w:type="dxa"/>
          </w:tcPr>
          <w:p w14:paraId="2D7F2319" w14:textId="77777777" w:rsidR="00F53750" w:rsidRPr="008A572D" w:rsidRDefault="00F53750">
            <w:pPr>
              <w:pStyle w:val="Normalnumber"/>
              <w:numPr>
                <w:ilvl w:val="0"/>
                <w:numId w:val="0"/>
              </w:numPr>
              <w:spacing w:after="0"/>
              <w:rPr>
                <w:sz w:val="18"/>
                <w:szCs w:val="18"/>
                <w:lang w:val="en-GB"/>
              </w:rPr>
            </w:pPr>
            <w:r w:rsidRPr="008A572D">
              <w:rPr>
                <w:sz w:val="18"/>
                <w:szCs w:val="18"/>
                <w:lang w:val="en-GB"/>
              </w:rPr>
              <w:t>Fifth round of applications – 2027</w:t>
            </w:r>
          </w:p>
          <w:p w14:paraId="01724FB3" w14:textId="77777777" w:rsidR="00F53750" w:rsidRPr="008A572D" w:rsidRDefault="00F53750">
            <w:pPr>
              <w:pStyle w:val="Normalnumber"/>
              <w:numPr>
                <w:ilvl w:val="0"/>
                <w:numId w:val="0"/>
              </w:numPr>
              <w:spacing w:after="0"/>
              <w:rPr>
                <w:sz w:val="18"/>
                <w:szCs w:val="18"/>
                <w:lang w:val="en-GB"/>
              </w:rPr>
            </w:pPr>
            <w:r w:rsidRPr="008A572D">
              <w:rPr>
                <w:sz w:val="18"/>
                <w:szCs w:val="18"/>
                <w:lang w:val="en-GB"/>
              </w:rPr>
              <w:t>(project close-out period until 2032)</w:t>
            </w:r>
          </w:p>
        </w:tc>
        <w:tc>
          <w:tcPr>
            <w:tcW w:w="3737" w:type="dxa"/>
          </w:tcPr>
          <w:p w14:paraId="196842CC" w14:textId="55C22C38" w:rsidR="00F53750" w:rsidRPr="008A572D" w:rsidRDefault="00F53750" w:rsidP="00F53750">
            <w:pPr>
              <w:pStyle w:val="Normalnumber"/>
              <w:numPr>
                <w:ilvl w:val="0"/>
                <w:numId w:val="14"/>
              </w:numPr>
              <w:spacing w:after="0"/>
              <w:rPr>
                <w:sz w:val="18"/>
                <w:szCs w:val="18"/>
                <w:lang w:val="en-GB"/>
              </w:rPr>
            </w:pPr>
            <w:r w:rsidRPr="008A572D">
              <w:rPr>
                <w:sz w:val="18"/>
                <w:szCs w:val="18"/>
                <w:lang w:val="en-GB"/>
              </w:rPr>
              <w:t xml:space="preserve">Fifth round </w:t>
            </w:r>
            <w:r w:rsidR="00DA6763" w:rsidRPr="008A572D">
              <w:rPr>
                <w:sz w:val="18"/>
                <w:szCs w:val="18"/>
                <w:lang w:val="en-GB"/>
              </w:rPr>
              <w:t>–</w:t>
            </w:r>
            <w:r w:rsidRPr="008A572D">
              <w:rPr>
                <w:sz w:val="18"/>
                <w:szCs w:val="18"/>
                <w:lang w:val="en-GB"/>
              </w:rPr>
              <w:t xml:space="preserve"> 2027</w:t>
            </w:r>
          </w:p>
          <w:p w14:paraId="4FD74B80" w14:textId="1CBC3114" w:rsidR="00F53750" w:rsidRPr="008A572D" w:rsidRDefault="00F53750" w:rsidP="00F53750">
            <w:pPr>
              <w:pStyle w:val="Normalnumber"/>
              <w:numPr>
                <w:ilvl w:val="0"/>
                <w:numId w:val="14"/>
              </w:numPr>
              <w:spacing w:after="0"/>
              <w:rPr>
                <w:sz w:val="18"/>
                <w:szCs w:val="18"/>
                <w:lang w:val="en-GB"/>
              </w:rPr>
            </w:pPr>
            <w:r w:rsidRPr="008A572D">
              <w:rPr>
                <w:sz w:val="18"/>
                <w:szCs w:val="18"/>
                <w:lang w:val="en-GB"/>
              </w:rPr>
              <w:t xml:space="preserve">Sixth round </w:t>
            </w:r>
            <w:r w:rsidR="00DA6763" w:rsidRPr="008A572D">
              <w:rPr>
                <w:sz w:val="18"/>
                <w:szCs w:val="18"/>
                <w:lang w:val="en-GB"/>
              </w:rPr>
              <w:t>–</w:t>
            </w:r>
            <w:r w:rsidRPr="008A572D">
              <w:rPr>
                <w:sz w:val="18"/>
                <w:szCs w:val="18"/>
                <w:lang w:val="en-GB"/>
              </w:rPr>
              <w:t xml:space="preserve"> 2030</w:t>
            </w:r>
          </w:p>
          <w:p w14:paraId="1178461B" w14:textId="252E61F2" w:rsidR="00F53750" w:rsidRPr="008A572D" w:rsidRDefault="00F53750" w:rsidP="00F53750">
            <w:pPr>
              <w:pStyle w:val="Normalnumber"/>
              <w:numPr>
                <w:ilvl w:val="0"/>
                <w:numId w:val="14"/>
              </w:numPr>
              <w:spacing w:after="0"/>
              <w:rPr>
                <w:sz w:val="18"/>
                <w:szCs w:val="18"/>
                <w:lang w:val="en-GB"/>
              </w:rPr>
            </w:pPr>
            <w:r w:rsidRPr="008A572D">
              <w:rPr>
                <w:sz w:val="18"/>
                <w:szCs w:val="18"/>
                <w:lang w:val="en-GB"/>
              </w:rPr>
              <w:t xml:space="preserve">Seventh round </w:t>
            </w:r>
            <w:r w:rsidR="00DA6763" w:rsidRPr="008A572D">
              <w:rPr>
                <w:sz w:val="18"/>
                <w:szCs w:val="18"/>
                <w:lang w:val="en-GB"/>
              </w:rPr>
              <w:t>–</w:t>
            </w:r>
            <w:r w:rsidRPr="008A572D">
              <w:rPr>
                <w:sz w:val="18"/>
                <w:szCs w:val="18"/>
                <w:lang w:val="en-GB"/>
              </w:rPr>
              <w:t xml:space="preserve"> 2033</w:t>
            </w:r>
          </w:p>
          <w:p w14:paraId="4E263873" w14:textId="77777777" w:rsidR="00F53750" w:rsidRPr="008A572D" w:rsidRDefault="00F53750">
            <w:pPr>
              <w:pStyle w:val="Normalnumber"/>
              <w:numPr>
                <w:ilvl w:val="0"/>
                <w:numId w:val="0"/>
              </w:numPr>
              <w:spacing w:after="0"/>
              <w:rPr>
                <w:sz w:val="18"/>
                <w:szCs w:val="18"/>
                <w:lang w:val="en-GB"/>
              </w:rPr>
            </w:pPr>
            <w:r w:rsidRPr="008A572D">
              <w:rPr>
                <w:sz w:val="18"/>
                <w:szCs w:val="18"/>
                <w:lang w:val="en-GB"/>
              </w:rPr>
              <w:t>(project close-out period until 2037)</w:t>
            </w:r>
          </w:p>
        </w:tc>
      </w:tr>
      <w:tr w:rsidR="00F53750" w14:paraId="10AB10F1" w14:textId="77777777" w:rsidTr="00403EAA">
        <w:tc>
          <w:tcPr>
            <w:tcW w:w="1646" w:type="dxa"/>
          </w:tcPr>
          <w:p w14:paraId="46AFA1E6" w14:textId="6746BAFE" w:rsidR="00F53750" w:rsidRPr="008A572D" w:rsidRDefault="00F53750">
            <w:pPr>
              <w:pStyle w:val="Normalnumber"/>
              <w:numPr>
                <w:ilvl w:val="0"/>
                <w:numId w:val="0"/>
              </w:numPr>
              <w:spacing w:after="0"/>
              <w:rPr>
                <w:sz w:val="18"/>
                <w:szCs w:val="18"/>
                <w:lang w:val="en-GB"/>
              </w:rPr>
            </w:pPr>
            <w:r w:rsidRPr="008A572D">
              <w:rPr>
                <w:sz w:val="18"/>
                <w:szCs w:val="18"/>
                <w:lang w:val="en-GB"/>
              </w:rPr>
              <w:t>Projected number of applications</w:t>
            </w:r>
            <w:r w:rsidR="00C500EF">
              <w:rPr>
                <w:sz w:val="18"/>
                <w:szCs w:val="18"/>
                <w:lang w:val="en-GB"/>
              </w:rPr>
              <w:t xml:space="preserve"> and approved projects</w:t>
            </w:r>
          </w:p>
        </w:tc>
        <w:tc>
          <w:tcPr>
            <w:tcW w:w="2839" w:type="dxa"/>
          </w:tcPr>
          <w:p w14:paraId="5AE2D43D" w14:textId="07D43DFB" w:rsidR="00F53750" w:rsidRPr="008A572D" w:rsidRDefault="00F53750">
            <w:pPr>
              <w:pStyle w:val="Normalnumber"/>
              <w:numPr>
                <w:ilvl w:val="0"/>
                <w:numId w:val="0"/>
              </w:numPr>
              <w:spacing w:after="0"/>
              <w:rPr>
                <w:sz w:val="18"/>
                <w:szCs w:val="18"/>
                <w:lang w:val="en-GB"/>
              </w:rPr>
            </w:pPr>
            <w:r w:rsidRPr="008A572D">
              <w:rPr>
                <w:sz w:val="18"/>
                <w:szCs w:val="18"/>
                <w:lang w:val="en-GB"/>
              </w:rPr>
              <w:t>3</w:t>
            </w:r>
            <w:r w:rsidR="006A2738">
              <w:rPr>
                <w:sz w:val="18"/>
                <w:szCs w:val="18"/>
                <w:lang w:val="en-GB"/>
              </w:rPr>
              <w:t>0</w:t>
            </w:r>
            <w:r w:rsidRPr="008A572D">
              <w:rPr>
                <w:sz w:val="18"/>
                <w:szCs w:val="18"/>
                <w:lang w:val="en-GB"/>
              </w:rPr>
              <w:t>-40 in total, up to 10 approved</w:t>
            </w:r>
          </w:p>
        </w:tc>
        <w:tc>
          <w:tcPr>
            <w:tcW w:w="3737" w:type="dxa"/>
          </w:tcPr>
          <w:p w14:paraId="4AF50047" w14:textId="77777777" w:rsidR="00F53750" w:rsidRPr="008A572D" w:rsidRDefault="00F53750" w:rsidP="00F53750">
            <w:pPr>
              <w:pStyle w:val="Normalnumber"/>
              <w:numPr>
                <w:ilvl w:val="0"/>
                <w:numId w:val="14"/>
              </w:numPr>
              <w:spacing w:after="0"/>
              <w:rPr>
                <w:sz w:val="18"/>
                <w:szCs w:val="18"/>
                <w:lang w:val="en-GB"/>
              </w:rPr>
            </w:pPr>
            <w:r w:rsidRPr="008A572D">
              <w:rPr>
                <w:sz w:val="18"/>
                <w:szCs w:val="18"/>
                <w:lang w:val="en-GB"/>
              </w:rPr>
              <w:t>Fifth round – 30-40 in total, up to 10 approved</w:t>
            </w:r>
          </w:p>
          <w:p w14:paraId="34186EA6" w14:textId="007F57EB" w:rsidR="00F53750" w:rsidRPr="008A572D" w:rsidRDefault="00F53750" w:rsidP="00F53750">
            <w:pPr>
              <w:pStyle w:val="Normalnumber"/>
              <w:numPr>
                <w:ilvl w:val="0"/>
                <w:numId w:val="14"/>
              </w:numPr>
              <w:spacing w:after="0"/>
              <w:rPr>
                <w:sz w:val="18"/>
                <w:szCs w:val="18"/>
                <w:lang w:val="en-GB"/>
              </w:rPr>
            </w:pPr>
            <w:r w:rsidRPr="008A572D">
              <w:rPr>
                <w:sz w:val="18"/>
                <w:szCs w:val="18"/>
                <w:lang w:val="en-GB"/>
              </w:rPr>
              <w:t xml:space="preserve">Sixth round – 30-40 in total, up to </w:t>
            </w:r>
            <w:r w:rsidR="008412C4" w:rsidRPr="008A572D">
              <w:rPr>
                <w:sz w:val="18"/>
                <w:szCs w:val="18"/>
                <w:lang w:val="en-GB"/>
              </w:rPr>
              <w:t>1</w:t>
            </w:r>
            <w:r w:rsidR="008412C4">
              <w:rPr>
                <w:sz w:val="18"/>
                <w:szCs w:val="18"/>
                <w:lang w:val="en-GB"/>
              </w:rPr>
              <w:t>5</w:t>
            </w:r>
            <w:r w:rsidR="008412C4" w:rsidRPr="008A572D">
              <w:rPr>
                <w:sz w:val="18"/>
                <w:szCs w:val="18"/>
                <w:lang w:val="en-GB"/>
              </w:rPr>
              <w:t xml:space="preserve"> </w:t>
            </w:r>
            <w:r w:rsidRPr="008A572D">
              <w:rPr>
                <w:sz w:val="18"/>
                <w:szCs w:val="18"/>
                <w:lang w:val="en-GB"/>
              </w:rPr>
              <w:t>approved</w:t>
            </w:r>
          </w:p>
          <w:p w14:paraId="28599B64" w14:textId="74B3E6EB" w:rsidR="00F53750" w:rsidRPr="008A572D" w:rsidRDefault="00F53750" w:rsidP="00F53750">
            <w:pPr>
              <w:pStyle w:val="Normalnumber"/>
              <w:numPr>
                <w:ilvl w:val="0"/>
                <w:numId w:val="14"/>
              </w:numPr>
              <w:spacing w:after="0"/>
              <w:rPr>
                <w:sz w:val="18"/>
                <w:szCs w:val="18"/>
                <w:lang w:val="en-GB"/>
              </w:rPr>
            </w:pPr>
            <w:r w:rsidRPr="008A572D">
              <w:rPr>
                <w:sz w:val="18"/>
                <w:szCs w:val="18"/>
                <w:lang w:val="en-GB"/>
              </w:rPr>
              <w:t xml:space="preserve">Seventh round – 30-40 in total, up to </w:t>
            </w:r>
            <w:r w:rsidR="00F44870" w:rsidRPr="008A572D">
              <w:rPr>
                <w:sz w:val="18"/>
                <w:szCs w:val="18"/>
                <w:lang w:val="en-GB"/>
              </w:rPr>
              <w:t>1</w:t>
            </w:r>
            <w:r w:rsidR="00F44870">
              <w:rPr>
                <w:sz w:val="18"/>
                <w:szCs w:val="18"/>
                <w:lang w:val="en-GB"/>
              </w:rPr>
              <w:t>5</w:t>
            </w:r>
            <w:r w:rsidR="00F44870" w:rsidRPr="008A572D">
              <w:rPr>
                <w:sz w:val="18"/>
                <w:szCs w:val="18"/>
                <w:lang w:val="en-GB"/>
              </w:rPr>
              <w:t xml:space="preserve"> </w:t>
            </w:r>
            <w:r w:rsidRPr="008A572D">
              <w:rPr>
                <w:sz w:val="18"/>
                <w:szCs w:val="18"/>
                <w:lang w:val="en-GB"/>
              </w:rPr>
              <w:t>approved</w:t>
            </w:r>
          </w:p>
        </w:tc>
      </w:tr>
      <w:tr w:rsidR="00F53750" w14:paraId="1E30EFBE" w14:textId="77777777" w:rsidTr="00403EAA">
        <w:tc>
          <w:tcPr>
            <w:tcW w:w="1646" w:type="dxa"/>
          </w:tcPr>
          <w:p w14:paraId="0DB59737" w14:textId="77777777" w:rsidR="00F53750" w:rsidRPr="008A572D" w:rsidRDefault="00F53750">
            <w:pPr>
              <w:pStyle w:val="Normalnumber"/>
              <w:numPr>
                <w:ilvl w:val="0"/>
                <w:numId w:val="0"/>
              </w:numPr>
              <w:spacing w:after="0"/>
              <w:rPr>
                <w:sz w:val="18"/>
                <w:szCs w:val="18"/>
                <w:lang w:val="en-GB"/>
              </w:rPr>
            </w:pPr>
            <w:r w:rsidRPr="008A572D">
              <w:rPr>
                <w:sz w:val="18"/>
                <w:szCs w:val="18"/>
                <w:lang w:val="en-GB"/>
              </w:rPr>
              <w:t>Resources to be raised</w:t>
            </w:r>
          </w:p>
        </w:tc>
        <w:tc>
          <w:tcPr>
            <w:tcW w:w="2839" w:type="dxa"/>
          </w:tcPr>
          <w:p w14:paraId="0A76CC29" w14:textId="30D42269" w:rsidR="00F53750" w:rsidRPr="008A572D" w:rsidRDefault="00F53750">
            <w:pPr>
              <w:pStyle w:val="Normalnumber"/>
              <w:numPr>
                <w:ilvl w:val="0"/>
                <w:numId w:val="0"/>
              </w:numPr>
              <w:spacing w:after="0"/>
              <w:rPr>
                <w:sz w:val="18"/>
                <w:szCs w:val="18"/>
                <w:lang w:val="en-GB"/>
              </w:rPr>
            </w:pPr>
            <w:r w:rsidRPr="008A572D">
              <w:rPr>
                <w:sz w:val="18"/>
                <w:szCs w:val="18"/>
                <w:lang w:val="en-GB"/>
              </w:rPr>
              <w:t xml:space="preserve">Fifth </w:t>
            </w:r>
            <w:r w:rsidRPr="003E58DF">
              <w:rPr>
                <w:sz w:val="18"/>
                <w:szCs w:val="18"/>
                <w:lang w:val="en-GB"/>
              </w:rPr>
              <w:t xml:space="preserve">round – </w:t>
            </w:r>
            <w:r w:rsidR="00A43CD8" w:rsidRPr="00554DAA">
              <w:rPr>
                <w:sz w:val="18"/>
                <w:szCs w:val="18"/>
                <w:lang w:val="en-GB"/>
              </w:rPr>
              <w:t xml:space="preserve">up </w:t>
            </w:r>
            <w:r w:rsidRPr="003E58DF">
              <w:rPr>
                <w:sz w:val="18"/>
                <w:szCs w:val="18"/>
                <w:lang w:val="en-GB"/>
              </w:rPr>
              <w:t xml:space="preserve">to </w:t>
            </w:r>
            <w:r w:rsidR="00426B6F">
              <w:rPr>
                <w:sz w:val="18"/>
                <w:szCs w:val="18"/>
                <w:lang w:val="en-GB"/>
              </w:rPr>
              <w:t>US</w:t>
            </w:r>
            <w:r w:rsidR="003E58DF">
              <w:rPr>
                <w:sz w:val="18"/>
                <w:szCs w:val="18"/>
                <w:lang w:val="en-GB"/>
              </w:rPr>
              <w:t>$</w:t>
            </w:r>
            <w:r w:rsidRPr="003E58DF">
              <w:rPr>
                <w:sz w:val="18"/>
                <w:szCs w:val="18"/>
                <w:lang w:val="en-GB"/>
              </w:rPr>
              <w:t>2</w:t>
            </w:r>
            <w:r w:rsidR="00D75538" w:rsidRPr="003E58DF">
              <w:rPr>
                <w:sz w:val="18"/>
                <w:szCs w:val="18"/>
                <w:lang w:val="en-GB"/>
              </w:rPr>
              <w:t>.</w:t>
            </w:r>
            <w:r w:rsidR="00FD5625" w:rsidRPr="003E58DF">
              <w:rPr>
                <w:sz w:val="18"/>
                <w:szCs w:val="18"/>
                <w:lang w:val="en-GB"/>
              </w:rPr>
              <w:t xml:space="preserve">5 </w:t>
            </w:r>
            <w:r w:rsidR="00B779C2" w:rsidRPr="003E58DF">
              <w:rPr>
                <w:sz w:val="18"/>
                <w:szCs w:val="18"/>
                <w:lang w:val="en-GB"/>
              </w:rPr>
              <w:t>million</w:t>
            </w:r>
          </w:p>
        </w:tc>
        <w:tc>
          <w:tcPr>
            <w:tcW w:w="3737" w:type="dxa"/>
          </w:tcPr>
          <w:p w14:paraId="0A82F6B2" w14:textId="4446E903" w:rsidR="00F53750" w:rsidRPr="008A572D" w:rsidRDefault="00F53750" w:rsidP="00F53750">
            <w:pPr>
              <w:pStyle w:val="Normalnumber"/>
              <w:numPr>
                <w:ilvl w:val="0"/>
                <w:numId w:val="14"/>
              </w:numPr>
              <w:spacing w:after="0"/>
              <w:rPr>
                <w:sz w:val="18"/>
                <w:szCs w:val="18"/>
                <w:lang w:val="en-GB"/>
              </w:rPr>
            </w:pPr>
            <w:r w:rsidRPr="008A572D">
              <w:rPr>
                <w:sz w:val="18"/>
                <w:szCs w:val="18"/>
                <w:lang w:val="en-GB"/>
              </w:rPr>
              <w:t>Fifth roun</w:t>
            </w:r>
            <w:r w:rsidRPr="003E58DF">
              <w:rPr>
                <w:sz w:val="18"/>
                <w:szCs w:val="18"/>
                <w:lang w:val="en-GB"/>
              </w:rPr>
              <w:t xml:space="preserve">d – </w:t>
            </w:r>
            <w:r w:rsidR="003E58DF" w:rsidRPr="00554DAA">
              <w:rPr>
                <w:sz w:val="18"/>
                <w:szCs w:val="18"/>
                <w:lang w:val="en-GB"/>
              </w:rPr>
              <w:t xml:space="preserve">up </w:t>
            </w:r>
            <w:r w:rsidRPr="003E58DF">
              <w:rPr>
                <w:sz w:val="18"/>
                <w:szCs w:val="18"/>
                <w:lang w:val="en-GB"/>
              </w:rPr>
              <w:t xml:space="preserve">to </w:t>
            </w:r>
            <w:r w:rsidR="008367BD">
              <w:rPr>
                <w:sz w:val="18"/>
                <w:szCs w:val="18"/>
                <w:lang w:val="en-GB"/>
              </w:rPr>
              <w:t>US</w:t>
            </w:r>
            <w:r w:rsidR="003E58DF" w:rsidRPr="003E58DF">
              <w:rPr>
                <w:sz w:val="18"/>
                <w:szCs w:val="18"/>
                <w:lang w:val="en-GB"/>
              </w:rPr>
              <w:t>$</w:t>
            </w:r>
            <w:r w:rsidRPr="003E58DF">
              <w:rPr>
                <w:sz w:val="18"/>
                <w:szCs w:val="18"/>
                <w:lang w:val="en-GB"/>
              </w:rPr>
              <w:t>2</w:t>
            </w:r>
            <w:r w:rsidR="00D75538" w:rsidRPr="003E58DF">
              <w:rPr>
                <w:sz w:val="18"/>
                <w:szCs w:val="18"/>
                <w:lang w:val="en-GB"/>
              </w:rPr>
              <w:t>.</w:t>
            </w:r>
            <w:r w:rsidR="003E58DF" w:rsidRPr="003E58DF">
              <w:rPr>
                <w:sz w:val="18"/>
                <w:szCs w:val="18"/>
                <w:lang w:val="en-GB"/>
              </w:rPr>
              <w:t>5</w:t>
            </w:r>
            <w:r w:rsidR="003E58DF" w:rsidRPr="008A572D">
              <w:rPr>
                <w:sz w:val="18"/>
                <w:szCs w:val="18"/>
                <w:lang w:val="en-GB"/>
              </w:rPr>
              <w:t xml:space="preserve"> </w:t>
            </w:r>
            <w:r w:rsidR="00B779C2">
              <w:rPr>
                <w:sz w:val="18"/>
                <w:szCs w:val="18"/>
                <w:lang w:val="en-GB"/>
              </w:rPr>
              <w:t>million</w:t>
            </w:r>
          </w:p>
          <w:p w14:paraId="5D3ECE2C" w14:textId="4683F016" w:rsidR="00F53750" w:rsidRPr="003E58DF" w:rsidRDefault="00F53750" w:rsidP="00F53750">
            <w:pPr>
              <w:pStyle w:val="Normalnumber"/>
              <w:numPr>
                <w:ilvl w:val="0"/>
                <w:numId w:val="14"/>
              </w:numPr>
              <w:spacing w:after="0"/>
              <w:rPr>
                <w:sz w:val="18"/>
                <w:szCs w:val="18"/>
                <w:lang w:val="en-GB"/>
              </w:rPr>
            </w:pPr>
            <w:r w:rsidRPr="008A572D">
              <w:rPr>
                <w:sz w:val="18"/>
                <w:szCs w:val="18"/>
                <w:lang w:val="en-GB"/>
              </w:rPr>
              <w:t xml:space="preserve">Sixth </w:t>
            </w:r>
            <w:r w:rsidRPr="003E58DF">
              <w:rPr>
                <w:sz w:val="18"/>
                <w:szCs w:val="18"/>
                <w:lang w:val="en-GB"/>
              </w:rPr>
              <w:t xml:space="preserve">round – </w:t>
            </w:r>
            <w:r w:rsidR="008F7F7F" w:rsidRPr="003E58DF">
              <w:rPr>
                <w:sz w:val="18"/>
                <w:szCs w:val="18"/>
                <w:lang w:val="en-GB"/>
              </w:rPr>
              <w:t xml:space="preserve">up to </w:t>
            </w:r>
            <w:r w:rsidR="008367BD">
              <w:rPr>
                <w:sz w:val="18"/>
                <w:szCs w:val="18"/>
                <w:lang w:val="en-GB"/>
              </w:rPr>
              <w:t>US</w:t>
            </w:r>
            <w:r w:rsidR="00DA6763" w:rsidRPr="003E58DF">
              <w:rPr>
                <w:sz w:val="18"/>
                <w:szCs w:val="18"/>
                <w:lang w:val="en-GB"/>
              </w:rPr>
              <w:t>$</w:t>
            </w:r>
            <w:r w:rsidR="00F44BDC">
              <w:rPr>
                <w:sz w:val="18"/>
                <w:szCs w:val="18"/>
                <w:lang w:val="en-GB"/>
              </w:rPr>
              <w:t>3</w:t>
            </w:r>
            <w:r w:rsidR="009858C3" w:rsidRPr="003E58DF">
              <w:rPr>
                <w:sz w:val="18"/>
                <w:szCs w:val="18"/>
                <w:lang w:val="en-GB"/>
              </w:rPr>
              <w:t>.</w:t>
            </w:r>
            <w:r w:rsidR="00F44BDC">
              <w:rPr>
                <w:sz w:val="18"/>
                <w:szCs w:val="18"/>
                <w:lang w:val="en-GB"/>
              </w:rPr>
              <w:t>1</w:t>
            </w:r>
            <w:r w:rsidR="00F44BDC" w:rsidRPr="003E58DF">
              <w:rPr>
                <w:sz w:val="18"/>
                <w:szCs w:val="18"/>
                <w:lang w:val="en-GB"/>
              </w:rPr>
              <w:t xml:space="preserve"> </w:t>
            </w:r>
            <w:r w:rsidR="009858C3" w:rsidRPr="003E58DF">
              <w:rPr>
                <w:sz w:val="18"/>
                <w:szCs w:val="18"/>
                <w:lang w:val="en-GB"/>
              </w:rPr>
              <w:t xml:space="preserve">million </w:t>
            </w:r>
          </w:p>
          <w:p w14:paraId="4D786113" w14:textId="52D7DACA" w:rsidR="00F53750" w:rsidRPr="008A572D" w:rsidRDefault="00F53750" w:rsidP="00F53750">
            <w:pPr>
              <w:pStyle w:val="Normalnumber"/>
              <w:numPr>
                <w:ilvl w:val="0"/>
                <w:numId w:val="14"/>
              </w:numPr>
              <w:spacing w:after="0"/>
              <w:rPr>
                <w:sz w:val="18"/>
                <w:szCs w:val="18"/>
                <w:lang w:val="en-GB"/>
              </w:rPr>
            </w:pPr>
            <w:r w:rsidRPr="003E58DF">
              <w:rPr>
                <w:sz w:val="18"/>
                <w:szCs w:val="18"/>
                <w:lang w:val="en-GB"/>
              </w:rPr>
              <w:t xml:space="preserve">Seventh round – </w:t>
            </w:r>
            <w:r w:rsidR="0092223E">
              <w:rPr>
                <w:sz w:val="18"/>
                <w:szCs w:val="18"/>
                <w:lang w:val="en-GB"/>
              </w:rPr>
              <w:t>up</w:t>
            </w:r>
            <w:r w:rsidRPr="003E58DF">
              <w:rPr>
                <w:sz w:val="18"/>
                <w:szCs w:val="18"/>
                <w:lang w:val="en-GB"/>
              </w:rPr>
              <w:t xml:space="preserve"> to </w:t>
            </w:r>
            <w:r w:rsidR="008367BD">
              <w:rPr>
                <w:sz w:val="18"/>
                <w:szCs w:val="18"/>
                <w:lang w:val="en-GB"/>
              </w:rPr>
              <w:t>US</w:t>
            </w:r>
            <w:r w:rsidR="0092223E">
              <w:rPr>
                <w:sz w:val="18"/>
                <w:szCs w:val="18"/>
                <w:lang w:val="en-GB"/>
              </w:rPr>
              <w:t>$</w:t>
            </w:r>
            <w:r w:rsidR="00B15FFF">
              <w:rPr>
                <w:sz w:val="18"/>
                <w:szCs w:val="18"/>
                <w:lang w:val="en-GB"/>
              </w:rPr>
              <w:t>3</w:t>
            </w:r>
            <w:r w:rsidR="001C348B" w:rsidRPr="003E58DF">
              <w:rPr>
                <w:sz w:val="18"/>
                <w:szCs w:val="18"/>
                <w:lang w:val="en-GB"/>
              </w:rPr>
              <w:t>.</w:t>
            </w:r>
            <w:r w:rsidR="00B15FFF">
              <w:rPr>
                <w:sz w:val="18"/>
                <w:szCs w:val="18"/>
                <w:lang w:val="en-GB"/>
              </w:rPr>
              <w:t>5</w:t>
            </w:r>
            <w:r w:rsidR="00B15FFF" w:rsidRPr="003E58DF">
              <w:rPr>
                <w:sz w:val="18"/>
                <w:szCs w:val="18"/>
                <w:lang w:val="en-GB"/>
              </w:rPr>
              <w:t xml:space="preserve"> </w:t>
            </w:r>
            <w:r w:rsidR="0092223E" w:rsidRPr="003E58DF">
              <w:rPr>
                <w:sz w:val="18"/>
                <w:szCs w:val="18"/>
                <w:lang w:val="en-GB"/>
              </w:rPr>
              <w:t>million</w:t>
            </w:r>
          </w:p>
        </w:tc>
      </w:tr>
    </w:tbl>
    <w:p w14:paraId="40020F0E" w14:textId="6534A92D" w:rsidR="00F53750" w:rsidRPr="005B6FA5" w:rsidRDefault="005B6FA5" w:rsidP="005B6FA5">
      <w:pPr>
        <w:pStyle w:val="CH1"/>
        <w:tabs>
          <w:tab w:val="clear" w:pos="1814"/>
          <w:tab w:val="clear" w:pos="2381"/>
          <w:tab w:val="clear" w:pos="2948"/>
          <w:tab w:val="clear" w:pos="3515"/>
          <w:tab w:val="clear" w:pos="4082"/>
          <w:tab w:val="left" w:pos="1871"/>
          <w:tab w:val="left" w:pos="2495"/>
          <w:tab w:val="left" w:pos="3119"/>
          <w:tab w:val="left" w:pos="3742"/>
          <w:tab w:val="left" w:pos="4366"/>
        </w:tabs>
        <w:rPr>
          <w:noProof/>
          <w:lang w:val="en-GB"/>
        </w:rPr>
      </w:pPr>
      <w:r>
        <w:rPr>
          <w:noProof/>
          <w:lang w:val="en-GB"/>
        </w:rPr>
        <w:tab/>
        <w:t>IV.</w:t>
      </w:r>
      <w:r>
        <w:rPr>
          <w:noProof/>
          <w:lang w:val="en-GB"/>
        </w:rPr>
        <w:tab/>
      </w:r>
      <w:r w:rsidR="00F53750" w:rsidRPr="005B6FA5">
        <w:rPr>
          <w:noProof/>
          <w:lang w:val="en-GB"/>
        </w:rPr>
        <w:t>Projecting ongoing and future staffing needs </w:t>
      </w:r>
    </w:p>
    <w:p w14:paraId="2A085A50" w14:textId="24F1ADB0" w:rsidR="00F53750" w:rsidRPr="00403EAA" w:rsidRDefault="00157AD5" w:rsidP="00403EAA">
      <w:pPr>
        <w:spacing w:before="240" w:after="120"/>
        <w:rPr>
          <w:b/>
          <w:bCs/>
          <w:sz w:val="22"/>
          <w:szCs w:val="22"/>
        </w:rPr>
      </w:pPr>
      <w:r>
        <w:rPr>
          <w:b/>
          <w:bCs/>
          <w:sz w:val="22"/>
          <w:szCs w:val="22"/>
        </w:rPr>
        <w:tab/>
        <w:t>A.</w:t>
      </w:r>
      <w:r>
        <w:rPr>
          <w:b/>
          <w:bCs/>
          <w:sz w:val="22"/>
          <w:szCs w:val="22"/>
        </w:rPr>
        <w:tab/>
      </w:r>
      <w:r w:rsidR="00F53750" w:rsidRPr="00403EAA">
        <w:rPr>
          <w:b/>
          <w:bCs/>
          <w:sz w:val="22"/>
          <w:szCs w:val="22"/>
        </w:rPr>
        <w:t xml:space="preserve">Current staffing </w:t>
      </w:r>
    </w:p>
    <w:p w14:paraId="1D7D7AD1" w14:textId="304AFF5C" w:rsidR="00F53750" w:rsidRPr="00644875" w:rsidRDefault="00F53750" w:rsidP="00403EAA">
      <w:pPr>
        <w:pStyle w:val="Normalnumber"/>
        <w:ind w:left="1247"/>
        <w:rPr>
          <w:lang w:val="en-GB"/>
        </w:rPr>
      </w:pPr>
      <w:r>
        <w:rPr>
          <w:noProof/>
          <w:lang w:val="en-GB"/>
        </w:rPr>
        <w:t>T</w:t>
      </w:r>
      <w:r w:rsidRPr="00F81854">
        <w:rPr>
          <w:noProof/>
          <w:lang w:val="en-GB"/>
        </w:rPr>
        <w:t xml:space="preserve">he </w:t>
      </w:r>
      <w:r w:rsidRPr="00F81854">
        <w:rPr>
          <w:lang w:val="en-GB"/>
        </w:rPr>
        <w:t>secretariat</w:t>
      </w:r>
      <w:r w:rsidRPr="00F81854">
        <w:rPr>
          <w:noProof/>
          <w:lang w:val="en-GB"/>
        </w:rPr>
        <w:t xml:space="preserve"> administers the Specific International Programme</w:t>
      </w:r>
      <w:r w:rsidR="00FA1618">
        <w:rPr>
          <w:noProof/>
          <w:lang w:val="en-GB"/>
        </w:rPr>
        <w:t xml:space="preserve"> in an efficient manner</w:t>
      </w:r>
      <w:r w:rsidRPr="00F81854">
        <w:rPr>
          <w:noProof/>
          <w:lang w:val="en-GB"/>
        </w:rPr>
        <w:t xml:space="preserve"> through </w:t>
      </w:r>
      <w:r>
        <w:rPr>
          <w:lang w:val="en-GB"/>
        </w:rPr>
        <w:t>a set of activities outlined in section II of document</w:t>
      </w:r>
      <w:r w:rsidR="0003563E">
        <w:rPr>
          <w:lang w:val="en-GB"/>
        </w:rPr>
        <w:t xml:space="preserve"> </w:t>
      </w:r>
      <w:r w:rsidR="00DF48CA" w:rsidRPr="00DF48CA">
        <w:rPr>
          <w:lang w:val="en-GB"/>
        </w:rPr>
        <w:t>UNEP/MC/COP.6/11</w:t>
      </w:r>
      <w:r>
        <w:rPr>
          <w:lang w:val="en-GB"/>
        </w:rPr>
        <w:t>.</w:t>
      </w:r>
    </w:p>
    <w:p w14:paraId="71DD6FE6" w14:textId="1F5F3891" w:rsidR="00F53750" w:rsidRPr="00403EAA" w:rsidRDefault="00CA29AD" w:rsidP="00403EAA">
      <w:pPr>
        <w:spacing w:after="120"/>
        <w:rPr>
          <w:b/>
          <w:bCs/>
        </w:rPr>
      </w:pPr>
      <w:r w:rsidRPr="00403EAA">
        <w:rPr>
          <w:b/>
          <w:bCs/>
        </w:rPr>
        <w:tab/>
        <w:t>1.</w:t>
      </w:r>
      <w:r w:rsidRPr="00403EAA">
        <w:rPr>
          <w:b/>
          <w:bCs/>
        </w:rPr>
        <w:tab/>
      </w:r>
      <w:r w:rsidR="00F53750" w:rsidRPr="00403EAA">
        <w:rPr>
          <w:b/>
          <w:bCs/>
        </w:rPr>
        <w:t>Core budget staff positions:</w:t>
      </w:r>
    </w:p>
    <w:p w14:paraId="571AD1CD" w14:textId="4A82AB37" w:rsidR="00F53750" w:rsidRPr="008A572D" w:rsidRDefault="00F53750" w:rsidP="00403EAA">
      <w:pPr>
        <w:pStyle w:val="Normalnumber"/>
        <w:ind w:left="1247"/>
        <w:rPr>
          <w:lang w:val="en-GB"/>
        </w:rPr>
      </w:pPr>
      <w:r w:rsidRPr="008A572D">
        <w:rPr>
          <w:lang w:val="en-GB"/>
        </w:rPr>
        <w:t xml:space="preserve">Day-to-day functions of the Specific International Programme are currently covered </w:t>
      </w:r>
      <w:r w:rsidR="00193212">
        <w:rPr>
          <w:lang w:val="en-GB"/>
        </w:rPr>
        <w:t xml:space="preserve">by </w:t>
      </w:r>
      <w:r w:rsidRPr="008A572D">
        <w:rPr>
          <w:lang w:val="en-GB"/>
        </w:rPr>
        <w:t>the Programme Management Officer for Capacity-building and Technical Assistance</w:t>
      </w:r>
      <w:r>
        <w:rPr>
          <w:lang w:val="en-GB"/>
        </w:rPr>
        <w:t xml:space="preserve"> staff position (50% of time)</w:t>
      </w:r>
      <w:r w:rsidRPr="008A572D">
        <w:rPr>
          <w:lang w:val="en-GB"/>
        </w:rPr>
        <w:t xml:space="preserve">. The functions cover coordinating and managing the </w:t>
      </w:r>
      <w:r w:rsidR="0046239F">
        <w:rPr>
          <w:lang w:val="en-GB"/>
        </w:rPr>
        <w:t>s</w:t>
      </w:r>
      <w:r w:rsidRPr="008A572D">
        <w:rPr>
          <w:lang w:val="en-GB"/>
        </w:rPr>
        <w:t xml:space="preserve">ecretariat’s support to the </w:t>
      </w:r>
      <w:r w:rsidR="0046239F">
        <w:rPr>
          <w:lang w:val="en-GB"/>
        </w:rPr>
        <w:t>p</w:t>
      </w:r>
      <w:r w:rsidRPr="008A572D">
        <w:rPr>
          <w:lang w:val="en-GB"/>
        </w:rPr>
        <w:t>rogramme, including budget</w:t>
      </w:r>
      <w:r>
        <w:rPr>
          <w:lang w:val="en-GB"/>
        </w:rPr>
        <w:t>ing</w:t>
      </w:r>
      <w:r w:rsidRPr="008A572D">
        <w:rPr>
          <w:lang w:val="en-GB"/>
        </w:rPr>
        <w:t>, funding project preparation, project review, report</w:t>
      </w:r>
      <w:r>
        <w:rPr>
          <w:lang w:val="en-GB"/>
        </w:rPr>
        <w:t>ing</w:t>
      </w:r>
      <w:r w:rsidRPr="008A572D">
        <w:rPr>
          <w:lang w:val="en-GB"/>
        </w:rPr>
        <w:t>, financial statements and other related documents to support the Specific International Programme.</w:t>
      </w:r>
    </w:p>
    <w:p w14:paraId="3AEF7A11" w14:textId="4426334B" w:rsidR="00F53750" w:rsidRPr="008A572D" w:rsidRDefault="00F53750" w:rsidP="00403EAA">
      <w:pPr>
        <w:pStyle w:val="Normalnumber"/>
        <w:ind w:left="1247"/>
        <w:rPr>
          <w:lang w:val="en-GB"/>
        </w:rPr>
      </w:pPr>
      <w:r>
        <w:rPr>
          <w:lang w:val="en-GB"/>
        </w:rPr>
        <w:t>O</w:t>
      </w:r>
      <w:r w:rsidRPr="008A572D">
        <w:rPr>
          <w:lang w:val="en-GB"/>
        </w:rPr>
        <w:t xml:space="preserve">ther staff members of the secretariat, including the P-5 Senior </w:t>
      </w:r>
      <w:r w:rsidR="0046239F">
        <w:rPr>
          <w:lang w:val="en-GB"/>
        </w:rPr>
        <w:t>C</w:t>
      </w:r>
      <w:r w:rsidRPr="008A572D">
        <w:rPr>
          <w:lang w:val="en-GB"/>
        </w:rPr>
        <w:t xml:space="preserve">oordination </w:t>
      </w:r>
      <w:r w:rsidR="0046239F">
        <w:rPr>
          <w:lang w:val="en-GB"/>
        </w:rPr>
        <w:t>O</w:t>
      </w:r>
      <w:r w:rsidRPr="008A572D">
        <w:rPr>
          <w:lang w:val="en-GB"/>
        </w:rPr>
        <w:t xml:space="preserve">fficer, P-4 Legal Officer, P-4 Administrative Officer, P-2 </w:t>
      </w:r>
      <w:r w:rsidRPr="002500FC">
        <w:rPr>
          <w:noProof/>
          <w:lang w:val="en-GB"/>
        </w:rPr>
        <w:t>Associate Administrative Officer</w:t>
      </w:r>
      <w:r>
        <w:rPr>
          <w:noProof/>
          <w:lang w:val="en-GB"/>
        </w:rPr>
        <w:t xml:space="preserve"> </w:t>
      </w:r>
      <w:r w:rsidRPr="008A572D">
        <w:rPr>
          <w:lang w:val="en-GB"/>
        </w:rPr>
        <w:t xml:space="preserve">and two </w:t>
      </w:r>
      <w:r>
        <w:rPr>
          <w:noProof/>
          <w:lang w:val="en-GB"/>
        </w:rPr>
        <w:t xml:space="preserve">G-5 Programme </w:t>
      </w:r>
      <w:r w:rsidR="009821DF">
        <w:rPr>
          <w:noProof/>
          <w:lang w:val="en-GB"/>
        </w:rPr>
        <w:t xml:space="preserve">Management </w:t>
      </w:r>
      <w:r w:rsidR="00C345E4">
        <w:rPr>
          <w:noProof/>
          <w:lang w:val="en-GB"/>
        </w:rPr>
        <w:t>A</w:t>
      </w:r>
      <w:r>
        <w:rPr>
          <w:noProof/>
          <w:lang w:val="en-GB"/>
        </w:rPr>
        <w:t>ssistants</w:t>
      </w:r>
      <w:r w:rsidRPr="008A572D">
        <w:rPr>
          <w:lang w:val="en-GB"/>
        </w:rPr>
        <w:t xml:space="preserve"> service the programme in addition to their other roles and responsibilities in the secretariat. The functions include administrative and substantive assistance to the </w:t>
      </w:r>
      <w:r w:rsidR="009821DF">
        <w:rPr>
          <w:lang w:val="en-GB"/>
        </w:rPr>
        <w:t>p</w:t>
      </w:r>
      <w:r w:rsidRPr="008A572D">
        <w:rPr>
          <w:lang w:val="en-GB"/>
        </w:rPr>
        <w:t>rogramme</w:t>
      </w:r>
      <w:r>
        <w:rPr>
          <w:lang w:val="en-GB"/>
        </w:rPr>
        <w:t xml:space="preserve">, including </w:t>
      </w:r>
      <w:r w:rsidRPr="008A572D">
        <w:rPr>
          <w:lang w:val="en-GB"/>
        </w:rPr>
        <w:t>its effective and efficient operation.</w:t>
      </w:r>
    </w:p>
    <w:p w14:paraId="2ECE2EE5" w14:textId="7E0B1BEC" w:rsidR="009D707A" w:rsidRPr="00403EAA" w:rsidRDefault="00CA29AD" w:rsidP="00403EAA">
      <w:pPr>
        <w:spacing w:after="120"/>
        <w:rPr>
          <w:b/>
          <w:bCs/>
        </w:rPr>
      </w:pPr>
      <w:r>
        <w:rPr>
          <w:b/>
          <w:bCs/>
        </w:rPr>
        <w:tab/>
        <w:t>2.</w:t>
      </w:r>
      <w:r>
        <w:rPr>
          <w:b/>
          <w:bCs/>
        </w:rPr>
        <w:tab/>
      </w:r>
      <w:r w:rsidR="00F61920" w:rsidRPr="00403EAA">
        <w:rPr>
          <w:b/>
          <w:bCs/>
        </w:rPr>
        <w:t>S</w:t>
      </w:r>
      <w:r w:rsidR="009D707A" w:rsidRPr="00403EAA">
        <w:rPr>
          <w:b/>
          <w:bCs/>
        </w:rPr>
        <w:t xml:space="preserve">taffing from voluntary contributions: </w:t>
      </w:r>
    </w:p>
    <w:p w14:paraId="62C6CF59" w14:textId="0B5F6771" w:rsidR="00D25A10" w:rsidRDefault="00F61920" w:rsidP="00403EAA">
      <w:pPr>
        <w:pStyle w:val="Normalnumber"/>
        <w:ind w:left="1247"/>
        <w:rPr>
          <w:lang w:val="en-GB"/>
        </w:rPr>
      </w:pPr>
      <w:r w:rsidRPr="00664354">
        <w:rPr>
          <w:lang w:val="en-GB"/>
        </w:rPr>
        <w:t xml:space="preserve">From November 2021 to October 2023, the secretariat was strengthened in its ability to provide </w:t>
      </w:r>
      <w:r w:rsidR="00B56FC5">
        <w:rPr>
          <w:lang w:val="en-GB"/>
        </w:rPr>
        <w:t xml:space="preserve">dedicated </w:t>
      </w:r>
      <w:r w:rsidRPr="00664354">
        <w:rPr>
          <w:lang w:val="en-GB"/>
        </w:rPr>
        <w:t xml:space="preserve">substantive and </w:t>
      </w:r>
      <w:r w:rsidRPr="004A5EDF">
        <w:rPr>
          <w:lang w:val="en-GB"/>
        </w:rPr>
        <w:t>administrative support functions to the programme through the provision of a Junior Professional Officer (JPO), fully funded by the Government of Italy.</w:t>
      </w:r>
      <w:r w:rsidR="00DB71D3" w:rsidRPr="004A5EDF">
        <w:rPr>
          <w:lang w:val="en-GB"/>
        </w:rPr>
        <w:t xml:space="preserve"> </w:t>
      </w:r>
      <w:r w:rsidRPr="004A5EDF">
        <w:rPr>
          <w:lang w:val="en-GB"/>
        </w:rPr>
        <w:t xml:space="preserve">The JPO post was </w:t>
      </w:r>
      <w:r w:rsidR="007D5FA9">
        <w:rPr>
          <w:lang w:val="en-GB"/>
        </w:rPr>
        <w:t xml:space="preserve">further </w:t>
      </w:r>
      <w:r w:rsidRPr="004A5EDF">
        <w:rPr>
          <w:lang w:val="en-GB"/>
        </w:rPr>
        <w:t>extended until October 2025 with partial funding from the Government of Italy</w:t>
      </w:r>
      <w:r w:rsidR="00DB71D3" w:rsidRPr="004A5EDF">
        <w:rPr>
          <w:lang w:val="en-GB"/>
        </w:rPr>
        <w:t>.</w:t>
      </w:r>
      <w:r w:rsidRPr="004A5EDF">
        <w:rPr>
          <w:lang w:val="en-GB"/>
        </w:rPr>
        <w:t xml:space="preserve"> </w:t>
      </w:r>
    </w:p>
    <w:p w14:paraId="75914311" w14:textId="60F2EEFA" w:rsidR="00ED3705" w:rsidRPr="002634FE" w:rsidRDefault="00F61920" w:rsidP="00403EAA">
      <w:pPr>
        <w:pStyle w:val="Normalnumber"/>
        <w:ind w:left="1247"/>
        <w:rPr>
          <w:lang w:val="en-GB"/>
        </w:rPr>
      </w:pPr>
      <w:r w:rsidRPr="002634FE">
        <w:rPr>
          <w:lang w:val="en-GB"/>
        </w:rPr>
        <w:t xml:space="preserve">The JPO position has been instrumental in providing necessary secretariat support for the implementation of the Specific International Programme, including the launch and deployment of the fourth round of applications, the delivery of administrative and substantive support to approved projects, the development of guidelines and forms, the organisation of online and in-person events, and the facilitation of monitoring, closure and evaluation procedures. The JPO also provided secretariat support for the meetings and work of the Governing Board, including through the preparation of project appraisals and meeting documents and reports. </w:t>
      </w:r>
    </w:p>
    <w:p w14:paraId="590A7D9C" w14:textId="4833485C" w:rsidR="00F61920" w:rsidRPr="002634FE" w:rsidRDefault="00F61920" w:rsidP="00403EAA">
      <w:pPr>
        <w:pStyle w:val="Normalnumber"/>
        <w:ind w:left="1247"/>
        <w:rPr>
          <w:lang w:val="en-GB"/>
        </w:rPr>
      </w:pPr>
      <w:r w:rsidRPr="002634FE">
        <w:rPr>
          <w:lang w:val="en-GB"/>
        </w:rPr>
        <w:t>The secretariat has advertised the availability of another JPO post, but to date there has been no indication of a country offer to fill this post.</w:t>
      </w:r>
    </w:p>
    <w:p w14:paraId="102ABACA" w14:textId="05836F42" w:rsidR="00F53750" w:rsidRPr="00403EAA" w:rsidRDefault="00CA29AD" w:rsidP="00403EAA">
      <w:pPr>
        <w:spacing w:after="120"/>
        <w:rPr>
          <w:b/>
          <w:bCs/>
        </w:rPr>
      </w:pPr>
      <w:r>
        <w:rPr>
          <w:b/>
          <w:bCs/>
        </w:rPr>
        <w:tab/>
        <w:t>3.</w:t>
      </w:r>
      <w:r>
        <w:rPr>
          <w:b/>
          <w:bCs/>
        </w:rPr>
        <w:tab/>
      </w:r>
      <w:r w:rsidR="007E5D75" w:rsidRPr="00403EAA">
        <w:rPr>
          <w:b/>
          <w:bCs/>
        </w:rPr>
        <w:t xml:space="preserve">Funds set aside </w:t>
      </w:r>
      <w:r w:rsidR="006E529D" w:rsidRPr="00403EAA">
        <w:rPr>
          <w:b/>
          <w:bCs/>
        </w:rPr>
        <w:t>for peak workload</w:t>
      </w:r>
      <w:r w:rsidR="00F53750" w:rsidRPr="00403EAA">
        <w:rPr>
          <w:b/>
          <w:bCs/>
        </w:rPr>
        <w:t xml:space="preserve">: </w:t>
      </w:r>
    </w:p>
    <w:p w14:paraId="524C9E57" w14:textId="5BC31641" w:rsidR="00F53750" w:rsidRPr="00A03A56" w:rsidRDefault="006E529D" w:rsidP="00403EAA">
      <w:pPr>
        <w:pStyle w:val="Normalnumber"/>
        <w:ind w:left="1247"/>
        <w:rPr>
          <w:lang w:val="en-GB"/>
        </w:rPr>
      </w:pPr>
      <w:r w:rsidRPr="00A03A56">
        <w:rPr>
          <w:lang w:val="en-GB"/>
        </w:rPr>
        <w:t>T</w:t>
      </w:r>
      <w:r w:rsidR="00F53750" w:rsidRPr="00A03A56">
        <w:rPr>
          <w:lang w:val="en-GB"/>
        </w:rPr>
        <w:t xml:space="preserve">he Governing Board at its </w:t>
      </w:r>
      <w:r w:rsidR="00ED0DEC" w:rsidRPr="00A03A56">
        <w:rPr>
          <w:lang w:val="en-GB"/>
        </w:rPr>
        <w:t xml:space="preserve">sixth </w:t>
      </w:r>
      <w:r w:rsidR="00F53750" w:rsidRPr="00A03A56">
        <w:rPr>
          <w:lang w:val="en-GB"/>
        </w:rPr>
        <w:t xml:space="preserve">meeting </w:t>
      </w:r>
      <w:r w:rsidR="00B804DF" w:rsidRPr="00A03A56">
        <w:rPr>
          <w:lang w:val="en-GB"/>
        </w:rPr>
        <w:t>held in August 2021</w:t>
      </w:r>
      <w:r w:rsidR="00F53750" w:rsidRPr="00A03A56">
        <w:rPr>
          <w:lang w:val="en-GB"/>
        </w:rPr>
        <w:t xml:space="preserve"> agreed to set aside</w:t>
      </w:r>
      <w:r w:rsidR="00D30A91" w:rsidRPr="00A03A56">
        <w:rPr>
          <w:lang w:val="en-GB"/>
        </w:rPr>
        <w:t xml:space="preserve"> $</w:t>
      </w:r>
      <w:r w:rsidR="002657F0" w:rsidRPr="00A03A56">
        <w:rPr>
          <w:lang w:val="en-GB"/>
        </w:rPr>
        <w:t xml:space="preserve">100,000 </w:t>
      </w:r>
      <w:r w:rsidR="00B24C39" w:rsidRPr="00A03A56">
        <w:rPr>
          <w:lang w:val="en-GB"/>
        </w:rPr>
        <w:t xml:space="preserve">annually </w:t>
      </w:r>
      <w:r w:rsidR="002657F0" w:rsidRPr="00A03A56">
        <w:rPr>
          <w:lang w:val="en-GB"/>
        </w:rPr>
        <w:t>($</w:t>
      </w:r>
      <w:r w:rsidR="00F53750" w:rsidRPr="00A03A56">
        <w:rPr>
          <w:lang w:val="en-GB"/>
        </w:rPr>
        <w:t xml:space="preserve">113,120 </w:t>
      </w:r>
      <w:r w:rsidR="002657F0" w:rsidRPr="00A03A56">
        <w:rPr>
          <w:lang w:val="en-GB"/>
        </w:rPr>
        <w:t xml:space="preserve">with 13% PSC) </w:t>
      </w:r>
      <w:r w:rsidR="00F53750" w:rsidRPr="00A03A56">
        <w:rPr>
          <w:lang w:val="en-GB"/>
        </w:rPr>
        <w:t xml:space="preserve">from the Specific Trust Fund </w:t>
      </w:r>
      <w:r w:rsidR="00524368" w:rsidRPr="00A03A56">
        <w:rPr>
          <w:lang w:val="en-GB"/>
        </w:rPr>
        <w:t>to support</w:t>
      </w:r>
      <w:r w:rsidR="00F53750" w:rsidRPr="00A03A56">
        <w:rPr>
          <w:lang w:val="en-GB"/>
        </w:rPr>
        <w:t xml:space="preserve"> </w:t>
      </w:r>
      <w:r w:rsidR="008C6BA4" w:rsidRPr="00A03A56">
        <w:rPr>
          <w:lang w:val="en-GB"/>
        </w:rPr>
        <w:t xml:space="preserve">the secretariat </w:t>
      </w:r>
      <w:r w:rsidR="00D2333C" w:rsidRPr="00A03A56">
        <w:rPr>
          <w:lang w:val="en-GB"/>
        </w:rPr>
        <w:t xml:space="preserve">in </w:t>
      </w:r>
      <w:r w:rsidR="00D2333C" w:rsidRPr="00A03A56">
        <w:rPr>
          <w:lang w:val="en-GB"/>
        </w:rPr>
        <w:lastRenderedPageBreak/>
        <w:t>managing</w:t>
      </w:r>
      <w:r w:rsidR="008C6BA4" w:rsidRPr="00A03A56">
        <w:rPr>
          <w:lang w:val="en-GB"/>
        </w:rPr>
        <w:t xml:space="preserve"> </w:t>
      </w:r>
      <w:r w:rsidR="00F53750" w:rsidRPr="00A03A56">
        <w:rPr>
          <w:lang w:val="en-GB"/>
        </w:rPr>
        <w:t>peak workload needs</w:t>
      </w:r>
      <w:r w:rsidR="00921A90" w:rsidRPr="00A03A56">
        <w:rPr>
          <w:lang w:val="en-GB"/>
        </w:rPr>
        <w:t>.</w:t>
      </w:r>
      <w:r w:rsidR="00760EC4" w:rsidRPr="00A03A56">
        <w:rPr>
          <w:rStyle w:val="FootnoteReference"/>
          <w:lang w:val="en-GB"/>
        </w:rPr>
        <w:footnoteReference w:id="5"/>
      </w:r>
      <w:r w:rsidRPr="00A03A56">
        <w:rPr>
          <w:lang w:val="en-GB"/>
        </w:rPr>
        <w:t xml:space="preserve"> </w:t>
      </w:r>
      <w:r w:rsidR="00D13F64" w:rsidRPr="00A03A56">
        <w:rPr>
          <w:lang w:val="en-GB"/>
        </w:rPr>
        <w:t>At its seventh meeting held in </w:t>
      </w:r>
      <w:r w:rsidR="00C87F5E" w:rsidRPr="00A03A56">
        <w:rPr>
          <w:lang w:val="en-GB"/>
        </w:rPr>
        <w:t>November 2022, the Board agreed to u</w:t>
      </w:r>
      <w:r w:rsidR="003A0DA5" w:rsidRPr="00A03A56">
        <w:rPr>
          <w:lang w:val="en-GB"/>
        </w:rPr>
        <w:t>tilise $70,000</w:t>
      </w:r>
      <w:r w:rsidR="00C87F5E" w:rsidRPr="00A03A56">
        <w:rPr>
          <w:lang w:val="en-GB"/>
        </w:rPr>
        <w:t xml:space="preserve"> </w:t>
      </w:r>
      <w:r w:rsidR="0029476F" w:rsidRPr="00A03A56">
        <w:rPr>
          <w:lang w:val="en-GB"/>
        </w:rPr>
        <w:t>of the allocation</w:t>
      </w:r>
      <w:r w:rsidR="003A0DA5" w:rsidRPr="00A03A56">
        <w:rPr>
          <w:lang w:val="en-GB"/>
        </w:rPr>
        <w:t xml:space="preserve"> agreed a</w:t>
      </w:r>
      <w:r w:rsidR="00A61DAB" w:rsidRPr="00A03A56">
        <w:rPr>
          <w:lang w:val="en-GB"/>
        </w:rPr>
        <w:t>t the sixth meeting</w:t>
      </w:r>
      <w:r w:rsidR="0029476F" w:rsidRPr="00A03A56">
        <w:rPr>
          <w:lang w:val="en-GB"/>
        </w:rPr>
        <w:t xml:space="preserve"> for the co-funding of the Junior Professional Officer for the third year.</w:t>
      </w:r>
      <w:r w:rsidR="00412907" w:rsidRPr="00A03A56">
        <w:rPr>
          <w:rStyle w:val="FootnoteReference"/>
          <w:lang w:val="en-GB"/>
        </w:rPr>
        <w:footnoteReference w:id="6"/>
      </w:r>
      <w:r w:rsidR="0029476F" w:rsidRPr="00A03A56">
        <w:rPr>
          <w:lang w:val="en-GB"/>
        </w:rPr>
        <w:t xml:space="preserve"> </w:t>
      </w:r>
      <w:r w:rsidR="00F8484B" w:rsidRPr="00A03A56">
        <w:rPr>
          <w:lang w:val="en-GB"/>
        </w:rPr>
        <w:t>From August 2021 to August 2025</w:t>
      </w:r>
      <w:r w:rsidR="00005363" w:rsidRPr="00A03A56">
        <w:rPr>
          <w:lang w:val="en-GB"/>
        </w:rPr>
        <w:t>, t</w:t>
      </w:r>
      <w:r w:rsidR="00F81797" w:rsidRPr="00A03A56">
        <w:rPr>
          <w:lang w:val="en-GB"/>
        </w:rPr>
        <w:t xml:space="preserve">he secretariat </w:t>
      </w:r>
      <w:r w:rsidR="007F5565" w:rsidRPr="00A03A56">
        <w:rPr>
          <w:lang w:val="en-GB"/>
        </w:rPr>
        <w:t xml:space="preserve">has utilized </w:t>
      </w:r>
      <w:r w:rsidR="009F3A62" w:rsidRPr="00A03A56">
        <w:rPr>
          <w:lang w:val="en-GB"/>
        </w:rPr>
        <w:t xml:space="preserve">approximately </w:t>
      </w:r>
      <w:r w:rsidR="00B90267" w:rsidRPr="00A03A56">
        <w:rPr>
          <w:lang w:val="en-GB"/>
        </w:rPr>
        <w:t>4</w:t>
      </w:r>
      <w:r w:rsidR="00CC3C2E" w:rsidRPr="00A03A56">
        <w:rPr>
          <w:lang w:val="en-GB"/>
        </w:rPr>
        <w:t>0</w:t>
      </w:r>
      <w:r w:rsidR="007F5565" w:rsidRPr="00A03A56">
        <w:rPr>
          <w:lang w:val="en-GB"/>
        </w:rPr>
        <w:t xml:space="preserve">% </w:t>
      </w:r>
      <w:r w:rsidR="00886E03" w:rsidRPr="00A03A56">
        <w:rPr>
          <w:lang w:val="en-GB"/>
        </w:rPr>
        <w:t xml:space="preserve">of the </w:t>
      </w:r>
      <w:r w:rsidR="002F451C" w:rsidRPr="00A03A56">
        <w:rPr>
          <w:lang w:val="en-GB"/>
        </w:rPr>
        <w:t>cumulative</w:t>
      </w:r>
      <w:r w:rsidR="00886E03" w:rsidRPr="00A03A56">
        <w:rPr>
          <w:lang w:val="en-GB"/>
        </w:rPr>
        <w:t xml:space="preserve"> allocation </w:t>
      </w:r>
      <w:r w:rsidR="002F451C" w:rsidRPr="00A03A56">
        <w:rPr>
          <w:lang w:val="en-GB"/>
        </w:rPr>
        <w:t>for</w:t>
      </w:r>
      <w:r w:rsidR="009F3A62" w:rsidRPr="00A03A56">
        <w:rPr>
          <w:lang w:val="en-GB"/>
        </w:rPr>
        <w:t xml:space="preserve"> staffing </w:t>
      </w:r>
      <w:r w:rsidR="006A45DE" w:rsidRPr="00A03A56">
        <w:rPr>
          <w:lang w:val="en-GB"/>
        </w:rPr>
        <w:t>to ensure proper servicing of the Programme</w:t>
      </w:r>
      <w:r w:rsidR="000C141B" w:rsidRPr="00A03A56">
        <w:rPr>
          <w:lang w:val="en-GB"/>
        </w:rPr>
        <w:t xml:space="preserve">, </w:t>
      </w:r>
      <w:r w:rsidR="00144BCB" w:rsidRPr="00A03A56">
        <w:rPr>
          <w:lang w:val="en-GB"/>
        </w:rPr>
        <w:t xml:space="preserve">while the remaining </w:t>
      </w:r>
      <w:r w:rsidR="00B90267" w:rsidRPr="00A03A56">
        <w:rPr>
          <w:lang w:val="en-GB"/>
        </w:rPr>
        <w:t>6</w:t>
      </w:r>
      <w:r w:rsidR="00144BCB" w:rsidRPr="00A03A56">
        <w:rPr>
          <w:lang w:val="en-GB"/>
        </w:rPr>
        <w:t>0% has been directed toward projects. This reflects the total use of funds over the four-year period since the Board’s decision.</w:t>
      </w:r>
    </w:p>
    <w:p w14:paraId="5C198B2E" w14:textId="726BC663" w:rsidR="00F53750" w:rsidRPr="008A572D" w:rsidRDefault="00433A83" w:rsidP="00403EAA">
      <w:pPr>
        <w:spacing w:after="120"/>
        <w:rPr>
          <w:b/>
          <w:bCs/>
        </w:rPr>
      </w:pPr>
      <w:r>
        <w:rPr>
          <w:b/>
          <w:bCs/>
        </w:rPr>
        <w:tab/>
        <w:t>(a)</w:t>
      </w:r>
      <w:r>
        <w:rPr>
          <w:b/>
          <w:bCs/>
        </w:rPr>
        <w:tab/>
      </w:r>
      <w:r w:rsidR="00F53750" w:rsidRPr="008A572D">
        <w:rPr>
          <w:b/>
          <w:bCs/>
        </w:rPr>
        <w:t>Comparison of staffing levels with select other funds </w:t>
      </w:r>
    </w:p>
    <w:p w14:paraId="22E6E47E" w14:textId="2BA6C36B" w:rsidR="0015498B" w:rsidRPr="00696D6E" w:rsidRDefault="007B3962" w:rsidP="00403EAA">
      <w:pPr>
        <w:pStyle w:val="Normalnumber"/>
        <w:ind w:left="1247"/>
        <w:rPr>
          <w:lang w:val="en-US"/>
        </w:rPr>
      </w:pPr>
      <w:r w:rsidRPr="00E91F93">
        <w:rPr>
          <w:lang w:val="en-US"/>
        </w:rPr>
        <w:t xml:space="preserve">The current </w:t>
      </w:r>
      <w:r w:rsidR="008E11C6" w:rsidRPr="00E91F93">
        <w:rPr>
          <w:lang w:val="en-US"/>
        </w:rPr>
        <w:t xml:space="preserve">number of </w:t>
      </w:r>
      <w:r w:rsidRPr="00E91F93">
        <w:rPr>
          <w:lang w:val="en-US"/>
        </w:rPr>
        <w:t xml:space="preserve">staff </w:t>
      </w:r>
      <w:r w:rsidR="00BC1521" w:rsidRPr="00E91F93">
        <w:rPr>
          <w:lang w:val="en-US"/>
        </w:rPr>
        <w:t xml:space="preserve">serving </w:t>
      </w:r>
      <w:r w:rsidRPr="00E91F93">
        <w:rPr>
          <w:lang w:val="en-US"/>
        </w:rPr>
        <w:t xml:space="preserve">the </w:t>
      </w:r>
      <w:r w:rsidRPr="00696D6E">
        <w:rPr>
          <w:noProof/>
          <w:lang w:val="en-GB"/>
        </w:rPr>
        <w:t>Specific International Programme</w:t>
      </w:r>
      <w:r w:rsidR="009B17A2" w:rsidRPr="00696D6E">
        <w:rPr>
          <w:noProof/>
          <w:lang w:val="en-GB"/>
        </w:rPr>
        <w:t>,</w:t>
      </w:r>
      <w:r w:rsidRPr="00E91F93">
        <w:rPr>
          <w:lang w:val="en-US"/>
        </w:rPr>
        <w:t xml:space="preserve"> </w:t>
      </w:r>
      <w:r w:rsidR="00F1440A" w:rsidRPr="00E91F93">
        <w:rPr>
          <w:lang w:val="en-US"/>
        </w:rPr>
        <w:t>as outlined above</w:t>
      </w:r>
      <w:r w:rsidR="009B17A2" w:rsidRPr="00E91F93">
        <w:rPr>
          <w:lang w:val="en-US"/>
        </w:rPr>
        <w:t>,</w:t>
      </w:r>
      <w:r w:rsidR="00BC62AA" w:rsidRPr="00E91F93">
        <w:rPr>
          <w:lang w:val="en-US"/>
        </w:rPr>
        <w:t xml:space="preserve"> </w:t>
      </w:r>
      <w:r w:rsidR="00BC1521" w:rsidRPr="00E91F93">
        <w:rPr>
          <w:lang w:val="en-US"/>
        </w:rPr>
        <w:t>i</w:t>
      </w:r>
      <w:r w:rsidR="00776167" w:rsidRPr="00E91F93">
        <w:rPr>
          <w:lang w:val="en-US"/>
        </w:rPr>
        <w:t xml:space="preserve">s </w:t>
      </w:r>
      <w:r w:rsidR="00BC62AA" w:rsidRPr="00E91F93">
        <w:rPr>
          <w:lang w:val="en-US"/>
        </w:rPr>
        <w:t>limited</w:t>
      </w:r>
      <w:r w:rsidR="00C16C2C" w:rsidRPr="00E91F93">
        <w:rPr>
          <w:lang w:val="en-US"/>
        </w:rPr>
        <w:t xml:space="preserve"> </w:t>
      </w:r>
      <w:r w:rsidR="00CD3204" w:rsidRPr="00E91F93">
        <w:rPr>
          <w:lang w:val="en-US"/>
        </w:rPr>
        <w:t xml:space="preserve">vis-à-vis </w:t>
      </w:r>
      <w:r w:rsidR="001554AE" w:rsidRPr="00E91F93">
        <w:rPr>
          <w:lang w:val="en-US"/>
        </w:rPr>
        <w:t xml:space="preserve">the functions to be fulfilled. </w:t>
      </w:r>
      <w:proofErr w:type="gramStart"/>
      <w:r w:rsidR="00AD07BC" w:rsidRPr="00696D6E">
        <w:rPr>
          <w:lang w:val="en-US"/>
        </w:rPr>
        <w:t>For the purpose of</w:t>
      </w:r>
      <w:proofErr w:type="gramEnd"/>
      <w:r w:rsidR="00AD07BC" w:rsidRPr="00696D6E">
        <w:rPr>
          <w:lang w:val="en-US"/>
        </w:rPr>
        <w:t xml:space="preserve"> comparison</w:t>
      </w:r>
      <w:r w:rsidR="0073512C" w:rsidRPr="00696D6E">
        <w:rPr>
          <w:lang w:val="en-US"/>
        </w:rPr>
        <w:t xml:space="preserve"> to similar funds</w:t>
      </w:r>
      <w:r w:rsidR="00306AB6" w:rsidRPr="00696D6E">
        <w:rPr>
          <w:lang w:val="en-US"/>
        </w:rPr>
        <w:t xml:space="preserve">, </w:t>
      </w:r>
      <w:r w:rsidR="00AD07BC" w:rsidRPr="00696D6E">
        <w:rPr>
          <w:lang w:val="en-US"/>
        </w:rPr>
        <w:t>s</w:t>
      </w:r>
      <w:r w:rsidR="00A57FF0" w:rsidRPr="00696D6E">
        <w:rPr>
          <w:lang w:val="en-US"/>
        </w:rPr>
        <w:t xml:space="preserve">taffing structures of </w:t>
      </w:r>
      <w:r w:rsidR="0046332E" w:rsidRPr="00696D6E">
        <w:rPr>
          <w:lang w:val="en-US"/>
        </w:rPr>
        <w:t xml:space="preserve">the UNEP Special Programme and the </w:t>
      </w:r>
      <w:r w:rsidR="0046332E" w:rsidRPr="00696D6E">
        <w:rPr>
          <w:lang w:val="en-GB"/>
        </w:rPr>
        <w:t>Global Framework on Chemicals Trust Fund</w:t>
      </w:r>
      <w:r w:rsidR="00E148EF" w:rsidRPr="00696D6E">
        <w:rPr>
          <w:lang w:val="en-GB"/>
        </w:rPr>
        <w:t xml:space="preserve"> </w:t>
      </w:r>
      <w:r w:rsidR="00306AB6" w:rsidRPr="00696D6E">
        <w:rPr>
          <w:lang w:val="en-GB"/>
        </w:rPr>
        <w:t>are set out</w:t>
      </w:r>
      <w:r w:rsidR="00CD041C" w:rsidRPr="00696D6E">
        <w:rPr>
          <w:lang w:val="en-GB"/>
        </w:rPr>
        <w:t xml:space="preserve"> below</w:t>
      </w:r>
      <w:r w:rsidR="00306AB6" w:rsidRPr="00696D6E">
        <w:rPr>
          <w:lang w:val="en-GB"/>
        </w:rPr>
        <w:t>:</w:t>
      </w:r>
    </w:p>
    <w:p w14:paraId="418AEC3F" w14:textId="1AF422C7" w:rsidR="00F53750" w:rsidRPr="00574D4A" w:rsidRDefault="00F53750" w:rsidP="0032593F">
      <w:pPr>
        <w:pStyle w:val="Normalnumber"/>
        <w:numPr>
          <w:ilvl w:val="1"/>
          <w:numId w:val="3"/>
        </w:numPr>
        <w:rPr>
          <w:lang w:val="en-US"/>
        </w:rPr>
      </w:pPr>
      <w:r w:rsidRPr="00574D4A">
        <w:rPr>
          <w:lang w:val="en-US"/>
        </w:rPr>
        <w:t xml:space="preserve">The staffing </w:t>
      </w:r>
      <w:r>
        <w:rPr>
          <w:lang w:val="en-US"/>
        </w:rPr>
        <w:t xml:space="preserve">identified for </w:t>
      </w:r>
      <w:r w:rsidRPr="00574D4A">
        <w:rPr>
          <w:lang w:val="en-US"/>
        </w:rPr>
        <w:t xml:space="preserve">the </w:t>
      </w:r>
      <w:r w:rsidR="00BF70E0" w:rsidRPr="00574D4A">
        <w:rPr>
          <w:lang w:val="en-US"/>
        </w:rPr>
        <w:t xml:space="preserve">Trust Fund </w:t>
      </w:r>
      <w:r w:rsidR="00BF70E0">
        <w:rPr>
          <w:lang w:val="en-US"/>
        </w:rPr>
        <w:t xml:space="preserve">of the </w:t>
      </w:r>
      <w:r w:rsidR="00BF70E0" w:rsidRPr="003622CC">
        <w:rPr>
          <w:lang w:val="en-GB"/>
        </w:rPr>
        <w:t>UNEP Special Programme to support institutional strengthening at the national level for implementation of the Basel Convention on the Control of Transboundary Movements of Hazardous Wastes and Their Disposal, the Rotterdam Convention on the Prior Informed Consent Procedure for Certain Hazardous Chemicals and Pesticides in International Trade and the Stockholm Convention on Persistent Organic Pollutants, the Minamata Convention on Mercury and the Strategic Approach to International Chemicals Management (hereinafter “the Special Programme”)</w:t>
      </w:r>
      <w:r w:rsidR="00BF70E0">
        <w:rPr>
          <w:lang w:val="en-GB"/>
        </w:rPr>
        <w:t xml:space="preserve"> </w:t>
      </w:r>
      <w:r w:rsidR="00BF70E0" w:rsidRPr="00574D4A">
        <w:rPr>
          <w:lang w:val="en-US"/>
        </w:rPr>
        <w:t>includes</w:t>
      </w:r>
      <w:r w:rsidR="00BF70E0">
        <w:rPr>
          <w:lang w:val="en-US"/>
        </w:rPr>
        <w:t xml:space="preserve"> </w:t>
      </w:r>
      <w:r w:rsidR="006D1F2F">
        <w:rPr>
          <w:lang w:val="en-US"/>
        </w:rPr>
        <w:t>one</w:t>
      </w:r>
      <w:r w:rsidRPr="00574D4A">
        <w:rPr>
          <w:lang w:val="en-US"/>
        </w:rPr>
        <w:t xml:space="preserve"> P-4</w:t>
      </w:r>
      <w:r w:rsidR="006D1F2F">
        <w:rPr>
          <w:lang w:val="en-US"/>
        </w:rPr>
        <w:t xml:space="preserve"> </w:t>
      </w:r>
      <w:r w:rsidRPr="00574D4A">
        <w:rPr>
          <w:lang w:val="en-US"/>
        </w:rPr>
        <w:t>Coordinator/Programme Officer</w:t>
      </w:r>
      <w:r w:rsidR="006D1F2F">
        <w:rPr>
          <w:lang w:val="en-US"/>
        </w:rPr>
        <w:t xml:space="preserve">, one </w:t>
      </w:r>
      <w:r w:rsidRPr="00574D4A">
        <w:rPr>
          <w:lang w:val="en-US"/>
        </w:rPr>
        <w:t>P-3</w:t>
      </w:r>
      <w:r w:rsidR="006D1F2F">
        <w:rPr>
          <w:lang w:val="en-US"/>
        </w:rPr>
        <w:t xml:space="preserve"> </w:t>
      </w:r>
      <w:r w:rsidRPr="00574D4A">
        <w:rPr>
          <w:lang w:val="en-US"/>
        </w:rPr>
        <w:t xml:space="preserve">Programme </w:t>
      </w:r>
      <w:r w:rsidR="006D1F2F">
        <w:rPr>
          <w:lang w:val="en-US"/>
        </w:rPr>
        <w:t xml:space="preserve">Management </w:t>
      </w:r>
      <w:r w:rsidRPr="00574D4A">
        <w:rPr>
          <w:lang w:val="en-US"/>
        </w:rPr>
        <w:t>Officer</w:t>
      </w:r>
      <w:r w:rsidR="006D1F2F">
        <w:rPr>
          <w:lang w:val="en-US"/>
        </w:rPr>
        <w:t>, one</w:t>
      </w:r>
      <w:r w:rsidRPr="00574D4A">
        <w:rPr>
          <w:lang w:val="en-US"/>
        </w:rPr>
        <w:t xml:space="preserve"> P-3 Programme </w:t>
      </w:r>
      <w:r w:rsidR="006D1F2F">
        <w:rPr>
          <w:lang w:val="en-US"/>
        </w:rPr>
        <w:t>Management</w:t>
      </w:r>
      <w:r w:rsidR="006D1F2F" w:rsidRPr="00574D4A">
        <w:rPr>
          <w:lang w:val="en-US"/>
        </w:rPr>
        <w:t xml:space="preserve"> </w:t>
      </w:r>
      <w:r w:rsidRPr="00574D4A">
        <w:rPr>
          <w:lang w:val="en-US"/>
        </w:rPr>
        <w:t>Officer (Monitoring and evaluation)</w:t>
      </w:r>
      <w:r w:rsidR="006D1F2F">
        <w:rPr>
          <w:lang w:val="en-US"/>
        </w:rPr>
        <w:t xml:space="preserve">, one </w:t>
      </w:r>
      <w:r w:rsidRPr="00574D4A">
        <w:rPr>
          <w:lang w:val="en-US"/>
        </w:rPr>
        <w:t>P-2</w:t>
      </w:r>
      <w:r w:rsidR="006D1F2F">
        <w:rPr>
          <w:lang w:val="en-US"/>
        </w:rPr>
        <w:t xml:space="preserve"> </w:t>
      </w:r>
      <w:r w:rsidRPr="00574D4A">
        <w:rPr>
          <w:lang w:val="en-US"/>
        </w:rPr>
        <w:t>Associate Programme Officer</w:t>
      </w:r>
      <w:r w:rsidR="006D1F2F">
        <w:rPr>
          <w:lang w:val="en-US"/>
        </w:rPr>
        <w:t xml:space="preserve">, one </w:t>
      </w:r>
      <w:r w:rsidRPr="00574D4A">
        <w:rPr>
          <w:lang w:val="en-US"/>
        </w:rPr>
        <w:t>G-</w:t>
      </w:r>
      <w:r w:rsidR="006D1F2F">
        <w:rPr>
          <w:lang w:val="en-US"/>
        </w:rPr>
        <w:t xml:space="preserve">5 </w:t>
      </w:r>
      <w:r w:rsidRPr="00574D4A">
        <w:rPr>
          <w:lang w:val="en-US"/>
        </w:rPr>
        <w:t>Finance and Budget Assistant</w:t>
      </w:r>
      <w:r w:rsidR="006D1F2F">
        <w:rPr>
          <w:lang w:val="en-US"/>
        </w:rPr>
        <w:t xml:space="preserve">, one </w:t>
      </w:r>
      <w:r w:rsidRPr="00574D4A">
        <w:rPr>
          <w:lang w:val="en-US"/>
        </w:rPr>
        <w:t>G-4 Admin</w:t>
      </w:r>
      <w:r w:rsidR="005B2551">
        <w:rPr>
          <w:lang w:val="en-US"/>
        </w:rPr>
        <w:t>istrative</w:t>
      </w:r>
      <w:r w:rsidRPr="00574D4A">
        <w:rPr>
          <w:lang w:val="en-US"/>
        </w:rPr>
        <w:t xml:space="preserve"> Assistant and </w:t>
      </w:r>
      <w:r w:rsidR="006D1F2F">
        <w:rPr>
          <w:lang w:val="en-US"/>
        </w:rPr>
        <w:t xml:space="preserve">one </w:t>
      </w:r>
      <w:r w:rsidRPr="00574D4A">
        <w:rPr>
          <w:lang w:val="en-US"/>
        </w:rPr>
        <w:t>G-4 Team Assistant.</w:t>
      </w:r>
      <w:r>
        <w:rPr>
          <w:lang w:val="en-US"/>
        </w:rPr>
        <w:t xml:space="preserve"> </w:t>
      </w:r>
      <w:r w:rsidRPr="00291FF7">
        <w:rPr>
          <w:lang w:val="en-GB"/>
        </w:rPr>
        <w:t xml:space="preserve">The Special Programme portfolio consists of 91 projects approved in Africa, Asia-Pacific, Central and Eastern Europe, as well as Latin America and the Caribbean with combined budgets of </w:t>
      </w:r>
      <w:r w:rsidR="00B779C2" w:rsidRPr="003A64E1">
        <w:rPr>
          <w:lang w:val="en-GB"/>
        </w:rPr>
        <w:t>$</w:t>
      </w:r>
      <w:r w:rsidRPr="00291FF7">
        <w:rPr>
          <w:lang w:val="en-GB"/>
        </w:rPr>
        <w:t>23</w:t>
      </w:r>
      <w:r w:rsidR="006A1451">
        <w:rPr>
          <w:lang w:val="en-GB"/>
        </w:rPr>
        <w:t>.</w:t>
      </w:r>
      <w:r w:rsidRPr="00291FF7">
        <w:rPr>
          <w:lang w:val="en-GB"/>
        </w:rPr>
        <w:t>9</w:t>
      </w:r>
      <w:r w:rsidR="00B779C2">
        <w:rPr>
          <w:lang w:val="en-GB"/>
        </w:rPr>
        <w:t xml:space="preserve"> million</w:t>
      </w:r>
      <w:r w:rsidRPr="00291FF7">
        <w:rPr>
          <w:lang w:val="en-GB"/>
        </w:rPr>
        <w:t>. Of these, 57 projects are currently being implemented by the designated project partners, with oversight provided by the Special Programme secretariat.</w:t>
      </w:r>
    </w:p>
    <w:p w14:paraId="0996065B" w14:textId="1672A18D" w:rsidR="00F53750" w:rsidRPr="00574D4A" w:rsidRDefault="00BA56EE" w:rsidP="0032593F">
      <w:pPr>
        <w:pStyle w:val="Normalnumber"/>
        <w:numPr>
          <w:ilvl w:val="1"/>
          <w:numId w:val="3"/>
        </w:numPr>
        <w:rPr>
          <w:lang w:val="en-US"/>
        </w:rPr>
      </w:pPr>
      <w:r w:rsidRPr="00BA56EE">
        <w:rPr>
          <w:lang w:val="en-GB"/>
        </w:rPr>
        <w:t>The staffing of the newly established Global Framework on Chemicals Trust Fund includes</w:t>
      </w:r>
      <w:r w:rsidR="00A7389B">
        <w:rPr>
          <w:lang w:val="en-GB"/>
        </w:rPr>
        <w:t xml:space="preserve"> one</w:t>
      </w:r>
      <w:r w:rsidRPr="00BA56EE">
        <w:rPr>
          <w:lang w:val="en-GB"/>
        </w:rPr>
        <w:t xml:space="preserve"> P-4 Fund Coordinator</w:t>
      </w:r>
      <w:r w:rsidR="00A7389B">
        <w:rPr>
          <w:lang w:val="en-GB"/>
        </w:rPr>
        <w:t>, one</w:t>
      </w:r>
      <w:r w:rsidRPr="00BA56EE">
        <w:rPr>
          <w:lang w:val="en-GB"/>
        </w:rPr>
        <w:t xml:space="preserve"> P-3 Programme Management Officer</w:t>
      </w:r>
      <w:r w:rsidR="00A7389B">
        <w:rPr>
          <w:lang w:val="en-GB"/>
        </w:rPr>
        <w:t xml:space="preserve">, one </w:t>
      </w:r>
      <w:r w:rsidRPr="00BA56EE">
        <w:rPr>
          <w:lang w:val="en-GB"/>
        </w:rPr>
        <w:t xml:space="preserve">P-2/JPO </w:t>
      </w:r>
      <w:r w:rsidR="00A7389B">
        <w:rPr>
          <w:lang w:val="en-GB"/>
        </w:rPr>
        <w:t>Associate Expert, one</w:t>
      </w:r>
      <w:r w:rsidRPr="00BA56EE">
        <w:rPr>
          <w:lang w:val="en-GB"/>
        </w:rPr>
        <w:t xml:space="preserve"> G-6 Administrative assistant</w:t>
      </w:r>
      <w:r w:rsidR="00834A00">
        <w:rPr>
          <w:lang w:val="en-GB"/>
        </w:rPr>
        <w:t xml:space="preserve"> and one G-4 Administrative assistant</w:t>
      </w:r>
      <w:r w:rsidRPr="00BA56EE">
        <w:rPr>
          <w:lang w:val="en-GB"/>
        </w:rPr>
        <w:t>.</w:t>
      </w:r>
      <w:r w:rsidR="00BC3C38">
        <w:rPr>
          <w:lang w:val="en-GB"/>
        </w:rPr>
        <w:t xml:space="preserve"> </w:t>
      </w:r>
      <w:r w:rsidRPr="00BA56EE">
        <w:rPr>
          <w:lang w:val="en-GB"/>
        </w:rPr>
        <w:t>As</w:t>
      </w:r>
      <w:r w:rsidR="00A7389B">
        <w:rPr>
          <w:lang w:val="en-GB"/>
        </w:rPr>
        <w:t xml:space="preserve"> </w:t>
      </w:r>
      <w:r w:rsidR="1AD364A0" w:rsidRPr="74FC1E23">
        <w:rPr>
          <w:lang w:val="en-GB"/>
        </w:rPr>
        <w:t>of</w:t>
      </w:r>
      <w:r w:rsidRPr="00BA56EE">
        <w:rPr>
          <w:lang w:val="en-GB"/>
        </w:rPr>
        <w:t xml:space="preserve"> 1 June 2025</w:t>
      </w:r>
      <w:r w:rsidR="00A7389B">
        <w:rPr>
          <w:lang w:val="en-GB"/>
        </w:rPr>
        <w:t>,</w:t>
      </w:r>
      <w:r w:rsidRPr="00BA56EE">
        <w:rPr>
          <w:lang w:val="en-GB"/>
        </w:rPr>
        <w:t xml:space="preserve"> the overall portfolio to be managed under the Global Framework on Chemicals Fund </w:t>
      </w:r>
      <w:r w:rsidR="00A7389B">
        <w:rPr>
          <w:lang w:val="en-GB"/>
        </w:rPr>
        <w:t>includes</w:t>
      </w:r>
      <w:r w:rsidRPr="00BA56EE">
        <w:rPr>
          <w:lang w:val="en-GB"/>
        </w:rPr>
        <w:t xml:space="preserve"> </w:t>
      </w:r>
      <w:r w:rsidR="00A7389B">
        <w:rPr>
          <w:lang w:val="en-GB"/>
        </w:rPr>
        <w:t>four</w:t>
      </w:r>
      <w:r w:rsidRPr="00BA56EE">
        <w:rPr>
          <w:lang w:val="en-GB"/>
        </w:rPr>
        <w:t xml:space="preserve"> regional projects with the total </w:t>
      </w:r>
      <w:r w:rsidRPr="00BC3247">
        <w:rPr>
          <w:lang w:val="en-GB"/>
        </w:rPr>
        <w:t xml:space="preserve">budget of about </w:t>
      </w:r>
      <w:r w:rsidR="00BC3247" w:rsidRPr="00BC3247">
        <w:rPr>
          <w:lang w:val="en-GB"/>
        </w:rPr>
        <w:t>$2.8 million in the</w:t>
      </w:r>
      <w:r w:rsidR="00BC3247">
        <w:rPr>
          <w:lang w:val="en-GB"/>
        </w:rPr>
        <w:t xml:space="preserve"> </w:t>
      </w:r>
      <w:r w:rsidR="00BC3247" w:rsidRPr="00BF6439">
        <w:rPr>
          <w:lang w:val="en-GB"/>
        </w:rPr>
        <w:t>2025-2026 biennium</w:t>
      </w:r>
      <w:r w:rsidRPr="00BA56EE">
        <w:rPr>
          <w:lang w:val="en-GB"/>
        </w:rPr>
        <w:t>.</w:t>
      </w:r>
      <w:r w:rsidR="00490698">
        <w:rPr>
          <w:lang w:val="en-GB"/>
        </w:rPr>
        <w:t xml:space="preserve"> </w:t>
      </w:r>
      <w:r w:rsidR="00D157CE">
        <w:rPr>
          <w:lang w:val="en-GB"/>
        </w:rPr>
        <w:t xml:space="preserve">The overall initial pledge </w:t>
      </w:r>
      <w:r w:rsidR="00893521">
        <w:rPr>
          <w:lang w:val="en-GB"/>
        </w:rPr>
        <w:t>to the Fund amount</w:t>
      </w:r>
      <w:r w:rsidR="00D522CE">
        <w:rPr>
          <w:lang w:val="en-GB"/>
        </w:rPr>
        <w:t>s</w:t>
      </w:r>
      <w:r w:rsidR="00893521">
        <w:rPr>
          <w:lang w:val="en-GB"/>
        </w:rPr>
        <w:t xml:space="preserve"> to </w:t>
      </w:r>
      <w:r w:rsidR="004429D1">
        <w:rPr>
          <w:lang w:val="en-GB"/>
        </w:rPr>
        <w:t>US$28 million</w:t>
      </w:r>
      <w:r w:rsidR="006C4058">
        <w:rPr>
          <w:lang w:val="en-GB"/>
        </w:rPr>
        <w:t>.</w:t>
      </w:r>
      <w:r w:rsidR="00490698">
        <w:rPr>
          <w:lang w:val="en-GB"/>
        </w:rPr>
        <w:t xml:space="preserve"> </w:t>
      </w:r>
      <w:r w:rsidRPr="00BA56EE">
        <w:rPr>
          <w:lang w:val="en-GB"/>
        </w:rPr>
        <w:t>The following staff members of th</w:t>
      </w:r>
      <w:r w:rsidR="00BC3C38">
        <w:rPr>
          <w:lang w:val="en-GB"/>
        </w:rPr>
        <w:t xml:space="preserve">e </w:t>
      </w:r>
      <w:r w:rsidRPr="00BA56EE">
        <w:rPr>
          <w:lang w:val="en-GB"/>
        </w:rPr>
        <w:t>Global Framework on Chemicals</w:t>
      </w:r>
      <w:r w:rsidR="00BC3C38">
        <w:rPr>
          <w:lang w:val="en-GB"/>
        </w:rPr>
        <w:t xml:space="preserve"> </w:t>
      </w:r>
      <w:r w:rsidRPr="00BA56EE">
        <w:rPr>
          <w:lang w:val="en-GB"/>
        </w:rPr>
        <w:t>secretariat, including the</w:t>
      </w:r>
      <w:r w:rsidR="00BC3C38">
        <w:rPr>
          <w:lang w:val="en-GB"/>
        </w:rPr>
        <w:t xml:space="preserve"> </w:t>
      </w:r>
      <w:r w:rsidRPr="00BA56EE">
        <w:rPr>
          <w:lang w:val="en-GB"/>
        </w:rPr>
        <w:t>P-5 Senior Programme Officer</w:t>
      </w:r>
      <w:r w:rsidR="00F07239">
        <w:rPr>
          <w:lang w:val="en-GB"/>
        </w:rPr>
        <w:t xml:space="preserve">, </w:t>
      </w:r>
      <w:r w:rsidR="005D0619">
        <w:rPr>
          <w:lang w:val="en-GB"/>
        </w:rPr>
        <w:t>the</w:t>
      </w:r>
      <w:r w:rsidRPr="00BA56EE">
        <w:rPr>
          <w:lang w:val="en-GB"/>
        </w:rPr>
        <w:t xml:space="preserve"> P-4 Funds </w:t>
      </w:r>
      <w:r w:rsidR="005D0619">
        <w:rPr>
          <w:lang w:val="en-GB"/>
        </w:rPr>
        <w:t>M</w:t>
      </w:r>
      <w:r w:rsidRPr="00BA56EE">
        <w:rPr>
          <w:lang w:val="en-GB"/>
        </w:rPr>
        <w:t>anagement Officer (20%)</w:t>
      </w:r>
      <w:r w:rsidR="005D0619">
        <w:rPr>
          <w:lang w:val="en-GB"/>
        </w:rPr>
        <w:t>, the</w:t>
      </w:r>
      <w:r w:rsidRPr="00BA56EE">
        <w:rPr>
          <w:lang w:val="en-GB"/>
        </w:rPr>
        <w:t xml:space="preserve"> P-4 Operations and Organization Officer, </w:t>
      </w:r>
      <w:r w:rsidR="006B784E">
        <w:rPr>
          <w:lang w:val="en-GB"/>
        </w:rPr>
        <w:t xml:space="preserve">the </w:t>
      </w:r>
      <w:r w:rsidRPr="00BA56EE">
        <w:rPr>
          <w:lang w:val="en-GB"/>
        </w:rPr>
        <w:t>P</w:t>
      </w:r>
      <w:r w:rsidR="006B784E">
        <w:rPr>
          <w:lang w:val="en-GB"/>
        </w:rPr>
        <w:t>-</w:t>
      </w:r>
      <w:r w:rsidRPr="00BA56EE">
        <w:rPr>
          <w:lang w:val="en-GB"/>
        </w:rPr>
        <w:t xml:space="preserve">4 Health and Labour </w:t>
      </w:r>
      <w:r w:rsidR="006B784E">
        <w:rPr>
          <w:lang w:val="en-GB"/>
        </w:rPr>
        <w:t>O</w:t>
      </w:r>
      <w:r w:rsidRPr="00BA56EE">
        <w:rPr>
          <w:lang w:val="en-GB"/>
        </w:rPr>
        <w:t>fficer</w:t>
      </w:r>
      <w:r w:rsidR="006B784E">
        <w:rPr>
          <w:lang w:val="en-GB"/>
        </w:rPr>
        <w:t xml:space="preserve"> and the</w:t>
      </w:r>
      <w:r w:rsidRPr="00BA56EE">
        <w:rPr>
          <w:lang w:val="en-GB"/>
        </w:rPr>
        <w:t xml:space="preserve"> G-6 Administrative </w:t>
      </w:r>
      <w:r w:rsidR="006B784E">
        <w:rPr>
          <w:lang w:val="en-GB"/>
        </w:rPr>
        <w:t>A</w:t>
      </w:r>
      <w:r w:rsidRPr="00BA56EE">
        <w:rPr>
          <w:lang w:val="en-GB"/>
        </w:rPr>
        <w:t>ssistant will service the programme as part of their roles and responsibilities in the secretariat when the recruitment is completed, subject to available resources.</w:t>
      </w:r>
    </w:p>
    <w:p w14:paraId="7850285D" w14:textId="3CC589CA" w:rsidR="00F53750" w:rsidRPr="00F35911" w:rsidRDefault="00011FBA" w:rsidP="00403EAA">
      <w:pPr>
        <w:spacing w:after="120"/>
        <w:rPr>
          <w:b/>
          <w:bCs/>
        </w:rPr>
      </w:pPr>
      <w:r>
        <w:rPr>
          <w:b/>
          <w:bCs/>
        </w:rPr>
        <w:tab/>
        <w:t>(b)</w:t>
      </w:r>
      <w:r>
        <w:rPr>
          <w:b/>
          <w:bCs/>
        </w:rPr>
        <w:tab/>
      </w:r>
      <w:r w:rsidR="00F53750" w:rsidRPr="00F35911">
        <w:rPr>
          <w:b/>
          <w:bCs/>
        </w:rPr>
        <w:t>Future staffing needs</w:t>
      </w:r>
    </w:p>
    <w:p w14:paraId="36297B83" w14:textId="46AC5CA3" w:rsidR="00F53750" w:rsidRPr="008A4A48" w:rsidRDefault="00F53750" w:rsidP="00403EAA">
      <w:pPr>
        <w:pStyle w:val="Normalnumber"/>
        <w:ind w:left="1247"/>
        <w:rPr>
          <w:lang w:val="en-GB"/>
        </w:rPr>
      </w:pPr>
      <w:r>
        <w:rPr>
          <w:lang w:val="en-US"/>
        </w:rPr>
        <w:t>T</w:t>
      </w:r>
      <w:r w:rsidRPr="00F35911">
        <w:rPr>
          <w:lang w:val="en-US"/>
        </w:rPr>
        <w:t>wo</w:t>
      </w:r>
      <w:r w:rsidRPr="00F35911" w:rsidDel="00AC3E1F">
        <w:rPr>
          <w:lang w:val="en-US"/>
        </w:rPr>
        <w:t xml:space="preserve"> </w:t>
      </w:r>
      <w:r w:rsidRPr="00F35911">
        <w:rPr>
          <w:lang w:val="en-US"/>
        </w:rPr>
        <w:t>scenarios are being considered for the Specific International Programme</w:t>
      </w:r>
      <w:r w:rsidR="00FB3775">
        <w:rPr>
          <w:lang w:val="en-US"/>
        </w:rPr>
        <w:t xml:space="preserve">, </w:t>
      </w:r>
      <w:r w:rsidRPr="00F35911">
        <w:rPr>
          <w:lang w:val="en-US"/>
        </w:rPr>
        <w:t>with scenario 2 including a possible</w:t>
      </w:r>
      <w:r w:rsidRPr="00F35911" w:rsidDel="003B38D1">
        <w:rPr>
          <w:lang w:val="en-US"/>
        </w:rPr>
        <w:t xml:space="preserve"> </w:t>
      </w:r>
      <w:r w:rsidRPr="00F35911">
        <w:rPr>
          <w:lang w:val="en-US"/>
        </w:rPr>
        <w:t xml:space="preserve">extension for an additional </w:t>
      </w:r>
      <w:r w:rsidR="00FB3775">
        <w:rPr>
          <w:lang w:val="en-US"/>
        </w:rPr>
        <w:t>seven</w:t>
      </w:r>
      <w:r w:rsidRPr="00F35911">
        <w:rPr>
          <w:lang w:val="en-US"/>
        </w:rPr>
        <w:t xml:space="preserve"> years subject to the decision of COP-7.</w:t>
      </w:r>
      <w:r w:rsidRPr="008A4A48">
        <w:rPr>
          <w:lang w:val="en-US"/>
        </w:rPr>
        <w:t xml:space="preserve"> </w:t>
      </w:r>
      <w:r w:rsidRPr="008A4A48">
        <w:rPr>
          <w:lang w:val="en-GB"/>
        </w:rPr>
        <w:t xml:space="preserve">The graph </w:t>
      </w:r>
      <w:r w:rsidR="00FB3775">
        <w:rPr>
          <w:lang w:val="en-GB"/>
        </w:rPr>
        <w:t xml:space="preserve">in </w:t>
      </w:r>
      <w:r w:rsidR="00BC3C38">
        <w:rPr>
          <w:lang w:val="en-GB"/>
        </w:rPr>
        <w:t xml:space="preserve">figure </w:t>
      </w:r>
      <w:r w:rsidR="00FB3775">
        <w:rPr>
          <w:lang w:val="en-GB"/>
        </w:rPr>
        <w:t xml:space="preserve">1 </w:t>
      </w:r>
      <w:r w:rsidRPr="008A4A48">
        <w:rPr>
          <w:lang w:val="en-GB"/>
        </w:rPr>
        <w:t xml:space="preserve">shows an estimate of projects to be managed and closed out under the </w:t>
      </w:r>
      <w:r w:rsidR="00FB3775" w:rsidRPr="00F35911">
        <w:rPr>
          <w:lang w:val="en-US"/>
        </w:rPr>
        <w:t xml:space="preserve">Specific International Programme </w:t>
      </w:r>
      <w:r w:rsidRPr="008A4A48">
        <w:rPr>
          <w:lang w:val="en-GB"/>
        </w:rPr>
        <w:t xml:space="preserve">within </w:t>
      </w:r>
      <w:r w:rsidR="00FB3775">
        <w:rPr>
          <w:lang w:val="en-GB"/>
        </w:rPr>
        <w:t>s</w:t>
      </w:r>
      <w:r w:rsidRPr="008A4A48">
        <w:rPr>
          <w:lang w:val="en-GB"/>
        </w:rPr>
        <w:t>cenario 1 and 2 as well as in case of no new round</w:t>
      </w:r>
      <w:r w:rsidR="00FB3775">
        <w:rPr>
          <w:lang w:val="en-GB"/>
        </w:rPr>
        <w:t>s</w:t>
      </w:r>
      <w:r w:rsidRPr="008A4A48">
        <w:rPr>
          <w:lang w:val="en-GB"/>
        </w:rPr>
        <w:t xml:space="preserve"> of applications.</w:t>
      </w:r>
      <w:r>
        <w:rPr>
          <w:lang w:val="en-GB"/>
        </w:rPr>
        <w:t xml:space="preserve"> </w:t>
      </w:r>
    </w:p>
    <w:p w14:paraId="707410A7" w14:textId="6866E555" w:rsidR="00F53750" w:rsidRPr="008A572D" w:rsidRDefault="00F53750" w:rsidP="00403EAA">
      <w:pPr>
        <w:pStyle w:val="Normalnumber"/>
        <w:keepNext/>
        <w:numPr>
          <w:ilvl w:val="0"/>
          <w:numId w:val="0"/>
        </w:numPr>
        <w:ind w:left="1247"/>
        <w:rPr>
          <w:b/>
          <w:bCs/>
          <w:lang w:val="en-GB"/>
        </w:rPr>
      </w:pPr>
      <w:r w:rsidRPr="00403EAA">
        <w:rPr>
          <w:lang w:val="en-GB"/>
        </w:rPr>
        <w:lastRenderedPageBreak/>
        <w:t xml:space="preserve">Figure </w:t>
      </w:r>
      <w:r w:rsidR="003948D1" w:rsidRPr="00403EAA">
        <w:rPr>
          <w:lang w:val="en-GB"/>
        </w:rPr>
        <w:t>2</w:t>
      </w:r>
      <w:r w:rsidRPr="00403EAA">
        <w:rPr>
          <w:lang w:val="en-GB"/>
        </w:rPr>
        <w:t>:</w:t>
      </w:r>
      <w:r w:rsidRPr="008A572D">
        <w:rPr>
          <w:b/>
          <w:bCs/>
          <w:lang w:val="en-GB"/>
        </w:rPr>
        <w:t xml:space="preserve"> Projected total number of </w:t>
      </w:r>
      <w:r w:rsidR="00FB3775" w:rsidRPr="00FB3775">
        <w:rPr>
          <w:b/>
          <w:bCs/>
          <w:lang w:val="en-GB"/>
        </w:rPr>
        <w:t>Specific International Programme</w:t>
      </w:r>
      <w:r w:rsidRPr="008A572D">
        <w:rPr>
          <w:b/>
          <w:bCs/>
          <w:lang w:val="en-GB"/>
        </w:rPr>
        <w:t xml:space="preserve"> projects over time under th</w:t>
      </w:r>
      <w:r w:rsidR="007E4184">
        <w:rPr>
          <w:b/>
          <w:bCs/>
          <w:lang w:val="en-GB"/>
        </w:rPr>
        <w:t>e</w:t>
      </w:r>
      <w:r w:rsidRPr="008A572D">
        <w:rPr>
          <w:b/>
          <w:bCs/>
          <w:lang w:val="en-GB"/>
        </w:rPr>
        <w:t xml:space="preserve"> different scenarios</w:t>
      </w:r>
    </w:p>
    <w:p w14:paraId="4EBC0421" w14:textId="25627119" w:rsidR="00F45BCE" w:rsidRPr="008A572D" w:rsidRDefault="00087778" w:rsidP="00F53750">
      <w:pPr>
        <w:pStyle w:val="Normalnumber"/>
        <w:numPr>
          <w:ilvl w:val="0"/>
          <w:numId w:val="0"/>
        </w:numPr>
        <w:ind w:left="1247"/>
        <w:rPr>
          <w:b/>
          <w:bCs/>
          <w:lang w:val="en-GB"/>
        </w:rPr>
      </w:pPr>
      <w:r>
        <w:rPr>
          <w:noProof/>
        </w:rPr>
        <w:drawing>
          <wp:inline distT="0" distB="0" distL="0" distR="0" wp14:anchorId="4C998B3F" wp14:editId="5A0513B5">
            <wp:extent cx="5213267" cy="2523507"/>
            <wp:effectExtent l="0" t="0" r="6985" b="10160"/>
            <wp:docPr id="129802118" name="Chart 1">
              <a:extLst xmlns:a="http://schemas.openxmlformats.org/drawingml/2006/main">
                <a:ext uri="{FF2B5EF4-FFF2-40B4-BE49-F238E27FC236}">
                  <a16:creationId xmlns:a16="http://schemas.microsoft.com/office/drawing/2014/main" id="{1F64F27F-065E-8BA3-6B7B-6DC29DA7C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0764F8" w14:textId="62A37E71" w:rsidR="00F53750" w:rsidRPr="005F1650" w:rsidRDefault="00F53750" w:rsidP="00403EAA">
      <w:pPr>
        <w:pStyle w:val="Normalnumber"/>
        <w:numPr>
          <w:ilvl w:val="0"/>
          <w:numId w:val="0"/>
        </w:numPr>
        <w:spacing w:before="240"/>
        <w:ind w:left="1247"/>
        <w:rPr>
          <w:b/>
          <w:bCs/>
          <w:lang w:val="en-GB"/>
        </w:rPr>
      </w:pPr>
      <w:r w:rsidRPr="00403EAA">
        <w:rPr>
          <w:lang w:val="en-GB"/>
        </w:rPr>
        <w:t xml:space="preserve">Table </w:t>
      </w:r>
      <w:r w:rsidR="00067A04" w:rsidRPr="00403EAA">
        <w:rPr>
          <w:lang w:val="en-GB"/>
        </w:rPr>
        <w:t>5</w:t>
      </w:r>
      <w:r w:rsidRPr="00403EAA">
        <w:rPr>
          <w:lang w:val="en-GB"/>
        </w:rPr>
        <w:t>:</w:t>
      </w:r>
      <w:r w:rsidRPr="005F1650">
        <w:rPr>
          <w:b/>
          <w:bCs/>
          <w:lang w:val="en-GB"/>
        </w:rPr>
        <w:t xml:space="preserve"> </w:t>
      </w:r>
      <w:r w:rsidR="00BC3EE7">
        <w:rPr>
          <w:b/>
          <w:bCs/>
          <w:lang w:val="en-GB"/>
        </w:rPr>
        <w:t>S</w:t>
      </w:r>
      <w:r w:rsidRPr="005F1650">
        <w:rPr>
          <w:b/>
          <w:bCs/>
          <w:lang w:val="en-GB"/>
        </w:rPr>
        <w:t xml:space="preserve">cenarios for future </w:t>
      </w:r>
      <w:r>
        <w:rPr>
          <w:b/>
          <w:bCs/>
          <w:lang w:val="en-GB"/>
        </w:rPr>
        <w:t xml:space="preserve">dedicated </w:t>
      </w:r>
      <w:r w:rsidRPr="005F1650">
        <w:rPr>
          <w:b/>
          <w:bCs/>
          <w:lang w:val="en-GB"/>
        </w:rPr>
        <w:t>staffing needs</w:t>
      </w:r>
    </w:p>
    <w:tbl>
      <w:tblPr>
        <w:tblStyle w:val="TableGrid"/>
        <w:tblW w:w="0" w:type="auto"/>
        <w:tblInd w:w="1271" w:type="dxa"/>
        <w:tblLook w:val="04A0" w:firstRow="1" w:lastRow="0" w:firstColumn="1" w:lastColumn="0" w:noHBand="0" w:noVBand="1"/>
      </w:tblPr>
      <w:tblGrid>
        <w:gridCol w:w="2693"/>
        <w:gridCol w:w="2694"/>
        <w:gridCol w:w="2828"/>
      </w:tblGrid>
      <w:tr w:rsidR="003B2BA6" w:rsidRPr="004A0C81" w14:paraId="24491060" w14:textId="77777777" w:rsidTr="003B2BA6">
        <w:tc>
          <w:tcPr>
            <w:tcW w:w="2693" w:type="dxa"/>
          </w:tcPr>
          <w:p w14:paraId="07B9249C" w14:textId="77777777" w:rsidR="00F53750" w:rsidRPr="001C31CB" w:rsidRDefault="00F53750">
            <w:pPr>
              <w:tabs>
                <w:tab w:val="left" w:pos="1247"/>
                <w:tab w:val="left" w:pos="1814"/>
                <w:tab w:val="left" w:pos="2381"/>
                <w:tab w:val="left" w:pos="2948"/>
                <w:tab w:val="left" w:pos="3515"/>
                <w:tab w:val="left" w:pos="4082"/>
              </w:tabs>
              <w:spacing w:after="120"/>
              <w:rPr>
                <w:b/>
                <w:bCs/>
                <w:sz w:val="18"/>
                <w:szCs w:val="18"/>
                <w:lang w:eastAsia="en-US"/>
              </w:rPr>
            </w:pPr>
          </w:p>
        </w:tc>
        <w:tc>
          <w:tcPr>
            <w:tcW w:w="2694" w:type="dxa"/>
          </w:tcPr>
          <w:p w14:paraId="64BE3615" w14:textId="33B8C307" w:rsidR="00F53750" w:rsidRPr="001C31CB" w:rsidRDefault="00F53750">
            <w:pPr>
              <w:tabs>
                <w:tab w:val="left" w:pos="1247"/>
                <w:tab w:val="left" w:pos="1814"/>
                <w:tab w:val="left" w:pos="2381"/>
                <w:tab w:val="left" w:pos="2948"/>
                <w:tab w:val="left" w:pos="3515"/>
                <w:tab w:val="left" w:pos="4082"/>
              </w:tabs>
              <w:spacing w:after="120"/>
              <w:rPr>
                <w:b/>
                <w:bCs/>
                <w:sz w:val="18"/>
                <w:szCs w:val="18"/>
                <w:lang w:eastAsia="en-US"/>
              </w:rPr>
            </w:pPr>
            <w:r w:rsidRPr="001C31CB">
              <w:rPr>
                <w:b/>
                <w:bCs/>
                <w:sz w:val="18"/>
                <w:szCs w:val="18"/>
                <w:lang w:eastAsia="en-US"/>
              </w:rPr>
              <w:t>Scenario 1 (</w:t>
            </w:r>
            <w:r w:rsidR="00957DF8" w:rsidRPr="00824C8A">
              <w:rPr>
                <w:b/>
                <w:bCs/>
                <w:sz w:val="18"/>
                <w:szCs w:val="18"/>
              </w:rPr>
              <w:t>until the end of the initial term of the Specific International Programme - 2027) – one additional round of applications</w:t>
            </w:r>
          </w:p>
        </w:tc>
        <w:tc>
          <w:tcPr>
            <w:tcW w:w="2828" w:type="dxa"/>
          </w:tcPr>
          <w:p w14:paraId="702DB36B" w14:textId="30840053" w:rsidR="00F53750" w:rsidRPr="001C31CB" w:rsidRDefault="00F53750">
            <w:pPr>
              <w:tabs>
                <w:tab w:val="left" w:pos="1247"/>
                <w:tab w:val="left" w:pos="1814"/>
                <w:tab w:val="left" w:pos="2381"/>
                <w:tab w:val="left" w:pos="2948"/>
                <w:tab w:val="left" w:pos="3515"/>
                <w:tab w:val="left" w:pos="4082"/>
              </w:tabs>
              <w:spacing w:after="120"/>
              <w:rPr>
                <w:b/>
                <w:bCs/>
                <w:sz w:val="18"/>
                <w:szCs w:val="18"/>
                <w:lang w:eastAsia="en-US"/>
              </w:rPr>
            </w:pPr>
            <w:r w:rsidRPr="001C31CB">
              <w:rPr>
                <w:b/>
                <w:bCs/>
                <w:sz w:val="18"/>
                <w:szCs w:val="18"/>
                <w:lang w:eastAsia="en-US"/>
              </w:rPr>
              <w:t>Scenario 2 (</w:t>
            </w:r>
            <w:r w:rsidR="007735C4" w:rsidRPr="00824C8A">
              <w:rPr>
                <w:b/>
                <w:bCs/>
                <w:sz w:val="18"/>
                <w:szCs w:val="18"/>
              </w:rPr>
              <w:t>until the end of the extended term of the Specific International Programme - 2034) – three additional rounds of applications</w:t>
            </w:r>
          </w:p>
        </w:tc>
      </w:tr>
      <w:tr w:rsidR="006345EB" w:rsidRPr="0091073A" w14:paraId="75AC2C7C" w14:textId="77777777" w:rsidTr="00C91705">
        <w:trPr>
          <w:trHeight w:val="605"/>
        </w:trPr>
        <w:tc>
          <w:tcPr>
            <w:tcW w:w="2693" w:type="dxa"/>
          </w:tcPr>
          <w:p w14:paraId="2205FA22" w14:textId="550FEF53" w:rsidR="006345EB" w:rsidRPr="001C31CB" w:rsidRDefault="006345EB">
            <w:pPr>
              <w:tabs>
                <w:tab w:val="left" w:pos="1247"/>
                <w:tab w:val="left" w:pos="1814"/>
                <w:tab w:val="left" w:pos="2381"/>
                <w:tab w:val="left" w:pos="2948"/>
                <w:tab w:val="left" w:pos="3515"/>
                <w:tab w:val="left" w:pos="4082"/>
              </w:tabs>
              <w:rPr>
                <w:sz w:val="18"/>
                <w:szCs w:val="18"/>
                <w:lang w:eastAsia="en-US"/>
              </w:rPr>
            </w:pPr>
            <w:r w:rsidRPr="001C31CB">
              <w:rPr>
                <w:sz w:val="18"/>
                <w:szCs w:val="18"/>
                <w:lang w:eastAsia="en-US"/>
              </w:rPr>
              <w:t xml:space="preserve">Proposed </w:t>
            </w:r>
            <w:r>
              <w:rPr>
                <w:sz w:val="18"/>
                <w:szCs w:val="18"/>
                <w:lang w:eastAsia="en-US"/>
              </w:rPr>
              <w:t xml:space="preserve">minimum </w:t>
            </w:r>
            <w:r w:rsidRPr="001C31CB">
              <w:rPr>
                <w:sz w:val="18"/>
                <w:szCs w:val="18"/>
                <w:lang w:eastAsia="en-US"/>
              </w:rPr>
              <w:t>staffing needs</w:t>
            </w:r>
            <w:r w:rsidR="003728B9">
              <w:rPr>
                <w:sz w:val="18"/>
                <w:szCs w:val="18"/>
                <w:lang w:eastAsia="en-US"/>
              </w:rPr>
              <w:t xml:space="preserve"> until the end of the initial or extended term of the Programme</w:t>
            </w:r>
          </w:p>
        </w:tc>
        <w:tc>
          <w:tcPr>
            <w:tcW w:w="5522" w:type="dxa"/>
            <w:gridSpan w:val="2"/>
          </w:tcPr>
          <w:p w14:paraId="4F6C06B5" w14:textId="77777777" w:rsidR="006345EB" w:rsidRPr="001C31CB" w:rsidRDefault="006345EB" w:rsidP="00F53750">
            <w:pPr>
              <w:pStyle w:val="ListParagraph"/>
              <w:numPr>
                <w:ilvl w:val="0"/>
                <w:numId w:val="16"/>
              </w:numPr>
              <w:tabs>
                <w:tab w:val="left" w:pos="1247"/>
                <w:tab w:val="left" w:pos="1814"/>
                <w:tab w:val="left" w:pos="2381"/>
                <w:tab w:val="left" w:pos="2948"/>
                <w:tab w:val="left" w:pos="3515"/>
                <w:tab w:val="left" w:pos="4082"/>
              </w:tabs>
              <w:rPr>
                <w:sz w:val="18"/>
                <w:szCs w:val="18"/>
                <w:lang w:eastAsia="en-US"/>
              </w:rPr>
            </w:pPr>
            <w:bookmarkStart w:id="1" w:name="_Hlk199191669"/>
            <w:r w:rsidRPr="001C31CB">
              <w:rPr>
                <w:sz w:val="18"/>
                <w:szCs w:val="18"/>
                <w:lang w:eastAsia="en-US"/>
              </w:rPr>
              <w:t>50% of the Programme Management Officer for Capacity-building and Technical Assistance staff position;</w:t>
            </w:r>
          </w:p>
          <w:p w14:paraId="4071411B" w14:textId="77777777" w:rsidR="006345EB" w:rsidRDefault="006345EB" w:rsidP="00CC7AE2">
            <w:pPr>
              <w:pStyle w:val="ListParagraph"/>
              <w:numPr>
                <w:ilvl w:val="0"/>
                <w:numId w:val="16"/>
              </w:numPr>
              <w:tabs>
                <w:tab w:val="left" w:pos="1247"/>
                <w:tab w:val="left" w:pos="1814"/>
                <w:tab w:val="left" w:pos="2381"/>
                <w:tab w:val="left" w:pos="2948"/>
                <w:tab w:val="left" w:pos="3515"/>
                <w:tab w:val="left" w:pos="4082"/>
              </w:tabs>
              <w:rPr>
                <w:sz w:val="18"/>
                <w:szCs w:val="18"/>
                <w:lang w:eastAsia="en-US"/>
              </w:rPr>
            </w:pPr>
            <w:r>
              <w:rPr>
                <w:sz w:val="18"/>
                <w:szCs w:val="18"/>
                <w:lang w:eastAsia="en-US"/>
              </w:rPr>
              <w:t>One</w:t>
            </w:r>
            <w:r w:rsidRPr="001C31CB">
              <w:rPr>
                <w:sz w:val="18"/>
                <w:szCs w:val="18"/>
                <w:lang w:eastAsia="en-US"/>
              </w:rPr>
              <w:t xml:space="preserve"> JPO or </w:t>
            </w:r>
            <w:r w:rsidR="00AD08A5">
              <w:rPr>
                <w:sz w:val="18"/>
                <w:szCs w:val="18"/>
                <w:lang w:eastAsia="en-US"/>
              </w:rPr>
              <w:t>o</w:t>
            </w:r>
            <w:r w:rsidR="00AD08A5" w:rsidRPr="00CC7AE2">
              <w:rPr>
                <w:sz w:val="18"/>
                <w:szCs w:val="18"/>
                <w:lang w:eastAsia="en-US"/>
              </w:rPr>
              <w:t xml:space="preserve">ne </w:t>
            </w:r>
            <w:r w:rsidRPr="00CC7AE2">
              <w:rPr>
                <w:sz w:val="18"/>
                <w:szCs w:val="18"/>
                <w:lang w:eastAsia="en-US"/>
              </w:rPr>
              <w:t>P-2 Associate Programme Officer</w:t>
            </w:r>
            <w:bookmarkEnd w:id="1"/>
            <w:r w:rsidRPr="00CC7AE2">
              <w:rPr>
                <w:sz w:val="18"/>
                <w:szCs w:val="18"/>
                <w:lang w:eastAsia="en-US"/>
              </w:rPr>
              <w:t>.</w:t>
            </w:r>
          </w:p>
          <w:p w14:paraId="1BB7CFD0" w14:textId="635C65C9" w:rsidR="006345EB" w:rsidRPr="00CC7AE2" w:rsidRDefault="006345EB" w:rsidP="00EF1F6D">
            <w:pPr>
              <w:pStyle w:val="ListParagraph"/>
              <w:tabs>
                <w:tab w:val="left" w:pos="1247"/>
                <w:tab w:val="left" w:pos="1814"/>
                <w:tab w:val="left" w:pos="2381"/>
                <w:tab w:val="left" w:pos="2948"/>
                <w:tab w:val="left" w:pos="3515"/>
                <w:tab w:val="left" w:pos="4082"/>
              </w:tabs>
              <w:ind w:left="360"/>
              <w:rPr>
                <w:sz w:val="18"/>
                <w:szCs w:val="18"/>
                <w:lang w:eastAsia="en-US"/>
              </w:rPr>
            </w:pPr>
          </w:p>
        </w:tc>
      </w:tr>
    </w:tbl>
    <w:p w14:paraId="63A96048" w14:textId="2852F92A" w:rsidR="00B375B8" w:rsidRPr="000F03C5" w:rsidRDefault="002670B1" w:rsidP="00403EAA">
      <w:pPr>
        <w:pStyle w:val="Normalnumber"/>
        <w:spacing w:before="120"/>
        <w:ind w:left="1247"/>
        <w:rPr>
          <w:lang w:val="en-GB"/>
        </w:rPr>
      </w:pPr>
      <w:r w:rsidRPr="000F03C5">
        <w:rPr>
          <w:lang w:val="en-GB"/>
        </w:rPr>
        <w:t xml:space="preserve">The existing staffing structure of the Specific International Programme </w:t>
      </w:r>
      <w:r w:rsidR="004B2905" w:rsidRPr="000F03C5">
        <w:rPr>
          <w:lang w:val="en-GB"/>
        </w:rPr>
        <w:t>has</w:t>
      </w:r>
      <w:r w:rsidR="00460AD2" w:rsidRPr="000F03C5">
        <w:rPr>
          <w:lang w:val="en-GB"/>
        </w:rPr>
        <w:t xml:space="preserve"> provided</w:t>
      </w:r>
      <w:r w:rsidR="004B2905" w:rsidRPr="000F03C5">
        <w:rPr>
          <w:lang w:val="en-GB"/>
        </w:rPr>
        <w:t xml:space="preserve"> </w:t>
      </w:r>
      <w:r w:rsidR="00327C62" w:rsidRPr="000F03C5">
        <w:rPr>
          <w:lang w:val="en-GB"/>
        </w:rPr>
        <w:t xml:space="preserve">for </w:t>
      </w:r>
      <w:r w:rsidRPr="000F03C5">
        <w:rPr>
          <w:lang w:val="en-GB"/>
        </w:rPr>
        <w:t xml:space="preserve">effective </w:t>
      </w:r>
      <w:r w:rsidRPr="00403EAA">
        <w:rPr>
          <w:lang w:val="en-US"/>
        </w:rPr>
        <w:t>and</w:t>
      </w:r>
      <w:r w:rsidRPr="000F03C5">
        <w:rPr>
          <w:lang w:val="en-GB"/>
        </w:rPr>
        <w:t xml:space="preserve"> efficient management </w:t>
      </w:r>
      <w:r w:rsidR="006E1886" w:rsidRPr="000F03C5">
        <w:rPr>
          <w:lang w:val="en-GB"/>
        </w:rPr>
        <w:t xml:space="preserve">across </w:t>
      </w:r>
      <w:r w:rsidR="00852FA0" w:rsidRPr="000F03C5">
        <w:rPr>
          <w:lang w:val="en-GB"/>
        </w:rPr>
        <w:t>four rounds of applications</w:t>
      </w:r>
      <w:r w:rsidR="00B375B8" w:rsidRPr="000F03C5">
        <w:rPr>
          <w:lang w:val="en-GB"/>
        </w:rPr>
        <w:t>.</w:t>
      </w:r>
      <w:r w:rsidR="006F296C" w:rsidRPr="000F03C5">
        <w:rPr>
          <w:lang w:val="en-GB"/>
        </w:rPr>
        <w:t xml:space="preserve"> </w:t>
      </w:r>
      <w:r w:rsidR="00F915F6" w:rsidRPr="000F03C5" w:rsidDel="00503885">
        <w:rPr>
          <w:lang w:val="en-GB"/>
        </w:rPr>
        <w:t>T</w:t>
      </w:r>
      <w:r w:rsidR="00F915F6" w:rsidRPr="000F03C5">
        <w:rPr>
          <w:lang w:val="en-GB"/>
        </w:rPr>
        <w:t xml:space="preserve">he current staffing level </w:t>
      </w:r>
      <w:r w:rsidR="00CC3D32" w:rsidRPr="000F03C5">
        <w:rPr>
          <w:lang w:val="en-GB"/>
        </w:rPr>
        <w:t xml:space="preserve">must </w:t>
      </w:r>
      <w:r w:rsidR="00F915F6" w:rsidRPr="000F03C5">
        <w:rPr>
          <w:lang w:val="en-GB"/>
        </w:rPr>
        <w:t xml:space="preserve">be sustained </w:t>
      </w:r>
      <w:proofErr w:type="gramStart"/>
      <w:r w:rsidR="00633371" w:rsidRPr="000F03C5">
        <w:rPr>
          <w:lang w:val="en-GB"/>
        </w:rPr>
        <w:t xml:space="preserve">in order </w:t>
      </w:r>
      <w:r w:rsidR="00F915F6" w:rsidRPr="000F03C5">
        <w:rPr>
          <w:lang w:val="en-GB"/>
        </w:rPr>
        <w:t>t</w:t>
      </w:r>
      <w:r w:rsidR="006107DB" w:rsidRPr="000F03C5">
        <w:rPr>
          <w:lang w:val="en-GB"/>
        </w:rPr>
        <w:t>o</w:t>
      </w:r>
      <w:proofErr w:type="gramEnd"/>
      <w:r w:rsidR="006107DB" w:rsidRPr="000F03C5">
        <w:rPr>
          <w:lang w:val="en-GB"/>
        </w:rPr>
        <w:t xml:space="preserve"> ensure stable support </w:t>
      </w:r>
      <w:r w:rsidR="00633371" w:rsidRPr="000F03C5">
        <w:rPr>
          <w:lang w:val="en-GB"/>
        </w:rPr>
        <w:t xml:space="preserve">to </w:t>
      </w:r>
      <w:r w:rsidR="006107DB" w:rsidRPr="000F03C5">
        <w:rPr>
          <w:lang w:val="en-GB"/>
        </w:rPr>
        <w:t>the Specific International Programme</w:t>
      </w:r>
      <w:r w:rsidR="000F03C5" w:rsidRPr="000F03C5">
        <w:rPr>
          <w:lang w:val="en-GB"/>
        </w:rPr>
        <w:t xml:space="preserve"> for additional rounds of funding.  </w:t>
      </w:r>
    </w:p>
    <w:p w14:paraId="731CDD3D" w14:textId="388D96D4" w:rsidR="00F53750" w:rsidRPr="00403EAA" w:rsidRDefault="00011FBA" w:rsidP="00403EAA">
      <w:pPr>
        <w:spacing w:after="120"/>
        <w:rPr>
          <w:b/>
          <w:bCs/>
        </w:rPr>
      </w:pPr>
      <w:r>
        <w:rPr>
          <w:b/>
          <w:bCs/>
        </w:rPr>
        <w:tab/>
        <w:t>(c)</w:t>
      </w:r>
      <w:r>
        <w:rPr>
          <w:b/>
          <w:bCs/>
        </w:rPr>
        <w:tab/>
      </w:r>
      <w:r w:rsidR="00F53750" w:rsidRPr="00403EAA">
        <w:rPr>
          <w:b/>
          <w:bCs/>
        </w:rPr>
        <w:t>Other considerations</w:t>
      </w:r>
    </w:p>
    <w:p w14:paraId="35607229" w14:textId="4D05A3B2" w:rsidR="00F53750" w:rsidRPr="00337839" w:rsidRDefault="00F53750" w:rsidP="00403EAA">
      <w:pPr>
        <w:pStyle w:val="Normalnumber"/>
        <w:ind w:left="1247"/>
        <w:rPr>
          <w:lang w:val="en-GB"/>
        </w:rPr>
      </w:pPr>
      <w:r w:rsidRPr="003622CC">
        <w:rPr>
          <w:lang w:val="en-GB"/>
        </w:rPr>
        <w:t xml:space="preserve">The </w:t>
      </w:r>
      <w:r w:rsidR="008E5E21">
        <w:rPr>
          <w:lang w:val="en-GB"/>
        </w:rPr>
        <w:t xml:space="preserve">Specific International Programme also </w:t>
      </w:r>
      <w:r w:rsidR="008E5E21" w:rsidRPr="003622CC">
        <w:rPr>
          <w:lang w:val="en-GB"/>
        </w:rPr>
        <w:t>cooperate</w:t>
      </w:r>
      <w:r w:rsidR="008E5E21">
        <w:rPr>
          <w:lang w:val="en-GB"/>
        </w:rPr>
        <w:t>s</w:t>
      </w:r>
      <w:r w:rsidR="008E5E21" w:rsidRPr="003622CC">
        <w:rPr>
          <w:lang w:val="en-GB"/>
        </w:rPr>
        <w:t xml:space="preserve"> with the Special Programme. The secretariat </w:t>
      </w:r>
      <w:r w:rsidR="008E5E21">
        <w:rPr>
          <w:lang w:val="en-GB"/>
        </w:rPr>
        <w:t xml:space="preserve">staff </w:t>
      </w:r>
      <w:r w:rsidR="008E5E21" w:rsidRPr="003622CC">
        <w:rPr>
          <w:lang w:val="en-GB"/>
        </w:rPr>
        <w:t>participate</w:t>
      </w:r>
      <w:r w:rsidR="008E5E21">
        <w:rPr>
          <w:lang w:val="en-GB"/>
        </w:rPr>
        <w:t>s</w:t>
      </w:r>
      <w:r w:rsidR="008E5E21" w:rsidRPr="003622CC">
        <w:rPr>
          <w:lang w:val="en-GB"/>
        </w:rPr>
        <w:t xml:space="preserve"> in the task team that support</w:t>
      </w:r>
      <w:r w:rsidR="008E5E21">
        <w:rPr>
          <w:lang w:val="en-GB"/>
        </w:rPr>
        <w:t>s</w:t>
      </w:r>
      <w:r w:rsidR="008E5E21" w:rsidRPr="003622CC">
        <w:rPr>
          <w:lang w:val="en-GB"/>
        </w:rPr>
        <w:t xml:space="preserve"> the review of the projects submitted during each round of applications for funding from the Special Programme; provide</w:t>
      </w:r>
      <w:r w:rsidR="008E5E21">
        <w:rPr>
          <w:lang w:val="en-GB"/>
        </w:rPr>
        <w:t>s</w:t>
      </w:r>
      <w:r w:rsidR="008E5E21" w:rsidRPr="003622CC">
        <w:rPr>
          <w:lang w:val="en-GB"/>
        </w:rPr>
        <w:t xml:space="preserve"> information and updates on the provisions of the Minamata Convention</w:t>
      </w:r>
      <w:r w:rsidR="008E5E21" w:rsidRPr="00F22997">
        <w:rPr>
          <w:lang w:val="en-GB"/>
        </w:rPr>
        <w:t>, on the Specific International Programme,</w:t>
      </w:r>
      <w:r w:rsidR="008E5E21" w:rsidRPr="003622CC">
        <w:rPr>
          <w:lang w:val="en-GB"/>
        </w:rPr>
        <w:t xml:space="preserve"> and on </w:t>
      </w:r>
      <w:r w:rsidR="008E5E21" w:rsidRPr="00F22997">
        <w:rPr>
          <w:lang w:val="en-GB"/>
        </w:rPr>
        <w:t>the secretariat’s work</w:t>
      </w:r>
      <w:r w:rsidR="008E5E21" w:rsidRPr="003622CC">
        <w:rPr>
          <w:lang w:val="en-GB"/>
        </w:rPr>
        <w:t xml:space="preserve"> during meetings of the Executive Board of the Special Programme; and </w:t>
      </w:r>
      <w:r w:rsidR="008E5E21" w:rsidRPr="00F22997">
        <w:rPr>
          <w:lang w:val="en-GB"/>
        </w:rPr>
        <w:t>provides</w:t>
      </w:r>
      <w:r w:rsidR="008E5E21" w:rsidRPr="003622CC">
        <w:rPr>
          <w:lang w:val="en-GB"/>
        </w:rPr>
        <w:t xml:space="preserve"> input into the application guidance. </w:t>
      </w:r>
      <w:r w:rsidR="008E5E21" w:rsidRPr="00F22997">
        <w:rPr>
          <w:lang w:val="en-GB"/>
        </w:rPr>
        <w:t>The secretariats of both programmes coordinate on outreach to prospective applicants, participate in respective application webinars, and provide individualized support to applicants, with a view to guiding prospective applicants towards the funding opportunities that best fit their needs</w:t>
      </w:r>
      <w:r w:rsidRPr="00F22997">
        <w:rPr>
          <w:lang w:val="en-GB"/>
        </w:rPr>
        <w:t>.</w:t>
      </w:r>
      <w:r w:rsidRPr="00042C92">
        <w:rPr>
          <w:lang w:val="en-GB"/>
        </w:rPr>
        <w:t xml:space="preserve"> </w:t>
      </w:r>
    </w:p>
    <w:p w14:paraId="50085241" w14:textId="43134FE9" w:rsidR="00F53750" w:rsidRPr="00B8563D" w:rsidRDefault="00B8563D" w:rsidP="00B8563D">
      <w:pPr>
        <w:pStyle w:val="CH1"/>
        <w:tabs>
          <w:tab w:val="clear" w:pos="1814"/>
          <w:tab w:val="clear" w:pos="2381"/>
          <w:tab w:val="clear" w:pos="2948"/>
          <w:tab w:val="clear" w:pos="3515"/>
          <w:tab w:val="clear" w:pos="4082"/>
          <w:tab w:val="left" w:pos="1871"/>
          <w:tab w:val="left" w:pos="2495"/>
          <w:tab w:val="left" w:pos="3119"/>
          <w:tab w:val="left" w:pos="3742"/>
          <w:tab w:val="left" w:pos="4366"/>
        </w:tabs>
        <w:rPr>
          <w:noProof/>
          <w:lang w:val="en-GB"/>
        </w:rPr>
      </w:pPr>
      <w:r>
        <w:rPr>
          <w:noProof/>
          <w:lang w:val="en-GB"/>
        </w:rPr>
        <w:tab/>
        <w:t>V.</w:t>
      </w:r>
      <w:r>
        <w:rPr>
          <w:noProof/>
          <w:lang w:val="en-GB"/>
        </w:rPr>
        <w:tab/>
      </w:r>
      <w:r w:rsidR="00F53750" w:rsidRPr="00B8563D">
        <w:rPr>
          <w:noProof/>
          <w:lang w:val="en-GB"/>
        </w:rPr>
        <w:t>Summary</w:t>
      </w:r>
    </w:p>
    <w:p w14:paraId="77817D48" w14:textId="167A94DF" w:rsidR="00F53750" w:rsidRDefault="00F53750" w:rsidP="00403EAA">
      <w:pPr>
        <w:pStyle w:val="Normalnumber"/>
        <w:ind w:left="1247"/>
        <w:rPr>
          <w:lang w:val="en-GB"/>
        </w:rPr>
      </w:pPr>
      <w:r w:rsidRPr="00117316">
        <w:rPr>
          <w:lang w:val="en-GB"/>
        </w:rPr>
        <w:t xml:space="preserve">The Specific International Programme has </w:t>
      </w:r>
      <w:r w:rsidR="00557C07">
        <w:rPr>
          <w:lang w:val="en-GB"/>
        </w:rPr>
        <w:t xml:space="preserve">demonstrated to </w:t>
      </w:r>
      <w:r w:rsidRPr="00117316">
        <w:rPr>
          <w:lang w:val="en-GB"/>
        </w:rPr>
        <w:t xml:space="preserve">be effective and efficient in supporting </w:t>
      </w:r>
      <w:r w:rsidR="006B1592">
        <w:rPr>
          <w:lang w:val="en-GB"/>
        </w:rPr>
        <w:t>p</w:t>
      </w:r>
      <w:r w:rsidRPr="00117316">
        <w:rPr>
          <w:lang w:val="en-GB"/>
        </w:rPr>
        <w:t>arties. The Programme has translated into 34 applications approved over four application rounds</w:t>
      </w:r>
      <w:r w:rsidR="00565C35">
        <w:rPr>
          <w:lang w:val="en-GB"/>
        </w:rPr>
        <w:t>.</w:t>
      </w:r>
      <w:r w:rsidRPr="00117316">
        <w:rPr>
          <w:lang w:val="en-GB"/>
        </w:rPr>
        <w:t xml:space="preserve"> 65 applications that could not be approved </w:t>
      </w:r>
      <w:r w:rsidR="00660FC8">
        <w:rPr>
          <w:lang w:val="en-GB"/>
        </w:rPr>
        <w:t xml:space="preserve">mostly </w:t>
      </w:r>
      <w:r w:rsidRPr="00117316">
        <w:rPr>
          <w:lang w:val="en-GB"/>
        </w:rPr>
        <w:t xml:space="preserve">due to </w:t>
      </w:r>
      <w:r w:rsidR="00CA1F79">
        <w:rPr>
          <w:lang w:val="en-GB"/>
        </w:rPr>
        <w:t xml:space="preserve">the </w:t>
      </w:r>
      <w:r w:rsidRPr="00117316">
        <w:rPr>
          <w:lang w:val="en-GB"/>
        </w:rPr>
        <w:t xml:space="preserve">limited financing envelope. </w:t>
      </w:r>
      <w:r w:rsidR="00F64C53">
        <w:rPr>
          <w:lang w:val="en-GB"/>
        </w:rPr>
        <w:t>The continued success and s</w:t>
      </w:r>
      <w:r w:rsidRPr="00117316">
        <w:rPr>
          <w:lang w:val="en-GB"/>
        </w:rPr>
        <w:t>ustainab</w:t>
      </w:r>
      <w:r w:rsidR="00F64C53">
        <w:rPr>
          <w:lang w:val="en-GB"/>
        </w:rPr>
        <w:t xml:space="preserve">ility </w:t>
      </w:r>
      <w:r w:rsidRPr="00117316">
        <w:rPr>
          <w:lang w:val="en-GB"/>
        </w:rPr>
        <w:t xml:space="preserve">of the Programme </w:t>
      </w:r>
      <w:r w:rsidR="009470D1">
        <w:rPr>
          <w:lang w:val="en-GB"/>
        </w:rPr>
        <w:t xml:space="preserve">will rely heavily on ongoing donor support and adequate staffing </w:t>
      </w:r>
      <w:r w:rsidRPr="00117316">
        <w:rPr>
          <w:lang w:val="en-GB"/>
        </w:rPr>
        <w:t xml:space="preserve">within the secretariat </w:t>
      </w:r>
      <w:r w:rsidR="004147E3">
        <w:rPr>
          <w:lang w:val="en-GB"/>
        </w:rPr>
        <w:t xml:space="preserve">to </w:t>
      </w:r>
      <w:r w:rsidRPr="00117316">
        <w:rPr>
          <w:lang w:val="en-GB"/>
        </w:rPr>
        <w:t>ensur</w:t>
      </w:r>
      <w:r w:rsidR="004147E3">
        <w:rPr>
          <w:lang w:val="en-GB"/>
        </w:rPr>
        <w:t>e</w:t>
      </w:r>
      <w:r w:rsidRPr="00117316">
        <w:rPr>
          <w:lang w:val="en-GB"/>
        </w:rPr>
        <w:t xml:space="preserve"> proper project administration, monitoring and </w:t>
      </w:r>
      <w:r w:rsidR="00121F07">
        <w:rPr>
          <w:lang w:val="en-GB"/>
        </w:rPr>
        <w:t>oversight</w:t>
      </w:r>
      <w:r w:rsidRPr="00117316">
        <w:rPr>
          <w:lang w:val="en-GB"/>
        </w:rPr>
        <w:t>.</w:t>
      </w:r>
    </w:p>
    <w:p w14:paraId="3DB02A71" w14:textId="3E59318F" w:rsidR="00F53750" w:rsidRPr="00B80B2B" w:rsidRDefault="0033373C" w:rsidP="00403EAA">
      <w:pPr>
        <w:pStyle w:val="Normalnumber"/>
        <w:ind w:left="1247"/>
        <w:rPr>
          <w:lang w:val="en-GB"/>
        </w:rPr>
      </w:pPr>
      <w:r w:rsidRPr="00B80B2B">
        <w:rPr>
          <w:lang w:val="en-GB"/>
        </w:rPr>
        <w:t xml:space="preserve">In moving forward, </w:t>
      </w:r>
      <w:r w:rsidR="000B48A5" w:rsidRPr="00B80B2B">
        <w:rPr>
          <w:lang w:val="en-GB"/>
        </w:rPr>
        <w:t>the secretariat has provided a</w:t>
      </w:r>
      <w:r w:rsidR="00A71028">
        <w:rPr>
          <w:lang w:val="en-GB"/>
        </w:rPr>
        <w:t xml:space="preserve"> draft </w:t>
      </w:r>
      <w:r w:rsidR="000B48A5" w:rsidRPr="00B80B2B">
        <w:rPr>
          <w:lang w:val="en-GB"/>
        </w:rPr>
        <w:t xml:space="preserve">analysis of expected funding and related staffing needs through the second half of the initial </w:t>
      </w:r>
      <w:r w:rsidR="008913D1">
        <w:rPr>
          <w:lang w:val="en-GB"/>
        </w:rPr>
        <w:t xml:space="preserve">term </w:t>
      </w:r>
      <w:r w:rsidR="00116BF3">
        <w:rPr>
          <w:lang w:val="en-GB"/>
        </w:rPr>
        <w:t xml:space="preserve">and </w:t>
      </w:r>
      <w:r w:rsidR="00A64160">
        <w:rPr>
          <w:lang w:val="en-GB"/>
        </w:rPr>
        <w:t xml:space="preserve">the </w:t>
      </w:r>
      <w:r w:rsidR="00E97F9F">
        <w:rPr>
          <w:lang w:val="en-GB"/>
        </w:rPr>
        <w:t xml:space="preserve">extended </w:t>
      </w:r>
      <w:r w:rsidR="00C10537">
        <w:rPr>
          <w:lang w:val="en-GB"/>
        </w:rPr>
        <w:t xml:space="preserve">term </w:t>
      </w:r>
      <w:r w:rsidR="000B48A5" w:rsidRPr="00B80B2B">
        <w:rPr>
          <w:lang w:val="en-GB"/>
        </w:rPr>
        <w:t>of the Specific International Programme through two likely scenarios summarized below</w:t>
      </w:r>
      <w:r w:rsidR="00F53750" w:rsidRPr="00B80B2B">
        <w:rPr>
          <w:lang w:val="en-GB"/>
        </w:rPr>
        <w:t>:</w:t>
      </w:r>
    </w:p>
    <w:p w14:paraId="2CB26E32" w14:textId="3707B584" w:rsidR="00323380" w:rsidRPr="004A5EDF" w:rsidRDefault="00F53750" w:rsidP="00403EAA">
      <w:pPr>
        <w:pStyle w:val="ListParagraph"/>
        <w:numPr>
          <w:ilvl w:val="1"/>
          <w:numId w:val="3"/>
        </w:numPr>
        <w:spacing w:after="120"/>
        <w:contextualSpacing w:val="0"/>
        <w:rPr>
          <w:rFonts w:eastAsia="Times New Roman"/>
          <w:lang w:eastAsia="en-US"/>
        </w:rPr>
      </w:pPr>
      <w:r>
        <w:t xml:space="preserve">Scenario 1 </w:t>
      </w:r>
      <w:r w:rsidR="001B0490" w:rsidRPr="008A572D">
        <w:t xml:space="preserve">assumes </w:t>
      </w:r>
      <w:r w:rsidR="001B0490">
        <w:t xml:space="preserve">a </w:t>
      </w:r>
      <w:r w:rsidR="001B0490" w:rsidRPr="008A572D">
        <w:t>fifth round of applications</w:t>
      </w:r>
      <w:r w:rsidR="005808DA">
        <w:t xml:space="preserve"> as the last round of the </w:t>
      </w:r>
      <w:r w:rsidR="00C87B8E">
        <w:t>p</w:t>
      </w:r>
      <w:r w:rsidR="005808DA">
        <w:t>rogramme that</w:t>
      </w:r>
      <w:r w:rsidR="001B0490" w:rsidRPr="008A572D">
        <w:t xml:space="preserve"> </w:t>
      </w:r>
      <w:r w:rsidR="001B0490">
        <w:t xml:space="preserve">would </w:t>
      </w:r>
      <w:r w:rsidR="001B0490" w:rsidRPr="008A572D">
        <w:t xml:space="preserve">be launched in 2027 </w:t>
      </w:r>
      <w:r w:rsidR="001B0490">
        <w:t xml:space="preserve">to support ten additional projects. The anticipated budget for this additional funding round is </w:t>
      </w:r>
      <w:r w:rsidR="00A62FAB">
        <w:t xml:space="preserve">up to </w:t>
      </w:r>
      <w:r w:rsidR="001B0490" w:rsidRPr="003A64E1">
        <w:t>$</w:t>
      </w:r>
      <w:r w:rsidR="00902FBF">
        <w:t>2</w:t>
      </w:r>
      <w:r w:rsidR="00A62FAB">
        <w:t>.5</w:t>
      </w:r>
      <w:r w:rsidR="001B0490">
        <w:t xml:space="preserve"> million. </w:t>
      </w:r>
    </w:p>
    <w:p w14:paraId="404985CD" w14:textId="21701CD6" w:rsidR="00323380" w:rsidRPr="00323380" w:rsidRDefault="00F53750" w:rsidP="00403EAA">
      <w:pPr>
        <w:pStyle w:val="ListParagraph"/>
        <w:numPr>
          <w:ilvl w:val="1"/>
          <w:numId w:val="3"/>
        </w:numPr>
        <w:spacing w:after="120"/>
        <w:contextualSpacing w:val="0"/>
        <w:rPr>
          <w:rFonts w:eastAsia="Times New Roman"/>
          <w:lang w:eastAsia="en-US"/>
        </w:rPr>
      </w:pPr>
      <w:r w:rsidRPr="00011FBA">
        <w:lastRenderedPageBreak/>
        <w:t>Scenario</w:t>
      </w:r>
      <w:r w:rsidRPr="008A572D">
        <w:t xml:space="preserve"> 2 </w:t>
      </w:r>
      <w:r w:rsidR="006A0E04" w:rsidRPr="008A572D">
        <w:t>considers</w:t>
      </w:r>
      <w:r w:rsidR="006A0E04">
        <w:t xml:space="preserve"> three funding </w:t>
      </w:r>
      <w:r w:rsidR="006A0E04" w:rsidRPr="008A572D">
        <w:t xml:space="preserve">rounds until the end of the </w:t>
      </w:r>
      <w:r w:rsidR="006A0E04">
        <w:t>p</w:t>
      </w:r>
      <w:r w:rsidR="006A0E04" w:rsidRPr="008A572D">
        <w:t xml:space="preserve">rogramme’s </w:t>
      </w:r>
      <w:r w:rsidR="006A0E04">
        <w:t xml:space="preserve">possible </w:t>
      </w:r>
      <w:r w:rsidR="006A0E04" w:rsidRPr="008A572D">
        <w:t xml:space="preserve">extended term </w:t>
      </w:r>
      <w:r w:rsidR="006A0E04">
        <w:t xml:space="preserve">to </w:t>
      </w:r>
      <w:r w:rsidR="006A0E04" w:rsidRPr="008A572D">
        <w:t>2034</w:t>
      </w:r>
      <w:r w:rsidR="006A0E04">
        <w:t xml:space="preserve">. This would realize additional </w:t>
      </w:r>
      <w:r w:rsidR="005A76AB">
        <w:t xml:space="preserve">35 to </w:t>
      </w:r>
      <w:r w:rsidR="006D4389">
        <w:t xml:space="preserve">40 </w:t>
      </w:r>
      <w:r w:rsidR="006A0E04">
        <w:t xml:space="preserve">projects. Extension of the programme for an additional seven years to 2034 is </w:t>
      </w:r>
      <w:r w:rsidR="006A0E04" w:rsidRPr="008A572D">
        <w:t xml:space="preserve">subject to </w:t>
      </w:r>
      <w:r w:rsidR="006A0E04">
        <w:t xml:space="preserve">a </w:t>
      </w:r>
      <w:r w:rsidR="006A0E04" w:rsidRPr="008A572D">
        <w:t xml:space="preserve">decision of </w:t>
      </w:r>
      <w:r w:rsidR="006A0E04">
        <w:t xml:space="preserve">the Conference of the Parties </w:t>
      </w:r>
      <w:r w:rsidR="001D1249">
        <w:t xml:space="preserve">that is expected to be taken </w:t>
      </w:r>
      <w:r w:rsidR="006A0E04">
        <w:t xml:space="preserve">at its seventh meeting. </w:t>
      </w:r>
      <w:r w:rsidR="006A0E04" w:rsidRPr="00C932B7">
        <w:t xml:space="preserve">The anticipated budget for </w:t>
      </w:r>
      <w:r w:rsidR="006A0E04">
        <w:t>additional three funding</w:t>
      </w:r>
      <w:r w:rsidR="006A0E04" w:rsidRPr="00C932B7">
        <w:t xml:space="preserve"> round</w:t>
      </w:r>
      <w:r w:rsidR="006A0E04">
        <w:t>s</w:t>
      </w:r>
      <w:r w:rsidR="006A0E04" w:rsidRPr="00C932B7">
        <w:t xml:space="preserve"> is </w:t>
      </w:r>
      <w:r w:rsidR="001C2C29">
        <w:t xml:space="preserve">up to </w:t>
      </w:r>
      <w:r w:rsidR="006A0E04" w:rsidRPr="003A64E1">
        <w:t>$</w:t>
      </w:r>
      <w:r w:rsidR="00F24483">
        <w:t>9</w:t>
      </w:r>
      <w:r w:rsidR="000834A1">
        <w:t>.</w:t>
      </w:r>
      <w:r w:rsidR="00F24483">
        <w:t xml:space="preserve">1 </w:t>
      </w:r>
      <w:r w:rsidR="006A0E04" w:rsidRPr="00C932B7">
        <w:t xml:space="preserve">million. </w:t>
      </w:r>
    </w:p>
    <w:p w14:paraId="5E5BC5E6" w14:textId="7EA701D6" w:rsidR="004859B1" w:rsidRDefault="00A17E4E" w:rsidP="00403EAA">
      <w:pPr>
        <w:pStyle w:val="Normalnumber"/>
        <w:ind w:left="1247"/>
        <w:rPr>
          <w:lang w:val="en-US"/>
        </w:rPr>
      </w:pPr>
      <w:r w:rsidRPr="00BA5C93">
        <w:rPr>
          <w:lang w:val="en-US"/>
        </w:rPr>
        <w:t xml:space="preserve">In both scenarios, the related workload to manage the Programme would be similar to the current </w:t>
      </w:r>
      <w:r w:rsidRPr="00403EAA">
        <w:rPr>
          <w:lang w:val="en-GB"/>
        </w:rPr>
        <w:t>allocation</w:t>
      </w:r>
      <w:r w:rsidRPr="00BA5C93">
        <w:rPr>
          <w:lang w:val="en-US"/>
        </w:rPr>
        <w:t xml:space="preserve"> of resources which includes support of a </w:t>
      </w:r>
      <w:r w:rsidR="00DF3E44">
        <w:rPr>
          <w:lang w:val="en-US"/>
        </w:rPr>
        <w:t>full</w:t>
      </w:r>
      <w:r w:rsidR="00F37F2E">
        <w:rPr>
          <w:lang w:val="en-US"/>
        </w:rPr>
        <w:t>-</w:t>
      </w:r>
      <w:r w:rsidR="00DF3E44">
        <w:rPr>
          <w:lang w:val="en-US"/>
        </w:rPr>
        <w:t xml:space="preserve">time </w:t>
      </w:r>
      <w:r w:rsidRPr="00BA5C93">
        <w:rPr>
          <w:lang w:val="en-US"/>
        </w:rPr>
        <w:t>Junior Professional Officer (JPO</w:t>
      </w:r>
      <w:proofErr w:type="gramStart"/>
      <w:r w:rsidRPr="00BA5C93">
        <w:rPr>
          <w:lang w:val="en-US"/>
        </w:rPr>
        <w:t>)</w:t>
      </w:r>
      <w:proofErr w:type="gramEnd"/>
      <w:r w:rsidRPr="00BA5C93">
        <w:rPr>
          <w:lang w:val="en-US"/>
        </w:rPr>
        <w:t xml:space="preserve"> or similar P-2 level</w:t>
      </w:r>
      <w:r w:rsidR="00C93909">
        <w:rPr>
          <w:lang w:val="en-US"/>
        </w:rPr>
        <w:t xml:space="preserve"> </w:t>
      </w:r>
      <w:proofErr w:type="spellStart"/>
      <w:r w:rsidR="00C93909">
        <w:rPr>
          <w:lang w:val="en-US"/>
        </w:rPr>
        <w:t>programme</w:t>
      </w:r>
      <w:proofErr w:type="spellEnd"/>
      <w:r w:rsidR="00C93909">
        <w:rPr>
          <w:lang w:val="en-US"/>
        </w:rPr>
        <w:t xml:space="preserve"> officer</w:t>
      </w:r>
      <w:r w:rsidRPr="00BA5C93">
        <w:rPr>
          <w:lang w:val="en-US"/>
        </w:rPr>
        <w:t xml:space="preserve">. </w:t>
      </w:r>
      <w:r w:rsidR="007575F4">
        <w:rPr>
          <w:lang w:val="en-GB"/>
        </w:rPr>
        <w:t>T</w:t>
      </w:r>
      <w:r w:rsidR="007575F4" w:rsidRPr="004A5EDF">
        <w:rPr>
          <w:lang w:val="en-GB"/>
        </w:rPr>
        <w:t xml:space="preserve">hrough the provision of </w:t>
      </w:r>
      <w:r w:rsidR="007575F4">
        <w:rPr>
          <w:lang w:val="en-GB"/>
        </w:rPr>
        <w:t xml:space="preserve">a </w:t>
      </w:r>
      <w:r w:rsidR="00C140D1">
        <w:rPr>
          <w:lang w:val="en-GB"/>
        </w:rPr>
        <w:t xml:space="preserve">dedicated </w:t>
      </w:r>
      <w:r w:rsidR="007575F4">
        <w:rPr>
          <w:lang w:val="en-GB"/>
        </w:rPr>
        <w:t xml:space="preserve">JPO </w:t>
      </w:r>
      <w:r w:rsidR="00A3597B">
        <w:rPr>
          <w:lang w:val="en-GB"/>
        </w:rPr>
        <w:t>or similar P-2 level programme officer</w:t>
      </w:r>
      <w:r w:rsidR="00C140D1">
        <w:rPr>
          <w:lang w:val="en-GB"/>
        </w:rPr>
        <w:t xml:space="preserve"> in moving forward</w:t>
      </w:r>
      <w:r w:rsidR="00B1496E">
        <w:rPr>
          <w:lang w:val="en-GB"/>
        </w:rPr>
        <w:t>,</w:t>
      </w:r>
      <w:r w:rsidR="00A3597B">
        <w:rPr>
          <w:lang w:val="en-GB"/>
        </w:rPr>
        <w:t xml:space="preserve"> the </w:t>
      </w:r>
      <w:r w:rsidR="00872D06" w:rsidRPr="00664354">
        <w:rPr>
          <w:lang w:val="en-GB"/>
        </w:rPr>
        <w:t xml:space="preserve">secretariat </w:t>
      </w:r>
      <w:r w:rsidR="002947F2">
        <w:rPr>
          <w:lang w:val="en-GB"/>
        </w:rPr>
        <w:t xml:space="preserve">would </w:t>
      </w:r>
      <w:r w:rsidR="00A3597B">
        <w:rPr>
          <w:lang w:val="en-GB"/>
        </w:rPr>
        <w:t xml:space="preserve">maintain its </w:t>
      </w:r>
      <w:r w:rsidR="00872D06" w:rsidRPr="00664354">
        <w:rPr>
          <w:lang w:val="en-GB"/>
        </w:rPr>
        <w:t xml:space="preserve">ability to provide </w:t>
      </w:r>
      <w:r w:rsidR="00872D06">
        <w:rPr>
          <w:lang w:val="en-GB"/>
        </w:rPr>
        <w:t xml:space="preserve">dedicated </w:t>
      </w:r>
      <w:r w:rsidR="00872D06" w:rsidRPr="00664354">
        <w:rPr>
          <w:lang w:val="en-GB"/>
        </w:rPr>
        <w:t xml:space="preserve">substantive and </w:t>
      </w:r>
      <w:r w:rsidR="00872D06" w:rsidRPr="004A5EDF">
        <w:rPr>
          <w:lang w:val="en-GB"/>
        </w:rPr>
        <w:t xml:space="preserve">administrative support functions to the </w:t>
      </w:r>
      <w:r w:rsidR="00B1496E">
        <w:rPr>
          <w:lang w:val="en-GB"/>
        </w:rPr>
        <w:t>P</w:t>
      </w:r>
      <w:r w:rsidR="00872D06" w:rsidRPr="004A5EDF">
        <w:rPr>
          <w:lang w:val="en-GB"/>
        </w:rPr>
        <w:t>rogramme</w:t>
      </w:r>
      <w:r w:rsidR="00FF01EC">
        <w:rPr>
          <w:lang w:val="en-GB"/>
        </w:rPr>
        <w:t>.</w:t>
      </w:r>
    </w:p>
    <w:p w14:paraId="5A4793A1" w14:textId="17A56FB5" w:rsidR="00B8563D" w:rsidRPr="00BA5C93" w:rsidRDefault="00A6263A" w:rsidP="00403EAA">
      <w:pPr>
        <w:pStyle w:val="Normalnumber"/>
        <w:ind w:left="1247"/>
        <w:rPr>
          <w:lang w:val="en-US"/>
        </w:rPr>
      </w:pPr>
      <w:r>
        <w:rPr>
          <w:lang w:val="en-US"/>
        </w:rPr>
        <w:t>T</w:t>
      </w:r>
      <w:r w:rsidR="00323380" w:rsidRPr="00BA5C93">
        <w:rPr>
          <w:noProof/>
          <w:lang w:val="en-US"/>
        </w:rPr>
        <w:t xml:space="preserve">he secretariat </w:t>
      </w:r>
      <w:r>
        <w:rPr>
          <w:noProof/>
          <w:lang w:val="en-US"/>
        </w:rPr>
        <w:t xml:space="preserve">will </w:t>
      </w:r>
      <w:r w:rsidR="00323380" w:rsidRPr="00BA5C93">
        <w:rPr>
          <w:noProof/>
          <w:lang w:val="en-US"/>
        </w:rPr>
        <w:t>work with the Governing Board</w:t>
      </w:r>
      <w:r w:rsidR="007C088D">
        <w:rPr>
          <w:noProof/>
          <w:lang w:val="en-US"/>
        </w:rPr>
        <w:t xml:space="preserve"> of the Specific International Programme</w:t>
      </w:r>
      <w:r w:rsidR="00323380" w:rsidRPr="00BA5C93">
        <w:rPr>
          <w:noProof/>
          <w:lang w:val="en-US"/>
        </w:rPr>
        <w:t xml:space="preserve"> </w:t>
      </w:r>
      <w:r w:rsidR="00A02A9D">
        <w:rPr>
          <w:noProof/>
          <w:lang w:val="en-US"/>
        </w:rPr>
        <w:t xml:space="preserve">and take into account any feedback that may be received from Parties on this document </w:t>
      </w:r>
      <w:r w:rsidR="00323380" w:rsidRPr="00BA5C93">
        <w:rPr>
          <w:noProof/>
          <w:lang w:val="en-US"/>
        </w:rPr>
        <w:t xml:space="preserve">to finalize the </w:t>
      </w:r>
      <w:r w:rsidR="00B80B2B" w:rsidRPr="00BA5C93">
        <w:rPr>
          <w:noProof/>
          <w:lang w:val="en-US"/>
        </w:rPr>
        <w:t>cu</w:t>
      </w:r>
      <w:r w:rsidR="00B80B2B">
        <w:rPr>
          <w:noProof/>
          <w:lang w:val="en-US"/>
        </w:rPr>
        <w:t xml:space="preserve">rrent draft </w:t>
      </w:r>
      <w:r w:rsidR="00323380" w:rsidRPr="00BA5C93">
        <w:rPr>
          <w:noProof/>
          <w:lang w:val="en-US"/>
        </w:rPr>
        <w:t>analysis</w:t>
      </w:r>
      <w:r w:rsidR="00E54FEB">
        <w:rPr>
          <w:noProof/>
          <w:lang w:val="en-US"/>
        </w:rPr>
        <w:t>for submission to</w:t>
      </w:r>
      <w:r w:rsidR="002209B3">
        <w:rPr>
          <w:noProof/>
          <w:lang w:val="en-US"/>
        </w:rPr>
        <w:t xml:space="preserve"> the seventh meeting of the Conference of the Parties.  </w:t>
      </w:r>
    </w:p>
    <w:p w14:paraId="10C17014" w14:textId="352D578F" w:rsidR="00053544" w:rsidRDefault="00053544" w:rsidP="00157AD5">
      <w:pPr>
        <w:pStyle w:val="Normalnumber"/>
        <w:ind w:left="1247"/>
        <w:rPr>
          <w:lang w:val="en-US"/>
        </w:rPr>
      </w:pPr>
      <w:r>
        <w:rPr>
          <w:lang w:val="en-US"/>
        </w:rPr>
        <w:t xml:space="preserve">Furthermore, a decision on the terms of reference for the third review </w:t>
      </w:r>
      <w:r w:rsidR="008C63F8">
        <w:rPr>
          <w:lang w:val="en-US"/>
        </w:rPr>
        <w:t>of the financial mechanism</w:t>
      </w:r>
      <w:r>
        <w:rPr>
          <w:lang w:val="en-US"/>
        </w:rPr>
        <w:t xml:space="preserve"> is expected</w:t>
      </w:r>
      <w:r w:rsidR="00995594">
        <w:rPr>
          <w:lang w:val="en-US"/>
        </w:rPr>
        <w:t xml:space="preserve"> to be adopted by the Conference of the Parties at its sixth </w:t>
      </w:r>
      <w:r w:rsidR="00995594" w:rsidRPr="003C1ADB">
        <w:rPr>
          <w:lang w:val="en-US"/>
        </w:rPr>
        <w:t>meeting</w:t>
      </w:r>
      <w:r w:rsidR="0050135E" w:rsidRPr="003C1ADB">
        <w:rPr>
          <w:lang w:val="en-US"/>
        </w:rPr>
        <w:t>.</w:t>
      </w:r>
      <w:r w:rsidR="003C1ADB">
        <w:rPr>
          <w:lang w:val="en-US"/>
        </w:rPr>
        <w:t xml:space="preserve"> </w:t>
      </w:r>
      <w:r w:rsidR="0050135E" w:rsidRPr="003C1ADB">
        <w:rPr>
          <w:rStyle w:val="CommentReference"/>
          <w:rFonts w:eastAsia="SimSun"/>
          <w:sz w:val="20"/>
          <w:szCs w:val="20"/>
          <w:lang w:val="en-GB" w:eastAsia="en-GB"/>
        </w:rPr>
        <w:t xml:space="preserve">The </w:t>
      </w:r>
      <w:r w:rsidR="003C1ADB">
        <w:rPr>
          <w:rStyle w:val="CommentReference"/>
          <w:rFonts w:eastAsia="SimSun"/>
          <w:sz w:val="20"/>
          <w:szCs w:val="20"/>
          <w:lang w:val="en-GB" w:eastAsia="en-GB"/>
        </w:rPr>
        <w:t xml:space="preserve">report on the third review </w:t>
      </w:r>
      <w:r w:rsidRPr="003C1ADB">
        <w:rPr>
          <w:noProof/>
          <w:lang w:val="en-US"/>
        </w:rPr>
        <w:t>will</w:t>
      </w:r>
      <w:r w:rsidRPr="003C1ADB">
        <w:rPr>
          <w:lang w:val="en-US"/>
        </w:rPr>
        <w:t xml:space="preserve"> </w:t>
      </w:r>
      <w:r w:rsidR="008B22B4">
        <w:rPr>
          <w:lang w:val="en-US"/>
        </w:rPr>
        <w:t xml:space="preserve">then </w:t>
      </w:r>
      <w:r w:rsidRPr="003C1ADB">
        <w:rPr>
          <w:lang w:val="en-US"/>
        </w:rPr>
        <w:t xml:space="preserve">be available </w:t>
      </w:r>
      <w:r w:rsidR="00BE6841">
        <w:rPr>
          <w:lang w:val="en-US"/>
        </w:rPr>
        <w:t xml:space="preserve">for consideration </w:t>
      </w:r>
      <w:r w:rsidRPr="003C1ADB">
        <w:rPr>
          <w:lang w:val="en-US"/>
        </w:rPr>
        <w:t>of the Conference</w:t>
      </w:r>
      <w:r w:rsidR="009264E2">
        <w:rPr>
          <w:lang w:val="en-US"/>
        </w:rPr>
        <w:t xml:space="preserve"> of the Parties</w:t>
      </w:r>
      <w:r w:rsidRPr="003C1ADB">
        <w:rPr>
          <w:lang w:val="en-US"/>
        </w:rPr>
        <w:t xml:space="preserve"> </w:t>
      </w:r>
      <w:r w:rsidR="00BE6841">
        <w:rPr>
          <w:lang w:val="en-US"/>
        </w:rPr>
        <w:t>at its seventh meeting</w:t>
      </w:r>
      <w:r w:rsidR="0020022B">
        <w:rPr>
          <w:lang w:val="en-US"/>
        </w:rPr>
        <w:t xml:space="preserve"> and </w:t>
      </w:r>
      <w:r w:rsidR="00B02D5B">
        <w:rPr>
          <w:lang w:val="en-US"/>
        </w:rPr>
        <w:t>will</w:t>
      </w:r>
      <w:r w:rsidR="008B22B4">
        <w:rPr>
          <w:lang w:val="en-US"/>
        </w:rPr>
        <w:t xml:space="preserve"> </w:t>
      </w:r>
      <w:r w:rsidR="007C1AEC">
        <w:rPr>
          <w:lang w:val="en-US"/>
        </w:rPr>
        <w:t xml:space="preserve">further </w:t>
      </w:r>
      <w:r w:rsidRPr="003C1ADB">
        <w:rPr>
          <w:lang w:val="en-US"/>
        </w:rPr>
        <w:t>support decision-making</w:t>
      </w:r>
      <w:r w:rsidR="008B22B4">
        <w:rPr>
          <w:lang w:val="en-US"/>
        </w:rPr>
        <w:t xml:space="preserve"> on the </w:t>
      </w:r>
      <w:r w:rsidR="0020022B">
        <w:rPr>
          <w:lang w:val="en-US"/>
        </w:rPr>
        <w:t xml:space="preserve">possible </w:t>
      </w:r>
      <w:r w:rsidR="008B22B4">
        <w:rPr>
          <w:lang w:val="en-US"/>
        </w:rPr>
        <w:t>extension of the Spe</w:t>
      </w:r>
      <w:r w:rsidR="004F4370">
        <w:rPr>
          <w:lang w:val="en-US"/>
        </w:rPr>
        <w:t>cific International Programme</w:t>
      </w:r>
      <w:r w:rsidRPr="003C1ADB">
        <w:rPr>
          <w:lang w:val="en-US"/>
        </w:rPr>
        <w:t>.</w:t>
      </w:r>
    </w:p>
    <w:p w14:paraId="79F84CB9" w14:textId="77777777" w:rsidR="003D0272" w:rsidRPr="003C1ADB" w:rsidRDefault="003D0272" w:rsidP="00403EAA">
      <w:pPr>
        <w:pStyle w:val="Normalnumber"/>
        <w:numPr>
          <w:ilvl w:val="0"/>
          <w:numId w:val="0"/>
        </w:numPr>
        <w:ind w:left="1247"/>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EF1BAB" w14:paraId="675CC394" w14:textId="77777777" w:rsidTr="00021F92">
        <w:tc>
          <w:tcPr>
            <w:tcW w:w="1897" w:type="dxa"/>
          </w:tcPr>
          <w:p w14:paraId="24E6F7E9" w14:textId="77777777" w:rsidR="00EF1BAB" w:rsidRDefault="00EF1BAB" w:rsidP="00021F92">
            <w:pPr>
              <w:pStyle w:val="Normal-pool"/>
            </w:pPr>
          </w:p>
        </w:tc>
        <w:tc>
          <w:tcPr>
            <w:tcW w:w="1897" w:type="dxa"/>
          </w:tcPr>
          <w:p w14:paraId="4BC1663B" w14:textId="77777777" w:rsidR="00EF1BAB" w:rsidRDefault="00EF1BAB" w:rsidP="00021F92">
            <w:pPr>
              <w:pStyle w:val="Normal-pool"/>
            </w:pPr>
          </w:p>
        </w:tc>
        <w:tc>
          <w:tcPr>
            <w:tcW w:w="1897" w:type="dxa"/>
            <w:tcBorders>
              <w:bottom w:val="single" w:sz="4" w:space="0" w:color="auto"/>
            </w:tcBorders>
          </w:tcPr>
          <w:p w14:paraId="557BD54D" w14:textId="77777777" w:rsidR="00EF1BAB" w:rsidRDefault="00EF1BAB" w:rsidP="00021F92">
            <w:pPr>
              <w:pStyle w:val="Normal-pool"/>
              <w:spacing w:before="480"/>
            </w:pPr>
          </w:p>
        </w:tc>
        <w:tc>
          <w:tcPr>
            <w:tcW w:w="1897" w:type="dxa"/>
          </w:tcPr>
          <w:p w14:paraId="0AB2CC15" w14:textId="77777777" w:rsidR="00EF1BAB" w:rsidRDefault="00EF1BAB" w:rsidP="00021F92">
            <w:pPr>
              <w:pStyle w:val="Normal-pool"/>
            </w:pPr>
          </w:p>
        </w:tc>
        <w:tc>
          <w:tcPr>
            <w:tcW w:w="1898" w:type="dxa"/>
          </w:tcPr>
          <w:p w14:paraId="084C04B2" w14:textId="77777777" w:rsidR="00EF1BAB" w:rsidRDefault="00EF1BAB" w:rsidP="00021F92">
            <w:pPr>
              <w:pStyle w:val="Normal-pool"/>
            </w:pPr>
          </w:p>
        </w:tc>
      </w:tr>
    </w:tbl>
    <w:p w14:paraId="2AFF55BF" w14:textId="62856C2D" w:rsidR="00B8563D" w:rsidRPr="00B8563D" w:rsidRDefault="00B8563D" w:rsidP="003D0272">
      <w:pPr>
        <w:jc w:val="center"/>
        <w:rPr>
          <w:rFonts w:eastAsia="Times New Roman"/>
          <w:lang w:eastAsia="en-US"/>
        </w:rPr>
      </w:pPr>
    </w:p>
    <w:sectPr w:rsidR="00B8563D" w:rsidRPr="00B8563D" w:rsidSect="0015442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F4DD" w14:textId="77777777" w:rsidR="007F4323" w:rsidRDefault="007F4323">
      <w:r>
        <w:separator/>
      </w:r>
    </w:p>
  </w:endnote>
  <w:endnote w:type="continuationSeparator" w:id="0">
    <w:p w14:paraId="4940FFC8" w14:textId="77777777" w:rsidR="007F4323" w:rsidRDefault="007F4323">
      <w:r>
        <w:continuationSeparator/>
      </w:r>
    </w:p>
  </w:endnote>
  <w:endnote w:type="continuationNotice" w:id="1">
    <w:p w14:paraId="190DD951" w14:textId="77777777" w:rsidR="007F4323" w:rsidRDefault="007F4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C83"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F5F"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6BAB" w14:textId="5FE722CA" w:rsidR="0015442E" w:rsidRDefault="00403EAA" w:rsidP="00403EAA">
    <w:pPr>
      <w:pStyle w:val="Normal-pool"/>
      <w:ind w:firstLine="1238"/>
    </w:pPr>
    <w:r>
      <w:t>0209</w:t>
    </w:r>
    <w:r w:rsidR="00703564">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1E1C" w14:textId="77777777" w:rsidR="007F4323" w:rsidRPr="0072353B" w:rsidRDefault="007F4323" w:rsidP="0072353B">
      <w:pPr>
        <w:tabs>
          <w:tab w:val="left" w:pos="624"/>
        </w:tabs>
        <w:spacing w:before="60"/>
        <w:ind w:left="624"/>
        <w:rPr>
          <w:sz w:val="18"/>
          <w:szCs w:val="18"/>
        </w:rPr>
      </w:pPr>
      <w:r w:rsidRPr="0072353B">
        <w:rPr>
          <w:sz w:val="18"/>
          <w:szCs w:val="18"/>
        </w:rPr>
        <w:separator/>
      </w:r>
    </w:p>
  </w:footnote>
  <w:footnote w:type="continuationSeparator" w:id="0">
    <w:p w14:paraId="038D3E66" w14:textId="77777777" w:rsidR="007F4323" w:rsidRDefault="007F4323">
      <w:r>
        <w:continuationSeparator/>
      </w:r>
    </w:p>
  </w:footnote>
  <w:footnote w:type="continuationNotice" w:id="1">
    <w:p w14:paraId="6D4B797E" w14:textId="77777777" w:rsidR="007F4323" w:rsidRDefault="007F4323"/>
  </w:footnote>
  <w:footnote w:id="2">
    <w:p w14:paraId="7A334558" w14:textId="2B542717" w:rsidR="009A5C74" w:rsidRPr="00CF79B9" w:rsidRDefault="009A5C74" w:rsidP="009A5C74">
      <w:pPr>
        <w:pStyle w:val="FootnoteText"/>
        <w:rPr>
          <w:lang w:val="en-US"/>
        </w:rPr>
      </w:pPr>
      <w:r w:rsidRPr="00CF79B9">
        <w:rPr>
          <w:rStyle w:val="FootnoteReference"/>
          <w:vertAlign w:val="baseline"/>
          <w:lang w:val="en-US"/>
        </w:rPr>
        <w:t>*</w:t>
      </w:r>
      <w:r w:rsidRPr="00CF79B9">
        <w:rPr>
          <w:lang w:val="en-US"/>
        </w:rPr>
        <w:t xml:space="preserve"> UNEP/MC/COP.6/1</w:t>
      </w:r>
      <w:r w:rsidR="001A6970">
        <w:rPr>
          <w:lang w:val="en-US"/>
        </w:rPr>
        <w:t>/Rev.1</w:t>
      </w:r>
      <w:r w:rsidRPr="00CF79B9">
        <w:rPr>
          <w:lang w:val="en-US"/>
        </w:rPr>
        <w:t>.</w:t>
      </w:r>
    </w:p>
  </w:footnote>
  <w:footnote w:id="3">
    <w:p w14:paraId="43F850B1" w14:textId="77777777" w:rsidR="00F17E73" w:rsidRPr="004C5FF6" w:rsidRDefault="00F17E73" w:rsidP="00F17E73">
      <w:pPr>
        <w:pStyle w:val="Footnote-Text"/>
        <w:tabs>
          <w:tab w:val="clear" w:pos="1247"/>
          <w:tab w:val="clear" w:pos="1871"/>
          <w:tab w:val="clear" w:pos="2495"/>
          <w:tab w:val="clear" w:pos="3119"/>
          <w:tab w:val="clear" w:pos="3742"/>
          <w:tab w:val="clear" w:pos="4366"/>
        </w:tabs>
        <w:rPr>
          <w:szCs w:val="18"/>
        </w:rPr>
      </w:pPr>
      <w:r w:rsidRPr="00AA285C">
        <w:rPr>
          <w:rStyle w:val="FootnoteReference"/>
          <w:sz w:val="18"/>
          <w:vertAlign w:val="baseline"/>
        </w:rPr>
        <w:t>**</w:t>
      </w:r>
      <w:r w:rsidRPr="004C5FF6">
        <w:rPr>
          <w:szCs w:val="18"/>
        </w:rPr>
        <w:t xml:space="preserve"> This document has not been formally edited.</w:t>
      </w:r>
    </w:p>
  </w:footnote>
  <w:footnote w:id="4">
    <w:p w14:paraId="448B6CCF" w14:textId="7690ACC9" w:rsidR="004B0850" w:rsidRPr="00D83838" w:rsidRDefault="004B0850">
      <w:pPr>
        <w:pStyle w:val="FootnoteText"/>
        <w:rPr>
          <w:szCs w:val="18"/>
          <w:lang w:val="en-US"/>
        </w:rPr>
      </w:pPr>
      <w:r w:rsidRPr="00D83838">
        <w:rPr>
          <w:rStyle w:val="FootnoteReference"/>
          <w:sz w:val="18"/>
        </w:rPr>
        <w:footnoteRef/>
      </w:r>
      <w:r w:rsidRPr="00D83838">
        <w:rPr>
          <w:szCs w:val="18"/>
          <w:lang w:val="en-US"/>
        </w:rPr>
        <w:t xml:space="preserve"> The available project funding range</w:t>
      </w:r>
      <w:r w:rsidR="00D83838" w:rsidRPr="00D83838">
        <w:rPr>
          <w:szCs w:val="18"/>
          <w:lang w:val="en-US"/>
        </w:rPr>
        <w:t xml:space="preserve"> is </w:t>
      </w:r>
      <w:r w:rsidRPr="00D83838">
        <w:rPr>
          <w:szCs w:val="18"/>
          <w:lang w:val="en-US"/>
        </w:rPr>
        <w:t xml:space="preserve">from $50,000 to $250,000, excluding the 13% </w:t>
      </w:r>
      <w:r w:rsidR="00D83838" w:rsidRPr="00D83838">
        <w:rPr>
          <w:szCs w:val="18"/>
          <w:lang w:val="en-US"/>
        </w:rPr>
        <w:t>programme support costs. F</w:t>
      </w:r>
      <w:r w:rsidRPr="00D83838">
        <w:rPr>
          <w:szCs w:val="18"/>
          <w:lang w:val="en-US"/>
        </w:rPr>
        <w:t xml:space="preserve">or the purpose of providing a comprehensive understanding of the overall project </w:t>
      </w:r>
      <w:r w:rsidR="00DB2DF8">
        <w:rPr>
          <w:szCs w:val="18"/>
          <w:lang w:val="en-US"/>
        </w:rPr>
        <w:t>cost</w:t>
      </w:r>
      <w:r w:rsidRPr="00D83838">
        <w:rPr>
          <w:szCs w:val="18"/>
          <w:lang w:val="en-US"/>
        </w:rPr>
        <w:t xml:space="preserve">, the 13% </w:t>
      </w:r>
      <w:r w:rsidR="00D83838" w:rsidRPr="00D83838">
        <w:rPr>
          <w:szCs w:val="18"/>
          <w:lang w:val="en-US"/>
        </w:rPr>
        <w:t xml:space="preserve">programme support cost </w:t>
      </w:r>
      <w:r w:rsidRPr="00D83838">
        <w:rPr>
          <w:szCs w:val="18"/>
          <w:lang w:val="en-US"/>
        </w:rPr>
        <w:t>is included in the total calculation.</w:t>
      </w:r>
    </w:p>
  </w:footnote>
  <w:footnote w:id="5">
    <w:p w14:paraId="45C81538" w14:textId="52F1E128" w:rsidR="00760EC4" w:rsidRPr="00403EAA" w:rsidRDefault="00760EC4" w:rsidP="003770E8">
      <w:pPr>
        <w:pStyle w:val="FootnoteText"/>
        <w:rPr>
          <w:szCs w:val="18"/>
          <w:lang w:val="en-US"/>
        </w:rPr>
      </w:pPr>
      <w:r w:rsidRPr="00403EAA">
        <w:rPr>
          <w:rStyle w:val="FootnoteReference"/>
          <w:sz w:val="18"/>
        </w:rPr>
        <w:footnoteRef/>
      </w:r>
      <w:r w:rsidRPr="00403EAA">
        <w:rPr>
          <w:szCs w:val="18"/>
          <w:lang w:val="en-US"/>
        </w:rPr>
        <w:t xml:space="preserve"> </w:t>
      </w:r>
      <w:r w:rsidR="00625288" w:rsidRPr="00403EAA">
        <w:rPr>
          <w:szCs w:val="18"/>
          <w:lang w:val="en-US"/>
        </w:rPr>
        <w:t>See paragraph 26 of the</w:t>
      </w:r>
      <w:r w:rsidR="00B74465" w:rsidRPr="00403EAA">
        <w:rPr>
          <w:szCs w:val="18"/>
          <w:lang w:val="en-US"/>
        </w:rPr>
        <w:t xml:space="preserve"> report of the</w:t>
      </w:r>
      <w:r w:rsidR="0003046E" w:rsidRPr="00403EAA">
        <w:rPr>
          <w:szCs w:val="18"/>
          <w:lang w:val="en-US"/>
        </w:rPr>
        <w:t xml:space="preserve"> </w:t>
      </w:r>
      <w:hyperlink r:id="rId1" w:history="1">
        <w:r w:rsidR="0003046E" w:rsidRPr="00403EAA">
          <w:rPr>
            <w:rStyle w:val="Hyperlink"/>
            <w:sz w:val="18"/>
            <w:szCs w:val="18"/>
          </w:rPr>
          <w:t>sixth meeting of the Governing Board of the Specific International Programme to support Capacity</w:t>
        </w:r>
        <w:r w:rsidR="003522BA" w:rsidRPr="00403EAA">
          <w:rPr>
            <w:rStyle w:val="Hyperlink"/>
            <w:sz w:val="18"/>
            <w:szCs w:val="18"/>
          </w:rPr>
          <w:t>-Building and Technical Assistance</w:t>
        </w:r>
      </w:hyperlink>
      <w:r w:rsidR="00B74465" w:rsidRPr="00403EAA">
        <w:rPr>
          <w:szCs w:val="18"/>
          <w:lang w:val="en-US"/>
        </w:rPr>
        <w:t xml:space="preserve"> </w:t>
      </w:r>
      <w:r w:rsidR="00C15469" w:rsidRPr="00403EAA">
        <w:rPr>
          <w:szCs w:val="18"/>
          <w:lang w:val="en-GB"/>
        </w:rPr>
        <w:t xml:space="preserve">and paragraph </w:t>
      </w:r>
      <w:r w:rsidR="00842C11" w:rsidRPr="00403EAA">
        <w:rPr>
          <w:szCs w:val="18"/>
          <w:lang w:val="en-GB"/>
        </w:rPr>
        <w:t xml:space="preserve">40 of the </w:t>
      </w:r>
      <w:hyperlink r:id="rId2" w:history="1">
        <w:r w:rsidR="003770E8" w:rsidRPr="00403EAA">
          <w:rPr>
            <w:rStyle w:val="Hyperlink"/>
            <w:sz w:val="18"/>
            <w:szCs w:val="18"/>
            <w:lang w:val="en-GB"/>
          </w:rPr>
          <w:t xml:space="preserve">report of the </w:t>
        </w:r>
        <w:r w:rsidR="00412907" w:rsidRPr="00403EAA">
          <w:rPr>
            <w:rStyle w:val="Hyperlink"/>
            <w:sz w:val="18"/>
            <w:szCs w:val="18"/>
            <w:lang w:val="en-GB"/>
          </w:rPr>
          <w:t>s</w:t>
        </w:r>
        <w:r w:rsidR="003770E8" w:rsidRPr="00403EAA">
          <w:rPr>
            <w:rStyle w:val="Hyperlink"/>
            <w:sz w:val="18"/>
            <w:szCs w:val="18"/>
            <w:lang w:val="en-GB"/>
          </w:rPr>
          <w:t xml:space="preserve">eventh </w:t>
        </w:r>
        <w:r w:rsidR="00412907" w:rsidRPr="00403EAA">
          <w:rPr>
            <w:rStyle w:val="Hyperlink"/>
            <w:sz w:val="18"/>
            <w:szCs w:val="18"/>
            <w:lang w:val="en-GB"/>
          </w:rPr>
          <w:t>m</w:t>
        </w:r>
        <w:r w:rsidR="003770E8" w:rsidRPr="00403EAA">
          <w:rPr>
            <w:rStyle w:val="Hyperlink"/>
            <w:sz w:val="18"/>
            <w:szCs w:val="18"/>
            <w:lang w:val="en-GB"/>
          </w:rPr>
          <w:t>eeting of the Governing Board of the Specific International Programme to support Capacity-Building and Technical Assistance</w:t>
        </w:r>
      </w:hyperlink>
      <w:r w:rsidR="003770E8" w:rsidRPr="00403EAA">
        <w:rPr>
          <w:szCs w:val="18"/>
          <w:lang w:val="en-GB"/>
        </w:rPr>
        <w:t>.</w:t>
      </w:r>
    </w:p>
  </w:footnote>
  <w:footnote w:id="6">
    <w:p w14:paraId="3A5C7C37" w14:textId="7FA268AF" w:rsidR="00412907" w:rsidRPr="005D124C" w:rsidRDefault="00412907">
      <w:pPr>
        <w:pStyle w:val="FootnoteText"/>
        <w:rPr>
          <w:lang w:val="en-US"/>
        </w:rPr>
      </w:pPr>
      <w:r w:rsidRPr="00403EAA">
        <w:rPr>
          <w:rStyle w:val="FootnoteReference"/>
          <w:sz w:val="18"/>
        </w:rPr>
        <w:footnoteRef/>
      </w:r>
      <w:r w:rsidRPr="00403EAA">
        <w:rPr>
          <w:szCs w:val="18"/>
          <w:lang w:val="en-US"/>
        </w:rPr>
        <w:t xml:space="preserve"> See paragraph</w:t>
      </w:r>
      <w:r w:rsidR="008A7A03" w:rsidRPr="00403EAA">
        <w:rPr>
          <w:szCs w:val="18"/>
          <w:lang w:val="en-US"/>
        </w:rPr>
        <w:t xml:space="preserve">s 40-42 of the </w:t>
      </w:r>
      <w:hyperlink r:id="rId3" w:history="1">
        <w:r w:rsidR="008A7A03" w:rsidRPr="00403EAA">
          <w:rPr>
            <w:rStyle w:val="Hyperlink"/>
            <w:sz w:val="18"/>
            <w:szCs w:val="18"/>
            <w:lang w:val="en-GB"/>
          </w:rPr>
          <w:t>report of the seventh meeting of the Governing Board of the Specific International Programme to support Capacity-Building and Technical Assistance</w:t>
        </w:r>
      </w:hyperlink>
      <w:r w:rsidR="008A7A03" w:rsidRPr="00403EAA">
        <w:rPr>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6A89" w14:textId="2C7BEE63" w:rsidR="00123699" w:rsidRPr="00D83C34" w:rsidRDefault="0D49E846" w:rsidP="00D83C34">
    <w:pPr>
      <w:pStyle w:val="Header"/>
    </w:pPr>
    <w:r w:rsidRPr="0D49E846">
      <w:rPr>
        <w:lang w:val="en-US" w:eastAsia="en-US"/>
      </w:rPr>
      <w:t>UNEP/MC/COP.6/INF/40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AFE" w14:textId="622860AB" w:rsidR="00123699" w:rsidRPr="00D83C34" w:rsidRDefault="0D49E846" w:rsidP="00D83C34">
    <w:pPr>
      <w:pStyle w:val="Header"/>
      <w:jc w:val="right"/>
    </w:pPr>
    <w:r w:rsidRPr="0D49E846">
      <w:rPr>
        <w:lang w:val="en-US" w:eastAsia="en-US"/>
      </w:rPr>
      <w:t>UNEP/MC/COP.6/INF/40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81FC" w14:textId="77777777" w:rsidR="00C059F0" w:rsidRPr="00F7542C" w:rsidRDefault="00C059F0"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804"/>
    <w:multiLevelType w:val="hybridMultilevel"/>
    <w:tmpl w:val="4600D576"/>
    <w:lvl w:ilvl="0" w:tplc="8CB8CFBC">
      <w:start w:val="1"/>
      <w:numFmt w:val="decimal"/>
      <w:lvlText w:val="%1."/>
      <w:lvlJc w:val="left"/>
      <w:pPr>
        <w:ind w:left="1020" w:hanging="360"/>
      </w:pPr>
    </w:lvl>
    <w:lvl w:ilvl="1" w:tplc="0B483D5E">
      <w:start w:val="1"/>
      <w:numFmt w:val="decimal"/>
      <w:lvlText w:val="%2."/>
      <w:lvlJc w:val="left"/>
      <w:pPr>
        <w:ind w:left="1020" w:hanging="360"/>
      </w:pPr>
    </w:lvl>
    <w:lvl w:ilvl="2" w:tplc="BC00E0B8">
      <w:start w:val="1"/>
      <w:numFmt w:val="decimal"/>
      <w:lvlText w:val="%3."/>
      <w:lvlJc w:val="left"/>
      <w:pPr>
        <w:ind w:left="1020" w:hanging="360"/>
      </w:pPr>
    </w:lvl>
    <w:lvl w:ilvl="3" w:tplc="B874E1CC">
      <w:start w:val="1"/>
      <w:numFmt w:val="decimal"/>
      <w:lvlText w:val="%4."/>
      <w:lvlJc w:val="left"/>
      <w:pPr>
        <w:ind w:left="1020" w:hanging="360"/>
      </w:pPr>
    </w:lvl>
    <w:lvl w:ilvl="4" w:tplc="D1F8D6D4">
      <w:start w:val="1"/>
      <w:numFmt w:val="decimal"/>
      <w:lvlText w:val="%5."/>
      <w:lvlJc w:val="left"/>
      <w:pPr>
        <w:ind w:left="1020" w:hanging="360"/>
      </w:pPr>
    </w:lvl>
    <w:lvl w:ilvl="5" w:tplc="2B407A9C">
      <w:start w:val="1"/>
      <w:numFmt w:val="decimal"/>
      <w:lvlText w:val="%6."/>
      <w:lvlJc w:val="left"/>
      <w:pPr>
        <w:ind w:left="1020" w:hanging="360"/>
      </w:pPr>
    </w:lvl>
    <w:lvl w:ilvl="6" w:tplc="2A2412F4">
      <w:start w:val="1"/>
      <w:numFmt w:val="decimal"/>
      <w:lvlText w:val="%7."/>
      <w:lvlJc w:val="left"/>
      <w:pPr>
        <w:ind w:left="1020" w:hanging="360"/>
      </w:pPr>
    </w:lvl>
    <w:lvl w:ilvl="7" w:tplc="5A5CE122">
      <w:start w:val="1"/>
      <w:numFmt w:val="decimal"/>
      <w:lvlText w:val="%8."/>
      <w:lvlJc w:val="left"/>
      <w:pPr>
        <w:ind w:left="1020" w:hanging="360"/>
      </w:pPr>
    </w:lvl>
    <w:lvl w:ilvl="8" w:tplc="8F22AF8C">
      <w:start w:val="1"/>
      <w:numFmt w:val="decimal"/>
      <w:lvlText w:val="%9."/>
      <w:lvlJc w:val="left"/>
      <w:pPr>
        <w:ind w:left="1020" w:hanging="360"/>
      </w:pPr>
    </w:lvl>
  </w:abstractNum>
  <w:abstractNum w:abstractNumId="1" w15:restartNumberingAfterBreak="0">
    <w:nsid w:val="05D322F9"/>
    <w:multiLevelType w:val="hybridMultilevel"/>
    <w:tmpl w:val="B052E600"/>
    <w:lvl w:ilvl="0" w:tplc="505A0E6A">
      <w:start w:val="1"/>
      <w:numFmt w:val="bullet"/>
      <w:lvlText w:val=""/>
      <w:lvlJc w:val="left"/>
      <w:pPr>
        <w:ind w:left="1020" w:hanging="360"/>
      </w:pPr>
      <w:rPr>
        <w:rFonts w:ascii="Symbol" w:hAnsi="Symbol"/>
      </w:rPr>
    </w:lvl>
    <w:lvl w:ilvl="1" w:tplc="35D69F36">
      <w:start w:val="1"/>
      <w:numFmt w:val="bullet"/>
      <w:lvlText w:val=""/>
      <w:lvlJc w:val="left"/>
      <w:pPr>
        <w:ind w:left="1020" w:hanging="360"/>
      </w:pPr>
      <w:rPr>
        <w:rFonts w:ascii="Symbol" w:hAnsi="Symbol"/>
      </w:rPr>
    </w:lvl>
    <w:lvl w:ilvl="2" w:tplc="58C03E1A">
      <w:start w:val="1"/>
      <w:numFmt w:val="bullet"/>
      <w:lvlText w:val=""/>
      <w:lvlJc w:val="left"/>
      <w:pPr>
        <w:ind w:left="1020" w:hanging="360"/>
      </w:pPr>
      <w:rPr>
        <w:rFonts w:ascii="Symbol" w:hAnsi="Symbol"/>
      </w:rPr>
    </w:lvl>
    <w:lvl w:ilvl="3" w:tplc="BF84C704">
      <w:start w:val="1"/>
      <w:numFmt w:val="bullet"/>
      <w:lvlText w:val=""/>
      <w:lvlJc w:val="left"/>
      <w:pPr>
        <w:ind w:left="1020" w:hanging="360"/>
      </w:pPr>
      <w:rPr>
        <w:rFonts w:ascii="Symbol" w:hAnsi="Symbol"/>
      </w:rPr>
    </w:lvl>
    <w:lvl w:ilvl="4" w:tplc="7C72C66E">
      <w:start w:val="1"/>
      <w:numFmt w:val="bullet"/>
      <w:lvlText w:val=""/>
      <w:lvlJc w:val="left"/>
      <w:pPr>
        <w:ind w:left="1020" w:hanging="360"/>
      </w:pPr>
      <w:rPr>
        <w:rFonts w:ascii="Symbol" w:hAnsi="Symbol"/>
      </w:rPr>
    </w:lvl>
    <w:lvl w:ilvl="5" w:tplc="EE6A0CCA">
      <w:start w:val="1"/>
      <w:numFmt w:val="bullet"/>
      <w:lvlText w:val=""/>
      <w:lvlJc w:val="left"/>
      <w:pPr>
        <w:ind w:left="1020" w:hanging="360"/>
      </w:pPr>
      <w:rPr>
        <w:rFonts w:ascii="Symbol" w:hAnsi="Symbol"/>
      </w:rPr>
    </w:lvl>
    <w:lvl w:ilvl="6" w:tplc="E266FE34">
      <w:start w:val="1"/>
      <w:numFmt w:val="bullet"/>
      <w:lvlText w:val=""/>
      <w:lvlJc w:val="left"/>
      <w:pPr>
        <w:ind w:left="1020" w:hanging="360"/>
      </w:pPr>
      <w:rPr>
        <w:rFonts w:ascii="Symbol" w:hAnsi="Symbol"/>
      </w:rPr>
    </w:lvl>
    <w:lvl w:ilvl="7" w:tplc="9D3C9EB4">
      <w:start w:val="1"/>
      <w:numFmt w:val="bullet"/>
      <w:lvlText w:val=""/>
      <w:lvlJc w:val="left"/>
      <w:pPr>
        <w:ind w:left="1020" w:hanging="360"/>
      </w:pPr>
      <w:rPr>
        <w:rFonts w:ascii="Symbol" w:hAnsi="Symbol"/>
      </w:rPr>
    </w:lvl>
    <w:lvl w:ilvl="8" w:tplc="C76650C6">
      <w:start w:val="1"/>
      <w:numFmt w:val="bullet"/>
      <w:lvlText w:val=""/>
      <w:lvlJc w:val="left"/>
      <w:pPr>
        <w:ind w:left="1020" w:hanging="360"/>
      </w:pPr>
      <w:rPr>
        <w:rFonts w:ascii="Symbol" w:hAnsi="Symbol"/>
      </w:rPr>
    </w:lvl>
  </w:abstractNum>
  <w:abstractNum w:abstractNumId="2" w15:restartNumberingAfterBreak="0">
    <w:nsid w:val="085A23E2"/>
    <w:multiLevelType w:val="hybridMultilevel"/>
    <w:tmpl w:val="A7E8183E"/>
    <w:lvl w:ilvl="0" w:tplc="0BA409B4">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3" w15:restartNumberingAfterBreak="0">
    <w:nsid w:val="0888070F"/>
    <w:multiLevelType w:val="hybridMultilevel"/>
    <w:tmpl w:val="3932819A"/>
    <w:lvl w:ilvl="0" w:tplc="DD9AF602">
      <w:start w:val="3"/>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4"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 w15:restartNumberingAfterBreak="0">
    <w:nsid w:val="150471F8"/>
    <w:multiLevelType w:val="hybridMultilevel"/>
    <w:tmpl w:val="F2E025DC"/>
    <w:lvl w:ilvl="0" w:tplc="E81AADD6">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FD62A4"/>
    <w:multiLevelType w:val="multilevel"/>
    <w:tmpl w:val="4DFAE6E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0486EB0"/>
    <w:multiLevelType w:val="hybridMultilevel"/>
    <w:tmpl w:val="E1D410C6"/>
    <w:lvl w:ilvl="0" w:tplc="F3E2E8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686F9B"/>
    <w:multiLevelType w:val="hybridMultilevel"/>
    <w:tmpl w:val="A5BE0494"/>
    <w:lvl w:ilvl="0" w:tplc="EFCAD0CA">
      <w:start w:val="1"/>
      <w:numFmt w:val="lowerRoman"/>
      <w:lvlText w:val="%1)"/>
      <w:lvlJc w:val="left"/>
      <w:pPr>
        <w:ind w:left="1955" w:hanging="360"/>
      </w:pPr>
      <w:rPr>
        <w:rFonts w:hint="default"/>
      </w:rPr>
    </w:lvl>
    <w:lvl w:ilvl="1" w:tplc="100C0019" w:tentative="1">
      <w:start w:val="1"/>
      <w:numFmt w:val="lowerLetter"/>
      <w:lvlText w:val="%2."/>
      <w:lvlJc w:val="left"/>
      <w:pPr>
        <w:ind w:left="2675" w:hanging="360"/>
      </w:pPr>
    </w:lvl>
    <w:lvl w:ilvl="2" w:tplc="100C001B" w:tentative="1">
      <w:start w:val="1"/>
      <w:numFmt w:val="lowerRoman"/>
      <w:lvlText w:val="%3."/>
      <w:lvlJc w:val="right"/>
      <w:pPr>
        <w:ind w:left="3395" w:hanging="180"/>
      </w:pPr>
    </w:lvl>
    <w:lvl w:ilvl="3" w:tplc="100C000F" w:tentative="1">
      <w:start w:val="1"/>
      <w:numFmt w:val="decimal"/>
      <w:lvlText w:val="%4."/>
      <w:lvlJc w:val="left"/>
      <w:pPr>
        <w:ind w:left="4115" w:hanging="360"/>
      </w:pPr>
    </w:lvl>
    <w:lvl w:ilvl="4" w:tplc="100C0019" w:tentative="1">
      <w:start w:val="1"/>
      <w:numFmt w:val="lowerLetter"/>
      <w:lvlText w:val="%5."/>
      <w:lvlJc w:val="left"/>
      <w:pPr>
        <w:ind w:left="4835" w:hanging="360"/>
      </w:pPr>
    </w:lvl>
    <w:lvl w:ilvl="5" w:tplc="100C001B" w:tentative="1">
      <w:start w:val="1"/>
      <w:numFmt w:val="lowerRoman"/>
      <w:lvlText w:val="%6."/>
      <w:lvlJc w:val="right"/>
      <w:pPr>
        <w:ind w:left="5555" w:hanging="180"/>
      </w:pPr>
    </w:lvl>
    <w:lvl w:ilvl="6" w:tplc="100C000F" w:tentative="1">
      <w:start w:val="1"/>
      <w:numFmt w:val="decimal"/>
      <w:lvlText w:val="%7."/>
      <w:lvlJc w:val="left"/>
      <w:pPr>
        <w:ind w:left="6275" w:hanging="360"/>
      </w:pPr>
    </w:lvl>
    <w:lvl w:ilvl="7" w:tplc="100C0019" w:tentative="1">
      <w:start w:val="1"/>
      <w:numFmt w:val="lowerLetter"/>
      <w:lvlText w:val="%8."/>
      <w:lvlJc w:val="left"/>
      <w:pPr>
        <w:ind w:left="6995" w:hanging="360"/>
      </w:pPr>
    </w:lvl>
    <w:lvl w:ilvl="8" w:tplc="100C001B" w:tentative="1">
      <w:start w:val="1"/>
      <w:numFmt w:val="lowerRoman"/>
      <w:lvlText w:val="%9."/>
      <w:lvlJc w:val="right"/>
      <w:pPr>
        <w:ind w:left="7715" w:hanging="180"/>
      </w:pPr>
    </w:lvl>
  </w:abstractNum>
  <w:abstractNum w:abstractNumId="9" w15:restartNumberingAfterBreak="0">
    <w:nsid w:val="39BC29D1"/>
    <w:multiLevelType w:val="hybridMultilevel"/>
    <w:tmpl w:val="7646BE66"/>
    <w:lvl w:ilvl="0" w:tplc="EFCAD0CA">
      <w:start w:val="1"/>
      <w:numFmt w:val="lowerRoman"/>
      <w:lvlText w:val="%1)"/>
      <w:lvlJc w:val="left"/>
      <w:pPr>
        <w:ind w:left="3214" w:hanging="1967"/>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0" w15:restartNumberingAfterBreak="0">
    <w:nsid w:val="424C19FE"/>
    <w:multiLevelType w:val="hybridMultilevel"/>
    <w:tmpl w:val="A5426FF8"/>
    <w:lvl w:ilvl="0" w:tplc="6FFEE5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1C5C0F"/>
    <w:multiLevelType w:val="hybridMultilevel"/>
    <w:tmpl w:val="CE9E108C"/>
    <w:lvl w:ilvl="0" w:tplc="1DC0CCDE">
      <w:start w:val="3"/>
      <w:numFmt w:val="lowerRoman"/>
      <w:lvlText w:val="%1)"/>
      <w:lvlJc w:val="left"/>
      <w:pPr>
        <w:ind w:left="3214" w:hanging="1967"/>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99A4C6F"/>
    <w:multiLevelType w:val="multilevel"/>
    <w:tmpl w:val="09D0DF80"/>
    <w:lvl w:ilvl="0">
      <w:start w:val="2"/>
      <w:numFmt w:val="decimal"/>
      <w:lvlText w:val="%1)"/>
      <w:lvlJc w:val="left"/>
      <w:pPr>
        <w:tabs>
          <w:tab w:val="num" w:pos="1598"/>
        </w:tabs>
        <w:ind w:left="1598" w:hanging="360"/>
      </w:pPr>
      <w:rPr>
        <w:rFonts w:hint="default"/>
      </w:rPr>
    </w:lvl>
    <w:lvl w:ilvl="1">
      <w:start w:val="1"/>
      <w:numFmt w:val="decimal"/>
      <w:lvlText w:val="%2."/>
      <w:lvlJc w:val="left"/>
      <w:pPr>
        <w:tabs>
          <w:tab w:val="num" w:pos="2318"/>
        </w:tabs>
        <w:ind w:left="2318" w:hanging="360"/>
      </w:pPr>
      <w:rPr>
        <w:rFonts w:hint="default"/>
      </w:rPr>
    </w:lvl>
    <w:lvl w:ilvl="2">
      <w:start w:val="1"/>
      <w:numFmt w:val="decimal"/>
      <w:lvlText w:val="%3."/>
      <w:lvlJc w:val="left"/>
      <w:pPr>
        <w:tabs>
          <w:tab w:val="num" w:pos="3038"/>
        </w:tabs>
        <w:ind w:left="3038" w:hanging="360"/>
      </w:pPr>
      <w:rPr>
        <w:rFonts w:hint="default"/>
      </w:rPr>
    </w:lvl>
    <w:lvl w:ilvl="3">
      <w:start w:val="1"/>
      <w:numFmt w:val="decimal"/>
      <w:lvlText w:val="%4."/>
      <w:lvlJc w:val="left"/>
      <w:pPr>
        <w:tabs>
          <w:tab w:val="num" w:pos="3758"/>
        </w:tabs>
        <w:ind w:left="3758" w:hanging="360"/>
      </w:pPr>
      <w:rPr>
        <w:rFonts w:hint="default"/>
      </w:rPr>
    </w:lvl>
    <w:lvl w:ilvl="4">
      <w:start w:val="1"/>
      <w:numFmt w:val="decimal"/>
      <w:lvlText w:val="%5."/>
      <w:lvlJc w:val="left"/>
      <w:pPr>
        <w:tabs>
          <w:tab w:val="num" w:pos="4478"/>
        </w:tabs>
        <w:ind w:left="4478" w:hanging="360"/>
      </w:pPr>
      <w:rPr>
        <w:rFonts w:hint="default"/>
      </w:rPr>
    </w:lvl>
    <w:lvl w:ilvl="5">
      <w:start w:val="1"/>
      <w:numFmt w:val="decimal"/>
      <w:lvlText w:val="%6."/>
      <w:lvlJc w:val="left"/>
      <w:pPr>
        <w:tabs>
          <w:tab w:val="num" w:pos="5198"/>
        </w:tabs>
        <w:ind w:left="5198" w:hanging="360"/>
      </w:pPr>
      <w:rPr>
        <w:rFonts w:hint="default"/>
      </w:rPr>
    </w:lvl>
    <w:lvl w:ilvl="6">
      <w:start w:val="1"/>
      <w:numFmt w:val="decimal"/>
      <w:lvlText w:val="%7."/>
      <w:lvlJc w:val="left"/>
      <w:pPr>
        <w:tabs>
          <w:tab w:val="num" w:pos="5918"/>
        </w:tabs>
        <w:ind w:left="5918" w:hanging="360"/>
      </w:pPr>
      <w:rPr>
        <w:rFonts w:hint="default"/>
      </w:rPr>
    </w:lvl>
    <w:lvl w:ilvl="7">
      <w:start w:val="1"/>
      <w:numFmt w:val="decimal"/>
      <w:lvlText w:val="%8."/>
      <w:lvlJc w:val="left"/>
      <w:pPr>
        <w:tabs>
          <w:tab w:val="num" w:pos="6638"/>
        </w:tabs>
        <w:ind w:left="6638" w:hanging="360"/>
      </w:pPr>
      <w:rPr>
        <w:rFonts w:hint="default"/>
      </w:rPr>
    </w:lvl>
    <w:lvl w:ilvl="8">
      <w:start w:val="1"/>
      <w:numFmt w:val="decimal"/>
      <w:lvlText w:val="%9."/>
      <w:lvlJc w:val="left"/>
      <w:pPr>
        <w:tabs>
          <w:tab w:val="num" w:pos="7358"/>
        </w:tabs>
        <w:ind w:left="7358" w:hanging="360"/>
      </w:pPr>
      <w:rPr>
        <w:rFonts w:hint="default"/>
      </w:rPr>
    </w:lvl>
  </w:abstractNum>
  <w:abstractNum w:abstractNumId="13" w15:restartNumberingAfterBreak="0">
    <w:nsid w:val="52A66A9D"/>
    <w:multiLevelType w:val="multilevel"/>
    <w:tmpl w:val="E32A3F4E"/>
    <w:styleLink w:val="Normallist"/>
    <w:lvl w:ilvl="0">
      <w:start w:val="1"/>
      <w:numFmt w:val="decimal"/>
      <w:pStyle w:val="Normalnumber"/>
      <w:lvlText w:val="%1."/>
      <w:lvlJc w:val="left"/>
      <w:pPr>
        <w:tabs>
          <w:tab w:val="num" w:pos="596"/>
        </w:tabs>
        <w:ind w:left="1276" w:firstLine="0"/>
      </w:p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4" w15:restartNumberingAfterBreak="0">
    <w:nsid w:val="58705E82"/>
    <w:multiLevelType w:val="multilevel"/>
    <w:tmpl w:val="F3165C76"/>
    <w:lvl w:ilvl="0">
      <w:start w:val="1"/>
      <w:numFmt w:val="decimal"/>
      <w:lvlText w:val="%1."/>
      <w:lvlJc w:val="left"/>
      <w:pPr>
        <w:ind w:left="1276" w:firstLine="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15" w15:restartNumberingAfterBreak="0">
    <w:nsid w:val="5C340CA6"/>
    <w:multiLevelType w:val="hybridMultilevel"/>
    <w:tmpl w:val="FFC4C4D0"/>
    <w:lvl w:ilvl="0" w:tplc="979EFDCC">
      <w:start w:val="3"/>
      <w:numFmt w:val="upperRoman"/>
      <w:lvlText w:val="%1."/>
      <w:lvlJc w:val="left"/>
      <w:pPr>
        <w:ind w:left="1967" w:hanging="72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6" w15:restartNumberingAfterBreak="0">
    <w:nsid w:val="64182DFE"/>
    <w:multiLevelType w:val="hybridMultilevel"/>
    <w:tmpl w:val="B5C859CE"/>
    <w:lvl w:ilvl="0" w:tplc="61EE74C2">
      <w:start w:val="1"/>
      <w:numFmt w:val="lowerRoman"/>
      <w:lvlText w:val="%1)"/>
      <w:lvlJc w:val="left"/>
      <w:pPr>
        <w:ind w:left="2315" w:hanging="720"/>
      </w:pPr>
      <w:rPr>
        <w:rFonts w:hint="default"/>
      </w:rPr>
    </w:lvl>
    <w:lvl w:ilvl="1" w:tplc="04090019" w:tentative="1">
      <w:start w:val="1"/>
      <w:numFmt w:val="lowerLetter"/>
      <w:lvlText w:val="%2."/>
      <w:lvlJc w:val="left"/>
      <w:pPr>
        <w:ind w:left="2675" w:hanging="360"/>
      </w:pPr>
    </w:lvl>
    <w:lvl w:ilvl="2" w:tplc="0409001B" w:tentative="1">
      <w:start w:val="1"/>
      <w:numFmt w:val="lowerRoman"/>
      <w:lvlText w:val="%3."/>
      <w:lvlJc w:val="right"/>
      <w:pPr>
        <w:ind w:left="3395" w:hanging="180"/>
      </w:pPr>
    </w:lvl>
    <w:lvl w:ilvl="3" w:tplc="0409000F" w:tentative="1">
      <w:start w:val="1"/>
      <w:numFmt w:val="decimal"/>
      <w:lvlText w:val="%4."/>
      <w:lvlJc w:val="left"/>
      <w:pPr>
        <w:ind w:left="4115" w:hanging="360"/>
      </w:pPr>
    </w:lvl>
    <w:lvl w:ilvl="4" w:tplc="04090019" w:tentative="1">
      <w:start w:val="1"/>
      <w:numFmt w:val="lowerLetter"/>
      <w:lvlText w:val="%5."/>
      <w:lvlJc w:val="left"/>
      <w:pPr>
        <w:ind w:left="4835" w:hanging="360"/>
      </w:pPr>
    </w:lvl>
    <w:lvl w:ilvl="5" w:tplc="0409001B" w:tentative="1">
      <w:start w:val="1"/>
      <w:numFmt w:val="lowerRoman"/>
      <w:lvlText w:val="%6."/>
      <w:lvlJc w:val="right"/>
      <w:pPr>
        <w:ind w:left="5555" w:hanging="180"/>
      </w:pPr>
    </w:lvl>
    <w:lvl w:ilvl="6" w:tplc="0409000F" w:tentative="1">
      <w:start w:val="1"/>
      <w:numFmt w:val="decimal"/>
      <w:lvlText w:val="%7."/>
      <w:lvlJc w:val="left"/>
      <w:pPr>
        <w:ind w:left="6275" w:hanging="360"/>
      </w:pPr>
    </w:lvl>
    <w:lvl w:ilvl="7" w:tplc="04090019" w:tentative="1">
      <w:start w:val="1"/>
      <w:numFmt w:val="lowerLetter"/>
      <w:lvlText w:val="%8."/>
      <w:lvlJc w:val="left"/>
      <w:pPr>
        <w:ind w:left="6995" w:hanging="360"/>
      </w:pPr>
    </w:lvl>
    <w:lvl w:ilvl="8" w:tplc="0409001B" w:tentative="1">
      <w:start w:val="1"/>
      <w:numFmt w:val="lowerRoman"/>
      <w:lvlText w:val="%9."/>
      <w:lvlJc w:val="right"/>
      <w:pPr>
        <w:ind w:left="7715" w:hanging="180"/>
      </w:pPr>
    </w:lvl>
  </w:abstractNum>
  <w:abstractNum w:abstractNumId="17" w15:restartNumberingAfterBreak="0">
    <w:nsid w:val="659C6FE1"/>
    <w:multiLevelType w:val="hybridMultilevel"/>
    <w:tmpl w:val="BE0663A0"/>
    <w:lvl w:ilvl="0" w:tplc="E81AADD6">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984FDA"/>
    <w:multiLevelType w:val="hybridMultilevel"/>
    <w:tmpl w:val="104A3496"/>
    <w:lvl w:ilvl="0" w:tplc="E3EEB8CC">
      <w:start w:val="2"/>
      <w:numFmt w:val="lowerRoman"/>
      <w:lvlText w:val="%1)"/>
      <w:lvlJc w:val="left"/>
      <w:pPr>
        <w:ind w:left="1955"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7CC84DAD"/>
    <w:multiLevelType w:val="hybridMultilevel"/>
    <w:tmpl w:val="F2CE509C"/>
    <w:lvl w:ilvl="0" w:tplc="181C5C5E">
      <w:start w:val="2"/>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0" w15:restartNumberingAfterBreak="0">
    <w:nsid w:val="7EF66B55"/>
    <w:multiLevelType w:val="hybridMultilevel"/>
    <w:tmpl w:val="E248AA12"/>
    <w:lvl w:ilvl="0" w:tplc="44F4ADEA">
      <w:start w:val="4"/>
      <w:numFmt w:val="decimal"/>
      <w:lvlText w:val="%1)"/>
      <w:lvlJc w:val="left"/>
      <w:pPr>
        <w:ind w:left="1955"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260257593">
    <w:abstractNumId w:val="14"/>
  </w:num>
  <w:num w:numId="2" w16cid:durableId="1494448980">
    <w:abstractNumId w:val="13"/>
  </w:num>
  <w:num w:numId="3" w16cid:durableId="1672561967">
    <w:abstractNumId w:val="13"/>
  </w:num>
  <w:num w:numId="4" w16cid:durableId="1838037566">
    <w:abstractNumId w:val="4"/>
  </w:num>
  <w:num w:numId="5" w16cid:durableId="2143844748">
    <w:abstractNumId w:val="12"/>
  </w:num>
  <w:num w:numId="6" w16cid:durableId="803163186">
    <w:abstractNumId w:val="6"/>
  </w:num>
  <w:num w:numId="7" w16cid:durableId="779028034">
    <w:abstractNumId w:val="8"/>
  </w:num>
  <w:num w:numId="8" w16cid:durableId="1665085782">
    <w:abstractNumId w:val="9"/>
  </w:num>
  <w:num w:numId="9" w16cid:durableId="207762336">
    <w:abstractNumId w:val="11"/>
  </w:num>
  <w:num w:numId="10" w16cid:durableId="1989431991">
    <w:abstractNumId w:val="18"/>
  </w:num>
  <w:num w:numId="11" w16cid:durableId="1168904566">
    <w:abstractNumId w:val="20"/>
  </w:num>
  <w:num w:numId="12" w16cid:durableId="211157906">
    <w:abstractNumId w:val="0"/>
  </w:num>
  <w:num w:numId="13" w16cid:durableId="1807963997">
    <w:abstractNumId w:val="17"/>
  </w:num>
  <w:num w:numId="14" w16cid:durableId="1128931923">
    <w:abstractNumId w:val="5"/>
  </w:num>
  <w:num w:numId="15" w16cid:durableId="949312809">
    <w:abstractNumId w:val="16"/>
  </w:num>
  <w:num w:numId="16" w16cid:durableId="687831292">
    <w:abstractNumId w:val="10"/>
  </w:num>
  <w:num w:numId="17" w16cid:durableId="460079684">
    <w:abstractNumId w:val="7"/>
  </w:num>
  <w:num w:numId="18" w16cid:durableId="9471959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583634">
    <w:abstractNumId w:val="13"/>
  </w:num>
  <w:num w:numId="20" w16cid:durableId="1533108427">
    <w:abstractNumId w:val="2"/>
  </w:num>
  <w:num w:numId="21" w16cid:durableId="1785270485">
    <w:abstractNumId w:val="3"/>
  </w:num>
  <w:num w:numId="22" w16cid:durableId="515995636">
    <w:abstractNumId w:val="13"/>
  </w:num>
  <w:num w:numId="23" w16cid:durableId="1049958067">
    <w:abstractNumId w:val="19"/>
  </w:num>
  <w:num w:numId="24" w16cid:durableId="619578900">
    <w:abstractNumId w:val="15"/>
  </w:num>
  <w:num w:numId="25" w16cid:durableId="1416828587">
    <w:abstractNumId w:val="13"/>
  </w:num>
  <w:num w:numId="26" w16cid:durableId="237715664">
    <w:abstractNumId w:val="1"/>
  </w:num>
  <w:num w:numId="27" w16cid:durableId="1851720618">
    <w:abstractNumId w:val="13"/>
  </w:num>
  <w:num w:numId="28" w16cid:durableId="29189577">
    <w:abstractNumId w:val="13"/>
  </w:num>
  <w:num w:numId="29" w16cid:durableId="408163749">
    <w:abstractNumId w:val="13"/>
  </w:num>
  <w:num w:numId="30" w16cid:durableId="1758821400">
    <w:abstractNumId w:val="13"/>
  </w:num>
  <w:num w:numId="31" w16cid:durableId="1000236870">
    <w:abstractNumId w:val="13"/>
  </w:num>
  <w:num w:numId="32" w16cid:durableId="181640687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8584548">
    <w:abstractNumId w:val="13"/>
  </w:num>
  <w:num w:numId="34" w16cid:durableId="6338761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9339655">
    <w:abstractNumId w:val="13"/>
  </w:num>
  <w:num w:numId="36" w16cid:durableId="53433234">
    <w:abstractNumId w:val="13"/>
  </w:num>
  <w:num w:numId="37" w16cid:durableId="247156026">
    <w:abstractNumId w:val="13"/>
  </w:num>
  <w:num w:numId="38" w16cid:durableId="1025328954">
    <w:abstractNumId w:val="13"/>
  </w:num>
  <w:num w:numId="39" w16cid:durableId="2115049554">
    <w:abstractNumId w:val="13"/>
  </w:num>
  <w:num w:numId="40" w16cid:durableId="467935176">
    <w:abstractNumId w:val="13"/>
  </w:num>
  <w:num w:numId="41" w16cid:durableId="1196386088">
    <w:abstractNumId w:val="13"/>
  </w:num>
  <w:num w:numId="42" w16cid:durableId="621573953">
    <w:abstractNumId w:val="13"/>
  </w:num>
  <w:num w:numId="43" w16cid:durableId="1550679634">
    <w:abstractNumId w:val="13"/>
  </w:num>
  <w:num w:numId="44" w16cid:durableId="868645478">
    <w:abstractNumId w:val="13"/>
  </w:num>
  <w:num w:numId="45" w16cid:durableId="722362529">
    <w:abstractNumId w:val="13"/>
  </w:num>
  <w:num w:numId="46" w16cid:durableId="4750122">
    <w:abstractNumId w:val="13"/>
  </w:num>
  <w:num w:numId="47" w16cid:durableId="2084445101">
    <w:abstractNumId w:val="13"/>
  </w:num>
  <w:num w:numId="48" w16cid:durableId="1082988422">
    <w:abstractNumId w:val="13"/>
  </w:num>
  <w:num w:numId="49" w16cid:durableId="293757226">
    <w:abstractNumId w:val="13"/>
  </w:num>
  <w:num w:numId="50" w16cid:durableId="1769110218">
    <w:abstractNumId w:val="13"/>
  </w:num>
  <w:num w:numId="51" w16cid:durableId="147983813">
    <w:abstractNumId w:val="13"/>
  </w:num>
  <w:num w:numId="52" w16cid:durableId="450976382">
    <w:abstractNumId w:val="13"/>
  </w:num>
  <w:num w:numId="53" w16cid:durableId="1859660389">
    <w:abstractNumId w:val="13"/>
  </w:num>
  <w:num w:numId="54" w16cid:durableId="284043130">
    <w:abstractNumId w:val="13"/>
  </w:num>
  <w:num w:numId="55" w16cid:durableId="1659572289">
    <w:abstractNumId w:val="13"/>
  </w:num>
  <w:num w:numId="56" w16cid:durableId="1372656524">
    <w:abstractNumId w:val="13"/>
  </w:num>
  <w:num w:numId="57" w16cid:durableId="333262045">
    <w:abstractNumId w:val="13"/>
  </w:num>
  <w:num w:numId="58" w16cid:durableId="204487180">
    <w:abstractNumId w:val="13"/>
  </w:num>
  <w:num w:numId="59" w16cid:durableId="215439043">
    <w:abstractNumId w:val="13"/>
  </w:num>
  <w:num w:numId="60" w16cid:durableId="1919242231">
    <w:abstractNumId w:val="13"/>
  </w:num>
  <w:num w:numId="61" w16cid:durableId="443035604">
    <w:abstractNumId w:val="13"/>
  </w:num>
  <w:num w:numId="62" w16cid:durableId="1058434626">
    <w:abstractNumId w:val="13"/>
  </w:num>
  <w:num w:numId="63" w16cid:durableId="56441775">
    <w:abstractNumId w:val="13"/>
  </w:num>
  <w:num w:numId="64" w16cid:durableId="1423988358">
    <w:abstractNumId w:val="13"/>
  </w:num>
  <w:num w:numId="65" w16cid:durableId="751586972">
    <w:abstractNumId w:val="13"/>
  </w:num>
  <w:num w:numId="66" w16cid:durableId="708796301">
    <w:abstractNumId w:val="13"/>
  </w:num>
  <w:num w:numId="67" w16cid:durableId="1789009912">
    <w:abstractNumId w:val="13"/>
  </w:num>
  <w:num w:numId="68" w16cid:durableId="2024041735">
    <w:abstractNumId w:val="13"/>
  </w:num>
  <w:num w:numId="69" w16cid:durableId="1587614552">
    <w:abstractNumId w:val="13"/>
  </w:num>
  <w:num w:numId="70" w16cid:durableId="593897832">
    <w:abstractNumId w:val="13"/>
  </w:num>
  <w:num w:numId="71" w16cid:durableId="31984391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011D6"/>
    <w:rsid w:val="00002057"/>
    <w:rsid w:val="0000238D"/>
    <w:rsid w:val="000029E6"/>
    <w:rsid w:val="0000488F"/>
    <w:rsid w:val="00005363"/>
    <w:rsid w:val="00006A90"/>
    <w:rsid w:val="00007E4B"/>
    <w:rsid w:val="00010DC2"/>
    <w:rsid w:val="00011FBA"/>
    <w:rsid w:val="000149E6"/>
    <w:rsid w:val="00017D8D"/>
    <w:rsid w:val="000203FB"/>
    <w:rsid w:val="00020E0D"/>
    <w:rsid w:val="000247B0"/>
    <w:rsid w:val="0002488D"/>
    <w:rsid w:val="00024DFF"/>
    <w:rsid w:val="0002519F"/>
    <w:rsid w:val="00025779"/>
    <w:rsid w:val="00026563"/>
    <w:rsid w:val="00026997"/>
    <w:rsid w:val="0002782A"/>
    <w:rsid w:val="0003046E"/>
    <w:rsid w:val="00030AB3"/>
    <w:rsid w:val="00032002"/>
    <w:rsid w:val="000338D0"/>
    <w:rsid w:val="00033E0B"/>
    <w:rsid w:val="0003516C"/>
    <w:rsid w:val="0003525A"/>
    <w:rsid w:val="0003563E"/>
    <w:rsid w:val="00035EDE"/>
    <w:rsid w:val="00037B5C"/>
    <w:rsid w:val="00037D60"/>
    <w:rsid w:val="00041089"/>
    <w:rsid w:val="00041691"/>
    <w:rsid w:val="00042374"/>
    <w:rsid w:val="0004276E"/>
    <w:rsid w:val="00043A46"/>
    <w:rsid w:val="00044340"/>
    <w:rsid w:val="0004463A"/>
    <w:rsid w:val="00047321"/>
    <w:rsid w:val="00047370"/>
    <w:rsid w:val="000509B4"/>
    <w:rsid w:val="000509D0"/>
    <w:rsid w:val="00053104"/>
    <w:rsid w:val="00053544"/>
    <w:rsid w:val="00054DD3"/>
    <w:rsid w:val="00055CB0"/>
    <w:rsid w:val="00056C1D"/>
    <w:rsid w:val="00056D37"/>
    <w:rsid w:val="00056E0D"/>
    <w:rsid w:val="00060267"/>
    <w:rsid w:val="0006035B"/>
    <w:rsid w:val="00064822"/>
    <w:rsid w:val="000648E5"/>
    <w:rsid w:val="00066813"/>
    <w:rsid w:val="00066FB1"/>
    <w:rsid w:val="00067A04"/>
    <w:rsid w:val="00070650"/>
    <w:rsid w:val="00070851"/>
    <w:rsid w:val="00071886"/>
    <w:rsid w:val="00071B8D"/>
    <w:rsid w:val="000734A4"/>
    <w:rsid w:val="00073BC2"/>
    <w:rsid w:val="00073E72"/>
    <w:rsid w:val="000742BC"/>
    <w:rsid w:val="00076D88"/>
    <w:rsid w:val="000772EE"/>
    <w:rsid w:val="00080764"/>
    <w:rsid w:val="000809F4"/>
    <w:rsid w:val="00080A1A"/>
    <w:rsid w:val="00081575"/>
    <w:rsid w:val="00082A0C"/>
    <w:rsid w:val="000834A1"/>
    <w:rsid w:val="00083504"/>
    <w:rsid w:val="00084471"/>
    <w:rsid w:val="00087778"/>
    <w:rsid w:val="000879DA"/>
    <w:rsid w:val="0009233E"/>
    <w:rsid w:val="00092BDC"/>
    <w:rsid w:val="000941E5"/>
    <w:rsid w:val="000945F8"/>
    <w:rsid w:val="00096037"/>
    <w:rsid w:val="0009640C"/>
    <w:rsid w:val="000967FE"/>
    <w:rsid w:val="00097017"/>
    <w:rsid w:val="00097824"/>
    <w:rsid w:val="000A0E82"/>
    <w:rsid w:val="000A1D79"/>
    <w:rsid w:val="000A569E"/>
    <w:rsid w:val="000A6868"/>
    <w:rsid w:val="000A6DCD"/>
    <w:rsid w:val="000B0C88"/>
    <w:rsid w:val="000B1070"/>
    <w:rsid w:val="000B18E9"/>
    <w:rsid w:val="000B1DF3"/>
    <w:rsid w:val="000B2017"/>
    <w:rsid w:val="000B22A2"/>
    <w:rsid w:val="000B289E"/>
    <w:rsid w:val="000B296E"/>
    <w:rsid w:val="000B480B"/>
    <w:rsid w:val="000B48A5"/>
    <w:rsid w:val="000B68B5"/>
    <w:rsid w:val="000B701E"/>
    <w:rsid w:val="000C0F46"/>
    <w:rsid w:val="000C141B"/>
    <w:rsid w:val="000C2A52"/>
    <w:rsid w:val="000C43F1"/>
    <w:rsid w:val="000D01A6"/>
    <w:rsid w:val="000D0392"/>
    <w:rsid w:val="000D0733"/>
    <w:rsid w:val="000D0BCB"/>
    <w:rsid w:val="000D12FC"/>
    <w:rsid w:val="000D25A7"/>
    <w:rsid w:val="000D27EB"/>
    <w:rsid w:val="000D33C0"/>
    <w:rsid w:val="000D57F1"/>
    <w:rsid w:val="000D6941"/>
    <w:rsid w:val="000D6A30"/>
    <w:rsid w:val="000D70D7"/>
    <w:rsid w:val="000E218F"/>
    <w:rsid w:val="000E25F4"/>
    <w:rsid w:val="000E2F42"/>
    <w:rsid w:val="000E3219"/>
    <w:rsid w:val="000E408B"/>
    <w:rsid w:val="000E46FD"/>
    <w:rsid w:val="000E5BCF"/>
    <w:rsid w:val="000E6713"/>
    <w:rsid w:val="000E6792"/>
    <w:rsid w:val="000E6AEC"/>
    <w:rsid w:val="000E6D68"/>
    <w:rsid w:val="000E751E"/>
    <w:rsid w:val="000F005B"/>
    <w:rsid w:val="000F03C5"/>
    <w:rsid w:val="000F0BEA"/>
    <w:rsid w:val="000F156D"/>
    <w:rsid w:val="000F2C49"/>
    <w:rsid w:val="000F2EF8"/>
    <w:rsid w:val="000F2FDA"/>
    <w:rsid w:val="000F386A"/>
    <w:rsid w:val="000F506A"/>
    <w:rsid w:val="0010049A"/>
    <w:rsid w:val="0010139F"/>
    <w:rsid w:val="001019D3"/>
    <w:rsid w:val="00103655"/>
    <w:rsid w:val="001058EE"/>
    <w:rsid w:val="00105975"/>
    <w:rsid w:val="00105D60"/>
    <w:rsid w:val="00107E0A"/>
    <w:rsid w:val="001101F7"/>
    <w:rsid w:val="00110A34"/>
    <w:rsid w:val="00110A6B"/>
    <w:rsid w:val="00111229"/>
    <w:rsid w:val="00111DF9"/>
    <w:rsid w:val="00112CC2"/>
    <w:rsid w:val="00112DFB"/>
    <w:rsid w:val="001141A0"/>
    <w:rsid w:val="001148BB"/>
    <w:rsid w:val="00116BF3"/>
    <w:rsid w:val="00116CA2"/>
    <w:rsid w:val="00117316"/>
    <w:rsid w:val="00117C73"/>
    <w:rsid w:val="00117CD6"/>
    <w:rsid w:val="00117EA5"/>
    <w:rsid w:val="001202E3"/>
    <w:rsid w:val="001211AF"/>
    <w:rsid w:val="00121BC9"/>
    <w:rsid w:val="00121F07"/>
    <w:rsid w:val="0012205D"/>
    <w:rsid w:val="001226CB"/>
    <w:rsid w:val="00123699"/>
    <w:rsid w:val="00123C42"/>
    <w:rsid w:val="00124CC6"/>
    <w:rsid w:val="00124D09"/>
    <w:rsid w:val="0012644F"/>
    <w:rsid w:val="00126664"/>
    <w:rsid w:val="00127BAB"/>
    <w:rsid w:val="0013035F"/>
    <w:rsid w:val="0013059D"/>
    <w:rsid w:val="0013109A"/>
    <w:rsid w:val="00131212"/>
    <w:rsid w:val="001312CC"/>
    <w:rsid w:val="00132039"/>
    <w:rsid w:val="0013258A"/>
    <w:rsid w:val="001343AA"/>
    <w:rsid w:val="0013586F"/>
    <w:rsid w:val="00135A7D"/>
    <w:rsid w:val="00135C2C"/>
    <w:rsid w:val="00140B85"/>
    <w:rsid w:val="001415AB"/>
    <w:rsid w:val="00141A55"/>
    <w:rsid w:val="00142825"/>
    <w:rsid w:val="00142871"/>
    <w:rsid w:val="00142C75"/>
    <w:rsid w:val="00143065"/>
    <w:rsid w:val="00143768"/>
    <w:rsid w:val="00144085"/>
    <w:rsid w:val="001446A3"/>
    <w:rsid w:val="00144BCB"/>
    <w:rsid w:val="00145960"/>
    <w:rsid w:val="00147A4C"/>
    <w:rsid w:val="00152DF1"/>
    <w:rsid w:val="001537FC"/>
    <w:rsid w:val="00153CEB"/>
    <w:rsid w:val="0015442E"/>
    <w:rsid w:val="0015498B"/>
    <w:rsid w:val="00155395"/>
    <w:rsid w:val="001554AE"/>
    <w:rsid w:val="00155894"/>
    <w:rsid w:val="00157AD5"/>
    <w:rsid w:val="001600F3"/>
    <w:rsid w:val="00160410"/>
    <w:rsid w:val="00160BF6"/>
    <w:rsid w:val="00160D74"/>
    <w:rsid w:val="00162037"/>
    <w:rsid w:val="00163660"/>
    <w:rsid w:val="001652E4"/>
    <w:rsid w:val="001661FA"/>
    <w:rsid w:val="00167D02"/>
    <w:rsid w:val="00171817"/>
    <w:rsid w:val="00172304"/>
    <w:rsid w:val="00173010"/>
    <w:rsid w:val="00174149"/>
    <w:rsid w:val="0017552B"/>
    <w:rsid w:val="00175C70"/>
    <w:rsid w:val="001762D9"/>
    <w:rsid w:val="001819F2"/>
    <w:rsid w:val="00181B74"/>
    <w:rsid w:val="00181EC8"/>
    <w:rsid w:val="001820F9"/>
    <w:rsid w:val="001832F3"/>
    <w:rsid w:val="00183E6D"/>
    <w:rsid w:val="00184349"/>
    <w:rsid w:val="00184A0E"/>
    <w:rsid w:val="00185546"/>
    <w:rsid w:val="0018554E"/>
    <w:rsid w:val="00190A29"/>
    <w:rsid w:val="00191191"/>
    <w:rsid w:val="001911C8"/>
    <w:rsid w:val="001927C6"/>
    <w:rsid w:val="001931CE"/>
    <w:rsid w:val="00193212"/>
    <w:rsid w:val="00193AE3"/>
    <w:rsid w:val="00193DC9"/>
    <w:rsid w:val="00195E9F"/>
    <w:rsid w:val="00195F33"/>
    <w:rsid w:val="001962C6"/>
    <w:rsid w:val="00196D37"/>
    <w:rsid w:val="00196F91"/>
    <w:rsid w:val="00197274"/>
    <w:rsid w:val="001974E9"/>
    <w:rsid w:val="001A0E38"/>
    <w:rsid w:val="001A1110"/>
    <w:rsid w:val="001A1CBF"/>
    <w:rsid w:val="001A33FD"/>
    <w:rsid w:val="001A382F"/>
    <w:rsid w:val="001A6970"/>
    <w:rsid w:val="001B043E"/>
    <w:rsid w:val="001B0490"/>
    <w:rsid w:val="001B1617"/>
    <w:rsid w:val="001B1EC8"/>
    <w:rsid w:val="001B27DA"/>
    <w:rsid w:val="001B2F67"/>
    <w:rsid w:val="001B504B"/>
    <w:rsid w:val="001B609D"/>
    <w:rsid w:val="001B7D42"/>
    <w:rsid w:val="001C262C"/>
    <w:rsid w:val="001C2C29"/>
    <w:rsid w:val="001C31CB"/>
    <w:rsid w:val="001C348B"/>
    <w:rsid w:val="001C3C75"/>
    <w:rsid w:val="001C5E09"/>
    <w:rsid w:val="001C74B0"/>
    <w:rsid w:val="001D0470"/>
    <w:rsid w:val="001D0ECB"/>
    <w:rsid w:val="001D1249"/>
    <w:rsid w:val="001D182B"/>
    <w:rsid w:val="001D3874"/>
    <w:rsid w:val="001D3C4E"/>
    <w:rsid w:val="001D47C3"/>
    <w:rsid w:val="001D561E"/>
    <w:rsid w:val="001D6C43"/>
    <w:rsid w:val="001D784B"/>
    <w:rsid w:val="001D7E75"/>
    <w:rsid w:val="001E0389"/>
    <w:rsid w:val="001E041D"/>
    <w:rsid w:val="001E1670"/>
    <w:rsid w:val="001E1BB5"/>
    <w:rsid w:val="001E4909"/>
    <w:rsid w:val="001E53F6"/>
    <w:rsid w:val="001E56D2"/>
    <w:rsid w:val="001E63D7"/>
    <w:rsid w:val="001E767A"/>
    <w:rsid w:val="001E7D56"/>
    <w:rsid w:val="001F02C5"/>
    <w:rsid w:val="001F0D62"/>
    <w:rsid w:val="001F10B7"/>
    <w:rsid w:val="001F12A7"/>
    <w:rsid w:val="001F30B6"/>
    <w:rsid w:val="001F339E"/>
    <w:rsid w:val="001F3938"/>
    <w:rsid w:val="001F3CC2"/>
    <w:rsid w:val="001F58C1"/>
    <w:rsid w:val="001F5D80"/>
    <w:rsid w:val="001F674E"/>
    <w:rsid w:val="001F6D5D"/>
    <w:rsid w:val="001F75DE"/>
    <w:rsid w:val="0020008B"/>
    <w:rsid w:val="0020022B"/>
    <w:rsid w:val="00200C61"/>
    <w:rsid w:val="00200D58"/>
    <w:rsid w:val="00200D72"/>
    <w:rsid w:val="002013BE"/>
    <w:rsid w:val="002031FD"/>
    <w:rsid w:val="00203951"/>
    <w:rsid w:val="00203B38"/>
    <w:rsid w:val="00203E54"/>
    <w:rsid w:val="00203F92"/>
    <w:rsid w:val="0020414F"/>
    <w:rsid w:val="00204364"/>
    <w:rsid w:val="00204724"/>
    <w:rsid w:val="00204DE4"/>
    <w:rsid w:val="00204FFE"/>
    <w:rsid w:val="002058B1"/>
    <w:rsid w:val="002063A4"/>
    <w:rsid w:val="00207426"/>
    <w:rsid w:val="002103B6"/>
    <w:rsid w:val="0021145B"/>
    <w:rsid w:val="00211845"/>
    <w:rsid w:val="002161AE"/>
    <w:rsid w:val="002206E5"/>
    <w:rsid w:val="0022080B"/>
    <w:rsid w:val="002209B3"/>
    <w:rsid w:val="00223790"/>
    <w:rsid w:val="00223FBA"/>
    <w:rsid w:val="00224570"/>
    <w:rsid w:val="00224BB6"/>
    <w:rsid w:val="00226908"/>
    <w:rsid w:val="002278BD"/>
    <w:rsid w:val="0022791C"/>
    <w:rsid w:val="0023099F"/>
    <w:rsid w:val="00232C08"/>
    <w:rsid w:val="00232F5A"/>
    <w:rsid w:val="00234435"/>
    <w:rsid w:val="00234B59"/>
    <w:rsid w:val="00234DC7"/>
    <w:rsid w:val="00236EBA"/>
    <w:rsid w:val="00237C9B"/>
    <w:rsid w:val="00237CBE"/>
    <w:rsid w:val="002410C3"/>
    <w:rsid w:val="0024165A"/>
    <w:rsid w:val="002429C3"/>
    <w:rsid w:val="00242A19"/>
    <w:rsid w:val="00243D36"/>
    <w:rsid w:val="00247707"/>
    <w:rsid w:val="00250B6D"/>
    <w:rsid w:val="0025176B"/>
    <w:rsid w:val="00251B7C"/>
    <w:rsid w:val="00251BE6"/>
    <w:rsid w:val="0025252B"/>
    <w:rsid w:val="0025369F"/>
    <w:rsid w:val="00254A08"/>
    <w:rsid w:val="00255170"/>
    <w:rsid w:val="00255654"/>
    <w:rsid w:val="00255B6E"/>
    <w:rsid w:val="00256F98"/>
    <w:rsid w:val="00257026"/>
    <w:rsid w:val="00257145"/>
    <w:rsid w:val="0026018E"/>
    <w:rsid w:val="00260799"/>
    <w:rsid w:val="00261248"/>
    <w:rsid w:val="0026127F"/>
    <w:rsid w:val="00261596"/>
    <w:rsid w:val="002634FE"/>
    <w:rsid w:val="002657F0"/>
    <w:rsid w:val="00265F2C"/>
    <w:rsid w:val="002664C8"/>
    <w:rsid w:val="002670B1"/>
    <w:rsid w:val="00271713"/>
    <w:rsid w:val="002729F4"/>
    <w:rsid w:val="00275D69"/>
    <w:rsid w:val="00275DA1"/>
    <w:rsid w:val="002768BA"/>
    <w:rsid w:val="0027728D"/>
    <w:rsid w:val="00280B12"/>
    <w:rsid w:val="00282140"/>
    <w:rsid w:val="002833B9"/>
    <w:rsid w:val="0028360E"/>
    <w:rsid w:val="0028401A"/>
    <w:rsid w:val="00286740"/>
    <w:rsid w:val="0029243D"/>
    <w:rsid w:val="002929D8"/>
    <w:rsid w:val="00292C45"/>
    <w:rsid w:val="00292FCD"/>
    <w:rsid w:val="00294022"/>
    <w:rsid w:val="0029476F"/>
    <w:rsid w:val="002947F2"/>
    <w:rsid w:val="0029480A"/>
    <w:rsid w:val="00294A80"/>
    <w:rsid w:val="002956C1"/>
    <w:rsid w:val="0029570A"/>
    <w:rsid w:val="00295788"/>
    <w:rsid w:val="0029605C"/>
    <w:rsid w:val="00296CF0"/>
    <w:rsid w:val="00297197"/>
    <w:rsid w:val="002A05EE"/>
    <w:rsid w:val="002A0B18"/>
    <w:rsid w:val="002A1454"/>
    <w:rsid w:val="002A16D2"/>
    <w:rsid w:val="002A1C1C"/>
    <w:rsid w:val="002A237D"/>
    <w:rsid w:val="002A2E5D"/>
    <w:rsid w:val="002A3FCC"/>
    <w:rsid w:val="002A4C53"/>
    <w:rsid w:val="002A596C"/>
    <w:rsid w:val="002A5AA1"/>
    <w:rsid w:val="002A62F1"/>
    <w:rsid w:val="002A7449"/>
    <w:rsid w:val="002B0672"/>
    <w:rsid w:val="002B09FD"/>
    <w:rsid w:val="002B247F"/>
    <w:rsid w:val="002B3D7B"/>
    <w:rsid w:val="002B74D0"/>
    <w:rsid w:val="002C04CA"/>
    <w:rsid w:val="002C0999"/>
    <w:rsid w:val="002C145D"/>
    <w:rsid w:val="002C189F"/>
    <w:rsid w:val="002C2C3E"/>
    <w:rsid w:val="002C3B20"/>
    <w:rsid w:val="002C533E"/>
    <w:rsid w:val="002C6696"/>
    <w:rsid w:val="002C66FB"/>
    <w:rsid w:val="002C6F47"/>
    <w:rsid w:val="002C777A"/>
    <w:rsid w:val="002D027F"/>
    <w:rsid w:val="002D050A"/>
    <w:rsid w:val="002D08A8"/>
    <w:rsid w:val="002D10E4"/>
    <w:rsid w:val="002D2B1C"/>
    <w:rsid w:val="002D4966"/>
    <w:rsid w:val="002D60EC"/>
    <w:rsid w:val="002D643C"/>
    <w:rsid w:val="002D69DE"/>
    <w:rsid w:val="002D6BBB"/>
    <w:rsid w:val="002D7A85"/>
    <w:rsid w:val="002D7B60"/>
    <w:rsid w:val="002E1DA8"/>
    <w:rsid w:val="002E2E4E"/>
    <w:rsid w:val="002E36F2"/>
    <w:rsid w:val="002E411F"/>
    <w:rsid w:val="002E54FA"/>
    <w:rsid w:val="002E61E8"/>
    <w:rsid w:val="002F0262"/>
    <w:rsid w:val="002F033F"/>
    <w:rsid w:val="002F17CE"/>
    <w:rsid w:val="002F24D8"/>
    <w:rsid w:val="002F2DF5"/>
    <w:rsid w:val="002F3E3F"/>
    <w:rsid w:val="002F40BC"/>
    <w:rsid w:val="002F451C"/>
    <w:rsid w:val="002F4761"/>
    <w:rsid w:val="002F516E"/>
    <w:rsid w:val="002F5416"/>
    <w:rsid w:val="002F5C79"/>
    <w:rsid w:val="00301745"/>
    <w:rsid w:val="003019E2"/>
    <w:rsid w:val="003034F1"/>
    <w:rsid w:val="00303C9E"/>
    <w:rsid w:val="00304A0A"/>
    <w:rsid w:val="00306AB6"/>
    <w:rsid w:val="00311618"/>
    <w:rsid w:val="00311745"/>
    <w:rsid w:val="003118FD"/>
    <w:rsid w:val="003140A7"/>
    <w:rsid w:val="0031413F"/>
    <w:rsid w:val="003147FE"/>
    <w:rsid w:val="003148BB"/>
    <w:rsid w:val="00315EBE"/>
    <w:rsid w:val="00316400"/>
    <w:rsid w:val="0031651F"/>
    <w:rsid w:val="00316DAE"/>
    <w:rsid w:val="0031723D"/>
    <w:rsid w:val="00317976"/>
    <w:rsid w:val="00317FE0"/>
    <w:rsid w:val="0032232A"/>
    <w:rsid w:val="00322F9B"/>
    <w:rsid w:val="00323380"/>
    <w:rsid w:val="00324B1A"/>
    <w:rsid w:val="00324FF4"/>
    <w:rsid w:val="0032593F"/>
    <w:rsid w:val="00325A36"/>
    <w:rsid w:val="00325C3D"/>
    <w:rsid w:val="0032654C"/>
    <w:rsid w:val="00327353"/>
    <w:rsid w:val="00327C62"/>
    <w:rsid w:val="00330A64"/>
    <w:rsid w:val="00330C88"/>
    <w:rsid w:val="00331194"/>
    <w:rsid w:val="003316A9"/>
    <w:rsid w:val="0033373C"/>
    <w:rsid w:val="003345BA"/>
    <w:rsid w:val="00336D3A"/>
    <w:rsid w:val="00337556"/>
    <w:rsid w:val="00337A28"/>
    <w:rsid w:val="00340876"/>
    <w:rsid w:val="003422CB"/>
    <w:rsid w:val="003465EE"/>
    <w:rsid w:val="00346900"/>
    <w:rsid w:val="003475A2"/>
    <w:rsid w:val="00347C37"/>
    <w:rsid w:val="00350572"/>
    <w:rsid w:val="003522BA"/>
    <w:rsid w:val="003526A1"/>
    <w:rsid w:val="00352953"/>
    <w:rsid w:val="00353BFB"/>
    <w:rsid w:val="00355EA9"/>
    <w:rsid w:val="00356A1F"/>
    <w:rsid w:val="00357628"/>
    <w:rsid w:val="003578DE"/>
    <w:rsid w:val="003601A2"/>
    <w:rsid w:val="003606BD"/>
    <w:rsid w:val="00362047"/>
    <w:rsid w:val="00362877"/>
    <w:rsid w:val="00363DFA"/>
    <w:rsid w:val="003650A8"/>
    <w:rsid w:val="0036669D"/>
    <w:rsid w:val="00367050"/>
    <w:rsid w:val="0036758C"/>
    <w:rsid w:val="00370A71"/>
    <w:rsid w:val="0037118D"/>
    <w:rsid w:val="00372781"/>
    <w:rsid w:val="003728B9"/>
    <w:rsid w:val="00373413"/>
    <w:rsid w:val="003740CF"/>
    <w:rsid w:val="00374C22"/>
    <w:rsid w:val="003770E8"/>
    <w:rsid w:val="00377EB5"/>
    <w:rsid w:val="003802CD"/>
    <w:rsid w:val="00380307"/>
    <w:rsid w:val="00380601"/>
    <w:rsid w:val="0038081E"/>
    <w:rsid w:val="00380BBF"/>
    <w:rsid w:val="003835C3"/>
    <w:rsid w:val="00383958"/>
    <w:rsid w:val="00383D87"/>
    <w:rsid w:val="00383FE7"/>
    <w:rsid w:val="00386012"/>
    <w:rsid w:val="003865EC"/>
    <w:rsid w:val="00386AB0"/>
    <w:rsid w:val="00390328"/>
    <w:rsid w:val="0039169B"/>
    <w:rsid w:val="00392F9C"/>
    <w:rsid w:val="003948D1"/>
    <w:rsid w:val="003952A2"/>
    <w:rsid w:val="003958D5"/>
    <w:rsid w:val="00396257"/>
    <w:rsid w:val="003963DF"/>
    <w:rsid w:val="00397EB8"/>
    <w:rsid w:val="003A0DA5"/>
    <w:rsid w:val="003A15E0"/>
    <w:rsid w:val="003A1641"/>
    <w:rsid w:val="003A1A48"/>
    <w:rsid w:val="003A1C5B"/>
    <w:rsid w:val="003A2AA2"/>
    <w:rsid w:val="003A2F00"/>
    <w:rsid w:val="003A4005"/>
    <w:rsid w:val="003A4FD0"/>
    <w:rsid w:val="003A64E1"/>
    <w:rsid w:val="003A69D1"/>
    <w:rsid w:val="003A6D71"/>
    <w:rsid w:val="003A7705"/>
    <w:rsid w:val="003A77F1"/>
    <w:rsid w:val="003A77FC"/>
    <w:rsid w:val="003A781D"/>
    <w:rsid w:val="003A7A03"/>
    <w:rsid w:val="003A7E39"/>
    <w:rsid w:val="003B1545"/>
    <w:rsid w:val="003B190D"/>
    <w:rsid w:val="003B2BA6"/>
    <w:rsid w:val="003B3586"/>
    <w:rsid w:val="003B3717"/>
    <w:rsid w:val="003B5157"/>
    <w:rsid w:val="003B5832"/>
    <w:rsid w:val="003B5FFF"/>
    <w:rsid w:val="003B6D10"/>
    <w:rsid w:val="003C014B"/>
    <w:rsid w:val="003C1152"/>
    <w:rsid w:val="003C1ADB"/>
    <w:rsid w:val="003C3EE6"/>
    <w:rsid w:val="003C409D"/>
    <w:rsid w:val="003C46F5"/>
    <w:rsid w:val="003C4B2E"/>
    <w:rsid w:val="003C5BA6"/>
    <w:rsid w:val="003D0272"/>
    <w:rsid w:val="003D104A"/>
    <w:rsid w:val="003D2860"/>
    <w:rsid w:val="003D4426"/>
    <w:rsid w:val="003D4993"/>
    <w:rsid w:val="003D72AA"/>
    <w:rsid w:val="003D744C"/>
    <w:rsid w:val="003E0306"/>
    <w:rsid w:val="003E069B"/>
    <w:rsid w:val="003E20AA"/>
    <w:rsid w:val="003E3503"/>
    <w:rsid w:val="003E35C4"/>
    <w:rsid w:val="003E58DF"/>
    <w:rsid w:val="003E6496"/>
    <w:rsid w:val="003E6D48"/>
    <w:rsid w:val="003E6F41"/>
    <w:rsid w:val="003E7DE3"/>
    <w:rsid w:val="003F06BB"/>
    <w:rsid w:val="003F0E85"/>
    <w:rsid w:val="003F0EB1"/>
    <w:rsid w:val="003F3900"/>
    <w:rsid w:val="003F50B2"/>
    <w:rsid w:val="003F5DEC"/>
    <w:rsid w:val="003F64B7"/>
    <w:rsid w:val="003F6594"/>
    <w:rsid w:val="003F7D1B"/>
    <w:rsid w:val="00400A7D"/>
    <w:rsid w:val="00401871"/>
    <w:rsid w:val="00403EAA"/>
    <w:rsid w:val="00404B51"/>
    <w:rsid w:val="004061FD"/>
    <w:rsid w:val="00410C55"/>
    <w:rsid w:val="00410ED2"/>
    <w:rsid w:val="00412907"/>
    <w:rsid w:val="00413E70"/>
    <w:rsid w:val="004147E3"/>
    <w:rsid w:val="00415BEA"/>
    <w:rsid w:val="00416854"/>
    <w:rsid w:val="00417725"/>
    <w:rsid w:val="00421C48"/>
    <w:rsid w:val="00422AFD"/>
    <w:rsid w:val="00423064"/>
    <w:rsid w:val="004251DC"/>
    <w:rsid w:val="00426A43"/>
    <w:rsid w:val="00426B6F"/>
    <w:rsid w:val="0042777E"/>
    <w:rsid w:val="00430CE5"/>
    <w:rsid w:val="00431967"/>
    <w:rsid w:val="00432FB8"/>
    <w:rsid w:val="00433A83"/>
    <w:rsid w:val="00435C9A"/>
    <w:rsid w:val="00435CF3"/>
    <w:rsid w:val="00435FD9"/>
    <w:rsid w:val="00436C7E"/>
    <w:rsid w:val="00437BB4"/>
    <w:rsid w:val="00437F26"/>
    <w:rsid w:val="0044064C"/>
    <w:rsid w:val="00440AA7"/>
    <w:rsid w:val="00441AD8"/>
    <w:rsid w:val="004429D1"/>
    <w:rsid w:val="00442D1F"/>
    <w:rsid w:val="00442D23"/>
    <w:rsid w:val="00442D3C"/>
    <w:rsid w:val="00443129"/>
    <w:rsid w:val="00444097"/>
    <w:rsid w:val="004445F5"/>
    <w:rsid w:val="00445487"/>
    <w:rsid w:val="004457AA"/>
    <w:rsid w:val="00445999"/>
    <w:rsid w:val="00446A2A"/>
    <w:rsid w:val="0045295C"/>
    <w:rsid w:val="00454769"/>
    <w:rsid w:val="00455B95"/>
    <w:rsid w:val="00457083"/>
    <w:rsid w:val="00457F21"/>
    <w:rsid w:val="00460450"/>
    <w:rsid w:val="00460743"/>
    <w:rsid w:val="00460AD2"/>
    <w:rsid w:val="0046239F"/>
    <w:rsid w:val="0046332E"/>
    <w:rsid w:val="0046620D"/>
    <w:rsid w:val="00466991"/>
    <w:rsid w:val="00467486"/>
    <w:rsid w:val="0047064C"/>
    <w:rsid w:val="00474F03"/>
    <w:rsid w:val="00475458"/>
    <w:rsid w:val="004754A9"/>
    <w:rsid w:val="00475886"/>
    <w:rsid w:val="004777C9"/>
    <w:rsid w:val="004807CD"/>
    <w:rsid w:val="00481113"/>
    <w:rsid w:val="00481842"/>
    <w:rsid w:val="00481D4E"/>
    <w:rsid w:val="00482A16"/>
    <w:rsid w:val="004836E6"/>
    <w:rsid w:val="004841E2"/>
    <w:rsid w:val="00485922"/>
    <w:rsid w:val="00485923"/>
    <w:rsid w:val="004859B1"/>
    <w:rsid w:val="00486241"/>
    <w:rsid w:val="00490698"/>
    <w:rsid w:val="00490776"/>
    <w:rsid w:val="004913E4"/>
    <w:rsid w:val="004917D7"/>
    <w:rsid w:val="00491E41"/>
    <w:rsid w:val="00493CAD"/>
    <w:rsid w:val="00494164"/>
    <w:rsid w:val="004965BE"/>
    <w:rsid w:val="00496ABB"/>
    <w:rsid w:val="00497DA6"/>
    <w:rsid w:val="004A0B55"/>
    <w:rsid w:val="004A1066"/>
    <w:rsid w:val="004A1DA4"/>
    <w:rsid w:val="004A2652"/>
    <w:rsid w:val="004A3FBA"/>
    <w:rsid w:val="004A42E1"/>
    <w:rsid w:val="004A5D7A"/>
    <w:rsid w:val="004A5EDF"/>
    <w:rsid w:val="004B0850"/>
    <w:rsid w:val="004B162C"/>
    <w:rsid w:val="004B26B3"/>
    <w:rsid w:val="004B2905"/>
    <w:rsid w:val="004B2C49"/>
    <w:rsid w:val="004B2E5B"/>
    <w:rsid w:val="004B56AD"/>
    <w:rsid w:val="004B614E"/>
    <w:rsid w:val="004B6610"/>
    <w:rsid w:val="004B699A"/>
    <w:rsid w:val="004B7358"/>
    <w:rsid w:val="004B7D1A"/>
    <w:rsid w:val="004B7E3D"/>
    <w:rsid w:val="004B7E99"/>
    <w:rsid w:val="004C2163"/>
    <w:rsid w:val="004C3D82"/>
    <w:rsid w:val="004C3DBE"/>
    <w:rsid w:val="004C4AF3"/>
    <w:rsid w:val="004C5C96"/>
    <w:rsid w:val="004C73FB"/>
    <w:rsid w:val="004C7CE0"/>
    <w:rsid w:val="004D028D"/>
    <w:rsid w:val="004D06A4"/>
    <w:rsid w:val="004D10FB"/>
    <w:rsid w:val="004D2A21"/>
    <w:rsid w:val="004D3CC3"/>
    <w:rsid w:val="004D4290"/>
    <w:rsid w:val="004D6A90"/>
    <w:rsid w:val="004D6FBC"/>
    <w:rsid w:val="004D7070"/>
    <w:rsid w:val="004D755C"/>
    <w:rsid w:val="004D7570"/>
    <w:rsid w:val="004D7C2C"/>
    <w:rsid w:val="004D7D5D"/>
    <w:rsid w:val="004E06F6"/>
    <w:rsid w:val="004E1FF5"/>
    <w:rsid w:val="004E269A"/>
    <w:rsid w:val="004E2E43"/>
    <w:rsid w:val="004E3B8F"/>
    <w:rsid w:val="004E4E1E"/>
    <w:rsid w:val="004E50DC"/>
    <w:rsid w:val="004E546E"/>
    <w:rsid w:val="004E77C0"/>
    <w:rsid w:val="004E7BAF"/>
    <w:rsid w:val="004E7C36"/>
    <w:rsid w:val="004F0188"/>
    <w:rsid w:val="004F0430"/>
    <w:rsid w:val="004F18F5"/>
    <w:rsid w:val="004F1A81"/>
    <w:rsid w:val="004F2E16"/>
    <w:rsid w:val="004F4141"/>
    <w:rsid w:val="004F4370"/>
    <w:rsid w:val="004F5140"/>
    <w:rsid w:val="004F64D3"/>
    <w:rsid w:val="004F7626"/>
    <w:rsid w:val="0050052E"/>
    <w:rsid w:val="00500D00"/>
    <w:rsid w:val="00501201"/>
    <w:rsid w:val="0050135E"/>
    <w:rsid w:val="00503885"/>
    <w:rsid w:val="00503DC5"/>
    <w:rsid w:val="00505785"/>
    <w:rsid w:val="00506E23"/>
    <w:rsid w:val="00510942"/>
    <w:rsid w:val="00510A7A"/>
    <w:rsid w:val="00510B54"/>
    <w:rsid w:val="00511161"/>
    <w:rsid w:val="005113F3"/>
    <w:rsid w:val="005121F3"/>
    <w:rsid w:val="00513704"/>
    <w:rsid w:val="00513B38"/>
    <w:rsid w:val="00514C3D"/>
    <w:rsid w:val="0051753D"/>
    <w:rsid w:val="00517C67"/>
    <w:rsid w:val="00521894"/>
    <w:rsid w:val="005218D9"/>
    <w:rsid w:val="00521FD3"/>
    <w:rsid w:val="00523CB3"/>
    <w:rsid w:val="0052406D"/>
    <w:rsid w:val="00524368"/>
    <w:rsid w:val="00526C09"/>
    <w:rsid w:val="00530E08"/>
    <w:rsid w:val="0053289E"/>
    <w:rsid w:val="00534077"/>
    <w:rsid w:val="00534221"/>
    <w:rsid w:val="0053425F"/>
    <w:rsid w:val="00535307"/>
    <w:rsid w:val="005354E4"/>
    <w:rsid w:val="005359AA"/>
    <w:rsid w:val="00535D4C"/>
    <w:rsid w:val="00536186"/>
    <w:rsid w:val="00536272"/>
    <w:rsid w:val="005369CB"/>
    <w:rsid w:val="005370EC"/>
    <w:rsid w:val="00537E35"/>
    <w:rsid w:val="00540803"/>
    <w:rsid w:val="0054178E"/>
    <w:rsid w:val="00542376"/>
    <w:rsid w:val="0054305C"/>
    <w:rsid w:val="00543709"/>
    <w:rsid w:val="0054440B"/>
    <w:rsid w:val="00544CBB"/>
    <w:rsid w:val="00547D4F"/>
    <w:rsid w:val="005505CA"/>
    <w:rsid w:val="005509F1"/>
    <w:rsid w:val="00551104"/>
    <w:rsid w:val="0055215B"/>
    <w:rsid w:val="005522ED"/>
    <w:rsid w:val="005532A5"/>
    <w:rsid w:val="00554DAA"/>
    <w:rsid w:val="00554FB4"/>
    <w:rsid w:val="005556B8"/>
    <w:rsid w:val="0055609A"/>
    <w:rsid w:val="00556655"/>
    <w:rsid w:val="00556981"/>
    <w:rsid w:val="00557C07"/>
    <w:rsid w:val="005604EE"/>
    <w:rsid w:val="00560728"/>
    <w:rsid w:val="00560EA9"/>
    <w:rsid w:val="0056109D"/>
    <w:rsid w:val="00561676"/>
    <w:rsid w:val="0056257D"/>
    <w:rsid w:val="00562867"/>
    <w:rsid w:val="00562A2F"/>
    <w:rsid w:val="00562C4D"/>
    <w:rsid w:val="005657DB"/>
    <w:rsid w:val="00565B4A"/>
    <w:rsid w:val="00565C35"/>
    <w:rsid w:val="00566081"/>
    <w:rsid w:val="00566B59"/>
    <w:rsid w:val="00566F17"/>
    <w:rsid w:val="00567C36"/>
    <w:rsid w:val="00572F39"/>
    <w:rsid w:val="00573148"/>
    <w:rsid w:val="0057315F"/>
    <w:rsid w:val="005737E4"/>
    <w:rsid w:val="00573D34"/>
    <w:rsid w:val="00576104"/>
    <w:rsid w:val="005773E3"/>
    <w:rsid w:val="005808DA"/>
    <w:rsid w:val="0058673E"/>
    <w:rsid w:val="00587F77"/>
    <w:rsid w:val="00590B60"/>
    <w:rsid w:val="005916FE"/>
    <w:rsid w:val="0059460D"/>
    <w:rsid w:val="00594D10"/>
    <w:rsid w:val="00596490"/>
    <w:rsid w:val="0059701A"/>
    <w:rsid w:val="00597960"/>
    <w:rsid w:val="005A0590"/>
    <w:rsid w:val="005A0F9B"/>
    <w:rsid w:val="005A1AF3"/>
    <w:rsid w:val="005A268C"/>
    <w:rsid w:val="005A2B08"/>
    <w:rsid w:val="005A4F58"/>
    <w:rsid w:val="005A76AB"/>
    <w:rsid w:val="005A78E2"/>
    <w:rsid w:val="005A79D1"/>
    <w:rsid w:val="005A7BDE"/>
    <w:rsid w:val="005B0116"/>
    <w:rsid w:val="005B0975"/>
    <w:rsid w:val="005B170A"/>
    <w:rsid w:val="005B1C45"/>
    <w:rsid w:val="005B1DF6"/>
    <w:rsid w:val="005B2551"/>
    <w:rsid w:val="005B3FE2"/>
    <w:rsid w:val="005B3FFC"/>
    <w:rsid w:val="005B42A6"/>
    <w:rsid w:val="005B4F2A"/>
    <w:rsid w:val="005B5D15"/>
    <w:rsid w:val="005B6FA5"/>
    <w:rsid w:val="005B74CB"/>
    <w:rsid w:val="005C0385"/>
    <w:rsid w:val="005C106B"/>
    <w:rsid w:val="005C24DF"/>
    <w:rsid w:val="005C2F52"/>
    <w:rsid w:val="005C35B4"/>
    <w:rsid w:val="005C48DC"/>
    <w:rsid w:val="005C4F8A"/>
    <w:rsid w:val="005C61DE"/>
    <w:rsid w:val="005C67C8"/>
    <w:rsid w:val="005C7426"/>
    <w:rsid w:val="005C767A"/>
    <w:rsid w:val="005C7B2E"/>
    <w:rsid w:val="005D0249"/>
    <w:rsid w:val="005D0619"/>
    <w:rsid w:val="005D124C"/>
    <w:rsid w:val="005D1DA1"/>
    <w:rsid w:val="005D245D"/>
    <w:rsid w:val="005D5A0C"/>
    <w:rsid w:val="005D646F"/>
    <w:rsid w:val="005D6E8C"/>
    <w:rsid w:val="005E0237"/>
    <w:rsid w:val="005E3259"/>
    <w:rsid w:val="005E39AF"/>
    <w:rsid w:val="005E46EB"/>
    <w:rsid w:val="005E5F24"/>
    <w:rsid w:val="005E6355"/>
    <w:rsid w:val="005E7FD8"/>
    <w:rsid w:val="005F0F7D"/>
    <w:rsid w:val="005F100C"/>
    <w:rsid w:val="005F1771"/>
    <w:rsid w:val="005F1991"/>
    <w:rsid w:val="005F499E"/>
    <w:rsid w:val="005F5C4D"/>
    <w:rsid w:val="005F68DA"/>
    <w:rsid w:val="00601086"/>
    <w:rsid w:val="00602821"/>
    <w:rsid w:val="00603EEC"/>
    <w:rsid w:val="006071C7"/>
    <w:rsid w:val="0060773B"/>
    <w:rsid w:val="00607D2F"/>
    <w:rsid w:val="006102FC"/>
    <w:rsid w:val="006107DB"/>
    <w:rsid w:val="00611F3A"/>
    <w:rsid w:val="00614393"/>
    <w:rsid w:val="006157B5"/>
    <w:rsid w:val="006170CC"/>
    <w:rsid w:val="00617325"/>
    <w:rsid w:val="00621C63"/>
    <w:rsid w:val="0062292C"/>
    <w:rsid w:val="00622D02"/>
    <w:rsid w:val="00623177"/>
    <w:rsid w:val="006246A9"/>
    <w:rsid w:val="00624B1D"/>
    <w:rsid w:val="00624C18"/>
    <w:rsid w:val="00625288"/>
    <w:rsid w:val="0062690D"/>
    <w:rsid w:val="00626FC6"/>
    <w:rsid w:val="006303B4"/>
    <w:rsid w:val="00630A3B"/>
    <w:rsid w:val="00632153"/>
    <w:rsid w:val="0063222D"/>
    <w:rsid w:val="006322C5"/>
    <w:rsid w:val="00632429"/>
    <w:rsid w:val="00633027"/>
    <w:rsid w:val="00633371"/>
    <w:rsid w:val="006337FA"/>
    <w:rsid w:val="00633D3D"/>
    <w:rsid w:val="00634110"/>
    <w:rsid w:val="006345EB"/>
    <w:rsid w:val="00636451"/>
    <w:rsid w:val="00636E1A"/>
    <w:rsid w:val="006405D1"/>
    <w:rsid w:val="00641703"/>
    <w:rsid w:val="006431A6"/>
    <w:rsid w:val="00644482"/>
    <w:rsid w:val="00645075"/>
    <w:rsid w:val="006459F6"/>
    <w:rsid w:val="006501AD"/>
    <w:rsid w:val="00651BFA"/>
    <w:rsid w:val="006520E8"/>
    <w:rsid w:val="006525CE"/>
    <w:rsid w:val="0065291B"/>
    <w:rsid w:val="00652D88"/>
    <w:rsid w:val="00654475"/>
    <w:rsid w:val="00654BA2"/>
    <w:rsid w:val="00656D96"/>
    <w:rsid w:val="00657055"/>
    <w:rsid w:val="006604C8"/>
    <w:rsid w:val="00660FC8"/>
    <w:rsid w:val="00661BA3"/>
    <w:rsid w:val="00661D48"/>
    <w:rsid w:val="006622ED"/>
    <w:rsid w:val="006626AF"/>
    <w:rsid w:val="00663BC7"/>
    <w:rsid w:val="00664354"/>
    <w:rsid w:val="00665384"/>
    <w:rsid w:val="0066584C"/>
    <w:rsid w:val="00665A4B"/>
    <w:rsid w:val="00665D3F"/>
    <w:rsid w:val="00670EEB"/>
    <w:rsid w:val="006712BA"/>
    <w:rsid w:val="006717E6"/>
    <w:rsid w:val="006729EA"/>
    <w:rsid w:val="00673665"/>
    <w:rsid w:val="006750F5"/>
    <w:rsid w:val="006757B4"/>
    <w:rsid w:val="00675C44"/>
    <w:rsid w:val="00675EB2"/>
    <w:rsid w:val="00675FE0"/>
    <w:rsid w:val="006763AA"/>
    <w:rsid w:val="00677512"/>
    <w:rsid w:val="00680611"/>
    <w:rsid w:val="0068124B"/>
    <w:rsid w:val="00682BF3"/>
    <w:rsid w:val="00682DDC"/>
    <w:rsid w:val="00684097"/>
    <w:rsid w:val="006853B0"/>
    <w:rsid w:val="006920D7"/>
    <w:rsid w:val="00692E0C"/>
    <w:rsid w:val="00692E2A"/>
    <w:rsid w:val="006931BE"/>
    <w:rsid w:val="006931ED"/>
    <w:rsid w:val="0069323A"/>
    <w:rsid w:val="0069446E"/>
    <w:rsid w:val="006958BC"/>
    <w:rsid w:val="00696A70"/>
    <w:rsid w:val="00696D6E"/>
    <w:rsid w:val="006970EA"/>
    <w:rsid w:val="006A0E04"/>
    <w:rsid w:val="006A1033"/>
    <w:rsid w:val="006A10A0"/>
    <w:rsid w:val="006A126C"/>
    <w:rsid w:val="006A13D3"/>
    <w:rsid w:val="006A1451"/>
    <w:rsid w:val="006A1F15"/>
    <w:rsid w:val="006A2738"/>
    <w:rsid w:val="006A3017"/>
    <w:rsid w:val="006A3087"/>
    <w:rsid w:val="006A3BD3"/>
    <w:rsid w:val="006A45DE"/>
    <w:rsid w:val="006A5E4C"/>
    <w:rsid w:val="006A76F2"/>
    <w:rsid w:val="006B0C57"/>
    <w:rsid w:val="006B1592"/>
    <w:rsid w:val="006B2016"/>
    <w:rsid w:val="006B2AF2"/>
    <w:rsid w:val="006B306D"/>
    <w:rsid w:val="006B3872"/>
    <w:rsid w:val="006B3E2A"/>
    <w:rsid w:val="006B41A6"/>
    <w:rsid w:val="006B5190"/>
    <w:rsid w:val="006B52D0"/>
    <w:rsid w:val="006B537F"/>
    <w:rsid w:val="006B6ABC"/>
    <w:rsid w:val="006B784E"/>
    <w:rsid w:val="006C0B66"/>
    <w:rsid w:val="006C19AC"/>
    <w:rsid w:val="006C4058"/>
    <w:rsid w:val="006C40CA"/>
    <w:rsid w:val="006C45C6"/>
    <w:rsid w:val="006C5A9C"/>
    <w:rsid w:val="006D13DE"/>
    <w:rsid w:val="006D1628"/>
    <w:rsid w:val="006D1F2F"/>
    <w:rsid w:val="006D2308"/>
    <w:rsid w:val="006D2745"/>
    <w:rsid w:val="006D3C74"/>
    <w:rsid w:val="006D4389"/>
    <w:rsid w:val="006D4F04"/>
    <w:rsid w:val="006D5355"/>
    <w:rsid w:val="006D6A23"/>
    <w:rsid w:val="006D6C81"/>
    <w:rsid w:val="006D6F70"/>
    <w:rsid w:val="006D74C1"/>
    <w:rsid w:val="006D7EFB"/>
    <w:rsid w:val="006E11BA"/>
    <w:rsid w:val="006E182B"/>
    <w:rsid w:val="006E1886"/>
    <w:rsid w:val="006E26A1"/>
    <w:rsid w:val="006E26FB"/>
    <w:rsid w:val="006E30F6"/>
    <w:rsid w:val="006E3904"/>
    <w:rsid w:val="006E4180"/>
    <w:rsid w:val="006E46BD"/>
    <w:rsid w:val="006E529D"/>
    <w:rsid w:val="006E597E"/>
    <w:rsid w:val="006E5D9E"/>
    <w:rsid w:val="006E5F79"/>
    <w:rsid w:val="006E6672"/>
    <w:rsid w:val="006E6722"/>
    <w:rsid w:val="006E7169"/>
    <w:rsid w:val="006E7715"/>
    <w:rsid w:val="006F057A"/>
    <w:rsid w:val="006F05EB"/>
    <w:rsid w:val="006F1C60"/>
    <w:rsid w:val="006F296C"/>
    <w:rsid w:val="006F2F4E"/>
    <w:rsid w:val="006F341A"/>
    <w:rsid w:val="006F4F01"/>
    <w:rsid w:val="006F5276"/>
    <w:rsid w:val="006F6BD9"/>
    <w:rsid w:val="006F7AAD"/>
    <w:rsid w:val="00700A07"/>
    <w:rsid w:val="00700CB8"/>
    <w:rsid w:val="00701143"/>
    <w:rsid w:val="007012B5"/>
    <w:rsid w:val="007013B7"/>
    <w:rsid w:val="007014F0"/>
    <w:rsid w:val="00701B09"/>
    <w:rsid w:val="007027B9"/>
    <w:rsid w:val="00703564"/>
    <w:rsid w:val="00703E30"/>
    <w:rsid w:val="00704A2C"/>
    <w:rsid w:val="00704BB9"/>
    <w:rsid w:val="00706288"/>
    <w:rsid w:val="00706520"/>
    <w:rsid w:val="00706CB3"/>
    <w:rsid w:val="007104E9"/>
    <w:rsid w:val="007118E6"/>
    <w:rsid w:val="00714CE0"/>
    <w:rsid w:val="007152BE"/>
    <w:rsid w:val="00715C05"/>
    <w:rsid w:val="00715E88"/>
    <w:rsid w:val="0071714C"/>
    <w:rsid w:val="0072105C"/>
    <w:rsid w:val="00721B63"/>
    <w:rsid w:val="00722091"/>
    <w:rsid w:val="00722F24"/>
    <w:rsid w:val="0072353B"/>
    <w:rsid w:val="007243BC"/>
    <w:rsid w:val="00724B67"/>
    <w:rsid w:val="007250CA"/>
    <w:rsid w:val="00725B55"/>
    <w:rsid w:val="00726B16"/>
    <w:rsid w:val="00727FED"/>
    <w:rsid w:val="00730A55"/>
    <w:rsid w:val="00731631"/>
    <w:rsid w:val="00731EB0"/>
    <w:rsid w:val="007323E9"/>
    <w:rsid w:val="00734CAA"/>
    <w:rsid w:val="00735027"/>
    <w:rsid w:val="0073512C"/>
    <w:rsid w:val="007358A0"/>
    <w:rsid w:val="0073654D"/>
    <w:rsid w:val="00736C46"/>
    <w:rsid w:val="00741B20"/>
    <w:rsid w:val="00743C38"/>
    <w:rsid w:val="00746150"/>
    <w:rsid w:val="00746155"/>
    <w:rsid w:val="00746FA8"/>
    <w:rsid w:val="00747C9E"/>
    <w:rsid w:val="00751150"/>
    <w:rsid w:val="00754BF1"/>
    <w:rsid w:val="0075533C"/>
    <w:rsid w:val="00757581"/>
    <w:rsid w:val="007575F4"/>
    <w:rsid w:val="00757910"/>
    <w:rsid w:val="00760EC4"/>
    <w:rsid w:val="007611A0"/>
    <w:rsid w:val="0076147A"/>
    <w:rsid w:val="007623C4"/>
    <w:rsid w:val="00763614"/>
    <w:rsid w:val="00770CCC"/>
    <w:rsid w:val="007735C4"/>
    <w:rsid w:val="00774DF1"/>
    <w:rsid w:val="00775F1B"/>
    <w:rsid w:val="00776167"/>
    <w:rsid w:val="00780C3D"/>
    <w:rsid w:val="00782170"/>
    <w:rsid w:val="007828A5"/>
    <w:rsid w:val="00782C7A"/>
    <w:rsid w:val="00783877"/>
    <w:rsid w:val="007841F5"/>
    <w:rsid w:val="00784306"/>
    <w:rsid w:val="00784D35"/>
    <w:rsid w:val="00784DA0"/>
    <w:rsid w:val="007910A6"/>
    <w:rsid w:val="0079136D"/>
    <w:rsid w:val="0079146B"/>
    <w:rsid w:val="00791571"/>
    <w:rsid w:val="007916BC"/>
    <w:rsid w:val="007918C5"/>
    <w:rsid w:val="00791DCE"/>
    <w:rsid w:val="0079399F"/>
    <w:rsid w:val="00793E87"/>
    <w:rsid w:val="00793F10"/>
    <w:rsid w:val="007943DC"/>
    <w:rsid w:val="00796D3F"/>
    <w:rsid w:val="007A1683"/>
    <w:rsid w:val="007A5C12"/>
    <w:rsid w:val="007A6512"/>
    <w:rsid w:val="007A7CB0"/>
    <w:rsid w:val="007B24F8"/>
    <w:rsid w:val="007B3962"/>
    <w:rsid w:val="007B4223"/>
    <w:rsid w:val="007B4618"/>
    <w:rsid w:val="007B5055"/>
    <w:rsid w:val="007B640E"/>
    <w:rsid w:val="007B68A3"/>
    <w:rsid w:val="007C05FF"/>
    <w:rsid w:val="007C088D"/>
    <w:rsid w:val="007C0F6A"/>
    <w:rsid w:val="007C0FBD"/>
    <w:rsid w:val="007C1272"/>
    <w:rsid w:val="007C1AEC"/>
    <w:rsid w:val="007C2541"/>
    <w:rsid w:val="007C30AA"/>
    <w:rsid w:val="007C34D8"/>
    <w:rsid w:val="007C3616"/>
    <w:rsid w:val="007C40D5"/>
    <w:rsid w:val="007C4B05"/>
    <w:rsid w:val="007C521D"/>
    <w:rsid w:val="007C6DF2"/>
    <w:rsid w:val="007D1B93"/>
    <w:rsid w:val="007D1F84"/>
    <w:rsid w:val="007D237F"/>
    <w:rsid w:val="007D3A4B"/>
    <w:rsid w:val="007D4566"/>
    <w:rsid w:val="007D475F"/>
    <w:rsid w:val="007D5FA9"/>
    <w:rsid w:val="007D65E2"/>
    <w:rsid w:val="007D66A8"/>
    <w:rsid w:val="007D71A3"/>
    <w:rsid w:val="007D7BF1"/>
    <w:rsid w:val="007E003F"/>
    <w:rsid w:val="007E03EA"/>
    <w:rsid w:val="007E4184"/>
    <w:rsid w:val="007E4728"/>
    <w:rsid w:val="007E505B"/>
    <w:rsid w:val="007E51E0"/>
    <w:rsid w:val="007E5C56"/>
    <w:rsid w:val="007E5D75"/>
    <w:rsid w:val="007F0106"/>
    <w:rsid w:val="007F0373"/>
    <w:rsid w:val="007F05A9"/>
    <w:rsid w:val="007F0691"/>
    <w:rsid w:val="007F1132"/>
    <w:rsid w:val="007F4323"/>
    <w:rsid w:val="007F4C7E"/>
    <w:rsid w:val="007F5565"/>
    <w:rsid w:val="007F682E"/>
    <w:rsid w:val="007F7341"/>
    <w:rsid w:val="0080116A"/>
    <w:rsid w:val="0080195B"/>
    <w:rsid w:val="00802814"/>
    <w:rsid w:val="0080396C"/>
    <w:rsid w:val="00803C43"/>
    <w:rsid w:val="00804B46"/>
    <w:rsid w:val="008053EC"/>
    <w:rsid w:val="00807DF0"/>
    <w:rsid w:val="0081094F"/>
    <w:rsid w:val="00810B5F"/>
    <w:rsid w:val="00811E21"/>
    <w:rsid w:val="0081225D"/>
    <w:rsid w:val="008125FF"/>
    <w:rsid w:val="00812AE5"/>
    <w:rsid w:val="00815C88"/>
    <w:rsid w:val="00815D95"/>
    <w:rsid w:val="008164F2"/>
    <w:rsid w:val="00817402"/>
    <w:rsid w:val="00817527"/>
    <w:rsid w:val="008201A2"/>
    <w:rsid w:val="008203B7"/>
    <w:rsid w:val="0082049B"/>
    <w:rsid w:val="00821072"/>
    <w:rsid w:val="00821395"/>
    <w:rsid w:val="00824A1A"/>
    <w:rsid w:val="00824C8A"/>
    <w:rsid w:val="00824FC7"/>
    <w:rsid w:val="00826CC1"/>
    <w:rsid w:val="00830E26"/>
    <w:rsid w:val="00831CD7"/>
    <w:rsid w:val="00833722"/>
    <w:rsid w:val="00834A00"/>
    <w:rsid w:val="00835589"/>
    <w:rsid w:val="00835BD8"/>
    <w:rsid w:val="008365EA"/>
    <w:rsid w:val="008367BD"/>
    <w:rsid w:val="008377B6"/>
    <w:rsid w:val="008405B6"/>
    <w:rsid w:val="0084094C"/>
    <w:rsid w:val="0084113F"/>
    <w:rsid w:val="008412C4"/>
    <w:rsid w:val="008427B6"/>
    <w:rsid w:val="00842BF7"/>
    <w:rsid w:val="00842C11"/>
    <w:rsid w:val="00843576"/>
    <w:rsid w:val="0084365A"/>
    <w:rsid w:val="00843B64"/>
    <w:rsid w:val="00844723"/>
    <w:rsid w:val="008447C0"/>
    <w:rsid w:val="00844CFC"/>
    <w:rsid w:val="00844EEF"/>
    <w:rsid w:val="0084619F"/>
    <w:rsid w:val="00847067"/>
    <w:rsid w:val="008477DC"/>
    <w:rsid w:val="008478FC"/>
    <w:rsid w:val="00851AE8"/>
    <w:rsid w:val="00851D28"/>
    <w:rsid w:val="008522F5"/>
    <w:rsid w:val="00852FA0"/>
    <w:rsid w:val="00853854"/>
    <w:rsid w:val="00853CC4"/>
    <w:rsid w:val="00854E7E"/>
    <w:rsid w:val="00855F82"/>
    <w:rsid w:val="00856528"/>
    <w:rsid w:val="008567D7"/>
    <w:rsid w:val="00856CF0"/>
    <w:rsid w:val="00860792"/>
    <w:rsid w:val="00860F36"/>
    <w:rsid w:val="008610C1"/>
    <w:rsid w:val="008611A7"/>
    <w:rsid w:val="008633CD"/>
    <w:rsid w:val="0086518B"/>
    <w:rsid w:val="008652F3"/>
    <w:rsid w:val="00865AAA"/>
    <w:rsid w:val="00865E12"/>
    <w:rsid w:val="00866F96"/>
    <w:rsid w:val="008670BE"/>
    <w:rsid w:val="008676FB"/>
    <w:rsid w:val="00867BFF"/>
    <w:rsid w:val="00872D06"/>
    <w:rsid w:val="008732EC"/>
    <w:rsid w:val="00873421"/>
    <w:rsid w:val="00874126"/>
    <w:rsid w:val="008759A0"/>
    <w:rsid w:val="008759BA"/>
    <w:rsid w:val="00876040"/>
    <w:rsid w:val="008765E4"/>
    <w:rsid w:val="008769B3"/>
    <w:rsid w:val="00876CA9"/>
    <w:rsid w:val="00880CCB"/>
    <w:rsid w:val="008812C1"/>
    <w:rsid w:val="008833C6"/>
    <w:rsid w:val="00883AAA"/>
    <w:rsid w:val="00883F3E"/>
    <w:rsid w:val="0088480A"/>
    <w:rsid w:val="00884B99"/>
    <w:rsid w:val="00885277"/>
    <w:rsid w:val="00885E3F"/>
    <w:rsid w:val="00886E03"/>
    <w:rsid w:val="0088757A"/>
    <w:rsid w:val="008878EA"/>
    <w:rsid w:val="008913D1"/>
    <w:rsid w:val="00892987"/>
    <w:rsid w:val="00892B8E"/>
    <w:rsid w:val="00893521"/>
    <w:rsid w:val="008957DD"/>
    <w:rsid w:val="00897D98"/>
    <w:rsid w:val="008A0500"/>
    <w:rsid w:val="008A0541"/>
    <w:rsid w:val="008A135D"/>
    <w:rsid w:val="008A2873"/>
    <w:rsid w:val="008A3441"/>
    <w:rsid w:val="008A4A97"/>
    <w:rsid w:val="008A6A86"/>
    <w:rsid w:val="008A6DF2"/>
    <w:rsid w:val="008A73EA"/>
    <w:rsid w:val="008A74F9"/>
    <w:rsid w:val="008A7807"/>
    <w:rsid w:val="008A7A03"/>
    <w:rsid w:val="008B0583"/>
    <w:rsid w:val="008B0AF8"/>
    <w:rsid w:val="008B1E07"/>
    <w:rsid w:val="008B1E67"/>
    <w:rsid w:val="008B22B4"/>
    <w:rsid w:val="008B2883"/>
    <w:rsid w:val="008B2C5E"/>
    <w:rsid w:val="008B3D06"/>
    <w:rsid w:val="008B4456"/>
    <w:rsid w:val="008B4CC9"/>
    <w:rsid w:val="008C0B69"/>
    <w:rsid w:val="008C0C09"/>
    <w:rsid w:val="008C1410"/>
    <w:rsid w:val="008C1B14"/>
    <w:rsid w:val="008C3432"/>
    <w:rsid w:val="008C422D"/>
    <w:rsid w:val="008C5EDC"/>
    <w:rsid w:val="008C63F8"/>
    <w:rsid w:val="008C6BA4"/>
    <w:rsid w:val="008C77DA"/>
    <w:rsid w:val="008C7A4B"/>
    <w:rsid w:val="008C7CEF"/>
    <w:rsid w:val="008D08E9"/>
    <w:rsid w:val="008D0FDD"/>
    <w:rsid w:val="008D6620"/>
    <w:rsid w:val="008D665F"/>
    <w:rsid w:val="008D6830"/>
    <w:rsid w:val="008D715B"/>
    <w:rsid w:val="008D7C99"/>
    <w:rsid w:val="008E0FCB"/>
    <w:rsid w:val="008E11C6"/>
    <w:rsid w:val="008E1C13"/>
    <w:rsid w:val="008E28FC"/>
    <w:rsid w:val="008E36F2"/>
    <w:rsid w:val="008E55F1"/>
    <w:rsid w:val="008E5E21"/>
    <w:rsid w:val="008E6B65"/>
    <w:rsid w:val="008E73DF"/>
    <w:rsid w:val="008E7E7B"/>
    <w:rsid w:val="008F04BF"/>
    <w:rsid w:val="008F11B5"/>
    <w:rsid w:val="008F1FCD"/>
    <w:rsid w:val="008F201B"/>
    <w:rsid w:val="008F2820"/>
    <w:rsid w:val="008F3F83"/>
    <w:rsid w:val="008F55D6"/>
    <w:rsid w:val="008F5D00"/>
    <w:rsid w:val="008F6F52"/>
    <w:rsid w:val="008F7CD0"/>
    <w:rsid w:val="008F7F7F"/>
    <w:rsid w:val="00902657"/>
    <w:rsid w:val="00902FBF"/>
    <w:rsid w:val="00904288"/>
    <w:rsid w:val="0091058B"/>
    <w:rsid w:val="00917115"/>
    <w:rsid w:val="009176AA"/>
    <w:rsid w:val="00917A5F"/>
    <w:rsid w:val="00920D03"/>
    <w:rsid w:val="0092178C"/>
    <w:rsid w:val="0092184C"/>
    <w:rsid w:val="00921A90"/>
    <w:rsid w:val="0092223E"/>
    <w:rsid w:val="009223D3"/>
    <w:rsid w:val="0092311D"/>
    <w:rsid w:val="00923A85"/>
    <w:rsid w:val="00924188"/>
    <w:rsid w:val="00926330"/>
    <w:rsid w:val="009264E2"/>
    <w:rsid w:val="00930B88"/>
    <w:rsid w:val="00930E68"/>
    <w:rsid w:val="00931647"/>
    <w:rsid w:val="009340DD"/>
    <w:rsid w:val="0093469D"/>
    <w:rsid w:val="00934ED8"/>
    <w:rsid w:val="00935191"/>
    <w:rsid w:val="00935E50"/>
    <w:rsid w:val="00937FD4"/>
    <w:rsid w:val="0094095A"/>
    <w:rsid w:val="00940DCC"/>
    <w:rsid w:val="0094179A"/>
    <w:rsid w:val="00942A85"/>
    <w:rsid w:val="0094459E"/>
    <w:rsid w:val="00944DBC"/>
    <w:rsid w:val="00945171"/>
    <w:rsid w:val="00945640"/>
    <w:rsid w:val="009457B9"/>
    <w:rsid w:val="009470D1"/>
    <w:rsid w:val="009473C6"/>
    <w:rsid w:val="009507E6"/>
    <w:rsid w:val="00950977"/>
    <w:rsid w:val="00950E02"/>
    <w:rsid w:val="00951A7B"/>
    <w:rsid w:val="00953ACD"/>
    <w:rsid w:val="00953D91"/>
    <w:rsid w:val="0095497E"/>
    <w:rsid w:val="00954BD8"/>
    <w:rsid w:val="009564A6"/>
    <w:rsid w:val="00957DF8"/>
    <w:rsid w:val="00960952"/>
    <w:rsid w:val="00960A0F"/>
    <w:rsid w:val="00960C8A"/>
    <w:rsid w:val="00962471"/>
    <w:rsid w:val="00962CE8"/>
    <w:rsid w:val="00965107"/>
    <w:rsid w:val="00965A84"/>
    <w:rsid w:val="00967621"/>
    <w:rsid w:val="00967BFC"/>
    <w:rsid w:val="00967E6A"/>
    <w:rsid w:val="00973389"/>
    <w:rsid w:val="00973765"/>
    <w:rsid w:val="009739D6"/>
    <w:rsid w:val="0097402C"/>
    <w:rsid w:val="00975A03"/>
    <w:rsid w:val="00980084"/>
    <w:rsid w:val="009801E4"/>
    <w:rsid w:val="00980A40"/>
    <w:rsid w:val="00980A42"/>
    <w:rsid w:val="009821DF"/>
    <w:rsid w:val="00983D92"/>
    <w:rsid w:val="00983E53"/>
    <w:rsid w:val="00984069"/>
    <w:rsid w:val="009840D6"/>
    <w:rsid w:val="00985042"/>
    <w:rsid w:val="009858C3"/>
    <w:rsid w:val="00986389"/>
    <w:rsid w:val="00986957"/>
    <w:rsid w:val="00986A47"/>
    <w:rsid w:val="00986FDD"/>
    <w:rsid w:val="00992AE2"/>
    <w:rsid w:val="00992DE3"/>
    <w:rsid w:val="00992FCE"/>
    <w:rsid w:val="00993B11"/>
    <w:rsid w:val="00994B1D"/>
    <w:rsid w:val="00995594"/>
    <w:rsid w:val="009960C8"/>
    <w:rsid w:val="009A0F2B"/>
    <w:rsid w:val="009A1637"/>
    <w:rsid w:val="009A21F1"/>
    <w:rsid w:val="009A27E9"/>
    <w:rsid w:val="009A497D"/>
    <w:rsid w:val="009A499C"/>
    <w:rsid w:val="009A5C74"/>
    <w:rsid w:val="009A6085"/>
    <w:rsid w:val="009A61C0"/>
    <w:rsid w:val="009A65E0"/>
    <w:rsid w:val="009A773A"/>
    <w:rsid w:val="009A7A4E"/>
    <w:rsid w:val="009B0C02"/>
    <w:rsid w:val="009B17A2"/>
    <w:rsid w:val="009B28FA"/>
    <w:rsid w:val="009B354A"/>
    <w:rsid w:val="009B3F45"/>
    <w:rsid w:val="009B497C"/>
    <w:rsid w:val="009B4A0F"/>
    <w:rsid w:val="009B62A1"/>
    <w:rsid w:val="009B7639"/>
    <w:rsid w:val="009C0269"/>
    <w:rsid w:val="009C11D2"/>
    <w:rsid w:val="009C1658"/>
    <w:rsid w:val="009C1C0D"/>
    <w:rsid w:val="009C1D7A"/>
    <w:rsid w:val="009C1E01"/>
    <w:rsid w:val="009C2A89"/>
    <w:rsid w:val="009C5838"/>
    <w:rsid w:val="009C6C70"/>
    <w:rsid w:val="009D059E"/>
    <w:rsid w:val="009D0B63"/>
    <w:rsid w:val="009D59DD"/>
    <w:rsid w:val="009D6974"/>
    <w:rsid w:val="009D707A"/>
    <w:rsid w:val="009D7B33"/>
    <w:rsid w:val="009D7B82"/>
    <w:rsid w:val="009E0141"/>
    <w:rsid w:val="009E0B46"/>
    <w:rsid w:val="009E24BE"/>
    <w:rsid w:val="009E2F3F"/>
    <w:rsid w:val="009E307E"/>
    <w:rsid w:val="009E5D30"/>
    <w:rsid w:val="009F0182"/>
    <w:rsid w:val="009F2F82"/>
    <w:rsid w:val="009F3016"/>
    <w:rsid w:val="009F352D"/>
    <w:rsid w:val="009F3A62"/>
    <w:rsid w:val="009F3C98"/>
    <w:rsid w:val="009F464F"/>
    <w:rsid w:val="009F51B8"/>
    <w:rsid w:val="009F768D"/>
    <w:rsid w:val="009F7762"/>
    <w:rsid w:val="009F782F"/>
    <w:rsid w:val="00A001C6"/>
    <w:rsid w:val="00A01088"/>
    <w:rsid w:val="00A0209D"/>
    <w:rsid w:val="00A02250"/>
    <w:rsid w:val="00A02A9D"/>
    <w:rsid w:val="00A02AA8"/>
    <w:rsid w:val="00A03A56"/>
    <w:rsid w:val="00A03B6E"/>
    <w:rsid w:val="00A059A9"/>
    <w:rsid w:val="00A07870"/>
    <w:rsid w:val="00A07F19"/>
    <w:rsid w:val="00A10E83"/>
    <w:rsid w:val="00A11B9F"/>
    <w:rsid w:val="00A1348D"/>
    <w:rsid w:val="00A13B63"/>
    <w:rsid w:val="00A1408C"/>
    <w:rsid w:val="00A142E9"/>
    <w:rsid w:val="00A14B59"/>
    <w:rsid w:val="00A17DC6"/>
    <w:rsid w:val="00A17E4E"/>
    <w:rsid w:val="00A20555"/>
    <w:rsid w:val="00A2147B"/>
    <w:rsid w:val="00A232EE"/>
    <w:rsid w:val="00A2336D"/>
    <w:rsid w:val="00A26244"/>
    <w:rsid w:val="00A31A41"/>
    <w:rsid w:val="00A328E0"/>
    <w:rsid w:val="00A32D53"/>
    <w:rsid w:val="00A32E54"/>
    <w:rsid w:val="00A32F74"/>
    <w:rsid w:val="00A33209"/>
    <w:rsid w:val="00A34279"/>
    <w:rsid w:val="00A34595"/>
    <w:rsid w:val="00A34A69"/>
    <w:rsid w:val="00A3546E"/>
    <w:rsid w:val="00A3597B"/>
    <w:rsid w:val="00A35EA7"/>
    <w:rsid w:val="00A36194"/>
    <w:rsid w:val="00A4175F"/>
    <w:rsid w:val="00A42753"/>
    <w:rsid w:val="00A43CD8"/>
    <w:rsid w:val="00A43E8B"/>
    <w:rsid w:val="00A44411"/>
    <w:rsid w:val="00A44597"/>
    <w:rsid w:val="00A446B7"/>
    <w:rsid w:val="00A44CFE"/>
    <w:rsid w:val="00A461C0"/>
    <w:rsid w:val="00A469FA"/>
    <w:rsid w:val="00A46FEC"/>
    <w:rsid w:val="00A47499"/>
    <w:rsid w:val="00A4790A"/>
    <w:rsid w:val="00A50CE7"/>
    <w:rsid w:val="00A51277"/>
    <w:rsid w:val="00A522C2"/>
    <w:rsid w:val="00A53B46"/>
    <w:rsid w:val="00A541C3"/>
    <w:rsid w:val="00A5460A"/>
    <w:rsid w:val="00A546AF"/>
    <w:rsid w:val="00A54F67"/>
    <w:rsid w:val="00A55284"/>
    <w:rsid w:val="00A55994"/>
    <w:rsid w:val="00A55B01"/>
    <w:rsid w:val="00A566AF"/>
    <w:rsid w:val="00A56B5B"/>
    <w:rsid w:val="00A5721C"/>
    <w:rsid w:val="00A57A9B"/>
    <w:rsid w:val="00A57FF0"/>
    <w:rsid w:val="00A603FF"/>
    <w:rsid w:val="00A61DAB"/>
    <w:rsid w:val="00A6263A"/>
    <w:rsid w:val="00A62FAB"/>
    <w:rsid w:val="00A631B8"/>
    <w:rsid w:val="00A64160"/>
    <w:rsid w:val="00A64F47"/>
    <w:rsid w:val="00A657DD"/>
    <w:rsid w:val="00A66223"/>
    <w:rsid w:val="00A662C3"/>
    <w:rsid w:val="00A66448"/>
    <w:rsid w:val="00A666A6"/>
    <w:rsid w:val="00A6734A"/>
    <w:rsid w:val="00A675FD"/>
    <w:rsid w:val="00A67CF0"/>
    <w:rsid w:val="00A706CF"/>
    <w:rsid w:val="00A71028"/>
    <w:rsid w:val="00A717A1"/>
    <w:rsid w:val="00A71EFB"/>
    <w:rsid w:val="00A72437"/>
    <w:rsid w:val="00A72B79"/>
    <w:rsid w:val="00A731B4"/>
    <w:rsid w:val="00A7389B"/>
    <w:rsid w:val="00A7449B"/>
    <w:rsid w:val="00A75B5B"/>
    <w:rsid w:val="00A7751B"/>
    <w:rsid w:val="00A77A7B"/>
    <w:rsid w:val="00A77FFD"/>
    <w:rsid w:val="00A8021A"/>
    <w:rsid w:val="00A80611"/>
    <w:rsid w:val="00A80653"/>
    <w:rsid w:val="00A806C8"/>
    <w:rsid w:val="00A8333C"/>
    <w:rsid w:val="00A83A05"/>
    <w:rsid w:val="00A84ED8"/>
    <w:rsid w:val="00A8745F"/>
    <w:rsid w:val="00A90554"/>
    <w:rsid w:val="00A90E16"/>
    <w:rsid w:val="00A91DFB"/>
    <w:rsid w:val="00A93640"/>
    <w:rsid w:val="00A950D3"/>
    <w:rsid w:val="00A95E2C"/>
    <w:rsid w:val="00A9625F"/>
    <w:rsid w:val="00A971DE"/>
    <w:rsid w:val="00A97A9B"/>
    <w:rsid w:val="00AA08E8"/>
    <w:rsid w:val="00AA11BD"/>
    <w:rsid w:val="00AA5DF7"/>
    <w:rsid w:val="00AA73A0"/>
    <w:rsid w:val="00AA7FA6"/>
    <w:rsid w:val="00AB079C"/>
    <w:rsid w:val="00AB1580"/>
    <w:rsid w:val="00AB197C"/>
    <w:rsid w:val="00AB286B"/>
    <w:rsid w:val="00AB3291"/>
    <w:rsid w:val="00AB4738"/>
    <w:rsid w:val="00AB48AD"/>
    <w:rsid w:val="00AB5340"/>
    <w:rsid w:val="00AB7A06"/>
    <w:rsid w:val="00AC0A89"/>
    <w:rsid w:val="00AC25C0"/>
    <w:rsid w:val="00AC2659"/>
    <w:rsid w:val="00AC2DDA"/>
    <w:rsid w:val="00AC3E1F"/>
    <w:rsid w:val="00AC4EC1"/>
    <w:rsid w:val="00AC5829"/>
    <w:rsid w:val="00AC5CBF"/>
    <w:rsid w:val="00AC5E6D"/>
    <w:rsid w:val="00AC65E2"/>
    <w:rsid w:val="00AC6CB4"/>
    <w:rsid w:val="00AC7C96"/>
    <w:rsid w:val="00AC7FD3"/>
    <w:rsid w:val="00AD07BC"/>
    <w:rsid w:val="00AD08A5"/>
    <w:rsid w:val="00AD3B73"/>
    <w:rsid w:val="00AD4230"/>
    <w:rsid w:val="00AD537A"/>
    <w:rsid w:val="00AD60CF"/>
    <w:rsid w:val="00AD621E"/>
    <w:rsid w:val="00AD6A92"/>
    <w:rsid w:val="00AD6C25"/>
    <w:rsid w:val="00AD6D07"/>
    <w:rsid w:val="00AD7431"/>
    <w:rsid w:val="00AE07FE"/>
    <w:rsid w:val="00AE0B0F"/>
    <w:rsid w:val="00AE237D"/>
    <w:rsid w:val="00AE2FE4"/>
    <w:rsid w:val="00AE502A"/>
    <w:rsid w:val="00AE519B"/>
    <w:rsid w:val="00AE5D86"/>
    <w:rsid w:val="00AE6AB6"/>
    <w:rsid w:val="00AE7904"/>
    <w:rsid w:val="00AF051A"/>
    <w:rsid w:val="00AF108D"/>
    <w:rsid w:val="00AF1C06"/>
    <w:rsid w:val="00AF4CF1"/>
    <w:rsid w:val="00AF7C07"/>
    <w:rsid w:val="00B00F09"/>
    <w:rsid w:val="00B02D5B"/>
    <w:rsid w:val="00B0315E"/>
    <w:rsid w:val="00B04867"/>
    <w:rsid w:val="00B04B87"/>
    <w:rsid w:val="00B04DF0"/>
    <w:rsid w:val="00B05347"/>
    <w:rsid w:val="00B05B3A"/>
    <w:rsid w:val="00B06F6C"/>
    <w:rsid w:val="00B07DC5"/>
    <w:rsid w:val="00B10B8B"/>
    <w:rsid w:val="00B10F06"/>
    <w:rsid w:val="00B112AD"/>
    <w:rsid w:val="00B11663"/>
    <w:rsid w:val="00B12B35"/>
    <w:rsid w:val="00B143CD"/>
    <w:rsid w:val="00B147FB"/>
    <w:rsid w:val="00B1496E"/>
    <w:rsid w:val="00B15FFF"/>
    <w:rsid w:val="00B167EB"/>
    <w:rsid w:val="00B16D48"/>
    <w:rsid w:val="00B175FE"/>
    <w:rsid w:val="00B2129F"/>
    <w:rsid w:val="00B21C6A"/>
    <w:rsid w:val="00B22C93"/>
    <w:rsid w:val="00B23285"/>
    <w:rsid w:val="00B23360"/>
    <w:rsid w:val="00B23EFE"/>
    <w:rsid w:val="00B249CC"/>
    <w:rsid w:val="00B24C39"/>
    <w:rsid w:val="00B27589"/>
    <w:rsid w:val="00B307F2"/>
    <w:rsid w:val="00B30A3E"/>
    <w:rsid w:val="00B31884"/>
    <w:rsid w:val="00B32428"/>
    <w:rsid w:val="00B330A0"/>
    <w:rsid w:val="00B336A3"/>
    <w:rsid w:val="00B345D0"/>
    <w:rsid w:val="00B34814"/>
    <w:rsid w:val="00B35521"/>
    <w:rsid w:val="00B361B8"/>
    <w:rsid w:val="00B36312"/>
    <w:rsid w:val="00B36CEE"/>
    <w:rsid w:val="00B3712A"/>
    <w:rsid w:val="00B375B8"/>
    <w:rsid w:val="00B4016F"/>
    <w:rsid w:val="00B40396"/>
    <w:rsid w:val="00B40446"/>
    <w:rsid w:val="00B405B7"/>
    <w:rsid w:val="00B40934"/>
    <w:rsid w:val="00B40C35"/>
    <w:rsid w:val="00B40CD8"/>
    <w:rsid w:val="00B4162D"/>
    <w:rsid w:val="00B41AB9"/>
    <w:rsid w:val="00B43103"/>
    <w:rsid w:val="00B45C7D"/>
    <w:rsid w:val="00B5057F"/>
    <w:rsid w:val="00B514E0"/>
    <w:rsid w:val="00B52222"/>
    <w:rsid w:val="00B52657"/>
    <w:rsid w:val="00B53D4C"/>
    <w:rsid w:val="00B5428A"/>
    <w:rsid w:val="00B54847"/>
    <w:rsid w:val="00B54FE7"/>
    <w:rsid w:val="00B56FC5"/>
    <w:rsid w:val="00B6164B"/>
    <w:rsid w:val="00B61B8F"/>
    <w:rsid w:val="00B61C63"/>
    <w:rsid w:val="00B61FEC"/>
    <w:rsid w:val="00B62788"/>
    <w:rsid w:val="00B63DEA"/>
    <w:rsid w:val="00B65ACD"/>
    <w:rsid w:val="00B66901"/>
    <w:rsid w:val="00B678B0"/>
    <w:rsid w:val="00B700F1"/>
    <w:rsid w:val="00B70DA0"/>
    <w:rsid w:val="00B71E6D"/>
    <w:rsid w:val="00B72070"/>
    <w:rsid w:val="00B737E9"/>
    <w:rsid w:val="00B74465"/>
    <w:rsid w:val="00B74877"/>
    <w:rsid w:val="00B76670"/>
    <w:rsid w:val="00B779C2"/>
    <w:rsid w:val="00B779E1"/>
    <w:rsid w:val="00B77A74"/>
    <w:rsid w:val="00B804DF"/>
    <w:rsid w:val="00B80668"/>
    <w:rsid w:val="00B80B2B"/>
    <w:rsid w:val="00B81F1B"/>
    <w:rsid w:val="00B83415"/>
    <w:rsid w:val="00B83AB8"/>
    <w:rsid w:val="00B849E3"/>
    <w:rsid w:val="00B84FFB"/>
    <w:rsid w:val="00B854C2"/>
    <w:rsid w:val="00B8563D"/>
    <w:rsid w:val="00B862A7"/>
    <w:rsid w:val="00B867A1"/>
    <w:rsid w:val="00B87333"/>
    <w:rsid w:val="00B90267"/>
    <w:rsid w:val="00B91EE1"/>
    <w:rsid w:val="00B925AB"/>
    <w:rsid w:val="00B93D33"/>
    <w:rsid w:val="00B95187"/>
    <w:rsid w:val="00B961A2"/>
    <w:rsid w:val="00B96F7D"/>
    <w:rsid w:val="00B97976"/>
    <w:rsid w:val="00B97E16"/>
    <w:rsid w:val="00BA0090"/>
    <w:rsid w:val="00BA0F45"/>
    <w:rsid w:val="00BA1063"/>
    <w:rsid w:val="00BA1A67"/>
    <w:rsid w:val="00BA37DB"/>
    <w:rsid w:val="00BA3C2B"/>
    <w:rsid w:val="00BA48ED"/>
    <w:rsid w:val="00BA5209"/>
    <w:rsid w:val="00BA56EE"/>
    <w:rsid w:val="00BA5B94"/>
    <w:rsid w:val="00BA5C93"/>
    <w:rsid w:val="00BA6684"/>
    <w:rsid w:val="00BA6AE9"/>
    <w:rsid w:val="00BA7128"/>
    <w:rsid w:val="00BB0057"/>
    <w:rsid w:val="00BB04E6"/>
    <w:rsid w:val="00BB1ACF"/>
    <w:rsid w:val="00BB1BE8"/>
    <w:rsid w:val="00BB2B51"/>
    <w:rsid w:val="00BB51D0"/>
    <w:rsid w:val="00BB6CF2"/>
    <w:rsid w:val="00BC032A"/>
    <w:rsid w:val="00BC110E"/>
    <w:rsid w:val="00BC12BD"/>
    <w:rsid w:val="00BC1521"/>
    <w:rsid w:val="00BC3247"/>
    <w:rsid w:val="00BC3C38"/>
    <w:rsid w:val="00BC3EE7"/>
    <w:rsid w:val="00BC40FA"/>
    <w:rsid w:val="00BC46E4"/>
    <w:rsid w:val="00BC50F9"/>
    <w:rsid w:val="00BC62AA"/>
    <w:rsid w:val="00BC62F0"/>
    <w:rsid w:val="00BC643F"/>
    <w:rsid w:val="00BC7129"/>
    <w:rsid w:val="00BC7ADF"/>
    <w:rsid w:val="00BD034E"/>
    <w:rsid w:val="00BD079F"/>
    <w:rsid w:val="00BD130B"/>
    <w:rsid w:val="00BD17D8"/>
    <w:rsid w:val="00BD1803"/>
    <w:rsid w:val="00BD2367"/>
    <w:rsid w:val="00BD40FF"/>
    <w:rsid w:val="00BD4AF3"/>
    <w:rsid w:val="00BD5CB3"/>
    <w:rsid w:val="00BD71AA"/>
    <w:rsid w:val="00BE0C17"/>
    <w:rsid w:val="00BE1076"/>
    <w:rsid w:val="00BE1166"/>
    <w:rsid w:val="00BE16DC"/>
    <w:rsid w:val="00BE27E0"/>
    <w:rsid w:val="00BE2BE3"/>
    <w:rsid w:val="00BE3FFF"/>
    <w:rsid w:val="00BE582B"/>
    <w:rsid w:val="00BE5B5F"/>
    <w:rsid w:val="00BE6841"/>
    <w:rsid w:val="00BE7EE5"/>
    <w:rsid w:val="00BF07F4"/>
    <w:rsid w:val="00BF0F7C"/>
    <w:rsid w:val="00BF12A1"/>
    <w:rsid w:val="00BF12F9"/>
    <w:rsid w:val="00BF1775"/>
    <w:rsid w:val="00BF17E5"/>
    <w:rsid w:val="00BF36DA"/>
    <w:rsid w:val="00BF3DA3"/>
    <w:rsid w:val="00BF4DE7"/>
    <w:rsid w:val="00BF5450"/>
    <w:rsid w:val="00BF59F9"/>
    <w:rsid w:val="00BF6B1F"/>
    <w:rsid w:val="00BF70E0"/>
    <w:rsid w:val="00BF7606"/>
    <w:rsid w:val="00BF7A1F"/>
    <w:rsid w:val="00C00772"/>
    <w:rsid w:val="00C00F7A"/>
    <w:rsid w:val="00C016DD"/>
    <w:rsid w:val="00C0231F"/>
    <w:rsid w:val="00C025A8"/>
    <w:rsid w:val="00C02FFD"/>
    <w:rsid w:val="00C05641"/>
    <w:rsid w:val="00C059F0"/>
    <w:rsid w:val="00C065AB"/>
    <w:rsid w:val="00C0725D"/>
    <w:rsid w:val="00C10537"/>
    <w:rsid w:val="00C115BA"/>
    <w:rsid w:val="00C140D1"/>
    <w:rsid w:val="00C148B7"/>
    <w:rsid w:val="00C15469"/>
    <w:rsid w:val="00C15C99"/>
    <w:rsid w:val="00C1604D"/>
    <w:rsid w:val="00C16279"/>
    <w:rsid w:val="00C1654B"/>
    <w:rsid w:val="00C16C2C"/>
    <w:rsid w:val="00C16F30"/>
    <w:rsid w:val="00C17D42"/>
    <w:rsid w:val="00C17FB3"/>
    <w:rsid w:val="00C21EBD"/>
    <w:rsid w:val="00C228DB"/>
    <w:rsid w:val="00C22D57"/>
    <w:rsid w:val="00C245CF"/>
    <w:rsid w:val="00C24EF6"/>
    <w:rsid w:val="00C25742"/>
    <w:rsid w:val="00C25E98"/>
    <w:rsid w:val="00C26F55"/>
    <w:rsid w:val="00C27367"/>
    <w:rsid w:val="00C30094"/>
    <w:rsid w:val="00C3071E"/>
    <w:rsid w:val="00C30AF2"/>
    <w:rsid w:val="00C30C63"/>
    <w:rsid w:val="00C31201"/>
    <w:rsid w:val="00C31247"/>
    <w:rsid w:val="00C33FE3"/>
    <w:rsid w:val="00C345E4"/>
    <w:rsid w:val="00C348FC"/>
    <w:rsid w:val="00C368C0"/>
    <w:rsid w:val="00C36B8B"/>
    <w:rsid w:val="00C37481"/>
    <w:rsid w:val="00C374E0"/>
    <w:rsid w:val="00C400AF"/>
    <w:rsid w:val="00C415C1"/>
    <w:rsid w:val="00C42012"/>
    <w:rsid w:val="00C4337E"/>
    <w:rsid w:val="00C43488"/>
    <w:rsid w:val="00C44CC7"/>
    <w:rsid w:val="00C44F94"/>
    <w:rsid w:val="00C450CE"/>
    <w:rsid w:val="00C45D13"/>
    <w:rsid w:val="00C4646D"/>
    <w:rsid w:val="00C47DBF"/>
    <w:rsid w:val="00C500EF"/>
    <w:rsid w:val="00C50122"/>
    <w:rsid w:val="00C50B20"/>
    <w:rsid w:val="00C50C11"/>
    <w:rsid w:val="00C51969"/>
    <w:rsid w:val="00C5198E"/>
    <w:rsid w:val="00C52AC2"/>
    <w:rsid w:val="00C52CB0"/>
    <w:rsid w:val="00C535C1"/>
    <w:rsid w:val="00C54716"/>
    <w:rsid w:val="00C54D89"/>
    <w:rsid w:val="00C552FF"/>
    <w:rsid w:val="00C558DA"/>
    <w:rsid w:val="00C55AF3"/>
    <w:rsid w:val="00C572CB"/>
    <w:rsid w:val="00C57B7B"/>
    <w:rsid w:val="00C63DA1"/>
    <w:rsid w:val="00C647B0"/>
    <w:rsid w:val="00C6679D"/>
    <w:rsid w:val="00C70A93"/>
    <w:rsid w:val="00C7408B"/>
    <w:rsid w:val="00C75250"/>
    <w:rsid w:val="00C75D6F"/>
    <w:rsid w:val="00C7667A"/>
    <w:rsid w:val="00C76A65"/>
    <w:rsid w:val="00C77913"/>
    <w:rsid w:val="00C828F4"/>
    <w:rsid w:val="00C836CD"/>
    <w:rsid w:val="00C83D4B"/>
    <w:rsid w:val="00C843DA"/>
    <w:rsid w:val="00C84759"/>
    <w:rsid w:val="00C8607F"/>
    <w:rsid w:val="00C86BA4"/>
    <w:rsid w:val="00C86D73"/>
    <w:rsid w:val="00C87A78"/>
    <w:rsid w:val="00C87B8E"/>
    <w:rsid w:val="00C87D2D"/>
    <w:rsid w:val="00C87F5E"/>
    <w:rsid w:val="00C90E14"/>
    <w:rsid w:val="00C9131A"/>
    <w:rsid w:val="00C91488"/>
    <w:rsid w:val="00C91705"/>
    <w:rsid w:val="00C9172B"/>
    <w:rsid w:val="00C91A90"/>
    <w:rsid w:val="00C92F5A"/>
    <w:rsid w:val="00C92FC0"/>
    <w:rsid w:val="00C93876"/>
    <w:rsid w:val="00C93909"/>
    <w:rsid w:val="00C93A7C"/>
    <w:rsid w:val="00C95CCD"/>
    <w:rsid w:val="00C95D55"/>
    <w:rsid w:val="00CA0012"/>
    <w:rsid w:val="00CA1F79"/>
    <w:rsid w:val="00CA29AD"/>
    <w:rsid w:val="00CA3504"/>
    <w:rsid w:val="00CA46EB"/>
    <w:rsid w:val="00CA5ECE"/>
    <w:rsid w:val="00CA6163"/>
    <w:rsid w:val="00CA6C7F"/>
    <w:rsid w:val="00CB1219"/>
    <w:rsid w:val="00CB19F4"/>
    <w:rsid w:val="00CB2842"/>
    <w:rsid w:val="00CB3112"/>
    <w:rsid w:val="00CB37D0"/>
    <w:rsid w:val="00CB5885"/>
    <w:rsid w:val="00CB659C"/>
    <w:rsid w:val="00CB664A"/>
    <w:rsid w:val="00CB683A"/>
    <w:rsid w:val="00CB72F5"/>
    <w:rsid w:val="00CB769A"/>
    <w:rsid w:val="00CB7C4E"/>
    <w:rsid w:val="00CC10A6"/>
    <w:rsid w:val="00CC12AF"/>
    <w:rsid w:val="00CC183B"/>
    <w:rsid w:val="00CC1A2B"/>
    <w:rsid w:val="00CC2FDC"/>
    <w:rsid w:val="00CC3C2E"/>
    <w:rsid w:val="00CC3D22"/>
    <w:rsid w:val="00CC3D32"/>
    <w:rsid w:val="00CC4038"/>
    <w:rsid w:val="00CC4328"/>
    <w:rsid w:val="00CC5530"/>
    <w:rsid w:val="00CC58D7"/>
    <w:rsid w:val="00CC7982"/>
    <w:rsid w:val="00CC7AE2"/>
    <w:rsid w:val="00CC7F63"/>
    <w:rsid w:val="00CD041C"/>
    <w:rsid w:val="00CD0CA0"/>
    <w:rsid w:val="00CD2F73"/>
    <w:rsid w:val="00CD3204"/>
    <w:rsid w:val="00CD48E9"/>
    <w:rsid w:val="00CD4939"/>
    <w:rsid w:val="00CD4F3F"/>
    <w:rsid w:val="00CD54FB"/>
    <w:rsid w:val="00CD5E3C"/>
    <w:rsid w:val="00CD5EB8"/>
    <w:rsid w:val="00CD6A62"/>
    <w:rsid w:val="00CD7044"/>
    <w:rsid w:val="00CD71B0"/>
    <w:rsid w:val="00CE08B9"/>
    <w:rsid w:val="00CE1210"/>
    <w:rsid w:val="00CE1712"/>
    <w:rsid w:val="00CE25B8"/>
    <w:rsid w:val="00CE3103"/>
    <w:rsid w:val="00CE40FF"/>
    <w:rsid w:val="00CE4D53"/>
    <w:rsid w:val="00CE524C"/>
    <w:rsid w:val="00CE5560"/>
    <w:rsid w:val="00CE69B6"/>
    <w:rsid w:val="00CE7A66"/>
    <w:rsid w:val="00CF1131"/>
    <w:rsid w:val="00CF141F"/>
    <w:rsid w:val="00CF1EAA"/>
    <w:rsid w:val="00CF2292"/>
    <w:rsid w:val="00CF32DC"/>
    <w:rsid w:val="00CF3BFC"/>
    <w:rsid w:val="00CF4405"/>
    <w:rsid w:val="00CF4777"/>
    <w:rsid w:val="00CF56C6"/>
    <w:rsid w:val="00D0232F"/>
    <w:rsid w:val="00D02E6A"/>
    <w:rsid w:val="00D057C2"/>
    <w:rsid w:val="00D05B33"/>
    <w:rsid w:val="00D067BB"/>
    <w:rsid w:val="00D06904"/>
    <w:rsid w:val="00D07EDB"/>
    <w:rsid w:val="00D10C5D"/>
    <w:rsid w:val="00D12103"/>
    <w:rsid w:val="00D1239E"/>
    <w:rsid w:val="00D12AF7"/>
    <w:rsid w:val="00D1352A"/>
    <w:rsid w:val="00D13873"/>
    <w:rsid w:val="00D13A47"/>
    <w:rsid w:val="00D13F64"/>
    <w:rsid w:val="00D157CE"/>
    <w:rsid w:val="00D169AF"/>
    <w:rsid w:val="00D16DC0"/>
    <w:rsid w:val="00D172C7"/>
    <w:rsid w:val="00D21BE4"/>
    <w:rsid w:val="00D230CC"/>
    <w:rsid w:val="00D2333C"/>
    <w:rsid w:val="00D2342C"/>
    <w:rsid w:val="00D239F1"/>
    <w:rsid w:val="00D25249"/>
    <w:rsid w:val="00D25A10"/>
    <w:rsid w:val="00D25ED8"/>
    <w:rsid w:val="00D260A5"/>
    <w:rsid w:val="00D26E04"/>
    <w:rsid w:val="00D30853"/>
    <w:rsid w:val="00D30A91"/>
    <w:rsid w:val="00D314FC"/>
    <w:rsid w:val="00D3212F"/>
    <w:rsid w:val="00D32592"/>
    <w:rsid w:val="00D32D88"/>
    <w:rsid w:val="00D33002"/>
    <w:rsid w:val="00D33365"/>
    <w:rsid w:val="00D33B23"/>
    <w:rsid w:val="00D34272"/>
    <w:rsid w:val="00D343BC"/>
    <w:rsid w:val="00D34988"/>
    <w:rsid w:val="00D34DE9"/>
    <w:rsid w:val="00D35D17"/>
    <w:rsid w:val="00D35F94"/>
    <w:rsid w:val="00D4073D"/>
    <w:rsid w:val="00D423D1"/>
    <w:rsid w:val="00D42ED1"/>
    <w:rsid w:val="00D4332C"/>
    <w:rsid w:val="00D44172"/>
    <w:rsid w:val="00D443D7"/>
    <w:rsid w:val="00D447AA"/>
    <w:rsid w:val="00D462FB"/>
    <w:rsid w:val="00D4633D"/>
    <w:rsid w:val="00D4703E"/>
    <w:rsid w:val="00D5196B"/>
    <w:rsid w:val="00D51AA0"/>
    <w:rsid w:val="00D522CE"/>
    <w:rsid w:val="00D527E0"/>
    <w:rsid w:val="00D52F2A"/>
    <w:rsid w:val="00D543EE"/>
    <w:rsid w:val="00D550D7"/>
    <w:rsid w:val="00D552F8"/>
    <w:rsid w:val="00D5585F"/>
    <w:rsid w:val="00D55DA9"/>
    <w:rsid w:val="00D566CB"/>
    <w:rsid w:val="00D5677E"/>
    <w:rsid w:val="00D570DB"/>
    <w:rsid w:val="00D57425"/>
    <w:rsid w:val="00D60774"/>
    <w:rsid w:val="00D60A3B"/>
    <w:rsid w:val="00D60B05"/>
    <w:rsid w:val="00D61386"/>
    <w:rsid w:val="00D61FBB"/>
    <w:rsid w:val="00D63B8C"/>
    <w:rsid w:val="00D63D88"/>
    <w:rsid w:val="00D64AFD"/>
    <w:rsid w:val="00D650A2"/>
    <w:rsid w:val="00D65163"/>
    <w:rsid w:val="00D652E7"/>
    <w:rsid w:val="00D6696F"/>
    <w:rsid w:val="00D6740D"/>
    <w:rsid w:val="00D70BC6"/>
    <w:rsid w:val="00D70CFC"/>
    <w:rsid w:val="00D72AD1"/>
    <w:rsid w:val="00D739CC"/>
    <w:rsid w:val="00D74DDC"/>
    <w:rsid w:val="00D75538"/>
    <w:rsid w:val="00D76E06"/>
    <w:rsid w:val="00D8030E"/>
    <w:rsid w:val="00D80901"/>
    <w:rsid w:val="00D8093D"/>
    <w:rsid w:val="00D8108C"/>
    <w:rsid w:val="00D811CD"/>
    <w:rsid w:val="00D81B54"/>
    <w:rsid w:val="00D8380A"/>
    <w:rsid w:val="00D83838"/>
    <w:rsid w:val="00D83C34"/>
    <w:rsid w:val="00D84165"/>
    <w:rsid w:val="00D842AE"/>
    <w:rsid w:val="00D846CE"/>
    <w:rsid w:val="00D84C36"/>
    <w:rsid w:val="00D84C60"/>
    <w:rsid w:val="00D86A80"/>
    <w:rsid w:val="00D9211C"/>
    <w:rsid w:val="00D92228"/>
    <w:rsid w:val="00D92421"/>
    <w:rsid w:val="00D92BFC"/>
    <w:rsid w:val="00D92DE0"/>
    <w:rsid w:val="00D92FEF"/>
    <w:rsid w:val="00D93A0F"/>
    <w:rsid w:val="00D94656"/>
    <w:rsid w:val="00D96201"/>
    <w:rsid w:val="00DA0077"/>
    <w:rsid w:val="00DA03CF"/>
    <w:rsid w:val="00DA1BCA"/>
    <w:rsid w:val="00DA1DC0"/>
    <w:rsid w:val="00DA2583"/>
    <w:rsid w:val="00DA34F5"/>
    <w:rsid w:val="00DA3F4D"/>
    <w:rsid w:val="00DA46D5"/>
    <w:rsid w:val="00DA4E69"/>
    <w:rsid w:val="00DA5935"/>
    <w:rsid w:val="00DA5B9A"/>
    <w:rsid w:val="00DA606E"/>
    <w:rsid w:val="00DA63DF"/>
    <w:rsid w:val="00DA6763"/>
    <w:rsid w:val="00DA6A1B"/>
    <w:rsid w:val="00DA7019"/>
    <w:rsid w:val="00DB1B1D"/>
    <w:rsid w:val="00DB1DE8"/>
    <w:rsid w:val="00DB286E"/>
    <w:rsid w:val="00DB2DF8"/>
    <w:rsid w:val="00DB456A"/>
    <w:rsid w:val="00DB4F2D"/>
    <w:rsid w:val="00DB55EA"/>
    <w:rsid w:val="00DB5B32"/>
    <w:rsid w:val="00DB6951"/>
    <w:rsid w:val="00DB71D3"/>
    <w:rsid w:val="00DC10DA"/>
    <w:rsid w:val="00DC232B"/>
    <w:rsid w:val="00DC2A27"/>
    <w:rsid w:val="00DC463A"/>
    <w:rsid w:val="00DC46FF"/>
    <w:rsid w:val="00DC5254"/>
    <w:rsid w:val="00DC6450"/>
    <w:rsid w:val="00DC6C30"/>
    <w:rsid w:val="00DC6DC5"/>
    <w:rsid w:val="00DC74F0"/>
    <w:rsid w:val="00DC7CC1"/>
    <w:rsid w:val="00DD1A4F"/>
    <w:rsid w:val="00DD2366"/>
    <w:rsid w:val="00DD26E6"/>
    <w:rsid w:val="00DD2A27"/>
    <w:rsid w:val="00DD3107"/>
    <w:rsid w:val="00DD3899"/>
    <w:rsid w:val="00DD3CB5"/>
    <w:rsid w:val="00DD4473"/>
    <w:rsid w:val="00DD492B"/>
    <w:rsid w:val="00DD53A4"/>
    <w:rsid w:val="00DD6AED"/>
    <w:rsid w:val="00DD76B6"/>
    <w:rsid w:val="00DD7C2C"/>
    <w:rsid w:val="00DE0096"/>
    <w:rsid w:val="00DE059B"/>
    <w:rsid w:val="00DE0798"/>
    <w:rsid w:val="00DE17CE"/>
    <w:rsid w:val="00DE1A26"/>
    <w:rsid w:val="00DE4946"/>
    <w:rsid w:val="00DE4B7B"/>
    <w:rsid w:val="00DE735B"/>
    <w:rsid w:val="00DE73D7"/>
    <w:rsid w:val="00DF17E9"/>
    <w:rsid w:val="00DF2A20"/>
    <w:rsid w:val="00DF3145"/>
    <w:rsid w:val="00DF3E44"/>
    <w:rsid w:val="00DF4314"/>
    <w:rsid w:val="00DF48CA"/>
    <w:rsid w:val="00DF4998"/>
    <w:rsid w:val="00DF4FAB"/>
    <w:rsid w:val="00DF5BD2"/>
    <w:rsid w:val="00DF5C74"/>
    <w:rsid w:val="00DF70BF"/>
    <w:rsid w:val="00DF7F80"/>
    <w:rsid w:val="00E0064E"/>
    <w:rsid w:val="00E014D9"/>
    <w:rsid w:val="00E01825"/>
    <w:rsid w:val="00E01F97"/>
    <w:rsid w:val="00E02530"/>
    <w:rsid w:val="00E032B6"/>
    <w:rsid w:val="00E04FF0"/>
    <w:rsid w:val="00E06797"/>
    <w:rsid w:val="00E06C19"/>
    <w:rsid w:val="00E072CC"/>
    <w:rsid w:val="00E10B3B"/>
    <w:rsid w:val="00E1265B"/>
    <w:rsid w:val="00E138FD"/>
    <w:rsid w:val="00E13B48"/>
    <w:rsid w:val="00E1404F"/>
    <w:rsid w:val="00E14791"/>
    <w:rsid w:val="00E148EF"/>
    <w:rsid w:val="00E14F22"/>
    <w:rsid w:val="00E21C83"/>
    <w:rsid w:val="00E22D51"/>
    <w:rsid w:val="00E24063"/>
    <w:rsid w:val="00E24ADA"/>
    <w:rsid w:val="00E266CE"/>
    <w:rsid w:val="00E26899"/>
    <w:rsid w:val="00E26A32"/>
    <w:rsid w:val="00E271A6"/>
    <w:rsid w:val="00E276A4"/>
    <w:rsid w:val="00E3184E"/>
    <w:rsid w:val="00E32638"/>
    <w:rsid w:val="00E32F59"/>
    <w:rsid w:val="00E33196"/>
    <w:rsid w:val="00E33234"/>
    <w:rsid w:val="00E3329D"/>
    <w:rsid w:val="00E362BD"/>
    <w:rsid w:val="00E36E10"/>
    <w:rsid w:val="00E37D7B"/>
    <w:rsid w:val="00E4190C"/>
    <w:rsid w:val="00E4231E"/>
    <w:rsid w:val="00E43DC4"/>
    <w:rsid w:val="00E444BE"/>
    <w:rsid w:val="00E448F8"/>
    <w:rsid w:val="00E4499E"/>
    <w:rsid w:val="00E46D9A"/>
    <w:rsid w:val="00E527B0"/>
    <w:rsid w:val="00E542F8"/>
    <w:rsid w:val="00E54949"/>
    <w:rsid w:val="00E54FEB"/>
    <w:rsid w:val="00E565FF"/>
    <w:rsid w:val="00E56D75"/>
    <w:rsid w:val="00E60007"/>
    <w:rsid w:val="00E62103"/>
    <w:rsid w:val="00E65388"/>
    <w:rsid w:val="00E65DA0"/>
    <w:rsid w:val="00E66304"/>
    <w:rsid w:val="00E670F1"/>
    <w:rsid w:val="00E6746B"/>
    <w:rsid w:val="00E70DC1"/>
    <w:rsid w:val="00E70E61"/>
    <w:rsid w:val="00E721AD"/>
    <w:rsid w:val="00E726A7"/>
    <w:rsid w:val="00E72A39"/>
    <w:rsid w:val="00E7369B"/>
    <w:rsid w:val="00E7443F"/>
    <w:rsid w:val="00E74D7F"/>
    <w:rsid w:val="00E74FE7"/>
    <w:rsid w:val="00E76BE8"/>
    <w:rsid w:val="00E811E4"/>
    <w:rsid w:val="00E83568"/>
    <w:rsid w:val="00E845B7"/>
    <w:rsid w:val="00E853EA"/>
    <w:rsid w:val="00E85B7D"/>
    <w:rsid w:val="00E86339"/>
    <w:rsid w:val="00E90FC4"/>
    <w:rsid w:val="00E9121B"/>
    <w:rsid w:val="00E91333"/>
    <w:rsid w:val="00E91D53"/>
    <w:rsid w:val="00E91F93"/>
    <w:rsid w:val="00E925B1"/>
    <w:rsid w:val="00E93430"/>
    <w:rsid w:val="00E93BB1"/>
    <w:rsid w:val="00E942CC"/>
    <w:rsid w:val="00E96827"/>
    <w:rsid w:val="00E96C4E"/>
    <w:rsid w:val="00E96DA8"/>
    <w:rsid w:val="00E97F9F"/>
    <w:rsid w:val="00EA007E"/>
    <w:rsid w:val="00EA00F0"/>
    <w:rsid w:val="00EA0AE2"/>
    <w:rsid w:val="00EA13E8"/>
    <w:rsid w:val="00EA1B44"/>
    <w:rsid w:val="00EA1EA2"/>
    <w:rsid w:val="00EA2CF9"/>
    <w:rsid w:val="00EA3732"/>
    <w:rsid w:val="00EA3772"/>
    <w:rsid w:val="00EA39E5"/>
    <w:rsid w:val="00EA4F53"/>
    <w:rsid w:val="00EA676F"/>
    <w:rsid w:val="00EA6B17"/>
    <w:rsid w:val="00EA6BEB"/>
    <w:rsid w:val="00EB00A6"/>
    <w:rsid w:val="00EB0F99"/>
    <w:rsid w:val="00EB1211"/>
    <w:rsid w:val="00EB48F0"/>
    <w:rsid w:val="00EB539D"/>
    <w:rsid w:val="00EB624D"/>
    <w:rsid w:val="00EB629E"/>
    <w:rsid w:val="00EB79F7"/>
    <w:rsid w:val="00EC05B8"/>
    <w:rsid w:val="00EC13FC"/>
    <w:rsid w:val="00EC2552"/>
    <w:rsid w:val="00EC2626"/>
    <w:rsid w:val="00EC39E3"/>
    <w:rsid w:val="00EC5721"/>
    <w:rsid w:val="00EC5A46"/>
    <w:rsid w:val="00EC5DB2"/>
    <w:rsid w:val="00EC63E2"/>
    <w:rsid w:val="00ED037F"/>
    <w:rsid w:val="00ED0DEC"/>
    <w:rsid w:val="00ED0F86"/>
    <w:rsid w:val="00ED155C"/>
    <w:rsid w:val="00ED3705"/>
    <w:rsid w:val="00ED4342"/>
    <w:rsid w:val="00ED4C7B"/>
    <w:rsid w:val="00ED5280"/>
    <w:rsid w:val="00ED634C"/>
    <w:rsid w:val="00ED719E"/>
    <w:rsid w:val="00ED7F18"/>
    <w:rsid w:val="00EE0073"/>
    <w:rsid w:val="00EE0374"/>
    <w:rsid w:val="00EE15E0"/>
    <w:rsid w:val="00EE1C4D"/>
    <w:rsid w:val="00EE1E3A"/>
    <w:rsid w:val="00EE2AD1"/>
    <w:rsid w:val="00EE56C3"/>
    <w:rsid w:val="00EE69EF"/>
    <w:rsid w:val="00EE6A3C"/>
    <w:rsid w:val="00EF0A65"/>
    <w:rsid w:val="00EF1A4C"/>
    <w:rsid w:val="00EF1BAB"/>
    <w:rsid w:val="00EF1F6D"/>
    <w:rsid w:val="00EF22B3"/>
    <w:rsid w:val="00EF2E48"/>
    <w:rsid w:val="00EF3848"/>
    <w:rsid w:val="00EF4819"/>
    <w:rsid w:val="00EF4BCB"/>
    <w:rsid w:val="00EF59B9"/>
    <w:rsid w:val="00EF61FB"/>
    <w:rsid w:val="00EF68DD"/>
    <w:rsid w:val="00EF77A5"/>
    <w:rsid w:val="00F02B9E"/>
    <w:rsid w:val="00F03B69"/>
    <w:rsid w:val="00F0404B"/>
    <w:rsid w:val="00F0432A"/>
    <w:rsid w:val="00F05C85"/>
    <w:rsid w:val="00F06265"/>
    <w:rsid w:val="00F067A5"/>
    <w:rsid w:val="00F06E56"/>
    <w:rsid w:val="00F07239"/>
    <w:rsid w:val="00F0784A"/>
    <w:rsid w:val="00F0797C"/>
    <w:rsid w:val="00F07A50"/>
    <w:rsid w:val="00F113DA"/>
    <w:rsid w:val="00F116A8"/>
    <w:rsid w:val="00F11AC1"/>
    <w:rsid w:val="00F1440A"/>
    <w:rsid w:val="00F15122"/>
    <w:rsid w:val="00F15B77"/>
    <w:rsid w:val="00F15FB3"/>
    <w:rsid w:val="00F16369"/>
    <w:rsid w:val="00F1646F"/>
    <w:rsid w:val="00F179BA"/>
    <w:rsid w:val="00F17E73"/>
    <w:rsid w:val="00F208A0"/>
    <w:rsid w:val="00F21B20"/>
    <w:rsid w:val="00F230F4"/>
    <w:rsid w:val="00F24483"/>
    <w:rsid w:val="00F2462F"/>
    <w:rsid w:val="00F24D0A"/>
    <w:rsid w:val="00F25D5A"/>
    <w:rsid w:val="00F2696C"/>
    <w:rsid w:val="00F26D1F"/>
    <w:rsid w:val="00F27E14"/>
    <w:rsid w:val="00F300AD"/>
    <w:rsid w:val="00F30307"/>
    <w:rsid w:val="00F31397"/>
    <w:rsid w:val="00F33EBB"/>
    <w:rsid w:val="00F34719"/>
    <w:rsid w:val="00F35F19"/>
    <w:rsid w:val="00F363A4"/>
    <w:rsid w:val="00F37325"/>
    <w:rsid w:val="00F37DC8"/>
    <w:rsid w:val="00F37F2E"/>
    <w:rsid w:val="00F40AFA"/>
    <w:rsid w:val="00F42533"/>
    <w:rsid w:val="00F42560"/>
    <w:rsid w:val="00F42C7B"/>
    <w:rsid w:val="00F434A1"/>
    <w:rsid w:val="00F439B3"/>
    <w:rsid w:val="00F44142"/>
    <w:rsid w:val="00F44870"/>
    <w:rsid w:val="00F44BDC"/>
    <w:rsid w:val="00F44F94"/>
    <w:rsid w:val="00F45BCE"/>
    <w:rsid w:val="00F471B2"/>
    <w:rsid w:val="00F47496"/>
    <w:rsid w:val="00F47FAF"/>
    <w:rsid w:val="00F51D83"/>
    <w:rsid w:val="00F53129"/>
    <w:rsid w:val="00F53143"/>
    <w:rsid w:val="00F53750"/>
    <w:rsid w:val="00F5456E"/>
    <w:rsid w:val="00F54DFE"/>
    <w:rsid w:val="00F55847"/>
    <w:rsid w:val="00F60617"/>
    <w:rsid w:val="00F60681"/>
    <w:rsid w:val="00F61920"/>
    <w:rsid w:val="00F61FB7"/>
    <w:rsid w:val="00F631C8"/>
    <w:rsid w:val="00F6332D"/>
    <w:rsid w:val="00F63661"/>
    <w:rsid w:val="00F63DE4"/>
    <w:rsid w:val="00F64C53"/>
    <w:rsid w:val="00F650C3"/>
    <w:rsid w:val="00F65D85"/>
    <w:rsid w:val="00F66167"/>
    <w:rsid w:val="00F7010B"/>
    <w:rsid w:val="00F7088D"/>
    <w:rsid w:val="00F70C7D"/>
    <w:rsid w:val="00F70F97"/>
    <w:rsid w:val="00F73953"/>
    <w:rsid w:val="00F74928"/>
    <w:rsid w:val="00F7542C"/>
    <w:rsid w:val="00F76653"/>
    <w:rsid w:val="00F8091E"/>
    <w:rsid w:val="00F81797"/>
    <w:rsid w:val="00F839A2"/>
    <w:rsid w:val="00F8484B"/>
    <w:rsid w:val="00F85AE9"/>
    <w:rsid w:val="00F85CDA"/>
    <w:rsid w:val="00F86104"/>
    <w:rsid w:val="00F8615C"/>
    <w:rsid w:val="00F873F8"/>
    <w:rsid w:val="00F90DC3"/>
    <w:rsid w:val="00F91271"/>
    <w:rsid w:val="00F915F6"/>
    <w:rsid w:val="00F92E48"/>
    <w:rsid w:val="00F95785"/>
    <w:rsid w:val="00F96910"/>
    <w:rsid w:val="00F969E5"/>
    <w:rsid w:val="00F96CF6"/>
    <w:rsid w:val="00F96DED"/>
    <w:rsid w:val="00FA0A2A"/>
    <w:rsid w:val="00FA1618"/>
    <w:rsid w:val="00FA6BB0"/>
    <w:rsid w:val="00FB317C"/>
    <w:rsid w:val="00FB3775"/>
    <w:rsid w:val="00FB3C06"/>
    <w:rsid w:val="00FB49C6"/>
    <w:rsid w:val="00FB4A6C"/>
    <w:rsid w:val="00FB4CAB"/>
    <w:rsid w:val="00FB4CD8"/>
    <w:rsid w:val="00FB7DD2"/>
    <w:rsid w:val="00FC12A4"/>
    <w:rsid w:val="00FC2848"/>
    <w:rsid w:val="00FC3EB4"/>
    <w:rsid w:val="00FC5E60"/>
    <w:rsid w:val="00FC623C"/>
    <w:rsid w:val="00FC6BC7"/>
    <w:rsid w:val="00FD04D1"/>
    <w:rsid w:val="00FD162B"/>
    <w:rsid w:val="00FD4524"/>
    <w:rsid w:val="00FD4A9B"/>
    <w:rsid w:val="00FD5625"/>
    <w:rsid w:val="00FD5860"/>
    <w:rsid w:val="00FD6FD9"/>
    <w:rsid w:val="00FE066F"/>
    <w:rsid w:val="00FE096A"/>
    <w:rsid w:val="00FE0BD0"/>
    <w:rsid w:val="00FE19EB"/>
    <w:rsid w:val="00FE1F4B"/>
    <w:rsid w:val="00FE2660"/>
    <w:rsid w:val="00FE2E51"/>
    <w:rsid w:val="00FE352D"/>
    <w:rsid w:val="00FE40EB"/>
    <w:rsid w:val="00FE46BC"/>
    <w:rsid w:val="00FE4AE3"/>
    <w:rsid w:val="00FE4D02"/>
    <w:rsid w:val="00FE5250"/>
    <w:rsid w:val="00FE5F50"/>
    <w:rsid w:val="00FE6C62"/>
    <w:rsid w:val="00FE7D62"/>
    <w:rsid w:val="00FF01EC"/>
    <w:rsid w:val="00FF0314"/>
    <w:rsid w:val="00FF0B3A"/>
    <w:rsid w:val="00FF199F"/>
    <w:rsid w:val="00FF29D5"/>
    <w:rsid w:val="00FF3819"/>
    <w:rsid w:val="00FF45DC"/>
    <w:rsid w:val="00FF4FE7"/>
    <w:rsid w:val="00FF5C9E"/>
    <w:rsid w:val="00FF6F05"/>
    <w:rsid w:val="013B42D4"/>
    <w:rsid w:val="0B2FF3EF"/>
    <w:rsid w:val="0BF9AF13"/>
    <w:rsid w:val="0CBC1C3E"/>
    <w:rsid w:val="0D49E846"/>
    <w:rsid w:val="1019FED2"/>
    <w:rsid w:val="10940058"/>
    <w:rsid w:val="10BAC6EE"/>
    <w:rsid w:val="1258BF38"/>
    <w:rsid w:val="1453186A"/>
    <w:rsid w:val="14E50B62"/>
    <w:rsid w:val="169B5B8C"/>
    <w:rsid w:val="1AD364A0"/>
    <w:rsid w:val="1C97CD3B"/>
    <w:rsid w:val="1E3BF71A"/>
    <w:rsid w:val="1F73E766"/>
    <w:rsid w:val="1F77DC1A"/>
    <w:rsid w:val="1F8A0FCD"/>
    <w:rsid w:val="219597FB"/>
    <w:rsid w:val="2242830C"/>
    <w:rsid w:val="2B5CF977"/>
    <w:rsid w:val="2C73296A"/>
    <w:rsid w:val="2E4C49F6"/>
    <w:rsid w:val="2E4DB45F"/>
    <w:rsid w:val="314909C0"/>
    <w:rsid w:val="35DD11E2"/>
    <w:rsid w:val="3639376F"/>
    <w:rsid w:val="36C22DFB"/>
    <w:rsid w:val="375991ED"/>
    <w:rsid w:val="377A3E54"/>
    <w:rsid w:val="3B015438"/>
    <w:rsid w:val="3B8CD8BB"/>
    <w:rsid w:val="41EE108A"/>
    <w:rsid w:val="439EE124"/>
    <w:rsid w:val="44826381"/>
    <w:rsid w:val="45368AF3"/>
    <w:rsid w:val="45D528EB"/>
    <w:rsid w:val="46378E7B"/>
    <w:rsid w:val="47DBFC0F"/>
    <w:rsid w:val="4AFF3748"/>
    <w:rsid w:val="4CEFF83D"/>
    <w:rsid w:val="4DBA56CB"/>
    <w:rsid w:val="4E25D1C2"/>
    <w:rsid w:val="4F196E54"/>
    <w:rsid w:val="4F328E99"/>
    <w:rsid w:val="50633383"/>
    <w:rsid w:val="50D4E0B6"/>
    <w:rsid w:val="5226CEF7"/>
    <w:rsid w:val="59041D10"/>
    <w:rsid w:val="5AC0656A"/>
    <w:rsid w:val="5B6F4FEF"/>
    <w:rsid w:val="5BEBB00B"/>
    <w:rsid w:val="5CB6D442"/>
    <w:rsid w:val="5E81C9E3"/>
    <w:rsid w:val="5F02E712"/>
    <w:rsid w:val="6114ACEA"/>
    <w:rsid w:val="62D04F42"/>
    <w:rsid w:val="6327CF6F"/>
    <w:rsid w:val="642BAA56"/>
    <w:rsid w:val="66804935"/>
    <w:rsid w:val="684781B5"/>
    <w:rsid w:val="6A4C5492"/>
    <w:rsid w:val="70053A3B"/>
    <w:rsid w:val="71675915"/>
    <w:rsid w:val="72826589"/>
    <w:rsid w:val="74FC1E23"/>
    <w:rsid w:val="78A42983"/>
    <w:rsid w:val="7B15E48A"/>
    <w:rsid w:val="7C8DD23B"/>
    <w:rsid w:val="7E1BF0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15:docId w15:val="{549D1BB9-4B31-4524-9ECD-35ED32F3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eastAsia="zh-CN"/>
    </w:rPr>
  </w:style>
  <w:style w:type="paragraph" w:styleId="Heading1">
    <w:name w:val="heading 1"/>
    <w:basedOn w:val="Normal"/>
    <w:next w:val="Normalnumber"/>
    <w:rsid w:val="0015442E"/>
    <w:pPr>
      <w:keepNext/>
      <w:spacing w:before="240" w:after="120"/>
      <w:ind w:left="1247" w:hanging="680"/>
      <w:outlineLvl w:val="0"/>
    </w:pPr>
    <w:rPr>
      <w:b/>
      <w:sz w:val="28"/>
    </w:rPr>
  </w:style>
  <w:style w:type="paragraph" w:styleId="Heading2">
    <w:name w:val="heading 2"/>
    <w:basedOn w:val="Normal"/>
    <w:next w:val="Normalnumber"/>
    <w:rsid w:val="0015442E"/>
    <w:pPr>
      <w:keepNext/>
      <w:spacing w:before="240" w:after="120"/>
      <w:ind w:left="1247" w:hanging="680"/>
      <w:outlineLvl w:val="1"/>
    </w:pPr>
    <w:rPr>
      <w:b/>
      <w:sz w:val="24"/>
      <w:szCs w:val="24"/>
    </w:rPr>
  </w:style>
  <w:style w:type="paragraph" w:styleId="Heading3">
    <w:name w:val="heading 3"/>
    <w:basedOn w:val="Normal"/>
    <w:next w:val="Normalnumber"/>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qFormat/>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uiPriority w:val="99"/>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qFormat/>
    <w:rsid w:val="0015442E"/>
    <w:pPr>
      <w:keepNext/>
      <w:keepLines/>
      <w:suppressAutoHyphens/>
      <w:spacing w:before="320" w:after="240"/>
      <w:ind w:left="1247" w:right="567"/>
    </w:pPr>
    <w:rPr>
      <w:b/>
      <w:sz w:val="28"/>
      <w:szCs w:val="28"/>
    </w:rPr>
  </w:style>
  <w:style w:type="paragraph" w:styleId="Footer">
    <w:name w:val="footer"/>
    <w:basedOn w:val="Normal"/>
    <w:semiHidden/>
    <w:rsid w:val="0015442E"/>
    <w:pPr>
      <w:tabs>
        <w:tab w:val="center" w:pos="4320"/>
        <w:tab w:val="right" w:pos="8640"/>
      </w:tabs>
      <w:spacing w:before="60" w:after="120"/>
    </w:pPr>
    <w:rPr>
      <w:sz w:val="18"/>
    </w:rPr>
  </w:style>
  <w:style w:type="paragraph" w:styleId="Header">
    <w:name w:val="header"/>
    <w:basedOn w:val="Normal"/>
    <w:link w:val="HeaderChar"/>
    <w:uiPriority w:val="99"/>
    <w:rsid w:val="0015442E"/>
    <w:pPr>
      <w:pBdr>
        <w:bottom w:val="single" w:sz="4" w:space="1" w:color="auto"/>
      </w:pBdr>
      <w:tabs>
        <w:tab w:val="center" w:pos="4536"/>
        <w:tab w:val="right" w:pos="9072"/>
      </w:tabs>
      <w:spacing w:after="120"/>
    </w:pPr>
    <w:rPr>
      <w:b/>
      <w:sz w:val="18"/>
    </w:rPr>
  </w:style>
  <w:style w:type="character" w:styleId="Hyperlink">
    <w:name w:val="Hyperlink"/>
    <w:unhideWhenUsed/>
    <w:rsid w:val="0015442E"/>
    <w:rPr>
      <w:rFonts w:ascii="Times New Roman" w:hAnsi="Times New Roman"/>
      <w:color w:val="auto"/>
      <w:sz w:val="20"/>
      <w:szCs w:val="20"/>
      <w:u w:val="none"/>
      <w:lang w:val="en-US"/>
    </w:rPr>
  </w:style>
  <w:style w:type="numbering" w:customStyle="1" w:styleId="Normallist">
    <w:name w:val="Normal_list"/>
    <w:basedOn w:val="NoList"/>
    <w:semiHidden/>
    <w:rsid w:val="0015442E"/>
    <w:pPr>
      <w:numPr>
        <w:numId w:val="2"/>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link w:val="NormalnumberChar"/>
    <w:qFormat/>
    <w:rsid w:val="0015442E"/>
    <w:pPr>
      <w:numPr>
        <w:numId w:val="27"/>
      </w:num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link w:val="ZZAnxheaderChar"/>
    <w:rsid w:val="0015442E"/>
    <w:rPr>
      <w:b/>
      <w:bCs/>
      <w:sz w:val="28"/>
      <w:szCs w:val="22"/>
    </w:rPr>
  </w:style>
  <w:style w:type="paragraph" w:customStyle="1" w:styleId="ZZAnxtitle">
    <w:name w:val="ZZ_Anx_title"/>
    <w:basedOn w:val="Normal-pool"/>
    <w:link w:val="ZZAnxtitleChar"/>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rsid w:val="003E6F41"/>
    <w:rPr>
      <w:sz w:val="16"/>
      <w:szCs w:val="16"/>
    </w:rPr>
  </w:style>
  <w:style w:type="paragraph" w:styleId="CommentText">
    <w:name w:val="annotation text"/>
    <w:basedOn w:val="Normal"/>
    <w:link w:val="CommentTextChar"/>
    <w:uiPriority w:val="99"/>
    <w:rsid w:val="003E6F41"/>
    <w:rPr>
      <w:sz w:val="24"/>
      <w:szCs w:val="24"/>
      <w:lang w:eastAsia="en-GB"/>
    </w:rPr>
  </w:style>
  <w:style w:type="character" w:customStyle="1" w:styleId="CommentTextChar">
    <w:name w:val="Comment Text Char"/>
    <w:basedOn w:val="DefaultParagraphFont"/>
    <w:link w:val="CommentText"/>
    <w:uiPriority w:val="99"/>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link w:val="FootnoteText"/>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BVI fnr"/>
    <w:link w:val="SUPERSCharCharCharCharCharCharCharChar"/>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AnxheaderChar">
    <w:name w:val="ZZ_Anx_header Char"/>
    <w:link w:val="ZZAnxheader"/>
    <w:locked/>
    <w:rsid w:val="000F0BEA"/>
    <w:rPr>
      <w:rFonts w:eastAsia="SimSun"/>
      <w:b/>
      <w:bCs/>
      <w:sz w:val="28"/>
      <w:szCs w:val="22"/>
      <w:lang w:val="en-US" w:eastAsia="en-US"/>
    </w:rPr>
  </w:style>
  <w:style w:type="character" w:customStyle="1" w:styleId="ZZAnxtitleChar">
    <w:name w:val="ZZ_Anx_title Char"/>
    <w:link w:val="ZZAnxtitle"/>
    <w:rsid w:val="00942A85"/>
    <w:rPr>
      <w:rFonts w:eastAsia="SimSun"/>
      <w:b/>
      <w:bCs/>
      <w:sz w:val="28"/>
      <w:szCs w:val="26"/>
      <w:lang w:val="en-US" w:eastAsia="en-US"/>
    </w:rPr>
  </w:style>
  <w:style w:type="character" w:customStyle="1" w:styleId="Normal-poolChar">
    <w:name w:val="Normal-pool Char"/>
    <w:link w:val="Normal-pool"/>
    <w:locked/>
    <w:rsid w:val="009223D3"/>
    <w:rPr>
      <w:rFonts w:eastAsia="SimSun"/>
      <w:lang w:val="en-US" w:eastAsia="en-US"/>
    </w:rPr>
  </w:style>
  <w:style w:type="character" w:customStyle="1" w:styleId="CH2Char">
    <w:name w:val="CH2 Char"/>
    <w:link w:val="CH2"/>
    <w:rsid w:val="000E3219"/>
    <w:rPr>
      <w:rFonts w:eastAsia="SimSun"/>
      <w:b/>
      <w:sz w:val="24"/>
      <w:szCs w:val="24"/>
      <w:lang w:val="en-US" w:eastAsia="en-US"/>
    </w:rPr>
  </w:style>
  <w:style w:type="character" w:customStyle="1" w:styleId="NormalnumberChar">
    <w:name w:val="Normal_number Char"/>
    <w:link w:val="Normalnumber"/>
    <w:rsid w:val="00D86A80"/>
    <w:rPr>
      <w:lang w:val="fr-CA" w:eastAsia="en-US"/>
    </w:rPr>
  </w:style>
  <w:style w:type="character" w:customStyle="1" w:styleId="normaltextrun">
    <w:name w:val="normaltextrun"/>
    <w:basedOn w:val="DefaultParagraphFont"/>
    <w:rsid w:val="00F631C8"/>
  </w:style>
  <w:style w:type="paragraph" w:styleId="Revision">
    <w:name w:val="Revision"/>
    <w:hidden/>
    <w:uiPriority w:val="99"/>
    <w:semiHidden/>
    <w:rsid w:val="00967BFC"/>
    <w:rPr>
      <w:rFonts w:eastAsia="SimSun"/>
      <w:lang w:eastAsia="zh-CN"/>
    </w:rPr>
  </w:style>
  <w:style w:type="character" w:styleId="Mention">
    <w:name w:val="Mention"/>
    <w:basedOn w:val="DefaultParagraphFont"/>
    <w:uiPriority w:val="99"/>
    <w:unhideWhenUsed/>
    <w:rsid w:val="00F53750"/>
    <w:rPr>
      <w:color w:val="2B579A"/>
      <w:shd w:val="clear" w:color="auto" w:fill="E1DFDD"/>
    </w:rPr>
  </w:style>
  <w:style w:type="character" w:styleId="UnresolvedMention">
    <w:name w:val="Unresolved Mention"/>
    <w:basedOn w:val="DefaultParagraphFont"/>
    <w:uiPriority w:val="99"/>
    <w:semiHidden/>
    <w:unhideWhenUsed/>
    <w:rsid w:val="00CA6163"/>
    <w:rPr>
      <w:color w:val="605E5C"/>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F17E73"/>
    <w:pPr>
      <w:spacing w:after="160" w:line="240" w:lineRule="exact"/>
    </w:pPr>
    <w:rPr>
      <w:rFonts w:eastAsia="Times New Roman"/>
      <w:szCs w:val="18"/>
      <w:vertAlign w:val="superscript"/>
      <w:lang w:eastAsia="en-GB"/>
    </w:rPr>
  </w:style>
  <w:style w:type="paragraph" w:customStyle="1" w:styleId="Footnote-Text">
    <w:name w:val="Footnote-Text"/>
    <w:basedOn w:val="Normal-pool"/>
    <w:rsid w:val="00F17E73"/>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40"/>
      <w:ind w:left="1247"/>
    </w:pPr>
    <w:rPr>
      <w:rFonts w:eastAsia="Times New Roman"/>
      <w:sz w:val="18"/>
    </w:rPr>
  </w:style>
  <w:style w:type="character" w:styleId="FollowedHyperlink">
    <w:name w:val="FollowedHyperlink"/>
    <w:basedOn w:val="DefaultParagraphFont"/>
    <w:rsid w:val="00E600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sites/default/files/documents/final_report_and_outcomes/SIPGB7_5-Meeting_Report.pdf" TargetMode="External"/><Relationship Id="rId2" Type="http://schemas.openxmlformats.org/officeDocument/2006/relationships/hyperlink" Target="https://minamataconvention.org/sites/default/files/documents/final_report_and_outcomes/SIPGB7_5-Meeting_Report.pdf" TargetMode="External"/><Relationship Id="rId1" Type="http://schemas.openxmlformats.org/officeDocument/2006/relationships/hyperlink" Target="https://minamataconvention.org/sites/default/files/documents/final_report/SIP.GB_.6.4-Meeting-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nitednations.sharepoint.com/sites/MinamataConvention/Shared%20Documents/General/01_COP6/Documents/1%20Draft%20documents/_Old%20files/6_11_Data%20for%20Graph_Scenario%201%20and%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Лист1!$W$10</c:f>
              <c:strCache>
                <c:ptCount val="1"/>
                <c:pt idx="0">
                  <c:v>No new rounds</c:v>
                </c:pt>
              </c:strCache>
            </c:strRef>
          </c:tx>
          <c:spPr>
            <a:solidFill>
              <a:schemeClr val="tx1">
                <a:lumMod val="65000"/>
                <a:lumOff val="35000"/>
              </a:schemeClr>
            </a:solidFill>
            <a:ln>
              <a:noFill/>
            </a:ln>
            <a:effectLst/>
          </c:spPr>
          <c:invertIfNegative val="0"/>
          <c:cat>
            <c:numRef>
              <c:f>Лист1!$V$11:$V$23</c:f>
              <c:numCache>
                <c:formatCode>General</c:formatCode>
                <c:ptCount val="13"/>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numCache>
            </c:numRef>
          </c:cat>
          <c:val>
            <c:numRef>
              <c:f>Лист1!$W$11:$W$23</c:f>
              <c:numCache>
                <c:formatCode>General</c:formatCode>
                <c:ptCount val="13"/>
                <c:pt idx="0">
                  <c:v>16</c:v>
                </c:pt>
                <c:pt idx="1">
                  <c:v>12</c:v>
                </c:pt>
                <c:pt idx="2">
                  <c:v>11</c:v>
                </c:pt>
                <c:pt idx="3">
                  <c:v>8</c:v>
                </c:pt>
                <c:pt idx="4">
                  <c:v>4</c:v>
                </c:pt>
              </c:numCache>
            </c:numRef>
          </c:val>
          <c:extLst>
            <c:ext xmlns:c16="http://schemas.microsoft.com/office/drawing/2014/chart" uri="{C3380CC4-5D6E-409C-BE32-E72D297353CC}">
              <c16:uniqueId val="{00000000-2FF4-45D5-A2EB-2EA14A69C07E}"/>
            </c:ext>
          </c:extLst>
        </c:ser>
        <c:ser>
          <c:idx val="1"/>
          <c:order val="1"/>
          <c:tx>
            <c:strRef>
              <c:f>Лист1!$X$10</c:f>
              <c:strCache>
                <c:ptCount val="1"/>
                <c:pt idx="0">
                  <c:v>Scenario 1</c:v>
                </c:pt>
              </c:strCache>
            </c:strRef>
          </c:tx>
          <c:spPr>
            <a:solidFill>
              <a:schemeClr val="bg1">
                <a:lumMod val="65000"/>
              </a:schemeClr>
            </a:solidFill>
            <a:ln>
              <a:solidFill>
                <a:schemeClr val="tx1">
                  <a:lumMod val="50000"/>
                  <a:lumOff val="50000"/>
                </a:schemeClr>
              </a:solidFill>
            </a:ln>
            <a:effectLst/>
          </c:spPr>
          <c:invertIfNegative val="0"/>
          <c:cat>
            <c:numRef>
              <c:f>Лист1!$V$11:$V$23</c:f>
              <c:numCache>
                <c:formatCode>General</c:formatCode>
                <c:ptCount val="13"/>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numCache>
            </c:numRef>
          </c:cat>
          <c:val>
            <c:numRef>
              <c:f>Лист1!$X$11:$X$23</c:f>
              <c:numCache>
                <c:formatCode>General</c:formatCode>
                <c:ptCount val="13"/>
                <c:pt idx="0">
                  <c:v>16</c:v>
                </c:pt>
                <c:pt idx="1">
                  <c:v>12</c:v>
                </c:pt>
                <c:pt idx="2">
                  <c:v>21</c:v>
                </c:pt>
                <c:pt idx="3">
                  <c:v>18</c:v>
                </c:pt>
                <c:pt idx="4">
                  <c:v>14</c:v>
                </c:pt>
                <c:pt idx="5">
                  <c:v>7</c:v>
                </c:pt>
                <c:pt idx="6">
                  <c:v>6</c:v>
                </c:pt>
              </c:numCache>
            </c:numRef>
          </c:val>
          <c:extLst>
            <c:ext xmlns:c16="http://schemas.microsoft.com/office/drawing/2014/chart" uri="{C3380CC4-5D6E-409C-BE32-E72D297353CC}">
              <c16:uniqueId val="{00000001-2FF4-45D5-A2EB-2EA14A69C07E}"/>
            </c:ext>
          </c:extLst>
        </c:ser>
        <c:ser>
          <c:idx val="2"/>
          <c:order val="2"/>
          <c:tx>
            <c:strRef>
              <c:f>Лист1!$Y$10</c:f>
              <c:strCache>
                <c:ptCount val="1"/>
                <c:pt idx="0">
                  <c:v>Scenario 2</c:v>
                </c:pt>
              </c:strCache>
            </c:strRef>
          </c:tx>
          <c:spPr>
            <a:solidFill>
              <a:schemeClr val="bg2"/>
            </a:solidFill>
            <a:ln>
              <a:solidFill>
                <a:schemeClr val="bg2">
                  <a:lumMod val="75000"/>
                </a:schemeClr>
              </a:solidFill>
            </a:ln>
            <a:effectLst/>
          </c:spPr>
          <c:invertIfNegative val="0"/>
          <c:cat>
            <c:numRef>
              <c:f>Лист1!$V$11:$V$23</c:f>
              <c:numCache>
                <c:formatCode>General</c:formatCode>
                <c:ptCount val="13"/>
                <c:pt idx="0">
                  <c:v>2025</c:v>
                </c:pt>
                <c:pt idx="1">
                  <c:v>2026</c:v>
                </c:pt>
                <c:pt idx="2">
                  <c:v>2027</c:v>
                </c:pt>
                <c:pt idx="3">
                  <c:v>2028</c:v>
                </c:pt>
                <c:pt idx="4">
                  <c:v>2029</c:v>
                </c:pt>
                <c:pt idx="5">
                  <c:v>2030</c:v>
                </c:pt>
                <c:pt idx="6">
                  <c:v>2031</c:v>
                </c:pt>
                <c:pt idx="7">
                  <c:v>2032</c:v>
                </c:pt>
                <c:pt idx="8">
                  <c:v>2033</c:v>
                </c:pt>
                <c:pt idx="9">
                  <c:v>2034</c:v>
                </c:pt>
                <c:pt idx="10">
                  <c:v>2035</c:v>
                </c:pt>
                <c:pt idx="11">
                  <c:v>2036</c:v>
                </c:pt>
                <c:pt idx="12">
                  <c:v>2037</c:v>
                </c:pt>
              </c:numCache>
            </c:numRef>
          </c:cat>
          <c:val>
            <c:numRef>
              <c:f>Лист1!$Y$11:$Y$23</c:f>
              <c:numCache>
                <c:formatCode>General</c:formatCode>
                <c:ptCount val="13"/>
                <c:pt idx="0">
                  <c:v>16</c:v>
                </c:pt>
                <c:pt idx="1">
                  <c:v>12</c:v>
                </c:pt>
                <c:pt idx="2">
                  <c:v>21</c:v>
                </c:pt>
                <c:pt idx="3">
                  <c:v>18</c:v>
                </c:pt>
                <c:pt idx="4">
                  <c:v>14</c:v>
                </c:pt>
                <c:pt idx="5">
                  <c:v>22</c:v>
                </c:pt>
                <c:pt idx="6">
                  <c:v>21</c:v>
                </c:pt>
                <c:pt idx="7">
                  <c:v>15</c:v>
                </c:pt>
                <c:pt idx="8">
                  <c:v>27</c:v>
                </c:pt>
                <c:pt idx="9">
                  <c:v>23</c:v>
                </c:pt>
                <c:pt idx="10">
                  <c:v>15</c:v>
                </c:pt>
                <c:pt idx="11">
                  <c:v>13</c:v>
                </c:pt>
                <c:pt idx="12">
                  <c:v>10</c:v>
                </c:pt>
              </c:numCache>
            </c:numRef>
          </c:val>
          <c:extLst>
            <c:ext xmlns:c16="http://schemas.microsoft.com/office/drawing/2014/chart" uri="{C3380CC4-5D6E-409C-BE32-E72D297353CC}">
              <c16:uniqueId val="{00000002-2FF4-45D5-A2EB-2EA14A69C07E}"/>
            </c:ext>
          </c:extLst>
        </c:ser>
        <c:dLbls>
          <c:showLegendKey val="0"/>
          <c:showVal val="0"/>
          <c:showCatName val="0"/>
          <c:showSerName val="0"/>
          <c:showPercent val="0"/>
          <c:showBubbleSize val="0"/>
        </c:dLbls>
        <c:gapWidth val="100"/>
        <c:overlap val="-47"/>
        <c:axId val="442666800"/>
        <c:axId val="442667160"/>
      </c:barChart>
      <c:catAx>
        <c:axId val="442666800"/>
        <c:scaling>
          <c:orientation val="minMax"/>
        </c:scaling>
        <c:delete val="1"/>
        <c:axPos val="b"/>
        <c:numFmt formatCode="General" sourceLinked="1"/>
        <c:majorTickMark val="none"/>
        <c:minorTickMark val="none"/>
        <c:tickLblPos val="nextTo"/>
        <c:crossAx val="442667160"/>
        <c:crosses val="autoZero"/>
        <c:auto val="1"/>
        <c:lblAlgn val="ctr"/>
        <c:lblOffset val="100"/>
        <c:noMultiLvlLbl val="0"/>
      </c:catAx>
      <c:valAx>
        <c:axId val="44266716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42666800"/>
        <c:crosses val="autoZero"/>
        <c:crossBetween val="between"/>
      </c:valAx>
      <c:dTable>
        <c:showHorzBorder val="0"/>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822da31b-d518-49e2-88cd-1351ccd720a8"/>
    <ds:schemaRef ds:uri="8e99bad0-3155-475a-8063-b4d93685c2ad"/>
  </ds:schemaRefs>
</ds:datastoreItem>
</file>

<file path=customXml/itemProps2.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3.xml><?xml version="1.0" encoding="utf-8"?>
<ds:datastoreItem xmlns:ds="http://schemas.openxmlformats.org/officeDocument/2006/customXml" ds:itemID="{3B591B44-14AC-471D-A9F5-9E041FF2AF18}"/>
</file>

<file path=customXml/itemProps4.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UNEP-MC-COP_EN-CORR.dotm</Template>
  <TotalTime>38</TotalTime>
  <Pages>8</Pages>
  <Words>3435</Words>
  <Characters>19580</Characters>
  <Application>Microsoft Office Word</Application>
  <DocSecurity>0</DocSecurity>
  <Lines>163</Lines>
  <Paragraphs>45</Paragraphs>
  <ScaleCrop>false</ScaleCrop>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Romanov</dc:creator>
  <cp:keywords/>
  <dc:description/>
  <cp:lastModifiedBy>My Linh Doan</cp:lastModifiedBy>
  <cp:revision>1012</cp:revision>
  <dcterms:created xsi:type="dcterms:W3CDTF">2025-06-12T21:26:00Z</dcterms:created>
  <dcterms:modified xsi:type="dcterms:W3CDTF">2025-09-02T08:31:00Z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GrammarlyDocumentId">
    <vt:lpwstr>1aa345f5233833bf8aa3408a6e0af90074b5fe99df0c30d1bbd9e61a2eb4330c</vt:lpwstr>
  </property>
  <property fmtid="{D5CDD505-2E9C-101B-9397-08002B2CF9AE}" pid="4" name="MediaServiceImageTags">
    <vt:lpwstr/>
  </property>
</Properties>
</file>